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87FE" w14:textId="77777777" w:rsidR="00DA4BDA" w:rsidRPr="006B4A5D" w:rsidRDefault="00DA4BDA" w:rsidP="00DA4BDA">
      <w:pPr>
        <w:pStyle w:val="Title"/>
      </w:pPr>
      <w:r w:rsidRPr="006B4A5D">
        <w:t>Combined Orders of Imprisonment with a Community Correction Order in Victoria</w:t>
      </w:r>
    </w:p>
    <w:p w14:paraId="26C8158F" w14:textId="712A1F6F" w:rsidR="0009038A" w:rsidRDefault="0009038A" w:rsidP="0009038A">
      <w:pPr>
        <w:pStyle w:val="Heading1"/>
      </w:pPr>
      <w:bookmarkStart w:id="0" w:name="_Toc150439344"/>
      <w:r w:rsidRPr="006B4A5D">
        <w:t>Contents</w:t>
      </w:r>
      <w:bookmarkEnd w:id="0"/>
    </w:p>
    <w:p w14:paraId="5A9E143A" w14:textId="076D1F47" w:rsidR="00F17BB0" w:rsidRDefault="00F17BB0">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\p " " \h \z \t "Heading 1,1" </w:instrText>
      </w:r>
      <w:r>
        <w:fldChar w:fldCharType="separate"/>
      </w:r>
      <w:hyperlink w:anchor="_Toc150439345" w:history="1">
        <w:r w:rsidRPr="00986DF3">
          <w:rPr>
            <w:rStyle w:val="Hyperlink"/>
            <w:noProof/>
          </w:rPr>
          <w:t>Aim and research questions</w:t>
        </w:r>
        <w:r>
          <w:rPr>
            <w:noProof/>
            <w:webHidden/>
          </w:rPr>
          <w:t xml:space="preserve"> </w:t>
        </w:r>
        <w:r>
          <w:rPr>
            <w:noProof/>
            <w:webHidden/>
          </w:rPr>
          <w:fldChar w:fldCharType="begin"/>
        </w:r>
        <w:r>
          <w:rPr>
            <w:noProof/>
            <w:webHidden/>
          </w:rPr>
          <w:instrText xml:space="preserve"> PAGEREF _Toc150439345 \h </w:instrText>
        </w:r>
        <w:r>
          <w:rPr>
            <w:noProof/>
            <w:webHidden/>
          </w:rPr>
        </w:r>
        <w:r>
          <w:rPr>
            <w:noProof/>
            <w:webHidden/>
          </w:rPr>
          <w:fldChar w:fldCharType="separate"/>
        </w:r>
        <w:r>
          <w:rPr>
            <w:noProof/>
            <w:webHidden/>
          </w:rPr>
          <w:t>3</w:t>
        </w:r>
        <w:r>
          <w:rPr>
            <w:noProof/>
            <w:webHidden/>
          </w:rPr>
          <w:fldChar w:fldCharType="end"/>
        </w:r>
      </w:hyperlink>
    </w:p>
    <w:p w14:paraId="7D7AC949" w14:textId="5B36C607"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46" w:history="1">
        <w:r w:rsidRPr="00986DF3">
          <w:rPr>
            <w:rStyle w:val="Hyperlink"/>
            <w:noProof/>
          </w:rPr>
          <w:t>Prevalence of combined orders</w:t>
        </w:r>
        <w:r>
          <w:rPr>
            <w:noProof/>
            <w:webHidden/>
          </w:rPr>
          <w:t xml:space="preserve"> </w:t>
        </w:r>
        <w:r>
          <w:rPr>
            <w:noProof/>
            <w:webHidden/>
          </w:rPr>
          <w:fldChar w:fldCharType="begin"/>
        </w:r>
        <w:r>
          <w:rPr>
            <w:noProof/>
            <w:webHidden/>
          </w:rPr>
          <w:instrText xml:space="preserve"> PAGEREF _Toc150439346 \h </w:instrText>
        </w:r>
        <w:r>
          <w:rPr>
            <w:noProof/>
            <w:webHidden/>
          </w:rPr>
        </w:r>
        <w:r>
          <w:rPr>
            <w:noProof/>
            <w:webHidden/>
          </w:rPr>
          <w:fldChar w:fldCharType="separate"/>
        </w:r>
        <w:r>
          <w:rPr>
            <w:noProof/>
            <w:webHidden/>
          </w:rPr>
          <w:t>6</w:t>
        </w:r>
        <w:r>
          <w:rPr>
            <w:noProof/>
            <w:webHidden/>
          </w:rPr>
          <w:fldChar w:fldCharType="end"/>
        </w:r>
      </w:hyperlink>
    </w:p>
    <w:p w14:paraId="6A88FC03" w14:textId="64445AAD"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47" w:history="1">
        <w:r w:rsidRPr="00986DF3">
          <w:rPr>
            <w:rStyle w:val="Hyperlink"/>
            <w:noProof/>
          </w:rPr>
          <w:t>Age and gender of people who received combined orders</w:t>
        </w:r>
        <w:r>
          <w:rPr>
            <w:noProof/>
            <w:webHidden/>
          </w:rPr>
          <w:t xml:space="preserve"> </w:t>
        </w:r>
        <w:r>
          <w:rPr>
            <w:noProof/>
            <w:webHidden/>
          </w:rPr>
          <w:fldChar w:fldCharType="begin"/>
        </w:r>
        <w:r>
          <w:rPr>
            <w:noProof/>
            <w:webHidden/>
          </w:rPr>
          <w:instrText xml:space="preserve"> PAGEREF _Toc150439347 \h </w:instrText>
        </w:r>
        <w:r>
          <w:rPr>
            <w:noProof/>
            <w:webHidden/>
          </w:rPr>
        </w:r>
        <w:r>
          <w:rPr>
            <w:noProof/>
            <w:webHidden/>
          </w:rPr>
          <w:fldChar w:fldCharType="separate"/>
        </w:r>
        <w:r>
          <w:rPr>
            <w:noProof/>
            <w:webHidden/>
          </w:rPr>
          <w:t>7</w:t>
        </w:r>
        <w:r>
          <w:rPr>
            <w:noProof/>
            <w:webHidden/>
          </w:rPr>
          <w:fldChar w:fldCharType="end"/>
        </w:r>
      </w:hyperlink>
    </w:p>
    <w:p w14:paraId="24390118" w14:textId="04F5D791"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48" w:history="1">
        <w:r w:rsidRPr="00986DF3">
          <w:rPr>
            <w:rStyle w:val="Hyperlink"/>
            <w:noProof/>
          </w:rPr>
          <w:t>Offence types in combined order cases</w:t>
        </w:r>
        <w:r>
          <w:rPr>
            <w:noProof/>
            <w:webHidden/>
          </w:rPr>
          <w:t xml:space="preserve"> </w:t>
        </w:r>
        <w:r>
          <w:rPr>
            <w:noProof/>
            <w:webHidden/>
          </w:rPr>
          <w:fldChar w:fldCharType="begin"/>
        </w:r>
        <w:r>
          <w:rPr>
            <w:noProof/>
            <w:webHidden/>
          </w:rPr>
          <w:instrText xml:space="preserve"> PAGEREF _Toc150439348 \h </w:instrText>
        </w:r>
        <w:r>
          <w:rPr>
            <w:noProof/>
            <w:webHidden/>
          </w:rPr>
        </w:r>
        <w:r>
          <w:rPr>
            <w:noProof/>
            <w:webHidden/>
          </w:rPr>
          <w:fldChar w:fldCharType="separate"/>
        </w:r>
        <w:r>
          <w:rPr>
            <w:noProof/>
            <w:webHidden/>
          </w:rPr>
          <w:t>9</w:t>
        </w:r>
        <w:r>
          <w:rPr>
            <w:noProof/>
            <w:webHidden/>
          </w:rPr>
          <w:fldChar w:fldCharType="end"/>
        </w:r>
      </w:hyperlink>
    </w:p>
    <w:p w14:paraId="39EBAED1" w14:textId="1D2582E2"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49" w:history="1">
        <w:r w:rsidRPr="00986DF3">
          <w:rPr>
            <w:rStyle w:val="Hyperlink"/>
            <w:noProof/>
          </w:rPr>
          <w:t>The imprisonment component of combined orders</w:t>
        </w:r>
        <w:r>
          <w:rPr>
            <w:noProof/>
            <w:webHidden/>
          </w:rPr>
          <w:t xml:space="preserve"> </w:t>
        </w:r>
        <w:r>
          <w:rPr>
            <w:noProof/>
            <w:webHidden/>
          </w:rPr>
          <w:fldChar w:fldCharType="begin"/>
        </w:r>
        <w:r>
          <w:rPr>
            <w:noProof/>
            <w:webHidden/>
          </w:rPr>
          <w:instrText xml:space="preserve"> PAGEREF _Toc150439349 \h </w:instrText>
        </w:r>
        <w:r>
          <w:rPr>
            <w:noProof/>
            <w:webHidden/>
          </w:rPr>
        </w:r>
        <w:r>
          <w:rPr>
            <w:noProof/>
            <w:webHidden/>
          </w:rPr>
          <w:fldChar w:fldCharType="separate"/>
        </w:r>
        <w:r>
          <w:rPr>
            <w:noProof/>
            <w:webHidden/>
          </w:rPr>
          <w:t>12</w:t>
        </w:r>
        <w:r>
          <w:rPr>
            <w:noProof/>
            <w:webHidden/>
          </w:rPr>
          <w:fldChar w:fldCharType="end"/>
        </w:r>
      </w:hyperlink>
    </w:p>
    <w:p w14:paraId="219E4B23" w14:textId="0889DEF0"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50" w:history="1">
        <w:r w:rsidRPr="00986DF3">
          <w:rPr>
            <w:rStyle w:val="Hyperlink"/>
            <w:noProof/>
          </w:rPr>
          <w:t>The CCO component of combined orders</w:t>
        </w:r>
        <w:r>
          <w:rPr>
            <w:noProof/>
            <w:webHidden/>
          </w:rPr>
          <w:t xml:space="preserve"> </w:t>
        </w:r>
        <w:r>
          <w:rPr>
            <w:noProof/>
            <w:webHidden/>
          </w:rPr>
          <w:fldChar w:fldCharType="begin"/>
        </w:r>
        <w:r>
          <w:rPr>
            <w:noProof/>
            <w:webHidden/>
          </w:rPr>
          <w:instrText xml:space="preserve"> PAGEREF _Toc150439350 \h </w:instrText>
        </w:r>
        <w:r>
          <w:rPr>
            <w:noProof/>
            <w:webHidden/>
          </w:rPr>
        </w:r>
        <w:r>
          <w:rPr>
            <w:noProof/>
            <w:webHidden/>
          </w:rPr>
          <w:fldChar w:fldCharType="separate"/>
        </w:r>
        <w:r>
          <w:rPr>
            <w:noProof/>
            <w:webHidden/>
          </w:rPr>
          <w:t>25</w:t>
        </w:r>
        <w:r>
          <w:rPr>
            <w:noProof/>
            <w:webHidden/>
          </w:rPr>
          <w:fldChar w:fldCharType="end"/>
        </w:r>
      </w:hyperlink>
    </w:p>
    <w:p w14:paraId="50B554EE" w14:textId="03F3B422"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51" w:history="1">
        <w:r w:rsidRPr="00986DF3">
          <w:rPr>
            <w:rStyle w:val="Hyperlink"/>
            <w:noProof/>
          </w:rPr>
          <w:t>Concluding remarks</w:t>
        </w:r>
        <w:r>
          <w:rPr>
            <w:noProof/>
            <w:webHidden/>
          </w:rPr>
          <w:t xml:space="preserve"> </w:t>
        </w:r>
        <w:r>
          <w:rPr>
            <w:noProof/>
            <w:webHidden/>
          </w:rPr>
          <w:fldChar w:fldCharType="begin"/>
        </w:r>
        <w:r>
          <w:rPr>
            <w:noProof/>
            <w:webHidden/>
          </w:rPr>
          <w:instrText xml:space="preserve"> PAGEREF _Toc150439351 \h </w:instrText>
        </w:r>
        <w:r>
          <w:rPr>
            <w:noProof/>
            <w:webHidden/>
          </w:rPr>
        </w:r>
        <w:r>
          <w:rPr>
            <w:noProof/>
            <w:webHidden/>
          </w:rPr>
          <w:fldChar w:fldCharType="separate"/>
        </w:r>
        <w:r>
          <w:rPr>
            <w:noProof/>
            <w:webHidden/>
          </w:rPr>
          <w:t>28</w:t>
        </w:r>
        <w:r>
          <w:rPr>
            <w:noProof/>
            <w:webHidden/>
          </w:rPr>
          <w:fldChar w:fldCharType="end"/>
        </w:r>
      </w:hyperlink>
    </w:p>
    <w:p w14:paraId="578818C8" w14:textId="435FDF9C" w:rsidR="00F17BB0" w:rsidRDefault="00F17BB0">
      <w:pPr>
        <w:pStyle w:val="TOC1"/>
        <w:tabs>
          <w:tab w:val="right" w:leader="dot" w:pos="9016"/>
        </w:tabs>
        <w:rPr>
          <w:rFonts w:asciiTheme="minorHAnsi" w:eastAsiaTheme="minorEastAsia" w:hAnsiTheme="minorHAnsi" w:cstheme="minorBidi"/>
          <w:noProof/>
          <w:sz w:val="22"/>
          <w:szCs w:val="22"/>
        </w:rPr>
      </w:pPr>
      <w:hyperlink w:anchor="_Toc150439352" w:history="1">
        <w:r w:rsidRPr="00986DF3">
          <w:rPr>
            <w:rStyle w:val="Hyperlink"/>
            <w:noProof/>
          </w:rPr>
          <w:t>References</w:t>
        </w:r>
        <w:r>
          <w:rPr>
            <w:noProof/>
            <w:webHidden/>
          </w:rPr>
          <w:t xml:space="preserve"> </w:t>
        </w:r>
        <w:r>
          <w:rPr>
            <w:noProof/>
            <w:webHidden/>
          </w:rPr>
          <w:fldChar w:fldCharType="begin"/>
        </w:r>
        <w:r>
          <w:rPr>
            <w:noProof/>
            <w:webHidden/>
          </w:rPr>
          <w:instrText xml:space="preserve"> PAGEREF _Toc150439352 \h </w:instrText>
        </w:r>
        <w:r>
          <w:rPr>
            <w:noProof/>
            <w:webHidden/>
          </w:rPr>
        </w:r>
        <w:r>
          <w:rPr>
            <w:noProof/>
            <w:webHidden/>
          </w:rPr>
          <w:fldChar w:fldCharType="separate"/>
        </w:r>
        <w:r>
          <w:rPr>
            <w:noProof/>
            <w:webHidden/>
          </w:rPr>
          <w:t>32</w:t>
        </w:r>
        <w:r>
          <w:rPr>
            <w:noProof/>
            <w:webHidden/>
          </w:rPr>
          <w:fldChar w:fldCharType="end"/>
        </w:r>
      </w:hyperlink>
    </w:p>
    <w:p w14:paraId="7804D6C3" w14:textId="1B2BA732" w:rsidR="00986637" w:rsidRPr="00986637" w:rsidRDefault="00F17BB0" w:rsidP="00986637">
      <w:r>
        <w:fldChar w:fldCharType="end"/>
      </w:r>
    </w:p>
    <w:p w14:paraId="64EFD335" w14:textId="77777777" w:rsidR="005801E0" w:rsidRPr="006B4A5D" w:rsidRDefault="005801E0" w:rsidP="002369E2">
      <w:pPr>
        <w:pageBreakBefore/>
      </w:pPr>
      <w:r w:rsidRPr="006B4A5D">
        <w:lastRenderedPageBreak/>
        <w:t>When sentencing someone for criminal offending, courts can select from a number of possible sentencing orders, such as imprisonment, a drug and alcohol treatment order, a community correction order (CCO), a fine, an adjourned undertaking, or a dismissal with or without conviction.</w:t>
      </w:r>
      <w:r w:rsidRPr="006B4A5D">
        <w:rPr>
          <w:rStyle w:val="Superscript"/>
        </w:rPr>
        <w:footnoteReference w:id="1"/>
      </w:r>
      <w:r w:rsidRPr="006B4A5D">
        <w:t xml:space="preserve"> Courts can also often impose a combination of these sentencing orders if doing so would be appropriate in the circumstances of the case.</w:t>
      </w:r>
      <w:r w:rsidRPr="006B4A5D">
        <w:rPr>
          <w:rStyle w:val="Superscript"/>
        </w:rPr>
        <w:footnoteReference w:id="2"/>
      </w:r>
      <w:r w:rsidRPr="006B4A5D">
        <w:t xml:space="preserve"> The focus of this report is a particular combination of sentencing orders imposed in the same case: imprisonment with a CCO (a </w:t>
      </w:r>
      <w:r w:rsidRPr="006B4A5D">
        <w:rPr>
          <w:rStyle w:val="Italic"/>
        </w:rPr>
        <w:t>combined order</w:t>
      </w:r>
      <w:r w:rsidRPr="006B4A5D">
        <w:t>). A CCO is a sentencing order that an offender serves in the community while subject to various mandatory conditions as well as at least one optional condition.</w:t>
      </w:r>
      <w:r w:rsidRPr="006B4A5D">
        <w:rPr>
          <w:rStyle w:val="Superscript"/>
        </w:rPr>
        <w:footnoteReference w:id="3"/>
      </w:r>
      <w:r w:rsidRPr="006B4A5D">
        <w:t xml:space="preserve"> When courts impose a combined order, the offender commences their CCO on release from prison.</w:t>
      </w:r>
    </w:p>
    <w:p w14:paraId="5F86844D" w14:textId="77777777" w:rsidR="005801E0" w:rsidRPr="006B4A5D" w:rsidRDefault="005801E0" w:rsidP="005801E0">
      <w:pPr>
        <w:pStyle w:val="Heading1"/>
      </w:pPr>
      <w:bookmarkStart w:id="1" w:name="_Toc150439345"/>
      <w:r w:rsidRPr="006B4A5D">
        <w:lastRenderedPageBreak/>
        <w:t>Aim and research questions</w:t>
      </w:r>
      <w:bookmarkEnd w:id="1"/>
    </w:p>
    <w:p w14:paraId="468E54F7" w14:textId="77777777" w:rsidR="005801E0" w:rsidRPr="006B4A5D" w:rsidRDefault="005801E0" w:rsidP="002D0603">
      <w:r w:rsidRPr="006B4A5D">
        <w:t>The aim of this report is to present a statistical profile of combined orders of imprisonment with a CCO in the 9 calendar years from 2012 to 2020.</w:t>
      </w:r>
      <w:r w:rsidRPr="006B4A5D">
        <w:rPr>
          <w:rStyle w:val="Superscript"/>
        </w:rPr>
        <w:footnoteReference w:id="4"/>
      </w:r>
      <w:r w:rsidRPr="006B4A5D">
        <w:t xml:space="preserve"> This is an important topic of study for a number of reasons. </w:t>
      </w:r>
    </w:p>
    <w:p w14:paraId="5D5E5D26" w14:textId="77777777" w:rsidR="005801E0" w:rsidRPr="006B4A5D" w:rsidRDefault="005801E0" w:rsidP="002D0603">
      <w:r w:rsidRPr="006B4A5D">
        <w:t>First, as the data in this report illustrates, combined orders have become very common, and it is important to understand whether the CCO and/or the imprisonment components of combined orders are functionally different from straight CCOs</w:t>
      </w:r>
      <w:r w:rsidRPr="006B4A5D">
        <w:rPr>
          <w:rStyle w:val="Superscript"/>
        </w:rPr>
        <w:footnoteReference w:id="5"/>
      </w:r>
      <w:r w:rsidRPr="006B4A5D">
        <w:t xml:space="preserve"> or straight imprisonment</w:t>
      </w:r>
      <w:r w:rsidRPr="006B4A5D">
        <w:rPr>
          <w:rStyle w:val="Superscript"/>
        </w:rPr>
        <w:footnoteReference w:id="6"/>
      </w:r>
      <w:r w:rsidRPr="006B4A5D">
        <w:t xml:space="preserve"> and what the implications of any differences might be. Most of our previous examinations of CCOs have been where a CCO was the most serious penalty in the case.</w:t>
      </w:r>
      <w:r w:rsidRPr="006B4A5D">
        <w:rPr>
          <w:rStyle w:val="Superscript"/>
        </w:rPr>
        <w:footnoteReference w:id="7"/>
      </w:r>
    </w:p>
    <w:p w14:paraId="08285758" w14:textId="77777777" w:rsidR="005801E0" w:rsidRPr="006B4A5D" w:rsidRDefault="005801E0" w:rsidP="00A612BA">
      <w:r w:rsidRPr="006B4A5D">
        <w:lastRenderedPageBreak/>
        <w:t>Second, examining combined orders helps to identify the true number of people who receive CCOs each year, and the workload that CCOs represent for Corrections Victoria, which is responsible for supervising, assisting and monitoring people subject to a CCO.</w:t>
      </w:r>
      <w:r w:rsidRPr="006B4A5D">
        <w:rPr>
          <w:rStyle w:val="Superscript"/>
        </w:rPr>
        <w:footnoteReference w:id="8"/>
      </w:r>
      <w:r w:rsidRPr="006B4A5D">
        <w:t xml:space="preserve"> Sentencing data is often presented using a counting rule based on the </w:t>
      </w:r>
      <w:r w:rsidRPr="006B4A5D">
        <w:rPr>
          <w:rStyle w:val="Italic"/>
        </w:rPr>
        <w:t>principal sentence</w:t>
      </w:r>
      <w:r w:rsidRPr="006B4A5D">
        <w:t>, where only one sentence type is counted per case, that being the most severe sentence imposed according to Victoria’s sentencing hierarchy.</w:t>
      </w:r>
      <w:r w:rsidRPr="006B4A5D">
        <w:rPr>
          <w:rStyle w:val="Superscript"/>
        </w:rPr>
        <w:footnoteReference w:id="9"/>
      </w:r>
      <w:r w:rsidRPr="006B4A5D">
        <w:t xml:space="preserve"> Because imprisonment is more severe than a CCO, that counting rule excludes CCOs in cases where imprisonment (or a suspended sentence of imprisonment) has also been imposed. One of the hypotheses we sought to test in this report – in light of the greater number of prison sentences imposed in recent years and an apparent concurrent decrease in CCOs</w:t>
      </w:r>
      <w:r w:rsidRPr="006B4A5D">
        <w:rPr>
          <w:rStyle w:val="Superscript"/>
        </w:rPr>
        <w:footnoteReference w:id="10"/>
      </w:r>
      <w:r w:rsidRPr="006B4A5D">
        <w:t xml:space="preserve"> – was whether these changes are due to an increase in combined orders that has obscured the true prevalence of CCOs.</w:t>
      </w:r>
    </w:p>
    <w:p w14:paraId="0EAB8AF6" w14:textId="77777777" w:rsidR="005801E0" w:rsidRPr="006B4A5D" w:rsidRDefault="005801E0" w:rsidP="00A612BA">
      <w:r w:rsidRPr="006B4A5D">
        <w:t>Third, there has been a series of legislative reforms since the introduction of CCOs in 2012. In 2014, the maximum additional prison term (on top of time already spent on remand) that could be imposed as part of a combined order was increased from 3 months to 2 years.</w:t>
      </w:r>
      <w:r w:rsidRPr="006B4A5D">
        <w:rPr>
          <w:rStyle w:val="Superscript"/>
        </w:rPr>
        <w:footnoteReference w:id="11"/>
      </w:r>
      <w:r w:rsidRPr="006B4A5D">
        <w:t xml:space="preserve"> And in 2017, </w:t>
      </w:r>
      <w:r w:rsidRPr="006B4A5D">
        <w:lastRenderedPageBreak/>
        <w:t>the maximum additional prison term was reduced from 2 years to 1 year.</w:t>
      </w:r>
      <w:r w:rsidRPr="006B4A5D">
        <w:rPr>
          <w:rStyle w:val="Superscript"/>
        </w:rPr>
        <w:footnoteReference w:id="12"/>
      </w:r>
      <w:r w:rsidRPr="006B4A5D">
        <w:t xml:space="preserve"> A time series analysis of the imprisonment lengths in combined orders can indicate whether those reforms have had their intended effect.</w:t>
      </w:r>
    </w:p>
    <w:p w14:paraId="65FEB77D" w14:textId="77777777" w:rsidR="005801E0" w:rsidRPr="006B4A5D" w:rsidRDefault="005801E0" w:rsidP="001D2C8C">
      <w:r w:rsidRPr="006B4A5D">
        <w:t xml:space="preserve">In that context, this report answers the following research questions about combined orders of imprisonment with a CCO from 2012 to 2020: </w:t>
      </w:r>
    </w:p>
    <w:p w14:paraId="77D2121F" w14:textId="77777777" w:rsidR="005801E0" w:rsidRPr="006B4A5D" w:rsidRDefault="005801E0" w:rsidP="001D2C8C">
      <w:pPr>
        <w:pStyle w:val="Bullets"/>
      </w:pPr>
      <w:r w:rsidRPr="006B4A5D">
        <w:t>Did the yearly prevalence of combined orders change, and to what extent have combined orders contributed to the apparent increase in prison sentences and decrease in CCOs?</w:t>
      </w:r>
    </w:p>
    <w:p w14:paraId="510E15B0" w14:textId="77777777" w:rsidR="005801E0" w:rsidRPr="006B4A5D" w:rsidRDefault="005801E0" w:rsidP="001D2C8C">
      <w:pPr>
        <w:pStyle w:val="Bullets"/>
      </w:pPr>
      <w:r w:rsidRPr="006B4A5D">
        <w:t>What were the age and gender of people who received combined orders, and what were the principal offences</w:t>
      </w:r>
      <w:r w:rsidRPr="006B4A5D">
        <w:rPr>
          <w:rStyle w:val="Superscript"/>
        </w:rPr>
        <w:footnoteReference w:id="13"/>
      </w:r>
      <w:r w:rsidRPr="006B4A5D">
        <w:t xml:space="preserve"> in those cases? </w:t>
      </w:r>
    </w:p>
    <w:p w14:paraId="2462E678" w14:textId="77777777" w:rsidR="005801E0" w:rsidRPr="006B4A5D" w:rsidRDefault="005801E0" w:rsidP="001D2C8C">
      <w:pPr>
        <w:pStyle w:val="Bullets"/>
      </w:pPr>
      <w:r w:rsidRPr="006B4A5D">
        <w:t xml:space="preserve">What were the imprisonment lengths in combined orders, and did those lengths change after the maximum additional prison term that could be part of a combined order changed in 2014 and 2017? </w:t>
      </w:r>
    </w:p>
    <w:p w14:paraId="013041CB" w14:textId="77777777" w:rsidR="005801E0" w:rsidRPr="006B4A5D" w:rsidRDefault="005801E0" w:rsidP="001D2C8C">
      <w:pPr>
        <w:pStyle w:val="Bullets"/>
      </w:pPr>
      <w:r w:rsidRPr="006B4A5D">
        <w:t>Did the yearly proportion of combined orders that involved time served prison sentences</w:t>
      </w:r>
      <w:r w:rsidRPr="006B4A5D">
        <w:rPr>
          <w:rStyle w:val="Superscript"/>
        </w:rPr>
        <w:footnoteReference w:id="14"/>
      </w:r>
      <w:r w:rsidRPr="006B4A5D">
        <w:t xml:space="preserve"> change? </w:t>
      </w:r>
    </w:p>
    <w:p w14:paraId="3358C511" w14:textId="77777777" w:rsidR="005801E0" w:rsidRPr="006B4A5D" w:rsidRDefault="005801E0" w:rsidP="001D2C8C">
      <w:pPr>
        <w:pStyle w:val="Bullets"/>
      </w:pPr>
      <w:r w:rsidRPr="006B4A5D">
        <w:t xml:space="preserve">What proportion of the total imprisonment length in combined orders was declared as pre-sentence detention (that is, how much was time already spent on remand and how much was time remaining to be served)? </w:t>
      </w:r>
    </w:p>
    <w:p w14:paraId="6F8CD91E" w14:textId="77777777" w:rsidR="005801E0" w:rsidRPr="006B4A5D" w:rsidRDefault="005801E0" w:rsidP="001D2C8C">
      <w:pPr>
        <w:pStyle w:val="Bullets"/>
      </w:pPr>
      <w:r w:rsidRPr="006B4A5D">
        <w:lastRenderedPageBreak/>
        <w:t xml:space="preserve">What conditions were attached to CCOs in combined orders, and did those conditions differ from the conditions in CCOs imposed in cases where imprisonment was not imposed? </w:t>
      </w:r>
    </w:p>
    <w:p w14:paraId="0972453B" w14:textId="77777777" w:rsidR="005801E0" w:rsidRPr="006B4A5D" w:rsidRDefault="005801E0" w:rsidP="005801E0">
      <w:pPr>
        <w:pStyle w:val="Heading1"/>
      </w:pPr>
      <w:bookmarkStart w:id="2" w:name="_Toc150439346"/>
      <w:r w:rsidRPr="006B4A5D">
        <w:t>Prevalence of combined orders</w:t>
      </w:r>
      <w:bookmarkEnd w:id="2"/>
    </w:p>
    <w:p w14:paraId="7FD6A4E6" w14:textId="77777777" w:rsidR="005801E0" w:rsidRPr="006B4A5D" w:rsidRDefault="005801E0" w:rsidP="00A612BA">
      <w:r w:rsidRPr="006B4A5D">
        <w:t>From 2012 to 2020, there were 18,144 combined orders imposed in Victoria: 16,274 in the Magistrates’ Court and 1,870 in the higher courts.</w:t>
      </w:r>
      <w:r w:rsidRPr="006B4A5D">
        <w:rPr>
          <w:rStyle w:val="Superscript"/>
        </w:rPr>
        <w:footnoteReference w:id="15"/>
      </w:r>
      <w:r w:rsidRPr="006B4A5D">
        <w:t xml:space="preserve"> In both jurisdictions, there has been a significant increase in the number of combined orders since 2012, especially in the Magistrates’ Court (Figure 1). The spike in 2015 in both jurisdictions is most likely due to the increase in the maximum additional prison term (from 3 months to 2 years) in 2014 as well as courts responding with enthusiasm to the Court of Appeal’s 2014 guideline judgment calling for increased use of CCOs.</w:t>
      </w:r>
      <w:r w:rsidRPr="006B4A5D">
        <w:rPr>
          <w:rStyle w:val="Superscript"/>
        </w:rPr>
        <w:footnoteReference w:id="16"/>
      </w:r>
      <w:r w:rsidRPr="006B4A5D">
        <w:t xml:space="preserve"> The drop in 2020 is very much due to the reduced number of cases finalised while court operations were affected by COVID-19.</w:t>
      </w:r>
    </w:p>
    <w:p w14:paraId="6880FBCC" w14:textId="77777777" w:rsidR="00F36EFA" w:rsidRPr="006B4A5D" w:rsidRDefault="00F36EFA" w:rsidP="00C34438">
      <w:pPr>
        <w:pStyle w:val="Caption"/>
      </w:pPr>
      <w:r w:rsidRPr="006B4A5D">
        <w:t>Figure 1: Number of cases in which combined orders were imposed, 2012 to 2020 (1,870 cases in the higher courts and 16,274 cases in the Magistrates’ Court)</w:t>
      </w:r>
    </w:p>
    <w:tbl>
      <w:tblPr>
        <w:tblStyle w:val="Table"/>
        <w:tblW w:w="5000" w:type="pct"/>
        <w:tblLook w:val="04A0" w:firstRow="1" w:lastRow="0" w:firstColumn="1" w:lastColumn="0" w:noHBand="0" w:noVBand="1"/>
      </w:tblPr>
      <w:tblGrid>
        <w:gridCol w:w="1385"/>
        <w:gridCol w:w="3303"/>
        <w:gridCol w:w="4328"/>
      </w:tblGrid>
      <w:tr w:rsidR="00CE3FB9" w:rsidRPr="00CE3FB9" w14:paraId="0FF56B7A" w14:textId="77777777" w:rsidTr="00604498">
        <w:trPr>
          <w:trHeight w:val="310"/>
          <w:tblHeader/>
        </w:trPr>
        <w:tc>
          <w:tcPr>
            <w:tcW w:w="768" w:type="pct"/>
            <w:noWrap/>
            <w:hideMark/>
          </w:tcPr>
          <w:p w14:paraId="003C9427" w14:textId="77777777" w:rsidR="00CE3FB9" w:rsidRPr="00CE3FB9" w:rsidRDefault="00CE3FB9" w:rsidP="00CE3FB9">
            <w:pPr>
              <w:pStyle w:val="TableHeading"/>
            </w:pPr>
            <w:r w:rsidRPr="00CE3FB9">
              <w:t>Year</w:t>
            </w:r>
          </w:p>
        </w:tc>
        <w:tc>
          <w:tcPr>
            <w:tcW w:w="1832" w:type="pct"/>
            <w:noWrap/>
            <w:hideMark/>
          </w:tcPr>
          <w:p w14:paraId="2F0C58C9" w14:textId="77777777" w:rsidR="00CE3FB9" w:rsidRPr="00CE3FB9" w:rsidRDefault="00CE3FB9" w:rsidP="00CE3FB9">
            <w:pPr>
              <w:pStyle w:val="TableHeading"/>
            </w:pPr>
            <w:r w:rsidRPr="00CE3FB9">
              <w:t>Higher courts</w:t>
            </w:r>
          </w:p>
        </w:tc>
        <w:tc>
          <w:tcPr>
            <w:tcW w:w="2401" w:type="pct"/>
            <w:noWrap/>
            <w:hideMark/>
          </w:tcPr>
          <w:p w14:paraId="07B6EED7" w14:textId="77777777" w:rsidR="00CE3FB9" w:rsidRPr="00CE3FB9" w:rsidRDefault="00CE3FB9" w:rsidP="00CE3FB9">
            <w:pPr>
              <w:pStyle w:val="TableHeading"/>
            </w:pPr>
            <w:r w:rsidRPr="00CE3FB9">
              <w:t>Magistrates' Court</w:t>
            </w:r>
          </w:p>
        </w:tc>
      </w:tr>
      <w:tr w:rsidR="00CE3FB9" w:rsidRPr="00CE3FB9" w14:paraId="41FAF90D" w14:textId="77777777" w:rsidTr="00604498">
        <w:trPr>
          <w:trHeight w:val="310"/>
        </w:trPr>
        <w:tc>
          <w:tcPr>
            <w:tcW w:w="768" w:type="pct"/>
            <w:noWrap/>
            <w:hideMark/>
          </w:tcPr>
          <w:p w14:paraId="5528D1BB" w14:textId="77777777" w:rsidR="00CE3FB9" w:rsidRPr="00CE3FB9" w:rsidRDefault="00CE3FB9" w:rsidP="00CE3FB9">
            <w:pPr>
              <w:pStyle w:val="TableBody"/>
            </w:pPr>
            <w:r w:rsidRPr="00CE3FB9">
              <w:t>2012</w:t>
            </w:r>
          </w:p>
        </w:tc>
        <w:tc>
          <w:tcPr>
            <w:tcW w:w="1832" w:type="pct"/>
            <w:noWrap/>
            <w:hideMark/>
          </w:tcPr>
          <w:p w14:paraId="1A02C56F" w14:textId="77777777" w:rsidR="00CE3FB9" w:rsidRPr="00CE3FB9" w:rsidRDefault="00CE3FB9" w:rsidP="00CE3FB9">
            <w:pPr>
              <w:pStyle w:val="TableBody"/>
            </w:pPr>
            <w:r w:rsidRPr="00CE3FB9">
              <w:t>30</w:t>
            </w:r>
          </w:p>
        </w:tc>
        <w:tc>
          <w:tcPr>
            <w:tcW w:w="2401" w:type="pct"/>
            <w:noWrap/>
            <w:hideMark/>
          </w:tcPr>
          <w:p w14:paraId="775CE646" w14:textId="1D86B985" w:rsidR="00CE3FB9" w:rsidRPr="00CE3FB9" w:rsidRDefault="00CE3FB9" w:rsidP="00CE3FB9">
            <w:pPr>
              <w:pStyle w:val="TableBody"/>
            </w:pPr>
            <w:r w:rsidRPr="00CE3FB9">
              <w:t xml:space="preserve">386 </w:t>
            </w:r>
          </w:p>
        </w:tc>
      </w:tr>
      <w:tr w:rsidR="00CE3FB9" w:rsidRPr="00CE3FB9" w14:paraId="0CB2A8BA" w14:textId="77777777" w:rsidTr="00604498">
        <w:trPr>
          <w:trHeight w:val="310"/>
        </w:trPr>
        <w:tc>
          <w:tcPr>
            <w:tcW w:w="768" w:type="pct"/>
            <w:noWrap/>
            <w:hideMark/>
          </w:tcPr>
          <w:p w14:paraId="543137AC" w14:textId="77777777" w:rsidR="00CE3FB9" w:rsidRPr="00CE3FB9" w:rsidRDefault="00CE3FB9" w:rsidP="00CE3FB9">
            <w:pPr>
              <w:pStyle w:val="TableBody"/>
            </w:pPr>
            <w:r w:rsidRPr="00CE3FB9">
              <w:t>2013</w:t>
            </w:r>
          </w:p>
        </w:tc>
        <w:tc>
          <w:tcPr>
            <w:tcW w:w="1832" w:type="pct"/>
            <w:noWrap/>
            <w:hideMark/>
          </w:tcPr>
          <w:p w14:paraId="7F31940D" w14:textId="77777777" w:rsidR="00CE3FB9" w:rsidRPr="00CE3FB9" w:rsidRDefault="00CE3FB9" w:rsidP="00CE3FB9">
            <w:pPr>
              <w:pStyle w:val="TableBody"/>
            </w:pPr>
            <w:r w:rsidRPr="00CE3FB9">
              <w:t>35</w:t>
            </w:r>
          </w:p>
        </w:tc>
        <w:tc>
          <w:tcPr>
            <w:tcW w:w="2401" w:type="pct"/>
            <w:noWrap/>
            <w:hideMark/>
          </w:tcPr>
          <w:p w14:paraId="2C09BD5F" w14:textId="39757BD1" w:rsidR="00CE3FB9" w:rsidRPr="00CE3FB9" w:rsidRDefault="00CE3FB9" w:rsidP="00CE3FB9">
            <w:pPr>
              <w:pStyle w:val="TableBody"/>
            </w:pPr>
            <w:r w:rsidRPr="00CE3FB9">
              <w:t xml:space="preserve">645 </w:t>
            </w:r>
          </w:p>
        </w:tc>
      </w:tr>
      <w:tr w:rsidR="00CE3FB9" w:rsidRPr="00CE3FB9" w14:paraId="1FC1ABBD" w14:textId="77777777" w:rsidTr="00604498">
        <w:trPr>
          <w:trHeight w:val="310"/>
        </w:trPr>
        <w:tc>
          <w:tcPr>
            <w:tcW w:w="768" w:type="pct"/>
            <w:noWrap/>
            <w:hideMark/>
          </w:tcPr>
          <w:p w14:paraId="3CFF986D" w14:textId="77777777" w:rsidR="00CE3FB9" w:rsidRPr="00CE3FB9" w:rsidRDefault="00CE3FB9" w:rsidP="00CE3FB9">
            <w:pPr>
              <w:pStyle w:val="TableBody"/>
            </w:pPr>
            <w:r w:rsidRPr="00CE3FB9">
              <w:t>2014</w:t>
            </w:r>
          </w:p>
        </w:tc>
        <w:tc>
          <w:tcPr>
            <w:tcW w:w="1832" w:type="pct"/>
            <w:noWrap/>
            <w:hideMark/>
          </w:tcPr>
          <w:p w14:paraId="3487518F" w14:textId="77777777" w:rsidR="00CE3FB9" w:rsidRPr="00CE3FB9" w:rsidRDefault="00CE3FB9" w:rsidP="00CE3FB9">
            <w:pPr>
              <w:pStyle w:val="TableBody"/>
            </w:pPr>
            <w:r w:rsidRPr="00CE3FB9">
              <w:t>105</w:t>
            </w:r>
          </w:p>
        </w:tc>
        <w:tc>
          <w:tcPr>
            <w:tcW w:w="2401" w:type="pct"/>
            <w:noWrap/>
            <w:hideMark/>
          </w:tcPr>
          <w:p w14:paraId="4650AB1F" w14:textId="53F140C8" w:rsidR="00CE3FB9" w:rsidRPr="00CE3FB9" w:rsidRDefault="00CE3FB9" w:rsidP="00CE3FB9">
            <w:pPr>
              <w:pStyle w:val="TableBody"/>
            </w:pPr>
            <w:r w:rsidRPr="00CE3FB9">
              <w:t xml:space="preserve">1,013 </w:t>
            </w:r>
          </w:p>
        </w:tc>
      </w:tr>
      <w:tr w:rsidR="00CE3FB9" w:rsidRPr="00CE3FB9" w14:paraId="6A9BF514" w14:textId="77777777" w:rsidTr="00604498">
        <w:trPr>
          <w:trHeight w:val="310"/>
        </w:trPr>
        <w:tc>
          <w:tcPr>
            <w:tcW w:w="768" w:type="pct"/>
            <w:noWrap/>
            <w:hideMark/>
          </w:tcPr>
          <w:p w14:paraId="63E64594" w14:textId="77777777" w:rsidR="00CE3FB9" w:rsidRPr="00CE3FB9" w:rsidRDefault="00CE3FB9" w:rsidP="00CE3FB9">
            <w:pPr>
              <w:pStyle w:val="TableBody"/>
            </w:pPr>
            <w:r w:rsidRPr="00CE3FB9">
              <w:t>2015</w:t>
            </w:r>
          </w:p>
        </w:tc>
        <w:tc>
          <w:tcPr>
            <w:tcW w:w="1832" w:type="pct"/>
            <w:noWrap/>
            <w:hideMark/>
          </w:tcPr>
          <w:p w14:paraId="14082964" w14:textId="77777777" w:rsidR="00CE3FB9" w:rsidRPr="00CE3FB9" w:rsidRDefault="00CE3FB9" w:rsidP="00CE3FB9">
            <w:pPr>
              <w:pStyle w:val="TableBody"/>
            </w:pPr>
            <w:r w:rsidRPr="00CE3FB9">
              <w:t>399</w:t>
            </w:r>
          </w:p>
        </w:tc>
        <w:tc>
          <w:tcPr>
            <w:tcW w:w="2401" w:type="pct"/>
            <w:noWrap/>
            <w:hideMark/>
          </w:tcPr>
          <w:p w14:paraId="1828A704" w14:textId="5059D81F" w:rsidR="00CE3FB9" w:rsidRPr="00CE3FB9" w:rsidRDefault="00CE3FB9" w:rsidP="00CE3FB9">
            <w:pPr>
              <w:pStyle w:val="TableBody"/>
            </w:pPr>
            <w:r w:rsidRPr="00CE3FB9">
              <w:t xml:space="preserve">2,028 </w:t>
            </w:r>
          </w:p>
        </w:tc>
      </w:tr>
      <w:tr w:rsidR="00CE3FB9" w:rsidRPr="00CE3FB9" w14:paraId="334D61ED" w14:textId="77777777" w:rsidTr="00604498">
        <w:trPr>
          <w:trHeight w:val="310"/>
        </w:trPr>
        <w:tc>
          <w:tcPr>
            <w:tcW w:w="768" w:type="pct"/>
            <w:noWrap/>
            <w:hideMark/>
          </w:tcPr>
          <w:p w14:paraId="7C15FC0B" w14:textId="77777777" w:rsidR="00CE3FB9" w:rsidRPr="00CE3FB9" w:rsidRDefault="00CE3FB9" w:rsidP="00CE3FB9">
            <w:pPr>
              <w:pStyle w:val="TableBody"/>
            </w:pPr>
            <w:r w:rsidRPr="00CE3FB9">
              <w:t>2016</w:t>
            </w:r>
          </w:p>
        </w:tc>
        <w:tc>
          <w:tcPr>
            <w:tcW w:w="1832" w:type="pct"/>
            <w:noWrap/>
            <w:hideMark/>
          </w:tcPr>
          <w:p w14:paraId="727334E5" w14:textId="77777777" w:rsidR="00CE3FB9" w:rsidRPr="00CE3FB9" w:rsidRDefault="00CE3FB9" w:rsidP="00CE3FB9">
            <w:pPr>
              <w:pStyle w:val="TableBody"/>
            </w:pPr>
            <w:r w:rsidRPr="00CE3FB9">
              <w:t>323</w:t>
            </w:r>
          </w:p>
        </w:tc>
        <w:tc>
          <w:tcPr>
            <w:tcW w:w="2401" w:type="pct"/>
            <w:noWrap/>
            <w:hideMark/>
          </w:tcPr>
          <w:p w14:paraId="48C11B9E" w14:textId="142097B5" w:rsidR="00CE3FB9" w:rsidRPr="00CE3FB9" w:rsidRDefault="00CE3FB9" w:rsidP="00CE3FB9">
            <w:pPr>
              <w:pStyle w:val="TableBody"/>
            </w:pPr>
            <w:r w:rsidRPr="00CE3FB9">
              <w:t xml:space="preserve">2,331 </w:t>
            </w:r>
          </w:p>
        </w:tc>
      </w:tr>
      <w:tr w:rsidR="00CE3FB9" w:rsidRPr="00CE3FB9" w14:paraId="484D7F10" w14:textId="77777777" w:rsidTr="00604498">
        <w:trPr>
          <w:trHeight w:val="310"/>
        </w:trPr>
        <w:tc>
          <w:tcPr>
            <w:tcW w:w="768" w:type="pct"/>
            <w:noWrap/>
            <w:hideMark/>
          </w:tcPr>
          <w:p w14:paraId="3AB29FA8" w14:textId="77777777" w:rsidR="00CE3FB9" w:rsidRPr="00CE3FB9" w:rsidRDefault="00CE3FB9" w:rsidP="00CE3FB9">
            <w:pPr>
              <w:pStyle w:val="TableBody"/>
            </w:pPr>
            <w:r w:rsidRPr="00CE3FB9">
              <w:t>2017</w:t>
            </w:r>
          </w:p>
        </w:tc>
        <w:tc>
          <w:tcPr>
            <w:tcW w:w="1832" w:type="pct"/>
            <w:noWrap/>
            <w:hideMark/>
          </w:tcPr>
          <w:p w14:paraId="71A3D2B6" w14:textId="77777777" w:rsidR="00CE3FB9" w:rsidRPr="00CE3FB9" w:rsidRDefault="00CE3FB9" w:rsidP="00CE3FB9">
            <w:pPr>
              <w:pStyle w:val="TableBody"/>
            </w:pPr>
            <w:r w:rsidRPr="00CE3FB9">
              <w:t>187</w:t>
            </w:r>
          </w:p>
        </w:tc>
        <w:tc>
          <w:tcPr>
            <w:tcW w:w="2401" w:type="pct"/>
            <w:noWrap/>
            <w:hideMark/>
          </w:tcPr>
          <w:p w14:paraId="34D7726D" w14:textId="155CF615" w:rsidR="00CE3FB9" w:rsidRPr="00CE3FB9" w:rsidRDefault="00CE3FB9" w:rsidP="00CE3FB9">
            <w:pPr>
              <w:pStyle w:val="TableBody"/>
            </w:pPr>
            <w:r w:rsidRPr="00CE3FB9">
              <w:t xml:space="preserve">2,356 </w:t>
            </w:r>
          </w:p>
        </w:tc>
      </w:tr>
      <w:tr w:rsidR="00CE3FB9" w:rsidRPr="00CE3FB9" w14:paraId="29428140" w14:textId="77777777" w:rsidTr="00604498">
        <w:trPr>
          <w:trHeight w:val="310"/>
        </w:trPr>
        <w:tc>
          <w:tcPr>
            <w:tcW w:w="768" w:type="pct"/>
            <w:noWrap/>
            <w:hideMark/>
          </w:tcPr>
          <w:p w14:paraId="60105CE1" w14:textId="77777777" w:rsidR="00CE3FB9" w:rsidRPr="00CE3FB9" w:rsidRDefault="00CE3FB9" w:rsidP="00CE3FB9">
            <w:pPr>
              <w:pStyle w:val="TableBody"/>
            </w:pPr>
            <w:r w:rsidRPr="00CE3FB9">
              <w:t>2018</w:t>
            </w:r>
          </w:p>
        </w:tc>
        <w:tc>
          <w:tcPr>
            <w:tcW w:w="1832" w:type="pct"/>
            <w:noWrap/>
            <w:hideMark/>
          </w:tcPr>
          <w:p w14:paraId="6EC81C4C" w14:textId="77777777" w:rsidR="00CE3FB9" w:rsidRPr="00CE3FB9" w:rsidRDefault="00CE3FB9" w:rsidP="00CE3FB9">
            <w:pPr>
              <w:pStyle w:val="TableBody"/>
            </w:pPr>
            <w:r w:rsidRPr="00CE3FB9">
              <w:t>244</w:t>
            </w:r>
          </w:p>
        </w:tc>
        <w:tc>
          <w:tcPr>
            <w:tcW w:w="2401" w:type="pct"/>
            <w:noWrap/>
            <w:hideMark/>
          </w:tcPr>
          <w:p w14:paraId="0DF2736B" w14:textId="10944281" w:rsidR="00CE3FB9" w:rsidRPr="00CE3FB9" w:rsidRDefault="00CE3FB9" w:rsidP="00CE3FB9">
            <w:pPr>
              <w:pStyle w:val="TableBody"/>
            </w:pPr>
            <w:r w:rsidRPr="00CE3FB9">
              <w:t xml:space="preserve">2,485 </w:t>
            </w:r>
          </w:p>
        </w:tc>
      </w:tr>
      <w:tr w:rsidR="00CE3FB9" w:rsidRPr="00CE3FB9" w14:paraId="4885AAE6" w14:textId="77777777" w:rsidTr="00604498">
        <w:trPr>
          <w:trHeight w:val="310"/>
        </w:trPr>
        <w:tc>
          <w:tcPr>
            <w:tcW w:w="768" w:type="pct"/>
            <w:noWrap/>
            <w:hideMark/>
          </w:tcPr>
          <w:p w14:paraId="7765429F" w14:textId="77777777" w:rsidR="00CE3FB9" w:rsidRPr="00CE3FB9" w:rsidRDefault="00CE3FB9" w:rsidP="00CE3FB9">
            <w:pPr>
              <w:pStyle w:val="TableBody"/>
            </w:pPr>
            <w:r w:rsidRPr="00CE3FB9">
              <w:t>2019</w:t>
            </w:r>
          </w:p>
        </w:tc>
        <w:tc>
          <w:tcPr>
            <w:tcW w:w="1832" w:type="pct"/>
            <w:noWrap/>
            <w:hideMark/>
          </w:tcPr>
          <w:p w14:paraId="02B9CDD1" w14:textId="77777777" w:rsidR="00CE3FB9" w:rsidRPr="00CE3FB9" w:rsidRDefault="00CE3FB9" w:rsidP="00CE3FB9">
            <w:pPr>
              <w:pStyle w:val="TableBody"/>
            </w:pPr>
            <w:r w:rsidRPr="00CE3FB9">
              <w:t>293</w:t>
            </w:r>
          </w:p>
        </w:tc>
        <w:tc>
          <w:tcPr>
            <w:tcW w:w="2401" w:type="pct"/>
            <w:noWrap/>
            <w:hideMark/>
          </w:tcPr>
          <w:p w14:paraId="2D198EBD" w14:textId="7A69AB8B" w:rsidR="00CE3FB9" w:rsidRPr="00CE3FB9" w:rsidRDefault="00CE3FB9" w:rsidP="00CE3FB9">
            <w:pPr>
              <w:pStyle w:val="TableBody"/>
            </w:pPr>
            <w:r w:rsidRPr="00CE3FB9">
              <w:t xml:space="preserve">2,685 </w:t>
            </w:r>
          </w:p>
        </w:tc>
      </w:tr>
      <w:tr w:rsidR="00CE3FB9" w:rsidRPr="00CE3FB9" w14:paraId="0364C638" w14:textId="77777777" w:rsidTr="00604498">
        <w:trPr>
          <w:trHeight w:val="310"/>
        </w:trPr>
        <w:tc>
          <w:tcPr>
            <w:tcW w:w="768" w:type="pct"/>
            <w:noWrap/>
            <w:hideMark/>
          </w:tcPr>
          <w:p w14:paraId="4AFA19EA" w14:textId="77777777" w:rsidR="00CE3FB9" w:rsidRPr="00CE3FB9" w:rsidRDefault="00CE3FB9" w:rsidP="00CE3FB9">
            <w:pPr>
              <w:pStyle w:val="TableBody"/>
            </w:pPr>
            <w:r w:rsidRPr="00CE3FB9">
              <w:t>2020</w:t>
            </w:r>
          </w:p>
        </w:tc>
        <w:tc>
          <w:tcPr>
            <w:tcW w:w="1832" w:type="pct"/>
            <w:noWrap/>
            <w:hideMark/>
          </w:tcPr>
          <w:p w14:paraId="77C0F01C" w14:textId="77777777" w:rsidR="00CE3FB9" w:rsidRPr="00CE3FB9" w:rsidRDefault="00CE3FB9" w:rsidP="00CE3FB9">
            <w:pPr>
              <w:pStyle w:val="TableBody"/>
            </w:pPr>
            <w:r w:rsidRPr="00CE3FB9">
              <w:t>254</w:t>
            </w:r>
          </w:p>
        </w:tc>
        <w:tc>
          <w:tcPr>
            <w:tcW w:w="2401" w:type="pct"/>
            <w:noWrap/>
            <w:hideMark/>
          </w:tcPr>
          <w:p w14:paraId="3FC854AA" w14:textId="76906B27" w:rsidR="00CE3FB9" w:rsidRPr="00CE3FB9" w:rsidRDefault="00CE3FB9" w:rsidP="00CE3FB9">
            <w:pPr>
              <w:pStyle w:val="TableBody"/>
            </w:pPr>
            <w:r w:rsidRPr="00CE3FB9">
              <w:t xml:space="preserve">2,345 </w:t>
            </w:r>
          </w:p>
        </w:tc>
      </w:tr>
    </w:tbl>
    <w:p w14:paraId="18D61EFC" w14:textId="77777777" w:rsidR="005801E0" w:rsidRPr="006B4A5D" w:rsidRDefault="005801E0" w:rsidP="00A612BA">
      <w:r w:rsidRPr="006B4A5D">
        <w:t xml:space="preserve">The most common Magistrates’ Court locations at which combined orders were imposed were Melbourne (3,156 combined orders), Dandenong (1,497 combined orders) and Sunshine (1,463 combined orders). These </w:t>
      </w:r>
      <w:r w:rsidRPr="006B4A5D">
        <w:lastRenderedPageBreak/>
        <w:t>numbers are broadly consistent with the volume of cases dealt with at those court locations more generally.</w:t>
      </w:r>
    </w:p>
    <w:p w14:paraId="696F64F6" w14:textId="77777777" w:rsidR="005801E0" w:rsidRPr="006B4A5D" w:rsidRDefault="005801E0" w:rsidP="005801E0">
      <w:pPr>
        <w:pStyle w:val="Heading1"/>
      </w:pPr>
      <w:bookmarkStart w:id="3" w:name="_Toc150439347"/>
      <w:r w:rsidRPr="006B4A5D">
        <w:t>Age and gender of people who received combined orders</w:t>
      </w:r>
      <w:bookmarkEnd w:id="3"/>
    </w:p>
    <w:p w14:paraId="71813324" w14:textId="77777777" w:rsidR="009854D1" w:rsidRPr="006B4A5D" w:rsidRDefault="009854D1" w:rsidP="000E638F">
      <w:pPr>
        <w:pStyle w:val="IntenseQuote"/>
      </w:pPr>
      <w:r w:rsidRPr="006B4A5D">
        <w:t>90% of combined orders were imposed on males</w:t>
      </w:r>
    </w:p>
    <w:p w14:paraId="0493DD00" w14:textId="77777777" w:rsidR="005801E0" w:rsidRPr="006B4A5D" w:rsidRDefault="005801E0" w:rsidP="00A612BA">
      <w:r w:rsidRPr="006B4A5D">
        <w:t xml:space="preserve">Of the 16,274 combined orders imposed in the Magistrates’ Court, 90.1% were imposed on males (14,669 combined orders), and 9.9% were imposed on females (1,605 combined orders). These percentages were relatively consistent throughout the reference period, with males receiving between 88.7% and 91.2% of combined orders each year between 2012 and 2020. </w:t>
      </w:r>
    </w:p>
    <w:p w14:paraId="3791F249" w14:textId="77777777" w:rsidR="005801E0" w:rsidRPr="006B4A5D" w:rsidRDefault="005801E0" w:rsidP="00A612BA">
      <w:r w:rsidRPr="006B4A5D">
        <w:t xml:space="preserve">The age of offenders who received a combined order was available in 16,253 cases in the Magistrates’ Court (age was not available in 21 cases). In these 16,253 cases, ages ranged from 17 (1 case) to 81 (1 case), with a median age of 32 (Figure 2). The most common age was 28, accounting for 714 combined orders (4.4%). There was little variation in the age of offenders who received combined orders during the reference period, though there was a slight increase in the median age, from 31 to 32 for the first 6 years and then to 33 for the last three years. </w:t>
      </w:r>
    </w:p>
    <w:p w14:paraId="7508B794" w14:textId="77777777" w:rsidR="00190E17" w:rsidRPr="006B4A5D" w:rsidRDefault="00190E17" w:rsidP="00C34438">
      <w:pPr>
        <w:pStyle w:val="Caption"/>
      </w:pPr>
      <w:r w:rsidRPr="006B4A5D">
        <w:t>Figure 2: Age of offenders who received combined orders in the Magistrates’ Court, 2012 to 2020 (16,253 cases)</w:t>
      </w:r>
    </w:p>
    <w:tbl>
      <w:tblPr>
        <w:tblStyle w:val="Table"/>
        <w:tblW w:w="5000" w:type="pct"/>
        <w:tblLook w:val="04A0" w:firstRow="1" w:lastRow="0" w:firstColumn="1" w:lastColumn="0" w:noHBand="0" w:noVBand="1"/>
      </w:tblPr>
      <w:tblGrid>
        <w:gridCol w:w="4400"/>
        <w:gridCol w:w="4616"/>
      </w:tblGrid>
      <w:tr w:rsidR="00900F8A" w:rsidRPr="00900F8A" w14:paraId="1132F628" w14:textId="77777777" w:rsidTr="00900F8A">
        <w:trPr>
          <w:trHeight w:val="310"/>
          <w:tblHeader/>
        </w:trPr>
        <w:tc>
          <w:tcPr>
            <w:tcW w:w="2440" w:type="pct"/>
            <w:noWrap/>
            <w:hideMark/>
          </w:tcPr>
          <w:p w14:paraId="3FA9AD3E" w14:textId="77777777" w:rsidR="00900F8A" w:rsidRPr="00900F8A" w:rsidRDefault="00900F8A" w:rsidP="00900F8A">
            <w:pPr>
              <w:pStyle w:val="TableHeading"/>
            </w:pPr>
            <w:r w:rsidRPr="00900F8A">
              <w:t>Age</w:t>
            </w:r>
          </w:p>
        </w:tc>
        <w:tc>
          <w:tcPr>
            <w:tcW w:w="2560" w:type="pct"/>
            <w:noWrap/>
            <w:hideMark/>
          </w:tcPr>
          <w:p w14:paraId="6B680920" w14:textId="77777777" w:rsidR="00900F8A" w:rsidRPr="00900F8A" w:rsidRDefault="00900F8A" w:rsidP="00900F8A">
            <w:pPr>
              <w:pStyle w:val="TableHeading"/>
            </w:pPr>
            <w:r w:rsidRPr="00900F8A">
              <w:t>Number of cases</w:t>
            </w:r>
          </w:p>
        </w:tc>
      </w:tr>
      <w:tr w:rsidR="00900F8A" w:rsidRPr="00900F8A" w14:paraId="38351199" w14:textId="77777777" w:rsidTr="00900F8A">
        <w:trPr>
          <w:trHeight w:val="310"/>
        </w:trPr>
        <w:tc>
          <w:tcPr>
            <w:tcW w:w="2440" w:type="pct"/>
            <w:noWrap/>
            <w:hideMark/>
          </w:tcPr>
          <w:p w14:paraId="6B1A14CD" w14:textId="77777777" w:rsidR="00900F8A" w:rsidRPr="00900F8A" w:rsidRDefault="00900F8A" w:rsidP="00900F8A">
            <w:pPr>
              <w:pStyle w:val="TableBody"/>
            </w:pPr>
            <w:r w:rsidRPr="00900F8A">
              <w:t>17</w:t>
            </w:r>
          </w:p>
        </w:tc>
        <w:tc>
          <w:tcPr>
            <w:tcW w:w="2560" w:type="pct"/>
            <w:noWrap/>
            <w:hideMark/>
          </w:tcPr>
          <w:p w14:paraId="629CE61F" w14:textId="77777777" w:rsidR="00900F8A" w:rsidRPr="00900F8A" w:rsidRDefault="00900F8A" w:rsidP="00900F8A">
            <w:pPr>
              <w:pStyle w:val="TableBody"/>
            </w:pPr>
            <w:r w:rsidRPr="00900F8A">
              <w:t>1</w:t>
            </w:r>
          </w:p>
        </w:tc>
      </w:tr>
      <w:tr w:rsidR="00900F8A" w:rsidRPr="00900F8A" w14:paraId="2BC39947" w14:textId="77777777" w:rsidTr="00900F8A">
        <w:trPr>
          <w:trHeight w:val="310"/>
        </w:trPr>
        <w:tc>
          <w:tcPr>
            <w:tcW w:w="2440" w:type="pct"/>
            <w:noWrap/>
            <w:hideMark/>
          </w:tcPr>
          <w:p w14:paraId="66F0E85B" w14:textId="77777777" w:rsidR="00900F8A" w:rsidRPr="00900F8A" w:rsidRDefault="00900F8A" w:rsidP="00900F8A">
            <w:pPr>
              <w:pStyle w:val="TableBody"/>
            </w:pPr>
            <w:r w:rsidRPr="00900F8A">
              <w:t>18</w:t>
            </w:r>
          </w:p>
        </w:tc>
        <w:tc>
          <w:tcPr>
            <w:tcW w:w="2560" w:type="pct"/>
            <w:noWrap/>
            <w:hideMark/>
          </w:tcPr>
          <w:p w14:paraId="430ED9BA" w14:textId="77777777" w:rsidR="00900F8A" w:rsidRPr="00900F8A" w:rsidRDefault="00900F8A" w:rsidP="00900F8A">
            <w:pPr>
              <w:pStyle w:val="TableBody"/>
            </w:pPr>
            <w:r w:rsidRPr="00900F8A">
              <w:t>98</w:t>
            </w:r>
          </w:p>
        </w:tc>
      </w:tr>
      <w:tr w:rsidR="00900F8A" w:rsidRPr="00900F8A" w14:paraId="2305790E" w14:textId="77777777" w:rsidTr="00900F8A">
        <w:trPr>
          <w:trHeight w:val="310"/>
        </w:trPr>
        <w:tc>
          <w:tcPr>
            <w:tcW w:w="2440" w:type="pct"/>
            <w:noWrap/>
            <w:hideMark/>
          </w:tcPr>
          <w:p w14:paraId="09DBF111" w14:textId="77777777" w:rsidR="00900F8A" w:rsidRPr="00900F8A" w:rsidRDefault="00900F8A" w:rsidP="00900F8A">
            <w:pPr>
              <w:pStyle w:val="TableBody"/>
            </w:pPr>
            <w:r w:rsidRPr="00900F8A">
              <w:t>19</w:t>
            </w:r>
          </w:p>
        </w:tc>
        <w:tc>
          <w:tcPr>
            <w:tcW w:w="2560" w:type="pct"/>
            <w:noWrap/>
            <w:hideMark/>
          </w:tcPr>
          <w:p w14:paraId="55BBDC76" w14:textId="77777777" w:rsidR="00900F8A" w:rsidRPr="00900F8A" w:rsidRDefault="00900F8A" w:rsidP="00900F8A">
            <w:pPr>
              <w:pStyle w:val="TableBody"/>
            </w:pPr>
            <w:r w:rsidRPr="00900F8A">
              <w:t>220</w:t>
            </w:r>
          </w:p>
        </w:tc>
      </w:tr>
      <w:tr w:rsidR="00900F8A" w:rsidRPr="00900F8A" w14:paraId="34EF16E6" w14:textId="77777777" w:rsidTr="00900F8A">
        <w:trPr>
          <w:trHeight w:val="310"/>
        </w:trPr>
        <w:tc>
          <w:tcPr>
            <w:tcW w:w="2440" w:type="pct"/>
            <w:noWrap/>
            <w:hideMark/>
          </w:tcPr>
          <w:p w14:paraId="2401CDED" w14:textId="77777777" w:rsidR="00900F8A" w:rsidRPr="00900F8A" w:rsidRDefault="00900F8A" w:rsidP="00900F8A">
            <w:pPr>
              <w:pStyle w:val="TableBody"/>
            </w:pPr>
            <w:r w:rsidRPr="00900F8A">
              <w:t>20</w:t>
            </w:r>
          </w:p>
        </w:tc>
        <w:tc>
          <w:tcPr>
            <w:tcW w:w="2560" w:type="pct"/>
            <w:noWrap/>
            <w:hideMark/>
          </w:tcPr>
          <w:p w14:paraId="7445CDA5" w14:textId="77777777" w:rsidR="00900F8A" w:rsidRPr="00900F8A" w:rsidRDefault="00900F8A" w:rsidP="00900F8A">
            <w:pPr>
              <w:pStyle w:val="TableBody"/>
            </w:pPr>
            <w:r w:rsidRPr="00900F8A">
              <w:t>355</w:t>
            </w:r>
          </w:p>
        </w:tc>
      </w:tr>
      <w:tr w:rsidR="00900F8A" w:rsidRPr="00900F8A" w14:paraId="2377DAAA" w14:textId="77777777" w:rsidTr="00900F8A">
        <w:trPr>
          <w:trHeight w:val="310"/>
        </w:trPr>
        <w:tc>
          <w:tcPr>
            <w:tcW w:w="2440" w:type="pct"/>
            <w:noWrap/>
            <w:hideMark/>
          </w:tcPr>
          <w:p w14:paraId="534E3505" w14:textId="77777777" w:rsidR="00900F8A" w:rsidRPr="00900F8A" w:rsidRDefault="00900F8A" w:rsidP="00900F8A">
            <w:pPr>
              <w:pStyle w:val="TableBody"/>
            </w:pPr>
            <w:r w:rsidRPr="00900F8A">
              <w:t>21</w:t>
            </w:r>
          </w:p>
        </w:tc>
        <w:tc>
          <w:tcPr>
            <w:tcW w:w="2560" w:type="pct"/>
            <w:noWrap/>
            <w:hideMark/>
          </w:tcPr>
          <w:p w14:paraId="7A54D4E2" w14:textId="77777777" w:rsidR="00900F8A" w:rsidRPr="00900F8A" w:rsidRDefault="00900F8A" w:rsidP="00900F8A">
            <w:pPr>
              <w:pStyle w:val="TableBody"/>
            </w:pPr>
            <w:r w:rsidRPr="00900F8A">
              <w:t>463</w:t>
            </w:r>
          </w:p>
        </w:tc>
      </w:tr>
      <w:tr w:rsidR="00900F8A" w:rsidRPr="00900F8A" w14:paraId="7C7A0C54" w14:textId="77777777" w:rsidTr="00900F8A">
        <w:trPr>
          <w:trHeight w:val="310"/>
        </w:trPr>
        <w:tc>
          <w:tcPr>
            <w:tcW w:w="2440" w:type="pct"/>
            <w:noWrap/>
            <w:hideMark/>
          </w:tcPr>
          <w:p w14:paraId="480C6946" w14:textId="77777777" w:rsidR="00900F8A" w:rsidRPr="00900F8A" w:rsidRDefault="00900F8A" w:rsidP="00900F8A">
            <w:pPr>
              <w:pStyle w:val="TableBody"/>
            </w:pPr>
            <w:r w:rsidRPr="00900F8A">
              <w:t>22</w:t>
            </w:r>
          </w:p>
        </w:tc>
        <w:tc>
          <w:tcPr>
            <w:tcW w:w="2560" w:type="pct"/>
            <w:noWrap/>
            <w:hideMark/>
          </w:tcPr>
          <w:p w14:paraId="1F2F8124" w14:textId="77777777" w:rsidR="00900F8A" w:rsidRPr="00900F8A" w:rsidRDefault="00900F8A" w:rsidP="00900F8A">
            <w:pPr>
              <w:pStyle w:val="TableBody"/>
            </w:pPr>
            <w:r w:rsidRPr="00900F8A">
              <w:t>519</w:t>
            </w:r>
          </w:p>
        </w:tc>
      </w:tr>
      <w:tr w:rsidR="00900F8A" w:rsidRPr="00900F8A" w14:paraId="0314F4D6" w14:textId="77777777" w:rsidTr="00900F8A">
        <w:trPr>
          <w:trHeight w:val="310"/>
        </w:trPr>
        <w:tc>
          <w:tcPr>
            <w:tcW w:w="2440" w:type="pct"/>
            <w:noWrap/>
            <w:hideMark/>
          </w:tcPr>
          <w:p w14:paraId="7137F2F1" w14:textId="77777777" w:rsidR="00900F8A" w:rsidRPr="00900F8A" w:rsidRDefault="00900F8A" w:rsidP="00900F8A">
            <w:pPr>
              <w:pStyle w:val="TableBody"/>
            </w:pPr>
            <w:r w:rsidRPr="00900F8A">
              <w:t>23</w:t>
            </w:r>
          </w:p>
        </w:tc>
        <w:tc>
          <w:tcPr>
            <w:tcW w:w="2560" w:type="pct"/>
            <w:noWrap/>
            <w:hideMark/>
          </w:tcPr>
          <w:p w14:paraId="0A6FEE48" w14:textId="77777777" w:rsidR="00900F8A" w:rsidRPr="00900F8A" w:rsidRDefault="00900F8A" w:rsidP="00900F8A">
            <w:pPr>
              <w:pStyle w:val="TableBody"/>
            </w:pPr>
            <w:r w:rsidRPr="00900F8A">
              <w:t>549</w:t>
            </w:r>
          </w:p>
        </w:tc>
      </w:tr>
      <w:tr w:rsidR="00900F8A" w:rsidRPr="00900F8A" w14:paraId="5F37A803" w14:textId="77777777" w:rsidTr="00900F8A">
        <w:trPr>
          <w:trHeight w:val="310"/>
        </w:trPr>
        <w:tc>
          <w:tcPr>
            <w:tcW w:w="2440" w:type="pct"/>
            <w:noWrap/>
            <w:hideMark/>
          </w:tcPr>
          <w:p w14:paraId="56015D74" w14:textId="77777777" w:rsidR="00900F8A" w:rsidRPr="00900F8A" w:rsidRDefault="00900F8A" w:rsidP="00900F8A">
            <w:pPr>
              <w:pStyle w:val="TableBody"/>
            </w:pPr>
            <w:r w:rsidRPr="00900F8A">
              <w:t>24</w:t>
            </w:r>
          </w:p>
        </w:tc>
        <w:tc>
          <w:tcPr>
            <w:tcW w:w="2560" w:type="pct"/>
            <w:noWrap/>
            <w:hideMark/>
          </w:tcPr>
          <w:p w14:paraId="0D6B0F53" w14:textId="77777777" w:rsidR="00900F8A" w:rsidRPr="00900F8A" w:rsidRDefault="00900F8A" w:rsidP="00900F8A">
            <w:pPr>
              <w:pStyle w:val="TableBody"/>
            </w:pPr>
            <w:r w:rsidRPr="00900F8A">
              <w:t>640</w:t>
            </w:r>
          </w:p>
        </w:tc>
      </w:tr>
      <w:tr w:rsidR="00900F8A" w:rsidRPr="00900F8A" w14:paraId="4FCCA3DC" w14:textId="77777777" w:rsidTr="00900F8A">
        <w:trPr>
          <w:trHeight w:val="310"/>
        </w:trPr>
        <w:tc>
          <w:tcPr>
            <w:tcW w:w="2440" w:type="pct"/>
            <w:noWrap/>
            <w:hideMark/>
          </w:tcPr>
          <w:p w14:paraId="75355227" w14:textId="77777777" w:rsidR="00900F8A" w:rsidRPr="00900F8A" w:rsidRDefault="00900F8A" w:rsidP="00900F8A">
            <w:pPr>
              <w:pStyle w:val="TableBody"/>
            </w:pPr>
            <w:r w:rsidRPr="00900F8A">
              <w:t>25</w:t>
            </w:r>
          </w:p>
        </w:tc>
        <w:tc>
          <w:tcPr>
            <w:tcW w:w="2560" w:type="pct"/>
            <w:noWrap/>
            <w:hideMark/>
          </w:tcPr>
          <w:p w14:paraId="199DA4EC" w14:textId="77777777" w:rsidR="00900F8A" w:rsidRPr="00900F8A" w:rsidRDefault="00900F8A" w:rsidP="00900F8A">
            <w:pPr>
              <w:pStyle w:val="TableBody"/>
            </w:pPr>
            <w:r w:rsidRPr="00900F8A">
              <w:t>646</w:t>
            </w:r>
          </w:p>
        </w:tc>
      </w:tr>
      <w:tr w:rsidR="00900F8A" w:rsidRPr="00900F8A" w14:paraId="3E630215" w14:textId="77777777" w:rsidTr="00900F8A">
        <w:trPr>
          <w:trHeight w:val="310"/>
        </w:trPr>
        <w:tc>
          <w:tcPr>
            <w:tcW w:w="2440" w:type="pct"/>
            <w:noWrap/>
            <w:hideMark/>
          </w:tcPr>
          <w:p w14:paraId="78B71C9D" w14:textId="77777777" w:rsidR="00900F8A" w:rsidRPr="00900F8A" w:rsidRDefault="00900F8A" w:rsidP="00900F8A">
            <w:pPr>
              <w:pStyle w:val="TableBody"/>
            </w:pPr>
            <w:r w:rsidRPr="00900F8A">
              <w:lastRenderedPageBreak/>
              <w:t>26</w:t>
            </w:r>
          </w:p>
        </w:tc>
        <w:tc>
          <w:tcPr>
            <w:tcW w:w="2560" w:type="pct"/>
            <w:noWrap/>
            <w:hideMark/>
          </w:tcPr>
          <w:p w14:paraId="23D1B03E" w14:textId="77777777" w:rsidR="00900F8A" w:rsidRPr="00900F8A" w:rsidRDefault="00900F8A" w:rsidP="00900F8A">
            <w:pPr>
              <w:pStyle w:val="TableBody"/>
            </w:pPr>
            <w:r w:rsidRPr="00900F8A">
              <w:t>663</w:t>
            </w:r>
          </w:p>
        </w:tc>
      </w:tr>
      <w:tr w:rsidR="00900F8A" w:rsidRPr="00900F8A" w14:paraId="75EFD803" w14:textId="77777777" w:rsidTr="00900F8A">
        <w:trPr>
          <w:trHeight w:val="310"/>
        </w:trPr>
        <w:tc>
          <w:tcPr>
            <w:tcW w:w="2440" w:type="pct"/>
            <w:noWrap/>
            <w:hideMark/>
          </w:tcPr>
          <w:p w14:paraId="7753A502" w14:textId="77777777" w:rsidR="00900F8A" w:rsidRPr="00900F8A" w:rsidRDefault="00900F8A" w:rsidP="00900F8A">
            <w:pPr>
              <w:pStyle w:val="TableBody"/>
            </w:pPr>
            <w:r w:rsidRPr="00900F8A">
              <w:t>27</w:t>
            </w:r>
          </w:p>
        </w:tc>
        <w:tc>
          <w:tcPr>
            <w:tcW w:w="2560" w:type="pct"/>
            <w:noWrap/>
            <w:hideMark/>
          </w:tcPr>
          <w:p w14:paraId="5EEE4592" w14:textId="77777777" w:rsidR="00900F8A" w:rsidRPr="00900F8A" w:rsidRDefault="00900F8A" w:rsidP="00900F8A">
            <w:pPr>
              <w:pStyle w:val="TableBody"/>
            </w:pPr>
            <w:r w:rsidRPr="00900F8A">
              <w:t>689</w:t>
            </w:r>
          </w:p>
        </w:tc>
      </w:tr>
      <w:tr w:rsidR="00900F8A" w:rsidRPr="00900F8A" w14:paraId="27E1BFD8" w14:textId="77777777" w:rsidTr="00900F8A">
        <w:trPr>
          <w:trHeight w:val="310"/>
        </w:trPr>
        <w:tc>
          <w:tcPr>
            <w:tcW w:w="2440" w:type="pct"/>
            <w:noWrap/>
            <w:hideMark/>
          </w:tcPr>
          <w:p w14:paraId="0D3EF376" w14:textId="77777777" w:rsidR="00900F8A" w:rsidRPr="00900F8A" w:rsidRDefault="00900F8A" w:rsidP="00900F8A">
            <w:pPr>
              <w:pStyle w:val="TableBody"/>
            </w:pPr>
            <w:r w:rsidRPr="00900F8A">
              <w:t>28</w:t>
            </w:r>
          </w:p>
        </w:tc>
        <w:tc>
          <w:tcPr>
            <w:tcW w:w="2560" w:type="pct"/>
            <w:noWrap/>
            <w:hideMark/>
          </w:tcPr>
          <w:p w14:paraId="430EBFD2" w14:textId="77777777" w:rsidR="00900F8A" w:rsidRPr="00900F8A" w:rsidRDefault="00900F8A" w:rsidP="00900F8A">
            <w:pPr>
              <w:pStyle w:val="TableBody"/>
            </w:pPr>
            <w:r w:rsidRPr="00900F8A">
              <w:t>714</w:t>
            </w:r>
          </w:p>
        </w:tc>
      </w:tr>
      <w:tr w:rsidR="00900F8A" w:rsidRPr="00900F8A" w14:paraId="20EB5A3E" w14:textId="77777777" w:rsidTr="00900F8A">
        <w:trPr>
          <w:trHeight w:val="310"/>
        </w:trPr>
        <w:tc>
          <w:tcPr>
            <w:tcW w:w="2440" w:type="pct"/>
            <w:noWrap/>
            <w:hideMark/>
          </w:tcPr>
          <w:p w14:paraId="1A89922B" w14:textId="77777777" w:rsidR="00900F8A" w:rsidRPr="00900F8A" w:rsidRDefault="00900F8A" w:rsidP="00900F8A">
            <w:pPr>
              <w:pStyle w:val="TableBody"/>
            </w:pPr>
            <w:r w:rsidRPr="00900F8A">
              <w:t>29</w:t>
            </w:r>
          </w:p>
        </w:tc>
        <w:tc>
          <w:tcPr>
            <w:tcW w:w="2560" w:type="pct"/>
            <w:noWrap/>
            <w:hideMark/>
          </w:tcPr>
          <w:p w14:paraId="2AB94727" w14:textId="77777777" w:rsidR="00900F8A" w:rsidRPr="00900F8A" w:rsidRDefault="00900F8A" w:rsidP="00900F8A">
            <w:pPr>
              <w:pStyle w:val="TableBody"/>
            </w:pPr>
            <w:r w:rsidRPr="00900F8A">
              <w:t>693</w:t>
            </w:r>
          </w:p>
        </w:tc>
      </w:tr>
      <w:tr w:rsidR="00900F8A" w:rsidRPr="00900F8A" w14:paraId="1AC4DEA2" w14:textId="77777777" w:rsidTr="00900F8A">
        <w:trPr>
          <w:trHeight w:val="310"/>
        </w:trPr>
        <w:tc>
          <w:tcPr>
            <w:tcW w:w="2440" w:type="pct"/>
            <w:noWrap/>
            <w:hideMark/>
          </w:tcPr>
          <w:p w14:paraId="7FF1C367" w14:textId="77777777" w:rsidR="00900F8A" w:rsidRPr="00900F8A" w:rsidRDefault="00900F8A" w:rsidP="00900F8A">
            <w:pPr>
              <w:pStyle w:val="TableBody"/>
            </w:pPr>
            <w:r w:rsidRPr="00900F8A">
              <w:t>30</w:t>
            </w:r>
          </w:p>
        </w:tc>
        <w:tc>
          <w:tcPr>
            <w:tcW w:w="2560" w:type="pct"/>
            <w:noWrap/>
            <w:hideMark/>
          </w:tcPr>
          <w:p w14:paraId="78E2402C" w14:textId="77777777" w:rsidR="00900F8A" w:rsidRPr="00900F8A" w:rsidRDefault="00900F8A" w:rsidP="00900F8A">
            <w:pPr>
              <w:pStyle w:val="TableBody"/>
            </w:pPr>
            <w:r w:rsidRPr="00900F8A">
              <w:t>689</w:t>
            </w:r>
          </w:p>
        </w:tc>
      </w:tr>
      <w:tr w:rsidR="00900F8A" w:rsidRPr="00900F8A" w14:paraId="1E644FDE" w14:textId="77777777" w:rsidTr="00900F8A">
        <w:trPr>
          <w:trHeight w:val="310"/>
        </w:trPr>
        <w:tc>
          <w:tcPr>
            <w:tcW w:w="2440" w:type="pct"/>
            <w:noWrap/>
            <w:hideMark/>
          </w:tcPr>
          <w:p w14:paraId="0D9DB011" w14:textId="77777777" w:rsidR="00900F8A" w:rsidRPr="00900F8A" w:rsidRDefault="00900F8A" w:rsidP="00900F8A">
            <w:pPr>
              <w:pStyle w:val="TableBody"/>
            </w:pPr>
            <w:r w:rsidRPr="00900F8A">
              <w:t>31</w:t>
            </w:r>
          </w:p>
        </w:tc>
        <w:tc>
          <w:tcPr>
            <w:tcW w:w="2560" w:type="pct"/>
            <w:noWrap/>
            <w:hideMark/>
          </w:tcPr>
          <w:p w14:paraId="75782D07" w14:textId="77777777" w:rsidR="00900F8A" w:rsidRPr="00900F8A" w:rsidRDefault="00900F8A" w:rsidP="00900F8A">
            <w:pPr>
              <w:pStyle w:val="TableBody"/>
            </w:pPr>
            <w:r w:rsidRPr="00900F8A">
              <w:t>670</w:t>
            </w:r>
          </w:p>
        </w:tc>
      </w:tr>
      <w:tr w:rsidR="00900F8A" w:rsidRPr="00900F8A" w14:paraId="59485F03" w14:textId="77777777" w:rsidTr="00900F8A">
        <w:trPr>
          <w:trHeight w:val="310"/>
        </w:trPr>
        <w:tc>
          <w:tcPr>
            <w:tcW w:w="2440" w:type="pct"/>
            <w:noWrap/>
            <w:hideMark/>
          </w:tcPr>
          <w:p w14:paraId="0958C7E6" w14:textId="77777777" w:rsidR="00900F8A" w:rsidRPr="00900F8A" w:rsidRDefault="00900F8A" w:rsidP="00900F8A">
            <w:pPr>
              <w:pStyle w:val="TableBody"/>
            </w:pPr>
            <w:r w:rsidRPr="00900F8A">
              <w:t>32</w:t>
            </w:r>
          </w:p>
        </w:tc>
        <w:tc>
          <w:tcPr>
            <w:tcW w:w="2560" w:type="pct"/>
            <w:noWrap/>
            <w:hideMark/>
          </w:tcPr>
          <w:p w14:paraId="2DF98AA3" w14:textId="77777777" w:rsidR="00900F8A" w:rsidRPr="00900F8A" w:rsidRDefault="00900F8A" w:rsidP="00900F8A">
            <w:pPr>
              <w:pStyle w:val="TableBody"/>
            </w:pPr>
            <w:r w:rsidRPr="00900F8A">
              <w:t>666</w:t>
            </w:r>
          </w:p>
        </w:tc>
      </w:tr>
      <w:tr w:rsidR="00900F8A" w:rsidRPr="00900F8A" w14:paraId="2B423DB4" w14:textId="77777777" w:rsidTr="00900F8A">
        <w:trPr>
          <w:trHeight w:val="310"/>
        </w:trPr>
        <w:tc>
          <w:tcPr>
            <w:tcW w:w="2440" w:type="pct"/>
            <w:noWrap/>
            <w:hideMark/>
          </w:tcPr>
          <w:p w14:paraId="4871E116" w14:textId="77777777" w:rsidR="00900F8A" w:rsidRPr="00900F8A" w:rsidRDefault="00900F8A" w:rsidP="00900F8A">
            <w:pPr>
              <w:pStyle w:val="TableBody"/>
            </w:pPr>
            <w:r w:rsidRPr="00900F8A">
              <w:t>33</w:t>
            </w:r>
          </w:p>
        </w:tc>
        <w:tc>
          <w:tcPr>
            <w:tcW w:w="2560" w:type="pct"/>
            <w:noWrap/>
            <w:hideMark/>
          </w:tcPr>
          <w:p w14:paraId="53D4F184" w14:textId="77777777" w:rsidR="00900F8A" w:rsidRPr="00900F8A" w:rsidRDefault="00900F8A" w:rsidP="00900F8A">
            <w:pPr>
              <w:pStyle w:val="TableBody"/>
            </w:pPr>
            <w:r w:rsidRPr="00900F8A">
              <w:t>697</w:t>
            </w:r>
          </w:p>
        </w:tc>
      </w:tr>
      <w:tr w:rsidR="00900F8A" w:rsidRPr="00900F8A" w14:paraId="08AA15EB" w14:textId="77777777" w:rsidTr="00900F8A">
        <w:trPr>
          <w:trHeight w:val="310"/>
        </w:trPr>
        <w:tc>
          <w:tcPr>
            <w:tcW w:w="2440" w:type="pct"/>
            <w:noWrap/>
            <w:hideMark/>
          </w:tcPr>
          <w:p w14:paraId="2745F9AF" w14:textId="77777777" w:rsidR="00900F8A" w:rsidRPr="00900F8A" w:rsidRDefault="00900F8A" w:rsidP="00900F8A">
            <w:pPr>
              <w:pStyle w:val="TableBody"/>
            </w:pPr>
            <w:r w:rsidRPr="00900F8A">
              <w:t>34</w:t>
            </w:r>
          </w:p>
        </w:tc>
        <w:tc>
          <w:tcPr>
            <w:tcW w:w="2560" w:type="pct"/>
            <w:noWrap/>
            <w:hideMark/>
          </w:tcPr>
          <w:p w14:paraId="42887981" w14:textId="77777777" w:rsidR="00900F8A" w:rsidRPr="00900F8A" w:rsidRDefault="00900F8A" w:rsidP="00900F8A">
            <w:pPr>
              <w:pStyle w:val="TableBody"/>
            </w:pPr>
            <w:r w:rsidRPr="00900F8A">
              <w:t>644</w:t>
            </w:r>
          </w:p>
        </w:tc>
      </w:tr>
      <w:tr w:rsidR="00900F8A" w:rsidRPr="00900F8A" w14:paraId="6BE6E8CE" w14:textId="77777777" w:rsidTr="00900F8A">
        <w:trPr>
          <w:trHeight w:val="310"/>
        </w:trPr>
        <w:tc>
          <w:tcPr>
            <w:tcW w:w="2440" w:type="pct"/>
            <w:noWrap/>
            <w:hideMark/>
          </w:tcPr>
          <w:p w14:paraId="001799DD" w14:textId="77777777" w:rsidR="00900F8A" w:rsidRPr="00900F8A" w:rsidRDefault="00900F8A" w:rsidP="00900F8A">
            <w:pPr>
              <w:pStyle w:val="TableBody"/>
            </w:pPr>
            <w:r w:rsidRPr="00900F8A">
              <w:t>35</w:t>
            </w:r>
          </w:p>
        </w:tc>
        <w:tc>
          <w:tcPr>
            <w:tcW w:w="2560" w:type="pct"/>
            <w:noWrap/>
            <w:hideMark/>
          </w:tcPr>
          <w:p w14:paraId="24765D52" w14:textId="77777777" w:rsidR="00900F8A" w:rsidRPr="00900F8A" w:rsidRDefault="00900F8A" w:rsidP="00900F8A">
            <w:pPr>
              <w:pStyle w:val="TableBody"/>
            </w:pPr>
            <w:r w:rsidRPr="00900F8A">
              <w:t>590</w:t>
            </w:r>
          </w:p>
        </w:tc>
      </w:tr>
      <w:tr w:rsidR="00900F8A" w:rsidRPr="00900F8A" w14:paraId="2D1ED060" w14:textId="77777777" w:rsidTr="00900F8A">
        <w:trPr>
          <w:trHeight w:val="310"/>
        </w:trPr>
        <w:tc>
          <w:tcPr>
            <w:tcW w:w="2440" w:type="pct"/>
            <w:noWrap/>
            <w:hideMark/>
          </w:tcPr>
          <w:p w14:paraId="147E2265" w14:textId="77777777" w:rsidR="00900F8A" w:rsidRPr="00900F8A" w:rsidRDefault="00900F8A" w:rsidP="00900F8A">
            <w:pPr>
              <w:pStyle w:val="TableBody"/>
            </w:pPr>
            <w:r w:rsidRPr="00900F8A">
              <w:t>36</w:t>
            </w:r>
          </w:p>
        </w:tc>
        <w:tc>
          <w:tcPr>
            <w:tcW w:w="2560" w:type="pct"/>
            <w:noWrap/>
            <w:hideMark/>
          </w:tcPr>
          <w:p w14:paraId="45FA4466" w14:textId="77777777" w:rsidR="00900F8A" w:rsidRPr="00900F8A" w:rsidRDefault="00900F8A" w:rsidP="00900F8A">
            <w:pPr>
              <w:pStyle w:val="TableBody"/>
            </w:pPr>
            <w:r w:rsidRPr="00900F8A">
              <w:t>628</w:t>
            </w:r>
          </w:p>
        </w:tc>
      </w:tr>
      <w:tr w:rsidR="00900F8A" w:rsidRPr="00900F8A" w14:paraId="0B7A1470" w14:textId="77777777" w:rsidTr="00900F8A">
        <w:trPr>
          <w:trHeight w:val="310"/>
        </w:trPr>
        <w:tc>
          <w:tcPr>
            <w:tcW w:w="2440" w:type="pct"/>
            <w:noWrap/>
            <w:hideMark/>
          </w:tcPr>
          <w:p w14:paraId="122CCC1E" w14:textId="77777777" w:rsidR="00900F8A" w:rsidRPr="00900F8A" w:rsidRDefault="00900F8A" w:rsidP="00900F8A">
            <w:pPr>
              <w:pStyle w:val="TableBody"/>
            </w:pPr>
            <w:r w:rsidRPr="00900F8A">
              <w:t>37</w:t>
            </w:r>
          </w:p>
        </w:tc>
        <w:tc>
          <w:tcPr>
            <w:tcW w:w="2560" w:type="pct"/>
            <w:noWrap/>
            <w:hideMark/>
          </w:tcPr>
          <w:p w14:paraId="5B9F5B30" w14:textId="77777777" w:rsidR="00900F8A" w:rsidRPr="00900F8A" w:rsidRDefault="00900F8A" w:rsidP="00900F8A">
            <w:pPr>
              <w:pStyle w:val="TableBody"/>
            </w:pPr>
            <w:r w:rsidRPr="00900F8A">
              <w:t>569</w:t>
            </w:r>
          </w:p>
        </w:tc>
      </w:tr>
      <w:tr w:rsidR="00900F8A" w:rsidRPr="00900F8A" w14:paraId="6F5BC72B" w14:textId="77777777" w:rsidTr="00900F8A">
        <w:trPr>
          <w:trHeight w:val="310"/>
        </w:trPr>
        <w:tc>
          <w:tcPr>
            <w:tcW w:w="2440" w:type="pct"/>
            <w:noWrap/>
            <w:hideMark/>
          </w:tcPr>
          <w:p w14:paraId="656EB18D" w14:textId="77777777" w:rsidR="00900F8A" w:rsidRPr="00900F8A" w:rsidRDefault="00900F8A" w:rsidP="00900F8A">
            <w:pPr>
              <w:pStyle w:val="TableBody"/>
            </w:pPr>
            <w:r w:rsidRPr="00900F8A">
              <w:t>38</w:t>
            </w:r>
          </w:p>
        </w:tc>
        <w:tc>
          <w:tcPr>
            <w:tcW w:w="2560" w:type="pct"/>
            <w:noWrap/>
            <w:hideMark/>
          </w:tcPr>
          <w:p w14:paraId="629E5625" w14:textId="77777777" w:rsidR="00900F8A" w:rsidRPr="00900F8A" w:rsidRDefault="00900F8A" w:rsidP="00900F8A">
            <w:pPr>
              <w:pStyle w:val="TableBody"/>
            </w:pPr>
            <w:r w:rsidRPr="00900F8A">
              <w:t>511</w:t>
            </w:r>
          </w:p>
        </w:tc>
      </w:tr>
      <w:tr w:rsidR="00900F8A" w:rsidRPr="00900F8A" w14:paraId="3AAC9D01" w14:textId="77777777" w:rsidTr="00900F8A">
        <w:trPr>
          <w:trHeight w:val="310"/>
        </w:trPr>
        <w:tc>
          <w:tcPr>
            <w:tcW w:w="2440" w:type="pct"/>
            <w:noWrap/>
            <w:hideMark/>
          </w:tcPr>
          <w:p w14:paraId="2EF4B4E2" w14:textId="77777777" w:rsidR="00900F8A" w:rsidRPr="00900F8A" w:rsidRDefault="00900F8A" w:rsidP="00900F8A">
            <w:pPr>
              <w:pStyle w:val="TableBody"/>
            </w:pPr>
            <w:r w:rsidRPr="00900F8A">
              <w:t>39</w:t>
            </w:r>
          </w:p>
        </w:tc>
        <w:tc>
          <w:tcPr>
            <w:tcW w:w="2560" w:type="pct"/>
            <w:noWrap/>
            <w:hideMark/>
          </w:tcPr>
          <w:p w14:paraId="7CCC0A1B" w14:textId="77777777" w:rsidR="00900F8A" w:rsidRPr="00900F8A" w:rsidRDefault="00900F8A" w:rsidP="00900F8A">
            <w:pPr>
              <w:pStyle w:val="TableBody"/>
            </w:pPr>
            <w:r w:rsidRPr="00900F8A">
              <w:t>484</w:t>
            </w:r>
          </w:p>
        </w:tc>
      </w:tr>
      <w:tr w:rsidR="00900F8A" w:rsidRPr="00900F8A" w14:paraId="074CDBA2" w14:textId="77777777" w:rsidTr="00900F8A">
        <w:trPr>
          <w:trHeight w:val="310"/>
        </w:trPr>
        <w:tc>
          <w:tcPr>
            <w:tcW w:w="2440" w:type="pct"/>
            <w:noWrap/>
            <w:hideMark/>
          </w:tcPr>
          <w:p w14:paraId="0B0FF81F" w14:textId="77777777" w:rsidR="00900F8A" w:rsidRPr="00900F8A" w:rsidRDefault="00900F8A" w:rsidP="00900F8A">
            <w:pPr>
              <w:pStyle w:val="TableBody"/>
            </w:pPr>
            <w:r w:rsidRPr="00900F8A">
              <w:t>40</w:t>
            </w:r>
          </w:p>
        </w:tc>
        <w:tc>
          <w:tcPr>
            <w:tcW w:w="2560" w:type="pct"/>
            <w:noWrap/>
            <w:hideMark/>
          </w:tcPr>
          <w:p w14:paraId="7EAE7F0C" w14:textId="77777777" w:rsidR="00900F8A" w:rsidRPr="00900F8A" w:rsidRDefault="00900F8A" w:rsidP="00900F8A">
            <w:pPr>
              <w:pStyle w:val="TableBody"/>
            </w:pPr>
            <w:r w:rsidRPr="00900F8A">
              <w:t>434</w:t>
            </w:r>
          </w:p>
        </w:tc>
      </w:tr>
      <w:tr w:rsidR="00900F8A" w:rsidRPr="00900F8A" w14:paraId="4A817D5E" w14:textId="77777777" w:rsidTr="00900F8A">
        <w:trPr>
          <w:trHeight w:val="310"/>
        </w:trPr>
        <w:tc>
          <w:tcPr>
            <w:tcW w:w="2440" w:type="pct"/>
            <w:noWrap/>
            <w:hideMark/>
          </w:tcPr>
          <w:p w14:paraId="2A929B76" w14:textId="77777777" w:rsidR="00900F8A" w:rsidRPr="00900F8A" w:rsidRDefault="00900F8A" w:rsidP="00900F8A">
            <w:pPr>
              <w:pStyle w:val="TableBody"/>
            </w:pPr>
            <w:r w:rsidRPr="00900F8A">
              <w:t>41</w:t>
            </w:r>
          </w:p>
        </w:tc>
        <w:tc>
          <w:tcPr>
            <w:tcW w:w="2560" w:type="pct"/>
            <w:noWrap/>
            <w:hideMark/>
          </w:tcPr>
          <w:p w14:paraId="5562CDE4" w14:textId="77777777" w:rsidR="00900F8A" w:rsidRPr="00900F8A" w:rsidRDefault="00900F8A" w:rsidP="00900F8A">
            <w:pPr>
              <w:pStyle w:val="TableBody"/>
            </w:pPr>
            <w:r w:rsidRPr="00900F8A">
              <w:t>403</w:t>
            </w:r>
          </w:p>
        </w:tc>
      </w:tr>
      <w:tr w:rsidR="00900F8A" w:rsidRPr="00900F8A" w14:paraId="7FA20720" w14:textId="77777777" w:rsidTr="00900F8A">
        <w:trPr>
          <w:trHeight w:val="310"/>
        </w:trPr>
        <w:tc>
          <w:tcPr>
            <w:tcW w:w="2440" w:type="pct"/>
            <w:noWrap/>
            <w:hideMark/>
          </w:tcPr>
          <w:p w14:paraId="64B35B4F" w14:textId="77777777" w:rsidR="00900F8A" w:rsidRPr="00900F8A" w:rsidRDefault="00900F8A" w:rsidP="00900F8A">
            <w:pPr>
              <w:pStyle w:val="TableBody"/>
            </w:pPr>
            <w:r w:rsidRPr="00900F8A">
              <w:t>42</w:t>
            </w:r>
          </w:p>
        </w:tc>
        <w:tc>
          <w:tcPr>
            <w:tcW w:w="2560" w:type="pct"/>
            <w:noWrap/>
            <w:hideMark/>
          </w:tcPr>
          <w:p w14:paraId="4FC2CF92" w14:textId="77777777" w:rsidR="00900F8A" w:rsidRPr="00900F8A" w:rsidRDefault="00900F8A" w:rsidP="00900F8A">
            <w:pPr>
              <w:pStyle w:val="TableBody"/>
            </w:pPr>
            <w:r w:rsidRPr="00900F8A">
              <w:t>395</w:t>
            </w:r>
          </w:p>
        </w:tc>
      </w:tr>
      <w:tr w:rsidR="00900F8A" w:rsidRPr="00900F8A" w14:paraId="4A1A1D33" w14:textId="77777777" w:rsidTr="00900F8A">
        <w:trPr>
          <w:trHeight w:val="310"/>
        </w:trPr>
        <w:tc>
          <w:tcPr>
            <w:tcW w:w="2440" w:type="pct"/>
            <w:noWrap/>
            <w:hideMark/>
          </w:tcPr>
          <w:p w14:paraId="05F856D5" w14:textId="77777777" w:rsidR="00900F8A" w:rsidRPr="00900F8A" w:rsidRDefault="00900F8A" w:rsidP="00900F8A">
            <w:pPr>
              <w:pStyle w:val="TableBody"/>
            </w:pPr>
            <w:r w:rsidRPr="00900F8A">
              <w:t>43</w:t>
            </w:r>
          </w:p>
        </w:tc>
        <w:tc>
          <w:tcPr>
            <w:tcW w:w="2560" w:type="pct"/>
            <w:noWrap/>
            <w:hideMark/>
          </w:tcPr>
          <w:p w14:paraId="2327D4C4" w14:textId="77777777" w:rsidR="00900F8A" w:rsidRPr="00900F8A" w:rsidRDefault="00900F8A" w:rsidP="00900F8A">
            <w:pPr>
              <w:pStyle w:val="TableBody"/>
            </w:pPr>
            <w:r w:rsidRPr="00900F8A">
              <w:t>352</w:t>
            </w:r>
          </w:p>
        </w:tc>
      </w:tr>
      <w:tr w:rsidR="00900F8A" w:rsidRPr="00900F8A" w14:paraId="22C0DEA4" w14:textId="77777777" w:rsidTr="00900F8A">
        <w:trPr>
          <w:trHeight w:val="310"/>
        </w:trPr>
        <w:tc>
          <w:tcPr>
            <w:tcW w:w="2440" w:type="pct"/>
            <w:noWrap/>
            <w:hideMark/>
          </w:tcPr>
          <w:p w14:paraId="66DEF7A1" w14:textId="77777777" w:rsidR="00900F8A" w:rsidRPr="00900F8A" w:rsidRDefault="00900F8A" w:rsidP="00900F8A">
            <w:pPr>
              <w:pStyle w:val="TableBody"/>
            </w:pPr>
            <w:r w:rsidRPr="00900F8A">
              <w:t>44</w:t>
            </w:r>
          </w:p>
        </w:tc>
        <w:tc>
          <w:tcPr>
            <w:tcW w:w="2560" w:type="pct"/>
            <w:noWrap/>
            <w:hideMark/>
          </w:tcPr>
          <w:p w14:paraId="12CECDFB" w14:textId="77777777" w:rsidR="00900F8A" w:rsidRPr="00900F8A" w:rsidRDefault="00900F8A" w:rsidP="00900F8A">
            <w:pPr>
              <w:pStyle w:val="TableBody"/>
            </w:pPr>
            <w:r w:rsidRPr="00900F8A">
              <w:t>303</w:t>
            </w:r>
          </w:p>
        </w:tc>
      </w:tr>
      <w:tr w:rsidR="00900F8A" w:rsidRPr="00900F8A" w14:paraId="5F3FECAD" w14:textId="77777777" w:rsidTr="00900F8A">
        <w:trPr>
          <w:trHeight w:val="310"/>
        </w:trPr>
        <w:tc>
          <w:tcPr>
            <w:tcW w:w="2440" w:type="pct"/>
            <w:noWrap/>
            <w:hideMark/>
          </w:tcPr>
          <w:p w14:paraId="5C2A05DB" w14:textId="77777777" w:rsidR="00900F8A" w:rsidRPr="00900F8A" w:rsidRDefault="00900F8A" w:rsidP="00900F8A">
            <w:pPr>
              <w:pStyle w:val="TableBody"/>
            </w:pPr>
            <w:r w:rsidRPr="00900F8A">
              <w:t>45</w:t>
            </w:r>
          </w:p>
        </w:tc>
        <w:tc>
          <w:tcPr>
            <w:tcW w:w="2560" w:type="pct"/>
            <w:noWrap/>
            <w:hideMark/>
          </w:tcPr>
          <w:p w14:paraId="532F78F3" w14:textId="77777777" w:rsidR="00900F8A" w:rsidRPr="00900F8A" w:rsidRDefault="00900F8A" w:rsidP="00900F8A">
            <w:pPr>
              <w:pStyle w:val="TableBody"/>
            </w:pPr>
            <w:r w:rsidRPr="00900F8A">
              <w:t>290</w:t>
            </w:r>
          </w:p>
        </w:tc>
      </w:tr>
      <w:tr w:rsidR="00900F8A" w:rsidRPr="00900F8A" w14:paraId="43FF34FF" w14:textId="77777777" w:rsidTr="00900F8A">
        <w:trPr>
          <w:trHeight w:val="310"/>
        </w:trPr>
        <w:tc>
          <w:tcPr>
            <w:tcW w:w="2440" w:type="pct"/>
            <w:noWrap/>
            <w:hideMark/>
          </w:tcPr>
          <w:p w14:paraId="32677FFE" w14:textId="77777777" w:rsidR="00900F8A" w:rsidRPr="00900F8A" w:rsidRDefault="00900F8A" w:rsidP="00900F8A">
            <w:pPr>
              <w:pStyle w:val="TableBody"/>
            </w:pPr>
            <w:r w:rsidRPr="00900F8A">
              <w:t>46</w:t>
            </w:r>
          </w:p>
        </w:tc>
        <w:tc>
          <w:tcPr>
            <w:tcW w:w="2560" w:type="pct"/>
            <w:noWrap/>
            <w:hideMark/>
          </w:tcPr>
          <w:p w14:paraId="47A5F044" w14:textId="77777777" w:rsidR="00900F8A" w:rsidRPr="00900F8A" w:rsidRDefault="00900F8A" w:rsidP="00900F8A">
            <w:pPr>
              <w:pStyle w:val="TableBody"/>
            </w:pPr>
            <w:r w:rsidRPr="00900F8A">
              <w:t>252</w:t>
            </w:r>
          </w:p>
        </w:tc>
      </w:tr>
      <w:tr w:rsidR="00900F8A" w:rsidRPr="00900F8A" w14:paraId="6067C94F" w14:textId="77777777" w:rsidTr="00900F8A">
        <w:trPr>
          <w:trHeight w:val="310"/>
        </w:trPr>
        <w:tc>
          <w:tcPr>
            <w:tcW w:w="2440" w:type="pct"/>
            <w:noWrap/>
            <w:hideMark/>
          </w:tcPr>
          <w:p w14:paraId="30A101BD" w14:textId="77777777" w:rsidR="00900F8A" w:rsidRPr="00900F8A" w:rsidRDefault="00900F8A" w:rsidP="00900F8A">
            <w:pPr>
              <w:pStyle w:val="TableBody"/>
            </w:pPr>
            <w:r w:rsidRPr="00900F8A">
              <w:t>47</w:t>
            </w:r>
          </w:p>
        </w:tc>
        <w:tc>
          <w:tcPr>
            <w:tcW w:w="2560" w:type="pct"/>
            <w:noWrap/>
            <w:hideMark/>
          </w:tcPr>
          <w:p w14:paraId="2BCC871A" w14:textId="77777777" w:rsidR="00900F8A" w:rsidRPr="00900F8A" w:rsidRDefault="00900F8A" w:rsidP="00900F8A">
            <w:pPr>
              <w:pStyle w:val="TableBody"/>
            </w:pPr>
            <w:r w:rsidRPr="00900F8A">
              <w:t>235</w:t>
            </w:r>
          </w:p>
        </w:tc>
      </w:tr>
      <w:tr w:rsidR="00900F8A" w:rsidRPr="00900F8A" w14:paraId="49882464" w14:textId="77777777" w:rsidTr="00900F8A">
        <w:trPr>
          <w:trHeight w:val="310"/>
        </w:trPr>
        <w:tc>
          <w:tcPr>
            <w:tcW w:w="2440" w:type="pct"/>
            <w:noWrap/>
            <w:hideMark/>
          </w:tcPr>
          <w:p w14:paraId="08A2C5E0" w14:textId="77777777" w:rsidR="00900F8A" w:rsidRPr="00900F8A" w:rsidRDefault="00900F8A" w:rsidP="00900F8A">
            <w:pPr>
              <w:pStyle w:val="TableBody"/>
            </w:pPr>
            <w:r w:rsidRPr="00900F8A">
              <w:t>48</w:t>
            </w:r>
          </w:p>
        </w:tc>
        <w:tc>
          <w:tcPr>
            <w:tcW w:w="2560" w:type="pct"/>
            <w:noWrap/>
            <w:hideMark/>
          </w:tcPr>
          <w:p w14:paraId="678DE49C" w14:textId="77777777" w:rsidR="00900F8A" w:rsidRPr="00900F8A" w:rsidRDefault="00900F8A" w:rsidP="00900F8A">
            <w:pPr>
              <w:pStyle w:val="TableBody"/>
            </w:pPr>
            <w:r w:rsidRPr="00900F8A">
              <w:t>207</w:t>
            </w:r>
          </w:p>
        </w:tc>
      </w:tr>
      <w:tr w:rsidR="00900F8A" w:rsidRPr="00900F8A" w14:paraId="6E30575D" w14:textId="77777777" w:rsidTr="00900F8A">
        <w:trPr>
          <w:trHeight w:val="310"/>
        </w:trPr>
        <w:tc>
          <w:tcPr>
            <w:tcW w:w="2440" w:type="pct"/>
            <w:noWrap/>
            <w:hideMark/>
          </w:tcPr>
          <w:p w14:paraId="06E8E381" w14:textId="77777777" w:rsidR="00900F8A" w:rsidRPr="00900F8A" w:rsidRDefault="00900F8A" w:rsidP="00900F8A">
            <w:pPr>
              <w:pStyle w:val="TableBody"/>
            </w:pPr>
            <w:r w:rsidRPr="00900F8A">
              <w:t>49</w:t>
            </w:r>
          </w:p>
        </w:tc>
        <w:tc>
          <w:tcPr>
            <w:tcW w:w="2560" w:type="pct"/>
            <w:noWrap/>
            <w:hideMark/>
          </w:tcPr>
          <w:p w14:paraId="2F6C70CE" w14:textId="77777777" w:rsidR="00900F8A" w:rsidRPr="00900F8A" w:rsidRDefault="00900F8A" w:rsidP="00900F8A">
            <w:pPr>
              <w:pStyle w:val="TableBody"/>
            </w:pPr>
            <w:r w:rsidRPr="00900F8A">
              <w:t>152</w:t>
            </w:r>
          </w:p>
        </w:tc>
      </w:tr>
      <w:tr w:rsidR="00900F8A" w:rsidRPr="00900F8A" w14:paraId="37A3F003" w14:textId="77777777" w:rsidTr="00900F8A">
        <w:trPr>
          <w:trHeight w:val="310"/>
        </w:trPr>
        <w:tc>
          <w:tcPr>
            <w:tcW w:w="2440" w:type="pct"/>
            <w:noWrap/>
            <w:hideMark/>
          </w:tcPr>
          <w:p w14:paraId="4F948465" w14:textId="77777777" w:rsidR="00900F8A" w:rsidRPr="00900F8A" w:rsidRDefault="00900F8A" w:rsidP="00900F8A">
            <w:pPr>
              <w:pStyle w:val="TableBody"/>
            </w:pPr>
            <w:r w:rsidRPr="00900F8A">
              <w:t>50</w:t>
            </w:r>
          </w:p>
        </w:tc>
        <w:tc>
          <w:tcPr>
            <w:tcW w:w="2560" w:type="pct"/>
            <w:noWrap/>
            <w:hideMark/>
          </w:tcPr>
          <w:p w14:paraId="0FA7E90A" w14:textId="77777777" w:rsidR="00900F8A" w:rsidRPr="00900F8A" w:rsidRDefault="00900F8A" w:rsidP="00900F8A">
            <w:pPr>
              <w:pStyle w:val="TableBody"/>
            </w:pPr>
            <w:r w:rsidRPr="00900F8A">
              <w:t>147</w:t>
            </w:r>
          </w:p>
        </w:tc>
      </w:tr>
      <w:tr w:rsidR="00900F8A" w:rsidRPr="00900F8A" w14:paraId="786244D4" w14:textId="77777777" w:rsidTr="00900F8A">
        <w:trPr>
          <w:trHeight w:val="310"/>
        </w:trPr>
        <w:tc>
          <w:tcPr>
            <w:tcW w:w="2440" w:type="pct"/>
            <w:noWrap/>
            <w:hideMark/>
          </w:tcPr>
          <w:p w14:paraId="273B7297" w14:textId="77777777" w:rsidR="00900F8A" w:rsidRPr="00900F8A" w:rsidRDefault="00900F8A" w:rsidP="00900F8A">
            <w:pPr>
              <w:pStyle w:val="TableBody"/>
            </w:pPr>
            <w:r w:rsidRPr="00900F8A">
              <w:t>51</w:t>
            </w:r>
          </w:p>
        </w:tc>
        <w:tc>
          <w:tcPr>
            <w:tcW w:w="2560" w:type="pct"/>
            <w:noWrap/>
            <w:hideMark/>
          </w:tcPr>
          <w:p w14:paraId="2EA7D9FB" w14:textId="77777777" w:rsidR="00900F8A" w:rsidRPr="00900F8A" w:rsidRDefault="00900F8A" w:rsidP="00900F8A">
            <w:pPr>
              <w:pStyle w:val="TableBody"/>
            </w:pPr>
            <w:r w:rsidRPr="00900F8A">
              <w:t>94</w:t>
            </w:r>
          </w:p>
        </w:tc>
      </w:tr>
      <w:tr w:rsidR="00900F8A" w:rsidRPr="00900F8A" w14:paraId="2FD71412" w14:textId="77777777" w:rsidTr="00900F8A">
        <w:trPr>
          <w:trHeight w:val="310"/>
        </w:trPr>
        <w:tc>
          <w:tcPr>
            <w:tcW w:w="2440" w:type="pct"/>
            <w:noWrap/>
            <w:hideMark/>
          </w:tcPr>
          <w:p w14:paraId="6CF76044" w14:textId="77777777" w:rsidR="00900F8A" w:rsidRPr="00900F8A" w:rsidRDefault="00900F8A" w:rsidP="00900F8A">
            <w:pPr>
              <w:pStyle w:val="TableBody"/>
            </w:pPr>
            <w:r w:rsidRPr="00900F8A">
              <w:t>52</w:t>
            </w:r>
          </w:p>
        </w:tc>
        <w:tc>
          <w:tcPr>
            <w:tcW w:w="2560" w:type="pct"/>
            <w:noWrap/>
            <w:hideMark/>
          </w:tcPr>
          <w:p w14:paraId="6934F63B" w14:textId="77777777" w:rsidR="00900F8A" w:rsidRPr="00900F8A" w:rsidRDefault="00900F8A" w:rsidP="00900F8A">
            <w:pPr>
              <w:pStyle w:val="TableBody"/>
            </w:pPr>
            <w:r w:rsidRPr="00900F8A">
              <w:t>91</w:t>
            </w:r>
          </w:p>
        </w:tc>
      </w:tr>
      <w:tr w:rsidR="00900F8A" w:rsidRPr="00900F8A" w14:paraId="7B1544F1" w14:textId="77777777" w:rsidTr="00900F8A">
        <w:trPr>
          <w:trHeight w:val="310"/>
        </w:trPr>
        <w:tc>
          <w:tcPr>
            <w:tcW w:w="2440" w:type="pct"/>
            <w:noWrap/>
            <w:hideMark/>
          </w:tcPr>
          <w:p w14:paraId="6929B9D3" w14:textId="77777777" w:rsidR="00900F8A" w:rsidRPr="00900F8A" w:rsidRDefault="00900F8A" w:rsidP="00900F8A">
            <w:pPr>
              <w:pStyle w:val="TableBody"/>
            </w:pPr>
            <w:r w:rsidRPr="00900F8A">
              <w:t>53</w:t>
            </w:r>
          </w:p>
        </w:tc>
        <w:tc>
          <w:tcPr>
            <w:tcW w:w="2560" w:type="pct"/>
            <w:noWrap/>
            <w:hideMark/>
          </w:tcPr>
          <w:p w14:paraId="00CAB1D7" w14:textId="77777777" w:rsidR="00900F8A" w:rsidRPr="00900F8A" w:rsidRDefault="00900F8A" w:rsidP="00900F8A">
            <w:pPr>
              <w:pStyle w:val="TableBody"/>
            </w:pPr>
            <w:r w:rsidRPr="00900F8A">
              <w:t>78</w:t>
            </w:r>
          </w:p>
        </w:tc>
      </w:tr>
      <w:tr w:rsidR="00900F8A" w:rsidRPr="00900F8A" w14:paraId="1287FC00" w14:textId="77777777" w:rsidTr="00900F8A">
        <w:trPr>
          <w:trHeight w:val="310"/>
        </w:trPr>
        <w:tc>
          <w:tcPr>
            <w:tcW w:w="2440" w:type="pct"/>
            <w:noWrap/>
            <w:hideMark/>
          </w:tcPr>
          <w:p w14:paraId="7A02C876" w14:textId="77777777" w:rsidR="00900F8A" w:rsidRPr="00900F8A" w:rsidRDefault="00900F8A" w:rsidP="00900F8A">
            <w:pPr>
              <w:pStyle w:val="TableBody"/>
            </w:pPr>
            <w:r w:rsidRPr="00900F8A">
              <w:t>54</w:t>
            </w:r>
          </w:p>
        </w:tc>
        <w:tc>
          <w:tcPr>
            <w:tcW w:w="2560" w:type="pct"/>
            <w:noWrap/>
            <w:hideMark/>
          </w:tcPr>
          <w:p w14:paraId="57D1466F" w14:textId="77777777" w:rsidR="00900F8A" w:rsidRPr="00900F8A" w:rsidRDefault="00900F8A" w:rsidP="00900F8A">
            <w:pPr>
              <w:pStyle w:val="TableBody"/>
            </w:pPr>
            <w:r w:rsidRPr="00900F8A">
              <w:t>64</w:t>
            </w:r>
          </w:p>
        </w:tc>
      </w:tr>
      <w:tr w:rsidR="00900F8A" w:rsidRPr="00900F8A" w14:paraId="6B562EAD" w14:textId="77777777" w:rsidTr="00900F8A">
        <w:trPr>
          <w:trHeight w:val="310"/>
        </w:trPr>
        <w:tc>
          <w:tcPr>
            <w:tcW w:w="2440" w:type="pct"/>
            <w:noWrap/>
            <w:hideMark/>
          </w:tcPr>
          <w:p w14:paraId="05DB4027" w14:textId="77777777" w:rsidR="00900F8A" w:rsidRPr="00900F8A" w:rsidRDefault="00900F8A" w:rsidP="00900F8A">
            <w:pPr>
              <w:pStyle w:val="TableBody"/>
            </w:pPr>
            <w:r w:rsidRPr="00900F8A">
              <w:t>55</w:t>
            </w:r>
          </w:p>
        </w:tc>
        <w:tc>
          <w:tcPr>
            <w:tcW w:w="2560" w:type="pct"/>
            <w:noWrap/>
            <w:hideMark/>
          </w:tcPr>
          <w:p w14:paraId="4738DBD4" w14:textId="77777777" w:rsidR="00900F8A" w:rsidRPr="00900F8A" w:rsidRDefault="00900F8A" w:rsidP="00900F8A">
            <w:pPr>
              <w:pStyle w:val="TableBody"/>
            </w:pPr>
            <w:r w:rsidRPr="00900F8A">
              <w:t>66</w:t>
            </w:r>
          </w:p>
        </w:tc>
      </w:tr>
      <w:tr w:rsidR="00900F8A" w:rsidRPr="00900F8A" w14:paraId="767A8AFA" w14:textId="77777777" w:rsidTr="00900F8A">
        <w:trPr>
          <w:trHeight w:val="310"/>
        </w:trPr>
        <w:tc>
          <w:tcPr>
            <w:tcW w:w="2440" w:type="pct"/>
            <w:noWrap/>
            <w:hideMark/>
          </w:tcPr>
          <w:p w14:paraId="64499ACE" w14:textId="77777777" w:rsidR="00900F8A" w:rsidRPr="00900F8A" w:rsidRDefault="00900F8A" w:rsidP="00900F8A">
            <w:pPr>
              <w:pStyle w:val="TableBody"/>
            </w:pPr>
            <w:r w:rsidRPr="00900F8A">
              <w:t>56</w:t>
            </w:r>
          </w:p>
        </w:tc>
        <w:tc>
          <w:tcPr>
            <w:tcW w:w="2560" w:type="pct"/>
            <w:noWrap/>
            <w:hideMark/>
          </w:tcPr>
          <w:p w14:paraId="76C4C9B1" w14:textId="77777777" w:rsidR="00900F8A" w:rsidRPr="00900F8A" w:rsidRDefault="00900F8A" w:rsidP="00900F8A">
            <w:pPr>
              <w:pStyle w:val="TableBody"/>
            </w:pPr>
            <w:r w:rsidRPr="00900F8A">
              <w:t>42</w:t>
            </w:r>
          </w:p>
        </w:tc>
      </w:tr>
      <w:tr w:rsidR="00900F8A" w:rsidRPr="00900F8A" w14:paraId="53CE6B92" w14:textId="77777777" w:rsidTr="00900F8A">
        <w:trPr>
          <w:trHeight w:val="310"/>
        </w:trPr>
        <w:tc>
          <w:tcPr>
            <w:tcW w:w="2440" w:type="pct"/>
            <w:noWrap/>
            <w:hideMark/>
          </w:tcPr>
          <w:p w14:paraId="56328670" w14:textId="77777777" w:rsidR="00900F8A" w:rsidRPr="00900F8A" w:rsidRDefault="00900F8A" w:rsidP="00900F8A">
            <w:pPr>
              <w:pStyle w:val="TableBody"/>
            </w:pPr>
            <w:r w:rsidRPr="00900F8A">
              <w:t>57</w:t>
            </w:r>
          </w:p>
        </w:tc>
        <w:tc>
          <w:tcPr>
            <w:tcW w:w="2560" w:type="pct"/>
            <w:noWrap/>
            <w:hideMark/>
          </w:tcPr>
          <w:p w14:paraId="6B5C6CFF" w14:textId="77777777" w:rsidR="00900F8A" w:rsidRPr="00900F8A" w:rsidRDefault="00900F8A" w:rsidP="00900F8A">
            <w:pPr>
              <w:pStyle w:val="TableBody"/>
            </w:pPr>
            <w:r w:rsidRPr="00900F8A">
              <w:t>39</w:t>
            </w:r>
          </w:p>
        </w:tc>
      </w:tr>
      <w:tr w:rsidR="00900F8A" w:rsidRPr="00900F8A" w14:paraId="1AC4E1EA" w14:textId="77777777" w:rsidTr="00900F8A">
        <w:trPr>
          <w:trHeight w:val="310"/>
        </w:trPr>
        <w:tc>
          <w:tcPr>
            <w:tcW w:w="2440" w:type="pct"/>
            <w:noWrap/>
            <w:hideMark/>
          </w:tcPr>
          <w:p w14:paraId="3101A079" w14:textId="77777777" w:rsidR="00900F8A" w:rsidRPr="00900F8A" w:rsidRDefault="00900F8A" w:rsidP="00900F8A">
            <w:pPr>
              <w:pStyle w:val="TableBody"/>
            </w:pPr>
            <w:r w:rsidRPr="00900F8A">
              <w:t>58</w:t>
            </w:r>
          </w:p>
        </w:tc>
        <w:tc>
          <w:tcPr>
            <w:tcW w:w="2560" w:type="pct"/>
            <w:noWrap/>
            <w:hideMark/>
          </w:tcPr>
          <w:p w14:paraId="26761308" w14:textId="77777777" w:rsidR="00900F8A" w:rsidRPr="00900F8A" w:rsidRDefault="00900F8A" w:rsidP="00900F8A">
            <w:pPr>
              <w:pStyle w:val="TableBody"/>
            </w:pPr>
            <w:r w:rsidRPr="00900F8A">
              <w:t>35</w:t>
            </w:r>
          </w:p>
        </w:tc>
      </w:tr>
      <w:tr w:rsidR="00900F8A" w:rsidRPr="00900F8A" w14:paraId="03EDA614" w14:textId="77777777" w:rsidTr="00900F8A">
        <w:trPr>
          <w:trHeight w:val="310"/>
        </w:trPr>
        <w:tc>
          <w:tcPr>
            <w:tcW w:w="2440" w:type="pct"/>
            <w:noWrap/>
            <w:hideMark/>
          </w:tcPr>
          <w:p w14:paraId="0E1B96D7" w14:textId="77777777" w:rsidR="00900F8A" w:rsidRPr="00900F8A" w:rsidRDefault="00900F8A" w:rsidP="00900F8A">
            <w:pPr>
              <w:pStyle w:val="TableBody"/>
            </w:pPr>
            <w:r w:rsidRPr="00900F8A">
              <w:t>59</w:t>
            </w:r>
          </w:p>
        </w:tc>
        <w:tc>
          <w:tcPr>
            <w:tcW w:w="2560" w:type="pct"/>
            <w:noWrap/>
            <w:hideMark/>
          </w:tcPr>
          <w:p w14:paraId="53767EDC" w14:textId="77777777" w:rsidR="00900F8A" w:rsidRPr="00900F8A" w:rsidRDefault="00900F8A" w:rsidP="00900F8A">
            <w:pPr>
              <w:pStyle w:val="TableBody"/>
            </w:pPr>
            <w:r w:rsidRPr="00900F8A">
              <w:t>39</w:t>
            </w:r>
          </w:p>
        </w:tc>
      </w:tr>
      <w:tr w:rsidR="00900F8A" w:rsidRPr="00900F8A" w14:paraId="380A6123" w14:textId="77777777" w:rsidTr="00900F8A">
        <w:trPr>
          <w:trHeight w:val="310"/>
        </w:trPr>
        <w:tc>
          <w:tcPr>
            <w:tcW w:w="2440" w:type="pct"/>
            <w:noWrap/>
            <w:hideMark/>
          </w:tcPr>
          <w:p w14:paraId="4F08ECCF" w14:textId="77777777" w:rsidR="00900F8A" w:rsidRPr="00900F8A" w:rsidRDefault="00900F8A" w:rsidP="00900F8A">
            <w:pPr>
              <w:pStyle w:val="TableBody"/>
            </w:pPr>
            <w:r w:rsidRPr="00900F8A">
              <w:t>60+</w:t>
            </w:r>
          </w:p>
        </w:tc>
        <w:tc>
          <w:tcPr>
            <w:tcW w:w="2560" w:type="pct"/>
            <w:noWrap/>
            <w:hideMark/>
          </w:tcPr>
          <w:p w14:paraId="2471AD19" w14:textId="77777777" w:rsidR="00900F8A" w:rsidRPr="00900F8A" w:rsidRDefault="00900F8A" w:rsidP="00900F8A">
            <w:pPr>
              <w:pStyle w:val="TableBody"/>
            </w:pPr>
            <w:r w:rsidRPr="00900F8A">
              <w:t>137</w:t>
            </w:r>
          </w:p>
        </w:tc>
      </w:tr>
    </w:tbl>
    <w:p w14:paraId="71E8F9FC" w14:textId="77777777" w:rsidR="005801E0" w:rsidRPr="006B4A5D" w:rsidRDefault="005801E0" w:rsidP="00A612BA">
      <w:r w:rsidRPr="006B4A5D">
        <w:t>The age and gender of offenders who received combined orders in the higher courts were much the same. About 88% were male (1,647 of 1,870 offenders), and the median age was 31, ranging from 18 (6 cases) to 74 (1 case), 83 (1 case) and 84 (1 case).</w:t>
      </w:r>
    </w:p>
    <w:p w14:paraId="11CB2891" w14:textId="77777777" w:rsidR="005801E0" w:rsidRPr="006B4A5D" w:rsidRDefault="005801E0" w:rsidP="005801E0">
      <w:pPr>
        <w:pStyle w:val="Heading1"/>
      </w:pPr>
      <w:bookmarkStart w:id="4" w:name="_Toc150439348"/>
      <w:r w:rsidRPr="006B4A5D">
        <w:lastRenderedPageBreak/>
        <w:t>Offence types in combined order cases</w:t>
      </w:r>
      <w:bookmarkEnd w:id="4"/>
    </w:p>
    <w:p w14:paraId="39E00B6F" w14:textId="77777777" w:rsidR="005801E0" w:rsidRPr="006B4A5D" w:rsidRDefault="005801E0" w:rsidP="00A612BA">
      <w:r w:rsidRPr="006B4A5D">
        <w:t>An ANZSOC offence type</w:t>
      </w:r>
      <w:r w:rsidRPr="006B4A5D">
        <w:rPr>
          <w:rStyle w:val="Superscript"/>
        </w:rPr>
        <w:footnoteReference w:id="17"/>
      </w:r>
      <w:r w:rsidRPr="006B4A5D">
        <w:t xml:space="preserve"> was recorded for 16,180 combined order cases</w:t>
      </w:r>
      <w:r w:rsidRPr="006B4A5D">
        <w:rPr>
          <w:rStyle w:val="Superscript"/>
        </w:rPr>
        <w:footnoteReference w:id="18"/>
      </w:r>
      <w:r w:rsidRPr="006B4A5D">
        <w:t xml:space="preserve"> in the Magistrates’ Court where a principal offence was identifiable. By far the most common offence type in these cases was assault and injury offences,</w:t>
      </w:r>
      <w:r w:rsidRPr="006B4A5D">
        <w:rPr>
          <w:rStyle w:val="Superscript"/>
        </w:rPr>
        <w:footnoteReference w:id="19"/>
      </w:r>
      <w:r w:rsidRPr="006B4A5D">
        <w:t xml:space="preserve"> accounting for more than one-third of combined order cases (35.6% or 5,763 cases). This was followed by drug-related offences</w:t>
      </w:r>
      <w:r w:rsidRPr="006B4A5D">
        <w:rPr>
          <w:rStyle w:val="Superscript"/>
        </w:rPr>
        <w:footnoteReference w:id="20"/>
      </w:r>
      <w:r w:rsidRPr="006B4A5D">
        <w:t xml:space="preserve"> (12.0% or 1,947 cases), burglary offences</w:t>
      </w:r>
      <w:r w:rsidRPr="006B4A5D">
        <w:rPr>
          <w:rStyle w:val="Superscript"/>
        </w:rPr>
        <w:footnoteReference w:id="21"/>
      </w:r>
      <w:r w:rsidRPr="006B4A5D">
        <w:t xml:space="preserve"> (9.7% or 1,566 cases) and endangerment offences</w:t>
      </w:r>
      <w:r w:rsidRPr="006B4A5D">
        <w:rPr>
          <w:rStyle w:val="Superscript"/>
        </w:rPr>
        <w:footnoteReference w:id="22"/>
      </w:r>
      <w:r w:rsidRPr="006B4A5D">
        <w:t xml:space="preserve"> (7.6% or 1,225 cases). Figure 3 (page 6) shows the 20 most common principal offences in combined order cases in the Magistrates’ Court. Six offences were noticeably more prominent than others: unlawful assault (10.7% of cases),</w:t>
      </w:r>
      <w:r w:rsidRPr="006B4A5D">
        <w:rPr>
          <w:rStyle w:val="Superscript"/>
        </w:rPr>
        <w:footnoteReference w:id="23"/>
      </w:r>
      <w:r w:rsidRPr="006B4A5D">
        <w:t xml:space="preserve"> recklessly causing injury (9.8%),</w:t>
      </w:r>
      <w:r w:rsidRPr="006B4A5D">
        <w:rPr>
          <w:rStyle w:val="Superscript"/>
        </w:rPr>
        <w:footnoteReference w:id="24"/>
      </w:r>
      <w:r w:rsidRPr="006B4A5D">
        <w:t xml:space="preserve"> burglary (7.6%),</w:t>
      </w:r>
      <w:r w:rsidRPr="006B4A5D">
        <w:rPr>
          <w:rStyle w:val="Superscript"/>
        </w:rPr>
        <w:footnoteReference w:id="25"/>
      </w:r>
      <w:r w:rsidRPr="006B4A5D">
        <w:t xml:space="preserve"> trafficking in a non-commercial quantity of methylamphetamine (6.0%),</w:t>
      </w:r>
      <w:r w:rsidRPr="006B4A5D">
        <w:rPr>
          <w:rStyle w:val="Superscript"/>
        </w:rPr>
        <w:footnoteReference w:id="26"/>
      </w:r>
      <w:r w:rsidRPr="006B4A5D">
        <w:t xml:space="preserve"> possessing a </w:t>
      </w:r>
      <w:r w:rsidRPr="006B4A5D">
        <w:lastRenderedPageBreak/>
        <w:t>controlled weapon (4.4%)</w:t>
      </w:r>
      <w:r w:rsidRPr="006B4A5D">
        <w:rPr>
          <w:rStyle w:val="Superscript"/>
        </w:rPr>
        <w:footnoteReference w:id="27"/>
      </w:r>
      <w:r w:rsidRPr="006B4A5D">
        <w:t xml:space="preserve"> and intentionally causing injury (3.7%).</w:t>
      </w:r>
      <w:r w:rsidRPr="006B4A5D">
        <w:rPr>
          <w:rStyle w:val="Superscript"/>
        </w:rPr>
        <w:footnoteReference w:id="28"/>
      </w:r>
      <w:r w:rsidRPr="006B4A5D">
        <w:t xml:space="preserve"> Three of these are violent offences.</w:t>
      </w:r>
    </w:p>
    <w:p w14:paraId="6323631C" w14:textId="77777777" w:rsidR="005801E0" w:rsidRPr="006B4A5D" w:rsidRDefault="005801E0" w:rsidP="00C34438">
      <w:pPr>
        <w:pStyle w:val="Caption"/>
      </w:pPr>
      <w:r w:rsidRPr="006B4A5D">
        <w:t>Figure 3: Most common principal offences in combined order cases in the Magistrates’ Court, 2012 to 2020 (16,180 cases)</w:t>
      </w:r>
    </w:p>
    <w:tbl>
      <w:tblPr>
        <w:tblStyle w:val="Table"/>
        <w:tblW w:w="5000" w:type="pct"/>
        <w:tblLook w:val="04A0" w:firstRow="1" w:lastRow="0" w:firstColumn="1" w:lastColumn="0" w:noHBand="0" w:noVBand="1"/>
      </w:tblPr>
      <w:tblGrid>
        <w:gridCol w:w="6629"/>
        <w:gridCol w:w="2387"/>
      </w:tblGrid>
      <w:tr w:rsidR="00FB0A3B" w:rsidRPr="00FB0A3B" w14:paraId="0B6F87B6" w14:textId="77777777" w:rsidTr="00F16D63">
        <w:trPr>
          <w:trHeight w:val="310"/>
          <w:tblHeader/>
        </w:trPr>
        <w:tc>
          <w:tcPr>
            <w:tcW w:w="3676" w:type="pct"/>
            <w:noWrap/>
            <w:hideMark/>
          </w:tcPr>
          <w:p w14:paraId="6F82B468" w14:textId="48196418" w:rsidR="00FB0A3B" w:rsidRPr="00FB0A3B" w:rsidRDefault="00FB0A3B" w:rsidP="00FB0A3B">
            <w:pPr>
              <w:pStyle w:val="TableHeading"/>
            </w:pPr>
            <w:r w:rsidRPr="00FB0A3B">
              <w:t>Offence</w:t>
            </w:r>
          </w:p>
        </w:tc>
        <w:tc>
          <w:tcPr>
            <w:tcW w:w="1324" w:type="pct"/>
            <w:noWrap/>
            <w:hideMark/>
          </w:tcPr>
          <w:p w14:paraId="044FFB7C" w14:textId="55332B7F" w:rsidR="00FB0A3B" w:rsidRPr="00FB0A3B" w:rsidRDefault="00FB0A3B" w:rsidP="00FB0A3B">
            <w:pPr>
              <w:pStyle w:val="TableHeading"/>
            </w:pPr>
            <w:r w:rsidRPr="00FB0A3B">
              <w:t>Number of cases</w:t>
            </w:r>
          </w:p>
        </w:tc>
      </w:tr>
      <w:tr w:rsidR="00FB0A3B" w:rsidRPr="00FB0A3B" w14:paraId="3890ED04" w14:textId="77777777" w:rsidTr="00FB0A3B">
        <w:trPr>
          <w:trHeight w:val="310"/>
        </w:trPr>
        <w:tc>
          <w:tcPr>
            <w:tcW w:w="3676" w:type="pct"/>
            <w:noWrap/>
            <w:hideMark/>
          </w:tcPr>
          <w:p w14:paraId="50B6056B" w14:textId="77777777" w:rsidR="00FB0A3B" w:rsidRPr="00FB0A3B" w:rsidRDefault="00FB0A3B" w:rsidP="00FB0A3B">
            <w:pPr>
              <w:pStyle w:val="TableBody"/>
            </w:pPr>
            <w:r w:rsidRPr="00FB0A3B">
              <w:t>Unlawful assault</w:t>
            </w:r>
          </w:p>
        </w:tc>
        <w:tc>
          <w:tcPr>
            <w:tcW w:w="1324" w:type="pct"/>
            <w:noWrap/>
            <w:hideMark/>
          </w:tcPr>
          <w:p w14:paraId="71FAAB77" w14:textId="77777777" w:rsidR="00FB0A3B" w:rsidRPr="00FB0A3B" w:rsidRDefault="00FB0A3B" w:rsidP="00FB0A3B">
            <w:pPr>
              <w:pStyle w:val="TableBody"/>
            </w:pPr>
            <w:r w:rsidRPr="00FB0A3B">
              <w:t>1,742</w:t>
            </w:r>
          </w:p>
        </w:tc>
      </w:tr>
      <w:tr w:rsidR="00FB0A3B" w:rsidRPr="00FB0A3B" w14:paraId="14F2B5B2" w14:textId="77777777" w:rsidTr="00FB0A3B">
        <w:trPr>
          <w:trHeight w:val="310"/>
        </w:trPr>
        <w:tc>
          <w:tcPr>
            <w:tcW w:w="3676" w:type="pct"/>
            <w:noWrap/>
            <w:hideMark/>
          </w:tcPr>
          <w:p w14:paraId="2AE184CD" w14:textId="77777777" w:rsidR="00FB0A3B" w:rsidRPr="00FB0A3B" w:rsidRDefault="00FB0A3B" w:rsidP="00FB0A3B">
            <w:pPr>
              <w:pStyle w:val="TableBody"/>
            </w:pPr>
            <w:r w:rsidRPr="00FB0A3B">
              <w:t>Recklessly cause injury</w:t>
            </w:r>
          </w:p>
        </w:tc>
        <w:tc>
          <w:tcPr>
            <w:tcW w:w="1324" w:type="pct"/>
            <w:noWrap/>
            <w:hideMark/>
          </w:tcPr>
          <w:p w14:paraId="28B077DA" w14:textId="77777777" w:rsidR="00FB0A3B" w:rsidRPr="00FB0A3B" w:rsidRDefault="00FB0A3B" w:rsidP="00FB0A3B">
            <w:pPr>
              <w:pStyle w:val="TableBody"/>
            </w:pPr>
            <w:r w:rsidRPr="00FB0A3B">
              <w:t>1,592</w:t>
            </w:r>
          </w:p>
        </w:tc>
      </w:tr>
      <w:tr w:rsidR="00FB0A3B" w:rsidRPr="00FB0A3B" w14:paraId="5139C7CB" w14:textId="77777777" w:rsidTr="00FB0A3B">
        <w:trPr>
          <w:trHeight w:val="310"/>
        </w:trPr>
        <w:tc>
          <w:tcPr>
            <w:tcW w:w="3676" w:type="pct"/>
            <w:noWrap/>
            <w:hideMark/>
          </w:tcPr>
          <w:p w14:paraId="3E313CCA" w14:textId="77777777" w:rsidR="00FB0A3B" w:rsidRPr="00FB0A3B" w:rsidRDefault="00FB0A3B" w:rsidP="00FB0A3B">
            <w:pPr>
              <w:pStyle w:val="TableBody"/>
            </w:pPr>
            <w:r w:rsidRPr="00FB0A3B">
              <w:t>Burglary</w:t>
            </w:r>
          </w:p>
        </w:tc>
        <w:tc>
          <w:tcPr>
            <w:tcW w:w="1324" w:type="pct"/>
            <w:noWrap/>
            <w:hideMark/>
          </w:tcPr>
          <w:p w14:paraId="01F5E408" w14:textId="77777777" w:rsidR="00FB0A3B" w:rsidRPr="00FB0A3B" w:rsidRDefault="00FB0A3B" w:rsidP="00FB0A3B">
            <w:pPr>
              <w:pStyle w:val="TableBody"/>
            </w:pPr>
            <w:r w:rsidRPr="00FB0A3B">
              <w:t>1,244</w:t>
            </w:r>
          </w:p>
        </w:tc>
      </w:tr>
      <w:tr w:rsidR="00FB0A3B" w:rsidRPr="00FB0A3B" w14:paraId="0E7EFC1C" w14:textId="77777777" w:rsidTr="00FB0A3B">
        <w:trPr>
          <w:trHeight w:val="310"/>
        </w:trPr>
        <w:tc>
          <w:tcPr>
            <w:tcW w:w="3676" w:type="pct"/>
            <w:noWrap/>
            <w:hideMark/>
          </w:tcPr>
          <w:p w14:paraId="30B29C21" w14:textId="77777777" w:rsidR="00FB0A3B" w:rsidRPr="00FB0A3B" w:rsidRDefault="00FB0A3B" w:rsidP="00FB0A3B">
            <w:pPr>
              <w:pStyle w:val="TableBody"/>
            </w:pPr>
            <w:r w:rsidRPr="00FB0A3B">
              <w:t>Traffick methylamphetamine</w:t>
            </w:r>
          </w:p>
        </w:tc>
        <w:tc>
          <w:tcPr>
            <w:tcW w:w="1324" w:type="pct"/>
            <w:noWrap/>
            <w:hideMark/>
          </w:tcPr>
          <w:p w14:paraId="4F1C5F40" w14:textId="77777777" w:rsidR="00FB0A3B" w:rsidRPr="00FB0A3B" w:rsidRDefault="00FB0A3B" w:rsidP="00FB0A3B">
            <w:pPr>
              <w:pStyle w:val="TableBody"/>
            </w:pPr>
            <w:r w:rsidRPr="00FB0A3B">
              <w:t>976</w:t>
            </w:r>
          </w:p>
        </w:tc>
      </w:tr>
      <w:tr w:rsidR="00FB0A3B" w:rsidRPr="00FB0A3B" w14:paraId="71347DBE" w14:textId="77777777" w:rsidTr="00FB0A3B">
        <w:trPr>
          <w:trHeight w:val="310"/>
        </w:trPr>
        <w:tc>
          <w:tcPr>
            <w:tcW w:w="3676" w:type="pct"/>
            <w:noWrap/>
            <w:hideMark/>
          </w:tcPr>
          <w:p w14:paraId="389A7A31" w14:textId="77777777" w:rsidR="00FB0A3B" w:rsidRPr="00FB0A3B" w:rsidRDefault="00FB0A3B" w:rsidP="00FB0A3B">
            <w:pPr>
              <w:pStyle w:val="TableBody"/>
            </w:pPr>
            <w:r w:rsidRPr="00FB0A3B">
              <w:t>Possess, use or carry a controlled or prohibited weapon</w:t>
            </w:r>
          </w:p>
        </w:tc>
        <w:tc>
          <w:tcPr>
            <w:tcW w:w="1324" w:type="pct"/>
            <w:noWrap/>
            <w:hideMark/>
          </w:tcPr>
          <w:p w14:paraId="194E703C" w14:textId="77777777" w:rsidR="00FB0A3B" w:rsidRPr="00FB0A3B" w:rsidRDefault="00FB0A3B" w:rsidP="00FB0A3B">
            <w:pPr>
              <w:pStyle w:val="TableBody"/>
            </w:pPr>
            <w:r w:rsidRPr="00FB0A3B">
              <w:t>712</w:t>
            </w:r>
          </w:p>
        </w:tc>
      </w:tr>
      <w:tr w:rsidR="00FB0A3B" w:rsidRPr="00FB0A3B" w14:paraId="52309EC2" w14:textId="77777777" w:rsidTr="00FB0A3B">
        <w:trPr>
          <w:trHeight w:val="310"/>
        </w:trPr>
        <w:tc>
          <w:tcPr>
            <w:tcW w:w="3676" w:type="pct"/>
            <w:noWrap/>
            <w:hideMark/>
          </w:tcPr>
          <w:p w14:paraId="05C8DAF6" w14:textId="77777777" w:rsidR="00FB0A3B" w:rsidRPr="00FB0A3B" w:rsidRDefault="00FB0A3B" w:rsidP="00FB0A3B">
            <w:pPr>
              <w:pStyle w:val="TableBody"/>
            </w:pPr>
            <w:r w:rsidRPr="00FB0A3B">
              <w:t>Intentionally cause injury</w:t>
            </w:r>
          </w:p>
        </w:tc>
        <w:tc>
          <w:tcPr>
            <w:tcW w:w="1324" w:type="pct"/>
            <w:noWrap/>
            <w:hideMark/>
          </w:tcPr>
          <w:p w14:paraId="0584C971" w14:textId="77777777" w:rsidR="00FB0A3B" w:rsidRPr="00FB0A3B" w:rsidRDefault="00FB0A3B" w:rsidP="00FB0A3B">
            <w:pPr>
              <w:pStyle w:val="TableBody"/>
            </w:pPr>
            <w:r w:rsidRPr="00FB0A3B">
              <w:t>606</w:t>
            </w:r>
          </w:p>
        </w:tc>
      </w:tr>
      <w:tr w:rsidR="00FB0A3B" w:rsidRPr="00FB0A3B" w14:paraId="5A665183" w14:textId="77777777" w:rsidTr="00FB0A3B">
        <w:trPr>
          <w:trHeight w:val="310"/>
        </w:trPr>
        <w:tc>
          <w:tcPr>
            <w:tcW w:w="3676" w:type="pct"/>
            <w:noWrap/>
            <w:hideMark/>
          </w:tcPr>
          <w:p w14:paraId="2E4766D9" w14:textId="77777777" w:rsidR="00FB0A3B" w:rsidRPr="00FB0A3B" w:rsidRDefault="00FB0A3B" w:rsidP="00FB0A3B">
            <w:pPr>
              <w:pStyle w:val="TableBody"/>
            </w:pPr>
            <w:r w:rsidRPr="00FB0A3B">
              <w:t>Reckless conduct endanger serious injury</w:t>
            </w:r>
          </w:p>
        </w:tc>
        <w:tc>
          <w:tcPr>
            <w:tcW w:w="1324" w:type="pct"/>
            <w:noWrap/>
            <w:hideMark/>
          </w:tcPr>
          <w:p w14:paraId="04415BAB" w14:textId="77777777" w:rsidR="00FB0A3B" w:rsidRPr="00FB0A3B" w:rsidRDefault="00FB0A3B" w:rsidP="00FB0A3B">
            <w:pPr>
              <w:pStyle w:val="TableBody"/>
            </w:pPr>
            <w:r w:rsidRPr="00FB0A3B">
              <w:t>405</w:t>
            </w:r>
          </w:p>
        </w:tc>
      </w:tr>
      <w:tr w:rsidR="00FB0A3B" w:rsidRPr="00FB0A3B" w14:paraId="1758425C" w14:textId="77777777" w:rsidTr="00FB0A3B">
        <w:trPr>
          <w:trHeight w:val="310"/>
        </w:trPr>
        <w:tc>
          <w:tcPr>
            <w:tcW w:w="3676" w:type="pct"/>
            <w:noWrap/>
            <w:hideMark/>
          </w:tcPr>
          <w:p w14:paraId="2251F6BE" w14:textId="77777777" w:rsidR="00FB0A3B" w:rsidRPr="00FB0A3B" w:rsidRDefault="00FB0A3B" w:rsidP="00FB0A3B">
            <w:pPr>
              <w:pStyle w:val="TableBody"/>
            </w:pPr>
            <w:r w:rsidRPr="00FB0A3B">
              <w:t>Assault emergency worker on duty</w:t>
            </w:r>
          </w:p>
        </w:tc>
        <w:tc>
          <w:tcPr>
            <w:tcW w:w="1324" w:type="pct"/>
            <w:noWrap/>
            <w:hideMark/>
          </w:tcPr>
          <w:p w14:paraId="3D739CEF" w14:textId="77777777" w:rsidR="00FB0A3B" w:rsidRPr="00FB0A3B" w:rsidRDefault="00FB0A3B" w:rsidP="00FB0A3B">
            <w:pPr>
              <w:pStyle w:val="TableBody"/>
            </w:pPr>
            <w:r w:rsidRPr="00FB0A3B">
              <w:t>403</w:t>
            </w:r>
          </w:p>
        </w:tc>
      </w:tr>
      <w:tr w:rsidR="00FB0A3B" w:rsidRPr="00FB0A3B" w14:paraId="36F0D5F9" w14:textId="77777777" w:rsidTr="00FB0A3B">
        <w:trPr>
          <w:trHeight w:val="310"/>
        </w:trPr>
        <w:tc>
          <w:tcPr>
            <w:tcW w:w="3676" w:type="pct"/>
            <w:noWrap/>
            <w:hideMark/>
          </w:tcPr>
          <w:p w14:paraId="2FF68C7A" w14:textId="77777777" w:rsidR="00FB0A3B" w:rsidRPr="00FB0A3B" w:rsidRDefault="00FB0A3B" w:rsidP="00FB0A3B">
            <w:pPr>
              <w:pStyle w:val="TableBody"/>
            </w:pPr>
            <w:r w:rsidRPr="00FB0A3B">
              <w:t>Obtain property by deception</w:t>
            </w:r>
          </w:p>
        </w:tc>
        <w:tc>
          <w:tcPr>
            <w:tcW w:w="1324" w:type="pct"/>
            <w:noWrap/>
            <w:hideMark/>
          </w:tcPr>
          <w:p w14:paraId="207801FC" w14:textId="77777777" w:rsidR="00FB0A3B" w:rsidRPr="00FB0A3B" w:rsidRDefault="00FB0A3B" w:rsidP="00FB0A3B">
            <w:pPr>
              <w:pStyle w:val="TableBody"/>
            </w:pPr>
            <w:r w:rsidRPr="00FB0A3B">
              <w:t>379</w:t>
            </w:r>
          </w:p>
        </w:tc>
      </w:tr>
      <w:tr w:rsidR="00FB0A3B" w:rsidRPr="00FB0A3B" w14:paraId="6D3834FD" w14:textId="77777777" w:rsidTr="00FB0A3B">
        <w:trPr>
          <w:trHeight w:val="310"/>
        </w:trPr>
        <w:tc>
          <w:tcPr>
            <w:tcW w:w="3676" w:type="pct"/>
            <w:noWrap/>
            <w:hideMark/>
          </w:tcPr>
          <w:p w14:paraId="504D787D" w14:textId="77777777" w:rsidR="00FB0A3B" w:rsidRPr="00FB0A3B" w:rsidRDefault="00FB0A3B" w:rsidP="00FB0A3B">
            <w:pPr>
              <w:pStyle w:val="TableBody"/>
            </w:pPr>
            <w:r w:rsidRPr="00FB0A3B">
              <w:t>Resist an emergency worker on duty</w:t>
            </w:r>
          </w:p>
        </w:tc>
        <w:tc>
          <w:tcPr>
            <w:tcW w:w="1324" w:type="pct"/>
            <w:noWrap/>
            <w:hideMark/>
          </w:tcPr>
          <w:p w14:paraId="471434BE" w14:textId="77777777" w:rsidR="00FB0A3B" w:rsidRPr="00FB0A3B" w:rsidRDefault="00FB0A3B" w:rsidP="00FB0A3B">
            <w:pPr>
              <w:pStyle w:val="TableBody"/>
            </w:pPr>
            <w:r w:rsidRPr="00FB0A3B">
              <w:t>372</w:t>
            </w:r>
          </w:p>
        </w:tc>
      </w:tr>
      <w:tr w:rsidR="00FB0A3B" w:rsidRPr="00FB0A3B" w14:paraId="24D900B8" w14:textId="77777777" w:rsidTr="00FB0A3B">
        <w:trPr>
          <w:trHeight w:val="310"/>
        </w:trPr>
        <w:tc>
          <w:tcPr>
            <w:tcW w:w="3676" w:type="pct"/>
            <w:noWrap/>
            <w:hideMark/>
          </w:tcPr>
          <w:p w14:paraId="2055B131" w14:textId="77777777" w:rsidR="00FB0A3B" w:rsidRPr="00FB0A3B" w:rsidRDefault="00FB0A3B" w:rsidP="00FB0A3B">
            <w:pPr>
              <w:pStyle w:val="TableBody"/>
            </w:pPr>
            <w:r w:rsidRPr="00FB0A3B">
              <w:t>Stalking</w:t>
            </w:r>
          </w:p>
        </w:tc>
        <w:tc>
          <w:tcPr>
            <w:tcW w:w="1324" w:type="pct"/>
            <w:noWrap/>
            <w:hideMark/>
          </w:tcPr>
          <w:p w14:paraId="127B7234" w14:textId="77777777" w:rsidR="00FB0A3B" w:rsidRPr="00FB0A3B" w:rsidRDefault="00FB0A3B" w:rsidP="00FB0A3B">
            <w:pPr>
              <w:pStyle w:val="TableBody"/>
            </w:pPr>
            <w:r w:rsidRPr="00FB0A3B">
              <w:t>364</w:t>
            </w:r>
          </w:p>
        </w:tc>
      </w:tr>
      <w:tr w:rsidR="00FB0A3B" w:rsidRPr="00FB0A3B" w14:paraId="214F0756" w14:textId="77777777" w:rsidTr="00FB0A3B">
        <w:trPr>
          <w:trHeight w:val="310"/>
        </w:trPr>
        <w:tc>
          <w:tcPr>
            <w:tcW w:w="3676" w:type="pct"/>
            <w:noWrap/>
            <w:hideMark/>
          </w:tcPr>
          <w:p w14:paraId="33FD65CA" w14:textId="77777777" w:rsidR="00FB0A3B" w:rsidRPr="00FB0A3B" w:rsidRDefault="00FB0A3B" w:rsidP="00FB0A3B">
            <w:pPr>
              <w:pStyle w:val="TableBody"/>
            </w:pPr>
            <w:r w:rsidRPr="00FB0A3B">
              <w:t>Theft of a motor vehicle</w:t>
            </w:r>
          </w:p>
        </w:tc>
        <w:tc>
          <w:tcPr>
            <w:tcW w:w="1324" w:type="pct"/>
            <w:noWrap/>
            <w:hideMark/>
          </w:tcPr>
          <w:p w14:paraId="1B36D326" w14:textId="77777777" w:rsidR="00FB0A3B" w:rsidRPr="00FB0A3B" w:rsidRDefault="00FB0A3B" w:rsidP="00FB0A3B">
            <w:pPr>
              <w:pStyle w:val="TableBody"/>
            </w:pPr>
            <w:r w:rsidRPr="00FB0A3B">
              <w:t>339</w:t>
            </w:r>
          </w:p>
        </w:tc>
      </w:tr>
      <w:tr w:rsidR="00FB0A3B" w:rsidRPr="00FB0A3B" w14:paraId="63FC0BB2" w14:textId="77777777" w:rsidTr="00FB0A3B">
        <w:trPr>
          <w:trHeight w:val="310"/>
        </w:trPr>
        <w:tc>
          <w:tcPr>
            <w:tcW w:w="3676" w:type="pct"/>
            <w:noWrap/>
            <w:hideMark/>
          </w:tcPr>
          <w:p w14:paraId="6FD9405C" w14:textId="77777777" w:rsidR="00FB0A3B" w:rsidRPr="00FB0A3B" w:rsidRDefault="00FB0A3B" w:rsidP="00FB0A3B">
            <w:pPr>
              <w:pStyle w:val="TableBody"/>
            </w:pPr>
            <w:r w:rsidRPr="00FB0A3B">
              <w:t>Make threat to kill</w:t>
            </w:r>
          </w:p>
        </w:tc>
        <w:tc>
          <w:tcPr>
            <w:tcW w:w="1324" w:type="pct"/>
            <w:noWrap/>
            <w:hideMark/>
          </w:tcPr>
          <w:p w14:paraId="7C870C9E" w14:textId="77777777" w:rsidR="00FB0A3B" w:rsidRPr="00FB0A3B" w:rsidRDefault="00FB0A3B" w:rsidP="00FB0A3B">
            <w:pPr>
              <w:pStyle w:val="TableBody"/>
            </w:pPr>
            <w:r w:rsidRPr="00FB0A3B">
              <w:t>327</w:t>
            </w:r>
          </w:p>
        </w:tc>
      </w:tr>
      <w:tr w:rsidR="00FB0A3B" w:rsidRPr="00FB0A3B" w14:paraId="1E26EB2E" w14:textId="77777777" w:rsidTr="00FB0A3B">
        <w:trPr>
          <w:trHeight w:val="310"/>
        </w:trPr>
        <w:tc>
          <w:tcPr>
            <w:tcW w:w="3676" w:type="pct"/>
            <w:noWrap/>
            <w:hideMark/>
          </w:tcPr>
          <w:p w14:paraId="5759A712" w14:textId="77777777" w:rsidR="00FB0A3B" w:rsidRPr="00FB0A3B" w:rsidRDefault="00FB0A3B" w:rsidP="00FB0A3B">
            <w:pPr>
              <w:pStyle w:val="TableBody"/>
            </w:pPr>
            <w:r w:rsidRPr="00FB0A3B">
              <w:t>Assault with weapon</w:t>
            </w:r>
          </w:p>
        </w:tc>
        <w:tc>
          <w:tcPr>
            <w:tcW w:w="1324" w:type="pct"/>
            <w:noWrap/>
            <w:hideMark/>
          </w:tcPr>
          <w:p w14:paraId="256B3D99" w14:textId="77777777" w:rsidR="00FB0A3B" w:rsidRPr="00FB0A3B" w:rsidRDefault="00FB0A3B" w:rsidP="00FB0A3B">
            <w:pPr>
              <w:pStyle w:val="TableBody"/>
            </w:pPr>
            <w:r w:rsidRPr="00FB0A3B">
              <w:t>302</w:t>
            </w:r>
          </w:p>
        </w:tc>
      </w:tr>
      <w:tr w:rsidR="00FB0A3B" w:rsidRPr="00FB0A3B" w14:paraId="2AEA5F84" w14:textId="77777777" w:rsidTr="00FB0A3B">
        <w:trPr>
          <w:trHeight w:val="310"/>
        </w:trPr>
        <w:tc>
          <w:tcPr>
            <w:tcW w:w="3676" w:type="pct"/>
            <w:noWrap/>
            <w:hideMark/>
          </w:tcPr>
          <w:p w14:paraId="5618F9F5" w14:textId="77777777" w:rsidR="00FB0A3B" w:rsidRPr="00FB0A3B" w:rsidRDefault="00FB0A3B" w:rsidP="00FB0A3B">
            <w:pPr>
              <w:pStyle w:val="TableBody"/>
            </w:pPr>
            <w:r w:rsidRPr="00FB0A3B">
              <w:t>Persistently contravene a family violence order</w:t>
            </w:r>
          </w:p>
        </w:tc>
        <w:tc>
          <w:tcPr>
            <w:tcW w:w="1324" w:type="pct"/>
            <w:noWrap/>
            <w:hideMark/>
          </w:tcPr>
          <w:p w14:paraId="173A1954" w14:textId="77777777" w:rsidR="00FB0A3B" w:rsidRPr="00FB0A3B" w:rsidRDefault="00FB0A3B" w:rsidP="00FB0A3B">
            <w:pPr>
              <w:pStyle w:val="TableBody"/>
            </w:pPr>
            <w:r w:rsidRPr="00FB0A3B">
              <w:t>270</w:t>
            </w:r>
          </w:p>
        </w:tc>
      </w:tr>
      <w:tr w:rsidR="00FB0A3B" w:rsidRPr="00FB0A3B" w14:paraId="1167B7FC" w14:textId="77777777" w:rsidTr="00FB0A3B">
        <w:trPr>
          <w:trHeight w:val="310"/>
        </w:trPr>
        <w:tc>
          <w:tcPr>
            <w:tcW w:w="3676" w:type="pct"/>
            <w:noWrap/>
            <w:hideMark/>
          </w:tcPr>
          <w:p w14:paraId="7C5F2709" w14:textId="77777777" w:rsidR="00FB0A3B" w:rsidRPr="00FB0A3B" w:rsidRDefault="00FB0A3B" w:rsidP="00FB0A3B">
            <w:pPr>
              <w:pStyle w:val="TableBody"/>
            </w:pPr>
            <w:r w:rsidRPr="00FB0A3B">
              <w:t>Theft from shop (</w:t>
            </w:r>
            <w:proofErr w:type="spellStart"/>
            <w:r w:rsidRPr="00FB0A3B">
              <w:t>shopsteal</w:t>
            </w:r>
            <w:proofErr w:type="spellEnd"/>
            <w:r w:rsidRPr="00FB0A3B">
              <w:t>)</w:t>
            </w:r>
          </w:p>
        </w:tc>
        <w:tc>
          <w:tcPr>
            <w:tcW w:w="1324" w:type="pct"/>
            <w:noWrap/>
            <w:hideMark/>
          </w:tcPr>
          <w:p w14:paraId="69698D89" w14:textId="77777777" w:rsidR="00FB0A3B" w:rsidRPr="00FB0A3B" w:rsidRDefault="00FB0A3B" w:rsidP="00FB0A3B">
            <w:pPr>
              <w:pStyle w:val="TableBody"/>
            </w:pPr>
            <w:r w:rsidRPr="00FB0A3B">
              <w:t>260</w:t>
            </w:r>
          </w:p>
        </w:tc>
      </w:tr>
      <w:tr w:rsidR="00FB0A3B" w:rsidRPr="00FB0A3B" w14:paraId="696BF021" w14:textId="77777777" w:rsidTr="00FB0A3B">
        <w:trPr>
          <w:trHeight w:val="310"/>
        </w:trPr>
        <w:tc>
          <w:tcPr>
            <w:tcW w:w="3676" w:type="pct"/>
            <w:noWrap/>
            <w:hideMark/>
          </w:tcPr>
          <w:p w14:paraId="5309F1A6" w14:textId="77777777" w:rsidR="00FB0A3B" w:rsidRPr="00FB0A3B" w:rsidRDefault="00FB0A3B" w:rsidP="00FB0A3B">
            <w:pPr>
              <w:pStyle w:val="TableBody"/>
            </w:pPr>
            <w:r w:rsidRPr="00FB0A3B">
              <w:t>Drive in a dangerous manner</w:t>
            </w:r>
          </w:p>
        </w:tc>
        <w:tc>
          <w:tcPr>
            <w:tcW w:w="1324" w:type="pct"/>
            <w:noWrap/>
            <w:hideMark/>
          </w:tcPr>
          <w:p w14:paraId="3F884280" w14:textId="77777777" w:rsidR="00FB0A3B" w:rsidRPr="00FB0A3B" w:rsidRDefault="00FB0A3B" w:rsidP="00FB0A3B">
            <w:pPr>
              <w:pStyle w:val="TableBody"/>
            </w:pPr>
            <w:r w:rsidRPr="00FB0A3B">
              <w:t>215</w:t>
            </w:r>
          </w:p>
        </w:tc>
      </w:tr>
      <w:tr w:rsidR="00FB0A3B" w:rsidRPr="00FB0A3B" w14:paraId="27621E2E" w14:textId="77777777" w:rsidTr="00FB0A3B">
        <w:trPr>
          <w:trHeight w:val="310"/>
        </w:trPr>
        <w:tc>
          <w:tcPr>
            <w:tcW w:w="3676" w:type="pct"/>
            <w:noWrap/>
            <w:hideMark/>
          </w:tcPr>
          <w:p w14:paraId="6CE814B3" w14:textId="77777777" w:rsidR="00FB0A3B" w:rsidRPr="00FB0A3B" w:rsidRDefault="00FB0A3B" w:rsidP="00FB0A3B">
            <w:pPr>
              <w:pStyle w:val="TableBody"/>
            </w:pPr>
            <w:r w:rsidRPr="00FB0A3B">
              <w:t>Aggravated burglary</w:t>
            </w:r>
          </w:p>
        </w:tc>
        <w:tc>
          <w:tcPr>
            <w:tcW w:w="1324" w:type="pct"/>
            <w:noWrap/>
            <w:hideMark/>
          </w:tcPr>
          <w:p w14:paraId="1E6F1AC1" w14:textId="77777777" w:rsidR="00FB0A3B" w:rsidRPr="00FB0A3B" w:rsidRDefault="00FB0A3B" w:rsidP="00FB0A3B">
            <w:pPr>
              <w:pStyle w:val="TableBody"/>
            </w:pPr>
            <w:r w:rsidRPr="00FB0A3B">
              <w:t>205</w:t>
            </w:r>
          </w:p>
        </w:tc>
      </w:tr>
      <w:tr w:rsidR="00FB0A3B" w:rsidRPr="00FB0A3B" w14:paraId="765F2DB0" w14:textId="77777777" w:rsidTr="00FB0A3B">
        <w:trPr>
          <w:trHeight w:val="310"/>
        </w:trPr>
        <w:tc>
          <w:tcPr>
            <w:tcW w:w="3676" w:type="pct"/>
            <w:noWrap/>
            <w:hideMark/>
          </w:tcPr>
          <w:p w14:paraId="7A2C89CC" w14:textId="77777777" w:rsidR="00FB0A3B" w:rsidRPr="00FB0A3B" w:rsidRDefault="00FB0A3B" w:rsidP="00FB0A3B">
            <w:pPr>
              <w:pStyle w:val="TableBody"/>
            </w:pPr>
            <w:r w:rsidRPr="00FB0A3B">
              <w:t>Traffick cannabis</w:t>
            </w:r>
          </w:p>
        </w:tc>
        <w:tc>
          <w:tcPr>
            <w:tcW w:w="1324" w:type="pct"/>
            <w:noWrap/>
            <w:hideMark/>
          </w:tcPr>
          <w:p w14:paraId="19AF5511" w14:textId="77777777" w:rsidR="00FB0A3B" w:rsidRPr="00FB0A3B" w:rsidRDefault="00FB0A3B" w:rsidP="00FB0A3B">
            <w:pPr>
              <w:pStyle w:val="TableBody"/>
            </w:pPr>
            <w:r w:rsidRPr="00FB0A3B">
              <w:t>179</w:t>
            </w:r>
          </w:p>
        </w:tc>
      </w:tr>
      <w:tr w:rsidR="00FB0A3B" w:rsidRPr="00FB0A3B" w14:paraId="730EDA24" w14:textId="77777777" w:rsidTr="00FB0A3B">
        <w:trPr>
          <w:trHeight w:val="310"/>
        </w:trPr>
        <w:tc>
          <w:tcPr>
            <w:tcW w:w="3676" w:type="pct"/>
            <w:noWrap/>
            <w:hideMark/>
          </w:tcPr>
          <w:p w14:paraId="3C68A1D6" w14:textId="77777777" w:rsidR="00FB0A3B" w:rsidRPr="00FB0A3B" w:rsidRDefault="00FB0A3B" w:rsidP="00FB0A3B">
            <w:pPr>
              <w:pStyle w:val="TableBody"/>
            </w:pPr>
            <w:r w:rsidRPr="00FB0A3B">
              <w:t>Robbery</w:t>
            </w:r>
          </w:p>
        </w:tc>
        <w:tc>
          <w:tcPr>
            <w:tcW w:w="1324" w:type="pct"/>
            <w:noWrap/>
            <w:hideMark/>
          </w:tcPr>
          <w:p w14:paraId="151573F9" w14:textId="77777777" w:rsidR="00FB0A3B" w:rsidRPr="00FB0A3B" w:rsidRDefault="00FB0A3B" w:rsidP="00FB0A3B">
            <w:pPr>
              <w:pStyle w:val="TableBody"/>
            </w:pPr>
            <w:r w:rsidRPr="00FB0A3B">
              <w:t>172</w:t>
            </w:r>
          </w:p>
        </w:tc>
      </w:tr>
    </w:tbl>
    <w:p w14:paraId="4EA97BF2" w14:textId="77777777" w:rsidR="005801E0" w:rsidRPr="006B4A5D" w:rsidRDefault="005801E0" w:rsidP="00A612BA">
      <w:r w:rsidRPr="006B4A5D">
        <w:t>In the higher courts, an ANZSOC offence type was recorded for 1,869 combined order cases where a principal offence was identifiable.</w:t>
      </w:r>
      <w:r w:rsidRPr="006B4A5D">
        <w:rPr>
          <w:rStyle w:val="Superscript"/>
        </w:rPr>
        <w:footnoteReference w:id="29"/>
      </w:r>
      <w:r w:rsidRPr="006B4A5D">
        <w:t xml:space="preserve"> The most common offence types were robbery offences</w:t>
      </w:r>
      <w:r w:rsidRPr="006B4A5D">
        <w:rPr>
          <w:rStyle w:val="Superscript"/>
        </w:rPr>
        <w:footnoteReference w:id="30"/>
      </w:r>
      <w:r w:rsidRPr="006B4A5D">
        <w:t xml:space="preserve"> (23.0% or 429 cases), assault and injury offences</w:t>
      </w:r>
      <w:r w:rsidRPr="006B4A5D">
        <w:rPr>
          <w:rStyle w:val="Superscript"/>
        </w:rPr>
        <w:footnoteReference w:id="31"/>
      </w:r>
      <w:r w:rsidRPr="006B4A5D">
        <w:t xml:space="preserve"> (20.4% or 381 cases), drug-related </w:t>
      </w:r>
      <w:r w:rsidRPr="006B4A5D">
        <w:lastRenderedPageBreak/>
        <w:t>offences (12.5% or 233 cases), burglary offences</w:t>
      </w:r>
      <w:r w:rsidRPr="006B4A5D">
        <w:rPr>
          <w:rStyle w:val="Superscript"/>
        </w:rPr>
        <w:footnoteReference w:id="32"/>
      </w:r>
      <w:r w:rsidRPr="006B4A5D">
        <w:t xml:space="preserve"> (9.9% or 185 cases) and sex offences</w:t>
      </w:r>
      <w:r w:rsidRPr="006B4A5D">
        <w:rPr>
          <w:rStyle w:val="Superscript"/>
        </w:rPr>
        <w:footnoteReference w:id="33"/>
      </w:r>
      <w:r w:rsidRPr="006B4A5D">
        <w:t xml:space="preserve"> (9.1% or 170 cases).</w:t>
      </w:r>
      <w:r w:rsidRPr="006B4A5D">
        <w:rPr>
          <w:rStyle w:val="Superscript"/>
        </w:rPr>
        <w:footnoteReference w:id="34"/>
      </w:r>
      <w:r w:rsidRPr="006B4A5D">
        <w:t xml:space="preserve"> The five most common principal offences were all violent or robbery offences: armed robbery (287 cases), intentionally causing injury (136), recklessly causing serious injury (92), attempted armed robbery (61) and recklessly causing injury (59).</w:t>
      </w:r>
    </w:p>
    <w:p w14:paraId="5704E255" w14:textId="77777777" w:rsidR="005801E0" w:rsidRPr="006B4A5D" w:rsidRDefault="005801E0" w:rsidP="00A612BA">
      <w:r w:rsidRPr="006B4A5D">
        <w:t>As to the prevalence of family violence offending in combined order cases (from 2016 to 2020),</w:t>
      </w:r>
      <w:r w:rsidRPr="006B4A5D">
        <w:rPr>
          <w:rStyle w:val="Superscript"/>
        </w:rPr>
        <w:footnoteReference w:id="35"/>
      </w:r>
      <w:r w:rsidRPr="006B4A5D">
        <w:t xml:space="preserve"> 41.7% of combined orders were imposed in cases with a family violence indicator (5,093 of 12,202 cases). By way of comparison, just 15.2% of all cases in the Magistrates’ Court in the same 5 years had a family violence indicator. Violent offending was especially common in combined order cases with a family violence indicator (59.7% of principal offences were assault and injury offences). </w:t>
      </w:r>
    </w:p>
    <w:p w14:paraId="300AA381" w14:textId="77777777" w:rsidR="00601F54" w:rsidRPr="006B4A5D" w:rsidRDefault="00601F54" w:rsidP="00601F54">
      <w:pPr>
        <w:pStyle w:val="IntenseQuote"/>
      </w:pPr>
      <w:r w:rsidRPr="006B4A5D">
        <w:lastRenderedPageBreak/>
        <w:t>42% of combined orders were imposed in cases with a family violence indicator</w:t>
      </w:r>
    </w:p>
    <w:p w14:paraId="716BB489" w14:textId="77777777" w:rsidR="005801E0" w:rsidRPr="006B4A5D" w:rsidRDefault="005801E0" w:rsidP="005801E0">
      <w:pPr>
        <w:pStyle w:val="Heading1"/>
      </w:pPr>
      <w:bookmarkStart w:id="5" w:name="_Toc150439349"/>
      <w:r w:rsidRPr="006B4A5D">
        <w:t>The imprisonment component of combined orders</w:t>
      </w:r>
      <w:bookmarkEnd w:id="5"/>
    </w:p>
    <w:p w14:paraId="4BF9EDEB" w14:textId="77777777" w:rsidR="005801E0" w:rsidRPr="006B4A5D" w:rsidRDefault="005801E0" w:rsidP="00A612BA">
      <w:r w:rsidRPr="006B4A5D">
        <w:t>The analysis in this section focuses on the imprisonment component of combined orders. It assesses the extent to which the recent increase in prison sentences has been driven by an increase in combined orders (as opposed to straight imprisonment), the imprisonment lengths in combined orders, the rate of time served prison sentences in combined orders, and the proportion of imprisonment components of combined orders that were spent on remand as opposed to being served after sentencing.</w:t>
      </w:r>
    </w:p>
    <w:p w14:paraId="00AAEEA1" w14:textId="77777777" w:rsidR="005801E0" w:rsidRPr="006B4A5D" w:rsidRDefault="005801E0" w:rsidP="005801E0">
      <w:pPr>
        <w:pStyle w:val="Heading2"/>
      </w:pPr>
      <w:r w:rsidRPr="006B4A5D">
        <w:t xml:space="preserve">How much of the recent increase in imprisonment is constituted by combined orders? </w:t>
      </w:r>
    </w:p>
    <w:p w14:paraId="389153C8" w14:textId="77777777" w:rsidR="005801E0" w:rsidRPr="006B4A5D" w:rsidRDefault="005801E0" w:rsidP="00A612BA">
      <w:r w:rsidRPr="006B4A5D">
        <w:t xml:space="preserve">The total number of prison sentences imposed in the Magistrates’ Court each year more than doubled between 2012 and 2020, from 4,069 to 8,640 (from 4.8% of all sentencing outcomes to 17.9%). There was also an increase in prison sentences imposed in the higher courts, albeit less pronounced, from 1,073 to 1,163 (from 55.6% of all sentencing outcomes to 74.6%). </w:t>
      </w:r>
    </w:p>
    <w:p w14:paraId="3A47E976" w14:textId="77777777" w:rsidR="005801E0" w:rsidRPr="006B4A5D" w:rsidRDefault="005801E0" w:rsidP="00A612BA">
      <w:r w:rsidRPr="006B4A5D">
        <w:t xml:space="preserve">It seems that in both jurisdictions the increased use of combined orders played a significant role in that increase in prison sentences. As shown in Figure 4, in 2012 just 9.5% of all prison sentences imposed in the Magistrates’ Court were combined orders (386 of 4,069 prison sentences), and the proportion was 2.8% in the higher courts (30 of 1,073 prison sentences). Combined orders as a proportion of prison sentences peaked in both jurisdictions in 2015 at just under one-third in the Magistrates’ Court (32.3% or 2,028 of 6,283 prison sentences) and over one-third in the higher courts (36.0% or 399 of 1,109 prison </w:t>
      </w:r>
      <w:r w:rsidRPr="006B4A5D">
        <w:lastRenderedPageBreak/>
        <w:t>sentences). These proportions have decreased slightly since then – to 27.1% in the Magistrates’ Court and 21.8% in the higher courts in 2020 – but they are still much higher than in earlier years.</w:t>
      </w:r>
    </w:p>
    <w:p w14:paraId="73D435F2" w14:textId="77777777" w:rsidR="005801E0" w:rsidRPr="006B4A5D" w:rsidRDefault="005801E0" w:rsidP="00C34438">
      <w:pPr>
        <w:pStyle w:val="Caption"/>
      </w:pPr>
      <w:r w:rsidRPr="006B4A5D">
        <w:t>Figure 4: Combined orders as a proportion of cases in which imprisonment was imposed, 2012 to 2020 (62,776 cases in the Magistrates’ Court and 10,854 cases in the higher courts)</w:t>
      </w:r>
    </w:p>
    <w:tbl>
      <w:tblPr>
        <w:tblStyle w:val="Table"/>
        <w:tblW w:w="5000" w:type="pct"/>
        <w:tblLook w:val="04A0" w:firstRow="1" w:lastRow="0" w:firstColumn="1" w:lastColumn="0" w:noHBand="0" w:noVBand="1"/>
      </w:tblPr>
      <w:tblGrid>
        <w:gridCol w:w="1385"/>
        <w:gridCol w:w="4329"/>
        <w:gridCol w:w="3302"/>
      </w:tblGrid>
      <w:tr w:rsidR="00957888" w:rsidRPr="00957888" w14:paraId="5812DE15" w14:textId="77777777" w:rsidTr="0033132F">
        <w:trPr>
          <w:trHeight w:val="310"/>
          <w:tblHeader/>
        </w:trPr>
        <w:tc>
          <w:tcPr>
            <w:tcW w:w="768" w:type="pct"/>
            <w:noWrap/>
            <w:hideMark/>
          </w:tcPr>
          <w:p w14:paraId="5B2CE986" w14:textId="77777777" w:rsidR="00957888" w:rsidRPr="00957888" w:rsidRDefault="00957888" w:rsidP="00D53B20">
            <w:pPr>
              <w:pStyle w:val="TableHeading"/>
            </w:pPr>
            <w:r w:rsidRPr="00957888">
              <w:t>Year</w:t>
            </w:r>
          </w:p>
        </w:tc>
        <w:tc>
          <w:tcPr>
            <w:tcW w:w="2401" w:type="pct"/>
            <w:noWrap/>
            <w:hideMark/>
          </w:tcPr>
          <w:p w14:paraId="65079876" w14:textId="77777777" w:rsidR="00957888" w:rsidRPr="00957888" w:rsidRDefault="00957888" w:rsidP="00D53B20">
            <w:pPr>
              <w:pStyle w:val="TableHeading"/>
            </w:pPr>
            <w:r w:rsidRPr="00957888">
              <w:t>Magistrates' Court</w:t>
            </w:r>
          </w:p>
        </w:tc>
        <w:tc>
          <w:tcPr>
            <w:tcW w:w="1832" w:type="pct"/>
            <w:noWrap/>
            <w:hideMark/>
          </w:tcPr>
          <w:p w14:paraId="6F70DE73" w14:textId="77777777" w:rsidR="00957888" w:rsidRPr="00957888" w:rsidRDefault="00957888" w:rsidP="00D53B20">
            <w:pPr>
              <w:pStyle w:val="TableHeading"/>
            </w:pPr>
            <w:r w:rsidRPr="00957888">
              <w:t>Higher courts</w:t>
            </w:r>
          </w:p>
        </w:tc>
      </w:tr>
      <w:tr w:rsidR="00957888" w:rsidRPr="00957888" w14:paraId="102B5AA2" w14:textId="77777777" w:rsidTr="00E143C9">
        <w:trPr>
          <w:trHeight w:val="310"/>
        </w:trPr>
        <w:tc>
          <w:tcPr>
            <w:tcW w:w="768" w:type="pct"/>
            <w:noWrap/>
            <w:hideMark/>
          </w:tcPr>
          <w:p w14:paraId="66DEB2A7" w14:textId="77777777" w:rsidR="00957888" w:rsidRPr="00957888" w:rsidRDefault="00957888" w:rsidP="00403686">
            <w:pPr>
              <w:pStyle w:val="TableBody"/>
            </w:pPr>
            <w:r w:rsidRPr="00957888">
              <w:t>2012</w:t>
            </w:r>
          </w:p>
        </w:tc>
        <w:tc>
          <w:tcPr>
            <w:tcW w:w="2401" w:type="pct"/>
            <w:noWrap/>
            <w:hideMark/>
          </w:tcPr>
          <w:p w14:paraId="0878A782" w14:textId="77777777" w:rsidR="00957888" w:rsidRPr="00957888" w:rsidRDefault="00957888" w:rsidP="00403686">
            <w:pPr>
              <w:pStyle w:val="TableBody"/>
            </w:pPr>
            <w:r w:rsidRPr="00957888">
              <w:t>9.5%</w:t>
            </w:r>
          </w:p>
        </w:tc>
        <w:tc>
          <w:tcPr>
            <w:tcW w:w="1832" w:type="pct"/>
            <w:noWrap/>
            <w:hideMark/>
          </w:tcPr>
          <w:p w14:paraId="17BEDCDA" w14:textId="77777777" w:rsidR="00957888" w:rsidRPr="00957888" w:rsidRDefault="00957888" w:rsidP="00403686">
            <w:pPr>
              <w:pStyle w:val="TableBody"/>
            </w:pPr>
            <w:r w:rsidRPr="00957888">
              <w:t>2.8%</w:t>
            </w:r>
          </w:p>
        </w:tc>
      </w:tr>
      <w:tr w:rsidR="00957888" w:rsidRPr="00957888" w14:paraId="0E0AAAB8" w14:textId="77777777" w:rsidTr="00E143C9">
        <w:trPr>
          <w:trHeight w:val="310"/>
        </w:trPr>
        <w:tc>
          <w:tcPr>
            <w:tcW w:w="768" w:type="pct"/>
            <w:noWrap/>
            <w:hideMark/>
          </w:tcPr>
          <w:p w14:paraId="6A40BE9C" w14:textId="77777777" w:rsidR="00957888" w:rsidRPr="00957888" w:rsidRDefault="00957888" w:rsidP="00403686">
            <w:pPr>
              <w:pStyle w:val="TableBody"/>
            </w:pPr>
            <w:r w:rsidRPr="00957888">
              <w:t>2013</w:t>
            </w:r>
          </w:p>
        </w:tc>
        <w:tc>
          <w:tcPr>
            <w:tcW w:w="2401" w:type="pct"/>
            <w:noWrap/>
            <w:hideMark/>
          </w:tcPr>
          <w:p w14:paraId="50DD44A2" w14:textId="77777777" w:rsidR="00957888" w:rsidRPr="00957888" w:rsidRDefault="00957888" w:rsidP="00403686">
            <w:pPr>
              <w:pStyle w:val="TableBody"/>
            </w:pPr>
            <w:r w:rsidRPr="00957888">
              <w:t>13.6%</w:t>
            </w:r>
          </w:p>
        </w:tc>
        <w:tc>
          <w:tcPr>
            <w:tcW w:w="1832" w:type="pct"/>
            <w:noWrap/>
            <w:hideMark/>
          </w:tcPr>
          <w:p w14:paraId="539ECC26" w14:textId="77777777" w:rsidR="00957888" w:rsidRPr="00957888" w:rsidRDefault="00957888" w:rsidP="00403686">
            <w:pPr>
              <w:pStyle w:val="TableBody"/>
            </w:pPr>
            <w:r w:rsidRPr="00957888">
              <w:t>3.1%</w:t>
            </w:r>
          </w:p>
        </w:tc>
      </w:tr>
      <w:tr w:rsidR="00957888" w:rsidRPr="00957888" w14:paraId="2F5D0D89" w14:textId="77777777" w:rsidTr="00E143C9">
        <w:trPr>
          <w:trHeight w:val="310"/>
        </w:trPr>
        <w:tc>
          <w:tcPr>
            <w:tcW w:w="768" w:type="pct"/>
            <w:noWrap/>
            <w:hideMark/>
          </w:tcPr>
          <w:p w14:paraId="4A441150" w14:textId="77777777" w:rsidR="00957888" w:rsidRPr="00957888" w:rsidRDefault="00957888" w:rsidP="00403686">
            <w:pPr>
              <w:pStyle w:val="TableBody"/>
            </w:pPr>
            <w:r w:rsidRPr="00957888">
              <w:t>2014</w:t>
            </w:r>
          </w:p>
        </w:tc>
        <w:tc>
          <w:tcPr>
            <w:tcW w:w="2401" w:type="pct"/>
            <w:noWrap/>
            <w:hideMark/>
          </w:tcPr>
          <w:p w14:paraId="3058F3F1" w14:textId="77777777" w:rsidR="00957888" w:rsidRPr="00957888" w:rsidRDefault="00957888" w:rsidP="00403686">
            <w:pPr>
              <w:pStyle w:val="TableBody"/>
            </w:pPr>
            <w:r w:rsidRPr="00957888">
              <w:t>20.4%</w:t>
            </w:r>
          </w:p>
        </w:tc>
        <w:tc>
          <w:tcPr>
            <w:tcW w:w="1832" w:type="pct"/>
            <w:noWrap/>
            <w:hideMark/>
          </w:tcPr>
          <w:p w14:paraId="5F934222" w14:textId="77777777" w:rsidR="00957888" w:rsidRPr="00957888" w:rsidRDefault="00957888" w:rsidP="00403686">
            <w:pPr>
              <w:pStyle w:val="TableBody"/>
            </w:pPr>
            <w:r w:rsidRPr="00957888">
              <w:t>9.2%</w:t>
            </w:r>
          </w:p>
        </w:tc>
      </w:tr>
      <w:tr w:rsidR="00957888" w:rsidRPr="00957888" w14:paraId="6A6F38FA" w14:textId="77777777" w:rsidTr="00E143C9">
        <w:trPr>
          <w:trHeight w:val="310"/>
        </w:trPr>
        <w:tc>
          <w:tcPr>
            <w:tcW w:w="768" w:type="pct"/>
            <w:noWrap/>
            <w:hideMark/>
          </w:tcPr>
          <w:p w14:paraId="1FDD0BED" w14:textId="77777777" w:rsidR="00957888" w:rsidRPr="00957888" w:rsidRDefault="00957888" w:rsidP="00403686">
            <w:pPr>
              <w:pStyle w:val="TableBody"/>
            </w:pPr>
            <w:r w:rsidRPr="00957888">
              <w:t>2015</w:t>
            </w:r>
          </w:p>
        </w:tc>
        <w:tc>
          <w:tcPr>
            <w:tcW w:w="2401" w:type="pct"/>
            <w:noWrap/>
            <w:hideMark/>
          </w:tcPr>
          <w:p w14:paraId="7E1F3DB0" w14:textId="77777777" w:rsidR="00957888" w:rsidRPr="00957888" w:rsidRDefault="00957888" w:rsidP="00403686">
            <w:pPr>
              <w:pStyle w:val="TableBody"/>
            </w:pPr>
            <w:r w:rsidRPr="00957888">
              <w:t>32.3%</w:t>
            </w:r>
          </w:p>
        </w:tc>
        <w:tc>
          <w:tcPr>
            <w:tcW w:w="1832" w:type="pct"/>
            <w:noWrap/>
            <w:hideMark/>
          </w:tcPr>
          <w:p w14:paraId="0F8E8ACB" w14:textId="77777777" w:rsidR="00957888" w:rsidRPr="00957888" w:rsidRDefault="00957888" w:rsidP="00403686">
            <w:pPr>
              <w:pStyle w:val="TableBody"/>
            </w:pPr>
            <w:r w:rsidRPr="00957888">
              <w:t>36.0%</w:t>
            </w:r>
          </w:p>
        </w:tc>
      </w:tr>
      <w:tr w:rsidR="00957888" w:rsidRPr="00957888" w14:paraId="0AE9F2CC" w14:textId="77777777" w:rsidTr="00E143C9">
        <w:trPr>
          <w:trHeight w:val="310"/>
        </w:trPr>
        <w:tc>
          <w:tcPr>
            <w:tcW w:w="768" w:type="pct"/>
            <w:noWrap/>
            <w:hideMark/>
          </w:tcPr>
          <w:p w14:paraId="47E9C79B" w14:textId="77777777" w:rsidR="00957888" w:rsidRPr="00957888" w:rsidRDefault="00957888" w:rsidP="00403686">
            <w:pPr>
              <w:pStyle w:val="TableBody"/>
            </w:pPr>
            <w:r w:rsidRPr="00957888">
              <w:t>2016</w:t>
            </w:r>
          </w:p>
        </w:tc>
        <w:tc>
          <w:tcPr>
            <w:tcW w:w="2401" w:type="pct"/>
            <w:noWrap/>
            <w:hideMark/>
          </w:tcPr>
          <w:p w14:paraId="6E9B57A7" w14:textId="77777777" w:rsidR="00957888" w:rsidRPr="00957888" w:rsidRDefault="00957888" w:rsidP="00403686">
            <w:pPr>
              <w:pStyle w:val="TableBody"/>
            </w:pPr>
            <w:r w:rsidRPr="00957888">
              <w:t>31.7%</w:t>
            </w:r>
          </w:p>
        </w:tc>
        <w:tc>
          <w:tcPr>
            <w:tcW w:w="1832" w:type="pct"/>
            <w:noWrap/>
            <w:hideMark/>
          </w:tcPr>
          <w:p w14:paraId="587E9368" w14:textId="77777777" w:rsidR="00957888" w:rsidRPr="00957888" w:rsidRDefault="00957888" w:rsidP="00403686">
            <w:pPr>
              <w:pStyle w:val="TableBody"/>
            </w:pPr>
            <w:r w:rsidRPr="00957888">
              <w:t>26.3%</w:t>
            </w:r>
          </w:p>
        </w:tc>
      </w:tr>
      <w:tr w:rsidR="00957888" w:rsidRPr="00957888" w14:paraId="6632D23F" w14:textId="77777777" w:rsidTr="00E143C9">
        <w:trPr>
          <w:trHeight w:val="310"/>
        </w:trPr>
        <w:tc>
          <w:tcPr>
            <w:tcW w:w="768" w:type="pct"/>
            <w:noWrap/>
            <w:hideMark/>
          </w:tcPr>
          <w:p w14:paraId="4C1432CE" w14:textId="77777777" w:rsidR="00957888" w:rsidRPr="00957888" w:rsidRDefault="00957888" w:rsidP="00403686">
            <w:pPr>
              <w:pStyle w:val="TableBody"/>
            </w:pPr>
            <w:r w:rsidRPr="00957888">
              <w:t>2017</w:t>
            </w:r>
          </w:p>
        </w:tc>
        <w:tc>
          <w:tcPr>
            <w:tcW w:w="2401" w:type="pct"/>
            <w:noWrap/>
            <w:hideMark/>
          </w:tcPr>
          <w:p w14:paraId="3DEDF99A" w14:textId="77777777" w:rsidR="00957888" w:rsidRPr="00957888" w:rsidRDefault="00957888" w:rsidP="00403686">
            <w:pPr>
              <w:pStyle w:val="TableBody"/>
            </w:pPr>
            <w:r w:rsidRPr="00957888">
              <w:t>29.2%</w:t>
            </w:r>
          </w:p>
        </w:tc>
        <w:tc>
          <w:tcPr>
            <w:tcW w:w="1832" w:type="pct"/>
            <w:noWrap/>
            <w:hideMark/>
          </w:tcPr>
          <w:p w14:paraId="6D8D70F1" w14:textId="77777777" w:rsidR="00957888" w:rsidRPr="00957888" w:rsidRDefault="00957888" w:rsidP="00403686">
            <w:pPr>
              <w:pStyle w:val="TableBody"/>
            </w:pPr>
            <w:r w:rsidRPr="00957888">
              <w:t>15.4%</w:t>
            </w:r>
          </w:p>
        </w:tc>
      </w:tr>
      <w:tr w:rsidR="00957888" w:rsidRPr="00957888" w14:paraId="4235BA9B" w14:textId="77777777" w:rsidTr="00E143C9">
        <w:trPr>
          <w:trHeight w:val="310"/>
        </w:trPr>
        <w:tc>
          <w:tcPr>
            <w:tcW w:w="768" w:type="pct"/>
            <w:noWrap/>
            <w:hideMark/>
          </w:tcPr>
          <w:p w14:paraId="46B8AF1A" w14:textId="77777777" w:rsidR="00957888" w:rsidRPr="00957888" w:rsidRDefault="00957888" w:rsidP="00403686">
            <w:pPr>
              <w:pStyle w:val="TableBody"/>
            </w:pPr>
            <w:r w:rsidRPr="00957888">
              <w:t>2018</w:t>
            </w:r>
          </w:p>
        </w:tc>
        <w:tc>
          <w:tcPr>
            <w:tcW w:w="2401" w:type="pct"/>
            <w:noWrap/>
            <w:hideMark/>
          </w:tcPr>
          <w:p w14:paraId="362247B8" w14:textId="77777777" w:rsidR="00957888" w:rsidRPr="00957888" w:rsidRDefault="00957888" w:rsidP="00403686">
            <w:pPr>
              <w:pStyle w:val="TableBody"/>
            </w:pPr>
            <w:r w:rsidRPr="00957888">
              <w:t>27.9%</w:t>
            </w:r>
          </w:p>
        </w:tc>
        <w:tc>
          <w:tcPr>
            <w:tcW w:w="1832" w:type="pct"/>
            <w:noWrap/>
            <w:hideMark/>
          </w:tcPr>
          <w:p w14:paraId="5C263E6D" w14:textId="77777777" w:rsidR="00957888" w:rsidRPr="00957888" w:rsidRDefault="00957888" w:rsidP="00403686">
            <w:pPr>
              <w:pStyle w:val="TableBody"/>
            </w:pPr>
            <w:r w:rsidRPr="00957888">
              <w:t>17.5%</w:t>
            </w:r>
          </w:p>
        </w:tc>
      </w:tr>
      <w:tr w:rsidR="00957888" w:rsidRPr="00957888" w14:paraId="79878B98" w14:textId="77777777" w:rsidTr="00E143C9">
        <w:trPr>
          <w:trHeight w:val="310"/>
        </w:trPr>
        <w:tc>
          <w:tcPr>
            <w:tcW w:w="768" w:type="pct"/>
            <w:noWrap/>
            <w:hideMark/>
          </w:tcPr>
          <w:p w14:paraId="2244B270" w14:textId="77777777" w:rsidR="00957888" w:rsidRPr="00957888" w:rsidRDefault="00957888" w:rsidP="00403686">
            <w:pPr>
              <w:pStyle w:val="TableBody"/>
            </w:pPr>
            <w:r w:rsidRPr="00957888">
              <w:t>2019</w:t>
            </w:r>
          </w:p>
        </w:tc>
        <w:tc>
          <w:tcPr>
            <w:tcW w:w="2401" w:type="pct"/>
            <w:noWrap/>
            <w:hideMark/>
          </w:tcPr>
          <w:p w14:paraId="407E3C44" w14:textId="77777777" w:rsidR="00957888" w:rsidRPr="00957888" w:rsidRDefault="00957888" w:rsidP="00403686">
            <w:pPr>
              <w:pStyle w:val="TableBody"/>
            </w:pPr>
            <w:r w:rsidRPr="00957888">
              <w:t>27.6%</w:t>
            </w:r>
          </w:p>
        </w:tc>
        <w:tc>
          <w:tcPr>
            <w:tcW w:w="1832" w:type="pct"/>
            <w:noWrap/>
            <w:hideMark/>
          </w:tcPr>
          <w:p w14:paraId="45DAE4C7" w14:textId="77777777" w:rsidR="00957888" w:rsidRPr="00957888" w:rsidRDefault="00957888" w:rsidP="00403686">
            <w:pPr>
              <w:pStyle w:val="TableBody"/>
            </w:pPr>
            <w:r w:rsidRPr="00957888">
              <w:t>21.1%</w:t>
            </w:r>
          </w:p>
        </w:tc>
      </w:tr>
      <w:tr w:rsidR="00957888" w:rsidRPr="00957888" w14:paraId="0628B9F5" w14:textId="77777777" w:rsidTr="00E143C9">
        <w:trPr>
          <w:trHeight w:val="310"/>
        </w:trPr>
        <w:tc>
          <w:tcPr>
            <w:tcW w:w="768" w:type="pct"/>
            <w:noWrap/>
            <w:hideMark/>
          </w:tcPr>
          <w:p w14:paraId="6003363C" w14:textId="77777777" w:rsidR="00957888" w:rsidRPr="00957888" w:rsidRDefault="00957888" w:rsidP="00403686">
            <w:pPr>
              <w:pStyle w:val="TableBody"/>
            </w:pPr>
            <w:r w:rsidRPr="00957888">
              <w:t>2020</w:t>
            </w:r>
          </w:p>
        </w:tc>
        <w:tc>
          <w:tcPr>
            <w:tcW w:w="2401" w:type="pct"/>
            <w:noWrap/>
            <w:hideMark/>
          </w:tcPr>
          <w:p w14:paraId="76448AEA" w14:textId="77777777" w:rsidR="00957888" w:rsidRPr="00957888" w:rsidRDefault="00957888" w:rsidP="00403686">
            <w:pPr>
              <w:pStyle w:val="TableBody"/>
            </w:pPr>
            <w:r w:rsidRPr="00957888">
              <w:t>27.1%</w:t>
            </w:r>
          </w:p>
        </w:tc>
        <w:tc>
          <w:tcPr>
            <w:tcW w:w="1832" w:type="pct"/>
            <w:noWrap/>
            <w:hideMark/>
          </w:tcPr>
          <w:p w14:paraId="3E921B29" w14:textId="77777777" w:rsidR="00957888" w:rsidRPr="00957888" w:rsidRDefault="00957888" w:rsidP="00403686">
            <w:pPr>
              <w:pStyle w:val="TableBody"/>
            </w:pPr>
            <w:r w:rsidRPr="00957888">
              <w:t>21.8%</w:t>
            </w:r>
          </w:p>
        </w:tc>
      </w:tr>
    </w:tbl>
    <w:p w14:paraId="727790F5" w14:textId="77777777" w:rsidR="005801E0" w:rsidRPr="006B4A5D" w:rsidRDefault="005801E0" w:rsidP="005801E0">
      <w:pPr>
        <w:pStyle w:val="Heading2"/>
      </w:pPr>
      <w:r w:rsidRPr="006B4A5D">
        <w:t>What were the imprisonment lengths in combined orders?</w:t>
      </w:r>
    </w:p>
    <w:p w14:paraId="7000FE70" w14:textId="77777777" w:rsidR="005801E0" w:rsidRPr="006B4A5D" w:rsidRDefault="005801E0" w:rsidP="00A612BA">
      <w:r w:rsidRPr="006B4A5D">
        <w:t>Turning next to the imprisonment lengths in combined orders, we provide a brief review of legislative reforms to contextualise the data. When CCOs were first introduced in January 2012, the maximum additional prison term that could be imposed in a combined order (on top of time already spent on remand) was 3 months.</w:t>
      </w:r>
      <w:r w:rsidRPr="006B4A5D">
        <w:rPr>
          <w:rStyle w:val="Superscript"/>
        </w:rPr>
        <w:footnoteReference w:id="36"/>
      </w:r>
      <w:r w:rsidRPr="006B4A5D">
        <w:t xml:space="preserve"> Less than 3 years later, that was increased to 2 years</w:t>
      </w:r>
      <w:r w:rsidRPr="006B4A5D">
        <w:rPr>
          <w:rStyle w:val="Superscript"/>
        </w:rPr>
        <w:footnoteReference w:id="37"/>
      </w:r>
      <w:r w:rsidRPr="006B4A5D">
        <w:t xml:space="preserve"> in order ‘[t]o provide greater flexibility to the courts’.</w:t>
      </w:r>
      <w:r w:rsidRPr="006B4A5D">
        <w:rPr>
          <w:rStyle w:val="Superscript"/>
        </w:rPr>
        <w:footnoteReference w:id="38"/>
      </w:r>
      <w:r w:rsidRPr="006B4A5D">
        <w:t xml:space="preserve"> And less than 3 years after that, it was reduced to 1 year.</w:t>
      </w:r>
      <w:r w:rsidRPr="006B4A5D">
        <w:rPr>
          <w:rStyle w:val="Superscript"/>
        </w:rPr>
        <w:footnoteReference w:id="39"/>
      </w:r>
      <w:r w:rsidRPr="006B4A5D">
        <w:t xml:space="preserve"> The </w:t>
      </w:r>
      <w:r w:rsidRPr="006B4A5D">
        <w:lastRenderedPageBreak/>
        <w:t>reduction in 2017 was because of a perception that the increase to 2 years had ‘led to an inappropriate use of community correction orders in serious cases’.</w:t>
      </w:r>
      <w:r w:rsidRPr="006B4A5D">
        <w:rPr>
          <w:rStyle w:val="Superscript"/>
        </w:rPr>
        <w:footnoteReference w:id="40"/>
      </w:r>
      <w:r w:rsidRPr="006B4A5D">
        <w:t xml:space="preserve"> </w:t>
      </w:r>
    </w:p>
    <w:p w14:paraId="712DFD34" w14:textId="781FBB11" w:rsidR="005801E0" w:rsidRDefault="005801E0" w:rsidP="00A612BA">
      <w:r w:rsidRPr="006B4A5D">
        <w:t>Relatedly, the Court of Appeal in 2016 said they were seeing ‘a spate of 23 month terms of imprisonment, combined with CCOs’,</w:t>
      </w:r>
      <w:r w:rsidRPr="006B4A5D">
        <w:rPr>
          <w:rStyle w:val="Superscript"/>
        </w:rPr>
        <w:footnoteReference w:id="41"/>
      </w:r>
      <w:r w:rsidRPr="006B4A5D">
        <w:t xml:space="preserve"> with some sentences crafted to avoid having to impose a non-parole period by not declaring some time on remand as pre-sentence detention.</w:t>
      </w:r>
      <w:r w:rsidRPr="006B4A5D">
        <w:rPr>
          <w:rStyle w:val="Superscript"/>
        </w:rPr>
        <w:footnoteReference w:id="42"/>
      </w:r>
      <w:r w:rsidRPr="006B4A5D">
        <w:t xml:space="preserve"> That occurred, they said, because of an awkward interplay between CCOs and non-parole periods in certain cases. Courts are required to declare a non-parole period when imposing imprisonment of 2 years or more.</w:t>
      </w:r>
      <w:r w:rsidRPr="006B4A5D">
        <w:rPr>
          <w:rStyle w:val="Superscript"/>
        </w:rPr>
        <w:footnoteReference w:id="43"/>
      </w:r>
      <w:r w:rsidRPr="006B4A5D">
        <w:t xml:space="preserve"> They are allowed to impose a CCO with imprisonment of 2 years or more via </w:t>
      </w:r>
      <w:r w:rsidRPr="006B4A5D">
        <w:lastRenderedPageBreak/>
        <w:t>section 44 if enough time has been spent on remand.</w:t>
      </w:r>
      <w:r w:rsidRPr="006B4A5D">
        <w:rPr>
          <w:rStyle w:val="Superscript"/>
        </w:rPr>
        <w:footnoteReference w:id="44"/>
      </w:r>
      <w:r w:rsidRPr="006B4A5D">
        <w:t xml:space="preserve"> But they are also prohibited from imposing a combined order and a non-parole period in the same case.</w:t>
      </w:r>
      <w:r w:rsidRPr="006B4A5D">
        <w:rPr>
          <w:rStyle w:val="Superscript"/>
        </w:rPr>
        <w:footnoteReference w:id="45"/>
      </w:r>
      <w:r w:rsidRPr="006B4A5D">
        <w:t xml:space="preserve"> Taken together, these provisions would seem to suggest that courts that want to impose a combined order of imprisonment with a CCO are (in certain cases) simultaneously required to impose, but also prohibited from imposing, a non-parole period. The Supreme Court resolved the issue in 2020, clarifying that courts are ‘prohibited from fixing a non-parole period’ if they impose a combined order and the total imprisonment length is in excess of 2 years.</w:t>
      </w:r>
      <w:r w:rsidRPr="006B4A5D">
        <w:rPr>
          <w:rStyle w:val="Superscript"/>
        </w:rPr>
        <w:footnoteReference w:id="46"/>
      </w:r>
    </w:p>
    <w:p w14:paraId="7458602D" w14:textId="5CA542AB" w:rsidR="00ED6672" w:rsidRPr="006B4A5D" w:rsidRDefault="00ED6672" w:rsidP="00ED6672">
      <w:pPr>
        <w:pStyle w:val="IntenseQuote"/>
      </w:pPr>
      <w:r>
        <w:t>Maximum additional prison term for combined orders: 3 months (16 January 2012 to 28 September 2014), 2 years (29 September 2014 to 19 March 2017), 1 year (20 March 2017 to present day)</w:t>
      </w:r>
    </w:p>
    <w:p w14:paraId="0C57B119" w14:textId="77777777" w:rsidR="005801E0" w:rsidRPr="006B4A5D" w:rsidRDefault="005801E0" w:rsidP="00A612BA">
      <w:r w:rsidRPr="006B4A5D">
        <w:t xml:space="preserve">With that context in mind, Figure 5 shows the distribution of </w:t>
      </w:r>
      <w:r w:rsidRPr="006B4A5D">
        <w:rPr>
          <w:rStyle w:val="Italic"/>
        </w:rPr>
        <w:t xml:space="preserve">total </w:t>
      </w:r>
      <w:r w:rsidRPr="006B4A5D">
        <w:t xml:space="preserve">imprisonment lengths (that is, time spent on remand plus remaining time to serve) in combined order cases in the Magistrates’ Court from 2012 to 2020. There was a clear change in 2014 and 2015, with imprisonment lengths in combined orders getting much longer. Whereas in 2013 just 15.8% of imprisonment lengths in combined order cases were longer than 3 months, by 2015 that percentage had tripled to 48.4%. This suggests that the increase in the maximum additional prison term in 2014 had the intended effect of enabling the imposition of combined orders in a much broader array of cases. The 2017 reform, however, of reducing the </w:t>
      </w:r>
      <w:r w:rsidRPr="006B4A5D">
        <w:lastRenderedPageBreak/>
        <w:t>maximum additional prison term from 2 years to 1 year, does not seem to have had much effect in the Magistrates’ Court. This is most likely because even when 2-year imprisonment lengths were available in combined order cases, there were very few cases where an imprisonment length in excess of 12 months was imposed in the Magistrates’ Court as part of a combined order (1.4% of all combined order cases or 224 cases), with the longest being 4 years (1 case), 2.5 years (1 case) and 2 years (10 cases).</w:t>
      </w:r>
    </w:p>
    <w:p w14:paraId="1B31D3A4" w14:textId="77777777" w:rsidR="005801E0" w:rsidRPr="006B4A5D" w:rsidRDefault="005801E0" w:rsidP="00C34438">
      <w:pPr>
        <w:pStyle w:val="Caption"/>
      </w:pPr>
      <w:r w:rsidRPr="006B4A5D">
        <w:t>Figure 5: Proportion of combined order cases in the Magistrates’ Court, by imprisonment length, 2012 to 2020 (16,274 cases)</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520D23" w:rsidRPr="00352042" w14:paraId="17263AAB" w14:textId="77777777" w:rsidTr="00F16D63">
        <w:trPr>
          <w:trHeight w:val="310"/>
          <w:tblHeader/>
        </w:trPr>
        <w:tc>
          <w:tcPr>
            <w:tcW w:w="1000" w:type="pct"/>
            <w:noWrap/>
            <w:hideMark/>
          </w:tcPr>
          <w:p w14:paraId="603DABC7" w14:textId="0723CECA" w:rsidR="009257D9" w:rsidRPr="00352042" w:rsidRDefault="009257D9" w:rsidP="00352042">
            <w:pPr>
              <w:pStyle w:val="TableHeading"/>
            </w:pPr>
            <w:r w:rsidRPr="00352042">
              <w:t>Year</w:t>
            </w:r>
          </w:p>
        </w:tc>
        <w:tc>
          <w:tcPr>
            <w:tcW w:w="1000" w:type="pct"/>
            <w:noWrap/>
            <w:hideMark/>
          </w:tcPr>
          <w:p w14:paraId="38F3E2F6" w14:textId="77777777" w:rsidR="009257D9" w:rsidRPr="00352042" w:rsidRDefault="009257D9" w:rsidP="00352042">
            <w:pPr>
              <w:pStyle w:val="TableHeading"/>
            </w:pPr>
            <w:r w:rsidRPr="00352042">
              <w:t>3 months or less</w:t>
            </w:r>
          </w:p>
        </w:tc>
        <w:tc>
          <w:tcPr>
            <w:tcW w:w="1000" w:type="pct"/>
            <w:noWrap/>
            <w:hideMark/>
          </w:tcPr>
          <w:p w14:paraId="7F56BFE5" w14:textId="77777777" w:rsidR="009257D9" w:rsidRPr="00352042" w:rsidRDefault="009257D9" w:rsidP="00352042">
            <w:pPr>
              <w:pStyle w:val="TableHeading"/>
            </w:pPr>
            <w:r w:rsidRPr="00352042">
              <w:t>&lt;3 to 6 months</w:t>
            </w:r>
          </w:p>
        </w:tc>
        <w:tc>
          <w:tcPr>
            <w:tcW w:w="1000" w:type="pct"/>
            <w:noWrap/>
            <w:hideMark/>
          </w:tcPr>
          <w:p w14:paraId="3E0CADCD" w14:textId="77777777" w:rsidR="009257D9" w:rsidRPr="00352042" w:rsidRDefault="009257D9" w:rsidP="00352042">
            <w:pPr>
              <w:pStyle w:val="TableHeading"/>
            </w:pPr>
            <w:r w:rsidRPr="00352042">
              <w:t>&lt;6 to 12 months</w:t>
            </w:r>
          </w:p>
        </w:tc>
        <w:tc>
          <w:tcPr>
            <w:tcW w:w="1000" w:type="pct"/>
            <w:noWrap/>
            <w:hideMark/>
          </w:tcPr>
          <w:p w14:paraId="077463D3" w14:textId="77777777" w:rsidR="009257D9" w:rsidRPr="00352042" w:rsidRDefault="009257D9" w:rsidP="00352042">
            <w:pPr>
              <w:pStyle w:val="TableHeading"/>
            </w:pPr>
            <w:r w:rsidRPr="00352042">
              <w:t>More than 12 months</w:t>
            </w:r>
          </w:p>
        </w:tc>
      </w:tr>
      <w:tr w:rsidR="00520D23" w:rsidRPr="00352042" w14:paraId="097B1EA9" w14:textId="77777777" w:rsidTr="00520D23">
        <w:trPr>
          <w:trHeight w:val="310"/>
        </w:trPr>
        <w:tc>
          <w:tcPr>
            <w:tcW w:w="1000" w:type="pct"/>
            <w:noWrap/>
            <w:hideMark/>
          </w:tcPr>
          <w:p w14:paraId="30A5819F" w14:textId="77777777" w:rsidR="009257D9" w:rsidRPr="00352042" w:rsidRDefault="009257D9" w:rsidP="00352042">
            <w:pPr>
              <w:pStyle w:val="TableBody"/>
            </w:pPr>
            <w:r w:rsidRPr="00352042">
              <w:t>2012</w:t>
            </w:r>
          </w:p>
        </w:tc>
        <w:tc>
          <w:tcPr>
            <w:tcW w:w="1000" w:type="pct"/>
            <w:noWrap/>
            <w:hideMark/>
          </w:tcPr>
          <w:p w14:paraId="586A7FE3" w14:textId="77777777" w:rsidR="009257D9" w:rsidRPr="00352042" w:rsidRDefault="009257D9" w:rsidP="00352042">
            <w:pPr>
              <w:pStyle w:val="TableBody"/>
            </w:pPr>
            <w:r w:rsidRPr="00352042">
              <w:t>80.3</w:t>
            </w:r>
          </w:p>
        </w:tc>
        <w:tc>
          <w:tcPr>
            <w:tcW w:w="1000" w:type="pct"/>
            <w:noWrap/>
            <w:hideMark/>
          </w:tcPr>
          <w:p w14:paraId="08B8FA1D" w14:textId="77777777" w:rsidR="009257D9" w:rsidRPr="00352042" w:rsidRDefault="009257D9" w:rsidP="00352042">
            <w:pPr>
              <w:pStyle w:val="TableBody"/>
            </w:pPr>
            <w:r w:rsidRPr="00352042">
              <w:t>13.5</w:t>
            </w:r>
          </w:p>
        </w:tc>
        <w:tc>
          <w:tcPr>
            <w:tcW w:w="1000" w:type="pct"/>
            <w:noWrap/>
            <w:hideMark/>
          </w:tcPr>
          <w:p w14:paraId="3B5FEB6C" w14:textId="77777777" w:rsidR="009257D9" w:rsidRPr="00352042" w:rsidRDefault="009257D9" w:rsidP="00352042">
            <w:pPr>
              <w:pStyle w:val="TableBody"/>
            </w:pPr>
            <w:r w:rsidRPr="00352042">
              <w:t>5.4</w:t>
            </w:r>
          </w:p>
        </w:tc>
        <w:tc>
          <w:tcPr>
            <w:tcW w:w="1000" w:type="pct"/>
            <w:noWrap/>
            <w:hideMark/>
          </w:tcPr>
          <w:p w14:paraId="69D7739C" w14:textId="77777777" w:rsidR="009257D9" w:rsidRPr="00352042" w:rsidRDefault="009257D9" w:rsidP="00352042">
            <w:pPr>
              <w:pStyle w:val="TableBody"/>
            </w:pPr>
            <w:r w:rsidRPr="00352042">
              <w:t>0.8</w:t>
            </w:r>
          </w:p>
        </w:tc>
      </w:tr>
      <w:tr w:rsidR="00520D23" w:rsidRPr="00352042" w14:paraId="3DA79A1F" w14:textId="77777777" w:rsidTr="00520D23">
        <w:trPr>
          <w:trHeight w:val="310"/>
        </w:trPr>
        <w:tc>
          <w:tcPr>
            <w:tcW w:w="1000" w:type="pct"/>
            <w:noWrap/>
            <w:hideMark/>
          </w:tcPr>
          <w:p w14:paraId="5353FDF4" w14:textId="77777777" w:rsidR="009257D9" w:rsidRPr="00352042" w:rsidRDefault="009257D9" w:rsidP="00352042">
            <w:pPr>
              <w:pStyle w:val="TableBody"/>
            </w:pPr>
            <w:r w:rsidRPr="00352042">
              <w:t>2013</w:t>
            </w:r>
          </w:p>
        </w:tc>
        <w:tc>
          <w:tcPr>
            <w:tcW w:w="1000" w:type="pct"/>
            <w:noWrap/>
            <w:hideMark/>
          </w:tcPr>
          <w:p w14:paraId="58425B32" w14:textId="77777777" w:rsidR="009257D9" w:rsidRPr="00352042" w:rsidRDefault="009257D9" w:rsidP="00352042">
            <w:pPr>
              <w:pStyle w:val="TableBody"/>
            </w:pPr>
            <w:r w:rsidRPr="00352042">
              <w:t>84.2</w:t>
            </w:r>
          </w:p>
        </w:tc>
        <w:tc>
          <w:tcPr>
            <w:tcW w:w="1000" w:type="pct"/>
            <w:noWrap/>
            <w:hideMark/>
          </w:tcPr>
          <w:p w14:paraId="04B17A0A" w14:textId="77777777" w:rsidR="009257D9" w:rsidRPr="00352042" w:rsidRDefault="009257D9" w:rsidP="00352042">
            <w:pPr>
              <w:pStyle w:val="TableBody"/>
            </w:pPr>
            <w:r w:rsidRPr="00352042">
              <w:t>12.1</w:t>
            </w:r>
          </w:p>
        </w:tc>
        <w:tc>
          <w:tcPr>
            <w:tcW w:w="1000" w:type="pct"/>
            <w:noWrap/>
            <w:hideMark/>
          </w:tcPr>
          <w:p w14:paraId="27A38230" w14:textId="77777777" w:rsidR="009257D9" w:rsidRPr="00352042" w:rsidRDefault="009257D9" w:rsidP="00352042">
            <w:pPr>
              <w:pStyle w:val="TableBody"/>
            </w:pPr>
            <w:r w:rsidRPr="00352042">
              <w:t>3.4</w:t>
            </w:r>
          </w:p>
        </w:tc>
        <w:tc>
          <w:tcPr>
            <w:tcW w:w="1000" w:type="pct"/>
            <w:noWrap/>
            <w:hideMark/>
          </w:tcPr>
          <w:p w14:paraId="46C639E3" w14:textId="77777777" w:rsidR="009257D9" w:rsidRPr="00352042" w:rsidRDefault="009257D9" w:rsidP="00352042">
            <w:pPr>
              <w:pStyle w:val="TableBody"/>
            </w:pPr>
            <w:r w:rsidRPr="00352042">
              <w:t>0.3</w:t>
            </w:r>
          </w:p>
        </w:tc>
      </w:tr>
      <w:tr w:rsidR="00520D23" w:rsidRPr="00352042" w14:paraId="48C618EB" w14:textId="77777777" w:rsidTr="00520D23">
        <w:trPr>
          <w:trHeight w:val="310"/>
        </w:trPr>
        <w:tc>
          <w:tcPr>
            <w:tcW w:w="1000" w:type="pct"/>
            <w:noWrap/>
            <w:hideMark/>
          </w:tcPr>
          <w:p w14:paraId="61D07D3D" w14:textId="77777777" w:rsidR="009257D9" w:rsidRPr="00352042" w:rsidRDefault="009257D9" w:rsidP="00352042">
            <w:pPr>
              <w:pStyle w:val="TableBody"/>
            </w:pPr>
            <w:r w:rsidRPr="00352042">
              <w:t>2014</w:t>
            </w:r>
          </w:p>
        </w:tc>
        <w:tc>
          <w:tcPr>
            <w:tcW w:w="1000" w:type="pct"/>
            <w:noWrap/>
            <w:hideMark/>
          </w:tcPr>
          <w:p w14:paraId="16616F2B" w14:textId="77777777" w:rsidR="009257D9" w:rsidRPr="00352042" w:rsidRDefault="009257D9" w:rsidP="00352042">
            <w:pPr>
              <w:pStyle w:val="TableBody"/>
            </w:pPr>
            <w:r w:rsidRPr="00352042">
              <w:t>68.9</w:t>
            </w:r>
          </w:p>
        </w:tc>
        <w:tc>
          <w:tcPr>
            <w:tcW w:w="1000" w:type="pct"/>
            <w:noWrap/>
            <w:hideMark/>
          </w:tcPr>
          <w:p w14:paraId="32F28E94" w14:textId="77777777" w:rsidR="009257D9" w:rsidRPr="00352042" w:rsidRDefault="009257D9" w:rsidP="00352042">
            <w:pPr>
              <w:pStyle w:val="TableBody"/>
            </w:pPr>
            <w:r w:rsidRPr="00352042">
              <w:t>23.7</w:t>
            </w:r>
          </w:p>
        </w:tc>
        <w:tc>
          <w:tcPr>
            <w:tcW w:w="1000" w:type="pct"/>
            <w:noWrap/>
            <w:hideMark/>
          </w:tcPr>
          <w:p w14:paraId="1E5481F5" w14:textId="77777777" w:rsidR="009257D9" w:rsidRPr="00352042" w:rsidRDefault="009257D9" w:rsidP="00352042">
            <w:pPr>
              <w:pStyle w:val="TableBody"/>
            </w:pPr>
            <w:r w:rsidRPr="00352042">
              <w:t>6.3</w:t>
            </w:r>
          </w:p>
        </w:tc>
        <w:tc>
          <w:tcPr>
            <w:tcW w:w="1000" w:type="pct"/>
            <w:noWrap/>
            <w:hideMark/>
          </w:tcPr>
          <w:p w14:paraId="2B0A64B4" w14:textId="77777777" w:rsidR="009257D9" w:rsidRPr="00352042" w:rsidRDefault="009257D9" w:rsidP="00352042">
            <w:pPr>
              <w:pStyle w:val="TableBody"/>
            </w:pPr>
            <w:r w:rsidRPr="00352042">
              <w:t>1.1</w:t>
            </w:r>
          </w:p>
        </w:tc>
      </w:tr>
      <w:tr w:rsidR="00520D23" w:rsidRPr="00352042" w14:paraId="5ED10FE9" w14:textId="77777777" w:rsidTr="00520D23">
        <w:trPr>
          <w:trHeight w:val="310"/>
        </w:trPr>
        <w:tc>
          <w:tcPr>
            <w:tcW w:w="1000" w:type="pct"/>
            <w:noWrap/>
            <w:hideMark/>
          </w:tcPr>
          <w:p w14:paraId="72B6CCCE" w14:textId="77777777" w:rsidR="009257D9" w:rsidRPr="00352042" w:rsidRDefault="009257D9" w:rsidP="00352042">
            <w:pPr>
              <w:pStyle w:val="TableBody"/>
            </w:pPr>
            <w:r w:rsidRPr="00352042">
              <w:t>2015</w:t>
            </w:r>
          </w:p>
        </w:tc>
        <w:tc>
          <w:tcPr>
            <w:tcW w:w="1000" w:type="pct"/>
            <w:noWrap/>
            <w:hideMark/>
          </w:tcPr>
          <w:p w14:paraId="69DBE814" w14:textId="77777777" w:rsidR="009257D9" w:rsidRPr="00352042" w:rsidRDefault="009257D9" w:rsidP="00352042">
            <w:pPr>
              <w:pStyle w:val="TableBody"/>
            </w:pPr>
            <w:r w:rsidRPr="00352042">
              <w:t>51.6</w:t>
            </w:r>
          </w:p>
        </w:tc>
        <w:tc>
          <w:tcPr>
            <w:tcW w:w="1000" w:type="pct"/>
            <w:noWrap/>
            <w:hideMark/>
          </w:tcPr>
          <w:p w14:paraId="3463412D" w14:textId="77777777" w:rsidR="009257D9" w:rsidRPr="00352042" w:rsidRDefault="009257D9" w:rsidP="00352042">
            <w:pPr>
              <w:pStyle w:val="TableBody"/>
            </w:pPr>
            <w:r w:rsidRPr="00352042">
              <w:t>32.4</w:t>
            </w:r>
          </w:p>
        </w:tc>
        <w:tc>
          <w:tcPr>
            <w:tcW w:w="1000" w:type="pct"/>
            <w:noWrap/>
            <w:hideMark/>
          </w:tcPr>
          <w:p w14:paraId="5EC82321" w14:textId="77777777" w:rsidR="009257D9" w:rsidRPr="00352042" w:rsidRDefault="009257D9" w:rsidP="00352042">
            <w:pPr>
              <w:pStyle w:val="TableBody"/>
            </w:pPr>
            <w:r w:rsidRPr="00352042">
              <w:t>13.5</w:t>
            </w:r>
          </w:p>
        </w:tc>
        <w:tc>
          <w:tcPr>
            <w:tcW w:w="1000" w:type="pct"/>
            <w:noWrap/>
            <w:hideMark/>
          </w:tcPr>
          <w:p w14:paraId="3EF88347" w14:textId="77777777" w:rsidR="009257D9" w:rsidRPr="00352042" w:rsidRDefault="009257D9" w:rsidP="00352042">
            <w:pPr>
              <w:pStyle w:val="TableBody"/>
            </w:pPr>
            <w:r w:rsidRPr="00352042">
              <w:t>2.5</w:t>
            </w:r>
          </w:p>
        </w:tc>
      </w:tr>
      <w:tr w:rsidR="00520D23" w:rsidRPr="00352042" w14:paraId="55106256" w14:textId="77777777" w:rsidTr="00520D23">
        <w:trPr>
          <w:trHeight w:val="310"/>
        </w:trPr>
        <w:tc>
          <w:tcPr>
            <w:tcW w:w="1000" w:type="pct"/>
            <w:noWrap/>
            <w:hideMark/>
          </w:tcPr>
          <w:p w14:paraId="155C44AD" w14:textId="77777777" w:rsidR="009257D9" w:rsidRPr="00352042" w:rsidRDefault="009257D9" w:rsidP="00352042">
            <w:pPr>
              <w:pStyle w:val="TableBody"/>
            </w:pPr>
            <w:r w:rsidRPr="00352042">
              <w:t>2016</w:t>
            </w:r>
          </w:p>
        </w:tc>
        <w:tc>
          <w:tcPr>
            <w:tcW w:w="1000" w:type="pct"/>
            <w:noWrap/>
            <w:hideMark/>
          </w:tcPr>
          <w:p w14:paraId="0FC34AF6" w14:textId="77777777" w:rsidR="009257D9" w:rsidRPr="00352042" w:rsidRDefault="009257D9" w:rsidP="00352042">
            <w:pPr>
              <w:pStyle w:val="TableBody"/>
            </w:pPr>
            <w:r w:rsidRPr="00352042">
              <w:t>54.9</w:t>
            </w:r>
          </w:p>
        </w:tc>
        <w:tc>
          <w:tcPr>
            <w:tcW w:w="1000" w:type="pct"/>
            <w:noWrap/>
            <w:hideMark/>
          </w:tcPr>
          <w:p w14:paraId="521F75FD" w14:textId="77777777" w:rsidR="009257D9" w:rsidRPr="00352042" w:rsidRDefault="009257D9" w:rsidP="00352042">
            <w:pPr>
              <w:pStyle w:val="TableBody"/>
            </w:pPr>
            <w:r w:rsidRPr="00352042">
              <w:t>30.1</w:t>
            </w:r>
          </w:p>
        </w:tc>
        <w:tc>
          <w:tcPr>
            <w:tcW w:w="1000" w:type="pct"/>
            <w:noWrap/>
            <w:hideMark/>
          </w:tcPr>
          <w:p w14:paraId="1BFE54B6" w14:textId="77777777" w:rsidR="009257D9" w:rsidRPr="00352042" w:rsidRDefault="009257D9" w:rsidP="00352042">
            <w:pPr>
              <w:pStyle w:val="TableBody"/>
            </w:pPr>
            <w:r w:rsidRPr="00352042">
              <w:t>12.7</w:t>
            </w:r>
          </w:p>
        </w:tc>
        <w:tc>
          <w:tcPr>
            <w:tcW w:w="1000" w:type="pct"/>
            <w:noWrap/>
            <w:hideMark/>
          </w:tcPr>
          <w:p w14:paraId="07048FE1" w14:textId="77777777" w:rsidR="009257D9" w:rsidRPr="00352042" w:rsidRDefault="009257D9" w:rsidP="00352042">
            <w:pPr>
              <w:pStyle w:val="TableBody"/>
            </w:pPr>
            <w:r w:rsidRPr="00352042">
              <w:t>2.3</w:t>
            </w:r>
          </w:p>
        </w:tc>
      </w:tr>
      <w:tr w:rsidR="00520D23" w:rsidRPr="00352042" w14:paraId="7F01341C" w14:textId="77777777" w:rsidTr="00520D23">
        <w:trPr>
          <w:trHeight w:val="310"/>
        </w:trPr>
        <w:tc>
          <w:tcPr>
            <w:tcW w:w="1000" w:type="pct"/>
            <w:noWrap/>
            <w:hideMark/>
          </w:tcPr>
          <w:p w14:paraId="70994E89" w14:textId="77777777" w:rsidR="009257D9" w:rsidRPr="00352042" w:rsidRDefault="009257D9" w:rsidP="00352042">
            <w:pPr>
              <w:pStyle w:val="TableBody"/>
            </w:pPr>
            <w:r w:rsidRPr="00352042">
              <w:t>2017</w:t>
            </w:r>
          </w:p>
        </w:tc>
        <w:tc>
          <w:tcPr>
            <w:tcW w:w="1000" w:type="pct"/>
            <w:noWrap/>
            <w:hideMark/>
          </w:tcPr>
          <w:p w14:paraId="4466E10B" w14:textId="77777777" w:rsidR="009257D9" w:rsidRPr="00352042" w:rsidRDefault="009257D9" w:rsidP="00352042">
            <w:pPr>
              <w:pStyle w:val="TableBody"/>
            </w:pPr>
            <w:r w:rsidRPr="00352042">
              <w:t>54.2</w:t>
            </w:r>
          </w:p>
        </w:tc>
        <w:tc>
          <w:tcPr>
            <w:tcW w:w="1000" w:type="pct"/>
            <w:noWrap/>
            <w:hideMark/>
          </w:tcPr>
          <w:p w14:paraId="39D445D4" w14:textId="77777777" w:rsidR="009257D9" w:rsidRPr="00352042" w:rsidRDefault="009257D9" w:rsidP="00352042">
            <w:pPr>
              <w:pStyle w:val="TableBody"/>
            </w:pPr>
            <w:r w:rsidRPr="00352042">
              <w:t>30.9</w:t>
            </w:r>
          </w:p>
        </w:tc>
        <w:tc>
          <w:tcPr>
            <w:tcW w:w="1000" w:type="pct"/>
            <w:noWrap/>
            <w:hideMark/>
          </w:tcPr>
          <w:p w14:paraId="1F879FE6" w14:textId="77777777" w:rsidR="009257D9" w:rsidRPr="00352042" w:rsidRDefault="009257D9" w:rsidP="00352042">
            <w:pPr>
              <w:pStyle w:val="TableBody"/>
            </w:pPr>
            <w:r w:rsidRPr="00352042">
              <w:t>13.5</w:t>
            </w:r>
          </w:p>
        </w:tc>
        <w:tc>
          <w:tcPr>
            <w:tcW w:w="1000" w:type="pct"/>
            <w:noWrap/>
            <w:hideMark/>
          </w:tcPr>
          <w:p w14:paraId="310DF1C7" w14:textId="77777777" w:rsidR="009257D9" w:rsidRPr="00352042" w:rsidRDefault="009257D9" w:rsidP="00352042">
            <w:pPr>
              <w:pStyle w:val="TableBody"/>
            </w:pPr>
            <w:r w:rsidRPr="00352042">
              <w:t>1.4</w:t>
            </w:r>
          </w:p>
        </w:tc>
      </w:tr>
      <w:tr w:rsidR="00520D23" w:rsidRPr="00352042" w14:paraId="2B8619CA" w14:textId="77777777" w:rsidTr="00520D23">
        <w:trPr>
          <w:trHeight w:val="310"/>
        </w:trPr>
        <w:tc>
          <w:tcPr>
            <w:tcW w:w="1000" w:type="pct"/>
            <w:noWrap/>
            <w:hideMark/>
          </w:tcPr>
          <w:p w14:paraId="6C3907B0" w14:textId="77777777" w:rsidR="009257D9" w:rsidRPr="00352042" w:rsidRDefault="009257D9" w:rsidP="00352042">
            <w:pPr>
              <w:pStyle w:val="TableBody"/>
            </w:pPr>
            <w:r w:rsidRPr="00352042">
              <w:t>2018</w:t>
            </w:r>
          </w:p>
        </w:tc>
        <w:tc>
          <w:tcPr>
            <w:tcW w:w="1000" w:type="pct"/>
            <w:noWrap/>
            <w:hideMark/>
          </w:tcPr>
          <w:p w14:paraId="62E8CBF8" w14:textId="77777777" w:rsidR="009257D9" w:rsidRPr="00352042" w:rsidRDefault="009257D9" w:rsidP="00352042">
            <w:pPr>
              <w:pStyle w:val="TableBody"/>
            </w:pPr>
            <w:r w:rsidRPr="00352042">
              <w:t>57.3</w:t>
            </w:r>
          </w:p>
        </w:tc>
        <w:tc>
          <w:tcPr>
            <w:tcW w:w="1000" w:type="pct"/>
            <w:noWrap/>
            <w:hideMark/>
          </w:tcPr>
          <w:p w14:paraId="17E5CBA1" w14:textId="77777777" w:rsidR="009257D9" w:rsidRPr="00352042" w:rsidRDefault="009257D9" w:rsidP="00352042">
            <w:pPr>
              <w:pStyle w:val="TableBody"/>
            </w:pPr>
            <w:r w:rsidRPr="00352042">
              <w:t>29.7</w:t>
            </w:r>
          </w:p>
        </w:tc>
        <w:tc>
          <w:tcPr>
            <w:tcW w:w="1000" w:type="pct"/>
            <w:noWrap/>
            <w:hideMark/>
          </w:tcPr>
          <w:p w14:paraId="65C18D7E" w14:textId="77777777" w:rsidR="009257D9" w:rsidRPr="00352042" w:rsidRDefault="009257D9" w:rsidP="00352042">
            <w:pPr>
              <w:pStyle w:val="TableBody"/>
            </w:pPr>
            <w:r w:rsidRPr="00352042">
              <w:t>11.8</w:t>
            </w:r>
          </w:p>
        </w:tc>
        <w:tc>
          <w:tcPr>
            <w:tcW w:w="1000" w:type="pct"/>
            <w:noWrap/>
            <w:hideMark/>
          </w:tcPr>
          <w:p w14:paraId="4D5E08D8" w14:textId="77777777" w:rsidR="009257D9" w:rsidRPr="00352042" w:rsidRDefault="009257D9" w:rsidP="00352042">
            <w:pPr>
              <w:pStyle w:val="TableBody"/>
            </w:pPr>
            <w:r w:rsidRPr="00352042">
              <w:t>1.1</w:t>
            </w:r>
          </w:p>
        </w:tc>
      </w:tr>
      <w:tr w:rsidR="00520D23" w:rsidRPr="00352042" w14:paraId="4F2A1299" w14:textId="77777777" w:rsidTr="00520D23">
        <w:trPr>
          <w:trHeight w:val="310"/>
        </w:trPr>
        <w:tc>
          <w:tcPr>
            <w:tcW w:w="1000" w:type="pct"/>
            <w:noWrap/>
            <w:hideMark/>
          </w:tcPr>
          <w:p w14:paraId="5298339F" w14:textId="77777777" w:rsidR="009257D9" w:rsidRPr="00352042" w:rsidRDefault="009257D9" w:rsidP="00352042">
            <w:pPr>
              <w:pStyle w:val="TableBody"/>
            </w:pPr>
            <w:r w:rsidRPr="00352042">
              <w:t>2019</w:t>
            </w:r>
          </w:p>
        </w:tc>
        <w:tc>
          <w:tcPr>
            <w:tcW w:w="1000" w:type="pct"/>
            <w:noWrap/>
            <w:hideMark/>
          </w:tcPr>
          <w:p w14:paraId="3401416A" w14:textId="77777777" w:rsidR="009257D9" w:rsidRPr="00352042" w:rsidRDefault="009257D9" w:rsidP="00352042">
            <w:pPr>
              <w:pStyle w:val="TableBody"/>
            </w:pPr>
            <w:r w:rsidRPr="00352042">
              <w:t>54.2</w:t>
            </w:r>
          </w:p>
        </w:tc>
        <w:tc>
          <w:tcPr>
            <w:tcW w:w="1000" w:type="pct"/>
            <w:noWrap/>
            <w:hideMark/>
          </w:tcPr>
          <w:p w14:paraId="2F375381" w14:textId="77777777" w:rsidR="009257D9" w:rsidRPr="00352042" w:rsidRDefault="009257D9" w:rsidP="00352042">
            <w:pPr>
              <w:pStyle w:val="TableBody"/>
            </w:pPr>
            <w:r w:rsidRPr="00352042">
              <w:t>30.9</w:t>
            </w:r>
          </w:p>
        </w:tc>
        <w:tc>
          <w:tcPr>
            <w:tcW w:w="1000" w:type="pct"/>
            <w:noWrap/>
            <w:hideMark/>
          </w:tcPr>
          <w:p w14:paraId="788B4717" w14:textId="77777777" w:rsidR="009257D9" w:rsidRPr="00352042" w:rsidRDefault="009257D9" w:rsidP="00352042">
            <w:pPr>
              <w:pStyle w:val="TableBody"/>
            </w:pPr>
            <w:r w:rsidRPr="00352042">
              <w:t>13.9</w:t>
            </w:r>
          </w:p>
        </w:tc>
        <w:tc>
          <w:tcPr>
            <w:tcW w:w="1000" w:type="pct"/>
            <w:noWrap/>
            <w:hideMark/>
          </w:tcPr>
          <w:p w14:paraId="12332549" w14:textId="77777777" w:rsidR="009257D9" w:rsidRPr="00352042" w:rsidRDefault="009257D9" w:rsidP="00352042">
            <w:pPr>
              <w:pStyle w:val="TableBody"/>
            </w:pPr>
            <w:r w:rsidRPr="00352042">
              <w:t>1.0</w:t>
            </w:r>
          </w:p>
        </w:tc>
      </w:tr>
      <w:tr w:rsidR="00520D23" w:rsidRPr="00352042" w14:paraId="51E14034" w14:textId="77777777" w:rsidTr="00520D23">
        <w:trPr>
          <w:trHeight w:val="310"/>
        </w:trPr>
        <w:tc>
          <w:tcPr>
            <w:tcW w:w="1000" w:type="pct"/>
            <w:noWrap/>
            <w:hideMark/>
          </w:tcPr>
          <w:p w14:paraId="1C185073" w14:textId="77777777" w:rsidR="009257D9" w:rsidRPr="00352042" w:rsidRDefault="009257D9" w:rsidP="00352042">
            <w:pPr>
              <w:pStyle w:val="TableBody"/>
            </w:pPr>
            <w:r w:rsidRPr="00352042">
              <w:t>2020</w:t>
            </w:r>
          </w:p>
        </w:tc>
        <w:tc>
          <w:tcPr>
            <w:tcW w:w="1000" w:type="pct"/>
            <w:noWrap/>
            <w:hideMark/>
          </w:tcPr>
          <w:p w14:paraId="6BD30F96" w14:textId="77777777" w:rsidR="009257D9" w:rsidRPr="00352042" w:rsidRDefault="009257D9" w:rsidP="00352042">
            <w:pPr>
              <w:pStyle w:val="TableBody"/>
            </w:pPr>
            <w:r w:rsidRPr="00352042">
              <w:t>55.1</w:t>
            </w:r>
          </w:p>
        </w:tc>
        <w:tc>
          <w:tcPr>
            <w:tcW w:w="1000" w:type="pct"/>
            <w:noWrap/>
            <w:hideMark/>
          </w:tcPr>
          <w:p w14:paraId="1B09D618" w14:textId="77777777" w:rsidR="009257D9" w:rsidRPr="00352042" w:rsidRDefault="009257D9" w:rsidP="00352042">
            <w:pPr>
              <w:pStyle w:val="TableBody"/>
            </w:pPr>
            <w:r w:rsidRPr="00352042">
              <w:t>30.7</w:t>
            </w:r>
          </w:p>
        </w:tc>
        <w:tc>
          <w:tcPr>
            <w:tcW w:w="1000" w:type="pct"/>
            <w:noWrap/>
            <w:hideMark/>
          </w:tcPr>
          <w:p w14:paraId="63672012" w14:textId="77777777" w:rsidR="009257D9" w:rsidRPr="00352042" w:rsidRDefault="009257D9" w:rsidP="00352042">
            <w:pPr>
              <w:pStyle w:val="TableBody"/>
            </w:pPr>
            <w:r w:rsidRPr="00352042">
              <w:t>13.4</w:t>
            </w:r>
          </w:p>
        </w:tc>
        <w:tc>
          <w:tcPr>
            <w:tcW w:w="1000" w:type="pct"/>
            <w:noWrap/>
            <w:hideMark/>
          </w:tcPr>
          <w:p w14:paraId="06464C14" w14:textId="77777777" w:rsidR="009257D9" w:rsidRPr="00352042" w:rsidRDefault="009257D9" w:rsidP="00352042">
            <w:pPr>
              <w:pStyle w:val="TableBody"/>
            </w:pPr>
            <w:r w:rsidRPr="00352042">
              <w:t>0.7</w:t>
            </w:r>
          </w:p>
        </w:tc>
      </w:tr>
    </w:tbl>
    <w:p w14:paraId="12B861DA" w14:textId="77777777" w:rsidR="005801E0" w:rsidRPr="006B4A5D" w:rsidRDefault="005801E0" w:rsidP="00A612BA">
      <w:r w:rsidRPr="006B4A5D">
        <w:t xml:space="preserve">In comparison, it seems that </w:t>
      </w:r>
      <w:r w:rsidRPr="006B4A5D">
        <w:rPr>
          <w:rStyle w:val="Italic"/>
        </w:rPr>
        <w:t>both</w:t>
      </w:r>
      <w:r w:rsidRPr="006B4A5D">
        <w:t xml:space="preserve"> the 2014 reform and the 2017 reform had significant effects in the higher courts. While the majority of imprisonment components of combined orders were 3 months or less in 2012 (86.7%) and 2013 (62.9%), those had dropped to 21.9% in 2014 and 9.5% in 2015 (Figure 6). Instead, since 2014 the majority of imprisonment lengths in combined orders in the higher courts have been longer than 6 months. There were also 2 years – 2015 (40.1% ) and 2016 (40.6%) – when imprisonment lengths in excess of 12 months were especially prevalent. These were the same 2 full years in which the maximum additional prison term that could be imposed in a combined order was 2 years rather than 1 year. In essence, the data suggests that both of the legislative reforms – extending the maximum additional prison term from 3 months to 2 years in 2014 and then reducing it to 1 year in 2017 – had their intended effects. As to the Court of Appeal’s observation </w:t>
      </w:r>
      <w:r w:rsidRPr="006B4A5D">
        <w:lastRenderedPageBreak/>
        <w:t>in 2016 about a ‘spate’ of 23-month prison sentences,</w:t>
      </w:r>
      <w:r w:rsidRPr="006B4A5D">
        <w:rPr>
          <w:rStyle w:val="Superscript"/>
        </w:rPr>
        <w:footnoteReference w:id="47"/>
      </w:r>
      <w:r w:rsidRPr="006B4A5D">
        <w:t xml:space="preserve"> there were indeed 17 such sentences in 2015 and another 14 in 2016, but only 4 or less every other year. </w:t>
      </w:r>
    </w:p>
    <w:p w14:paraId="468EA7BC" w14:textId="77777777" w:rsidR="005801E0" w:rsidRPr="006B4A5D" w:rsidRDefault="005801E0" w:rsidP="00C34438">
      <w:pPr>
        <w:pStyle w:val="Caption"/>
      </w:pPr>
      <w:r w:rsidRPr="006B4A5D">
        <w:t>Figure 6: Proportion of combined order cases in the higher courts, by imprisonment length, 2012 to 2020 (1,869 cases)</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932C40" w:rsidRPr="00932C40" w14:paraId="61E24069" w14:textId="77777777" w:rsidTr="00F16D63">
        <w:trPr>
          <w:trHeight w:val="310"/>
          <w:tblHeader/>
        </w:trPr>
        <w:tc>
          <w:tcPr>
            <w:tcW w:w="1000" w:type="pct"/>
            <w:noWrap/>
            <w:hideMark/>
          </w:tcPr>
          <w:p w14:paraId="7A8F39F7" w14:textId="23DE2B3C" w:rsidR="00932C40" w:rsidRPr="00932C40" w:rsidRDefault="00932C40" w:rsidP="00932C40">
            <w:pPr>
              <w:pStyle w:val="TableHeading"/>
            </w:pPr>
            <w:r>
              <w:t>Year</w:t>
            </w:r>
          </w:p>
        </w:tc>
        <w:tc>
          <w:tcPr>
            <w:tcW w:w="1000" w:type="pct"/>
            <w:noWrap/>
            <w:hideMark/>
          </w:tcPr>
          <w:p w14:paraId="63AFADD7" w14:textId="77777777" w:rsidR="00932C40" w:rsidRPr="00932C40" w:rsidRDefault="00932C40" w:rsidP="00932C40">
            <w:pPr>
              <w:pStyle w:val="TableHeading"/>
            </w:pPr>
            <w:r w:rsidRPr="00932C40">
              <w:t>3 months or less</w:t>
            </w:r>
          </w:p>
        </w:tc>
        <w:tc>
          <w:tcPr>
            <w:tcW w:w="1000" w:type="pct"/>
            <w:noWrap/>
            <w:hideMark/>
          </w:tcPr>
          <w:p w14:paraId="65AD0DB6" w14:textId="77777777" w:rsidR="00932C40" w:rsidRPr="00932C40" w:rsidRDefault="00932C40" w:rsidP="00932C40">
            <w:pPr>
              <w:pStyle w:val="TableHeading"/>
            </w:pPr>
            <w:r w:rsidRPr="00932C40">
              <w:t>&lt;3 to 6 months</w:t>
            </w:r>
          </w:p>
        </w:tc>
        <w:tc>
          <w:tcPr>
            <w:tcW w:w="1000" w:type="pct"/>
            <w:noWrap/>
            <w:hideMark/>
          </w:tcPr>
          <w:p w14:paraId="3AF3DB94" w14:textId="77777777" w:rsidR="00932C40" w:rsidRPr="00932C40" w:rsidRDefault="00932C40" w:rsidP="00932C40">
            <w:pPr>
              <w:pStyle w:val="TableHeading"/>
            </w:pPr>
            <w:r w:rsidRPr="00932C40">
              <w:t>&lt;6 to 12 months</w:t>
            </w:r>
          </w:p>
        </w:tc>
        <w:tc>
          <w:tcPr>
            <w:tcW w:w="1000" w:type="pct"/>
            <w:noWrap/>
            <w:hideMark/>
          </w:tcPr>
          <w:p w14:paraId="383B9C26" w14:textId="77777777" w:rsidR="00932C40" w:rsidRPr="00932C40" w:rsidRDefault="00932C40" w:rsidP="00932C40">
            <w:pPr>
              <w:pStyle w:val="TableHeading"/>
            </w:pPr>
            <w:r w:rsidRPr="00932C40">
              <w:t>More than 12 months</w:t>
            </w:r>
          </w:p>
        </w:tc>
      </w:tr>
      <w:tr w:rsidR="00932C40" w:rsidRPr="00932C40" w14:paraId="2D55596F" w14:textId="77777777" w:rsidTr="00D750B2">
        <w:trPr>
          <w:trHeight w:val="310"/>
        </w:trPr>
        <w:tc>
          <w:tcPr>
            <w:tcW w:w="1000" w:type="pct"/>
            <w:noWrap/>
            <w:hideMark/>
          </w:tcPr>
          <w:p w14:paraId="3FCDD77C" w14:textId="77777777" w:rsidR="00932C40" w:rsidRPr="00932C40" w:rsidRDefault="00932C40" w:rsidP="00932C40">
            <w:pPr>
              <w:pStyle w:val="TableBody"/>
            </w:pPr>
            <w:r w:rsidRPr="00932C40">
              <w:t>2012</w:t>
            </w:r>
          </w:p>
        </w:tc>
        <w:tc>
          <w:tcPr>
            <w:tcW w:w="1000" w:type="pct"/>
            <w:noWrap/>
            <w:hideMark/>
          </w:tcPr>
          <w:p w14:paraId="56D073A2" w14:textId="77777777" w:rsidR="00932C40" w:rsidRPr="00932C40" w:rsidRDefault="00932C40" w:rsidP="00932C40">
            <w:pPr>
              <w:pStyle w:val="TableBody"/>
            </w:pPr>
            <w:r w:rsidRPr="00932C40">
              <w:t>86.7</w:t>
            </w:r>
          </w:p>
        </w:tc>
        <w:tc>
          <w:tcPr>
            <w:tcW w:w="1000" w:type="pct"/>
            <w:noWrap/>
            <w:hideMark/>
          </w:tcPr>
          <w:p w14:paraId="15F0E18D" w14:textId="77777777" w:rsidR="00932C40" w:rsidRPr="00932C40" w:rsidRDefault="00932C40" w:rsidP="00932C40">
            <w:pPr>
              <w:pStyle w:val="TableBody"/>
            </w:pPr>
            <w:r w:rsidRPr="00932C40">
              <w:t>6.7</w:t>
            </w:r>
          </w:p>
        </w:tc>
        <w:tc>
          <w:tcPr>
            <w:tcW w:w="1000" w:type="pct"/>
            <w:noWrap/>
            <w:hideMark/>
          </w:tcPr>
          <w:p w14:paraId="55098D94" w14:textId="77777777" w:rsidR="00932C40" w:rsidRPr="00932C40" w:rsidRDefault="00932C40" w:rsidP="00932C40">
            <w:pPr>
              <w:pStyle w:val="TableBody"/>
            </w:pPr>
            <w:r w:rsidRPr="00932C40">
              <w:t>3.3</w:t>
            </w:r>
          </w:p>
        </w:tc>
        <w:tc>
          <w:tcPr>
            <w:tcW w:w="1000" w:type="pct"/>
            <w:noWrap/>
            <w:hideMark/>
          </w:tcPr>
          <w:p w14:paraId="6A8938CF" w14:textId="77777777" w:rsidR="00932C40" w:rsidRPr="00932C40" w:rsidRDefault="00932C40" w:rsidP="00932C40">
            <w:pPr>
              <w:pStyle w:val="TableBody"/>
            </w:pPr>
            <w:r w:rsidRPr="00932C40">
              <w:t>3.3</w:t>
            </w:r>
          </w:p>
        </w:tc>
      </w:tr>
      <w:tr w:rsidR="00932C40" w:rsidRPr="00932C40" w14:paraId="14440F1F" w14:textId="77777777" w:rsidTr="00D750B2">
        <w:trPr>
          <w:trHeight w:val="310"/>
        </w:trPr>
        <w:tc>
          <w:tcPr>
            <w:tcW w:w="1000" w:type="pct"/>
            <w:noWrap/>
            <w:hideMark/>
          </w:tcPr>
          <w:p w14:paraId="3E54B0F2" w14:textId="77777777" w:rsidR="00932C40" w:rsidRPr="00932C40" w:rsidRDefault="00932C40" w:rsidP="00932C40">
            <w:pPr>
              <w:pStyle w:val="TableBody"/>
            </w:pPr>
            <w:r w:rsidRPr="00932C40">
              <w:t>2013</w:t>
            </w:r>
          </w:p>
        </w:tc>
        <w:tc>
          <w:tcPr>
            <w:tcW w:w="1000" w:type="pct"/>
            <w:noWrap/>
            <w:hideMark/>
          </w:tcPr>
          <w:p w14:paraId="5215018A" w14:textId="77777777" w:rsidR="00932C40" w:rsidRPr="00932C40" w:rsidRDefault="00932C40" w:rsidP="00932C40">
            <w:pPr>
              <w:pStyle w:val="TableBody"/>
            </w:pPr>
            <w:r w:rsidRPr="00932C40">
              <w:t>62.9</w:t>
            </w:r>
          </w:p>
        </w:tc>
        <w:tc>
          <w:tcPr>
            <w:tcW w:w="1000" w:type="pct"/>
            <w:noWrap/>
            <w:hideMark/>
          </w:tcPr>
          <w:p w14:paraId="0AE8EBDE" w14:textId="77777777" w:rsidR="00932C40" w:rsidRPr="00932C40" w:rsidRDefault="00932C40" w:rsidP="00932C40">
            <w:pPr>
              <w:pStyle w:val="TableBody"/>
            </w:pPr>
            <w:r w:rsidRPr="00932C40">
              <w:t>20.0</w:t>
            </w:r>
          </w:p>
        </w:tc>
        <w:tc>
          <w:tcPr>
            <w:tcW w:w="1000" w:type="pct"/>
            <w:noWrap/>
            <w:hideMark/>
          </w:tcPr>
          <w:p w14:paraId="24AD6A3C" w14:textId="77777777" w:rsidR="00932C40" w:rsidRPr="00932C40" w:rsidRDefault="00932C40" w:rsidP="00932C40">
            <w:pPr>
              <w:pStyle w:val="TableBody"/>
            </w:pPr>
            <w:r w:rsidRPr="00932C40">
              <w:t>11.4</w:t>
            </w:r>
          </w:p>
        </w:tc>
        <w:tc>
          <w:tcPr>
            <w:tcW w:w="1000" w:type="pct"/>
            <w:noWrap/>
            <w:hideMark/>
          </w:tcPr>
          <w:p w14:paraId="2BD13752" w14:textId="77777777" w:rsidR="00932C40" w:rsidRPr="00932C40" w:rsidRDefault="00932C40" w:rsidP="00932C40">
            <w:pPr>
              <w:pStyle w:val="TableBody"/>
            </w:pPr>
            <w:r w:rsidRPr="00932C40">
              <w:t>5.7</w:t>
            </w:r>
          </w:p>
        </w:tc>
      </w:tr>
      <w:tr w:rsidR="00932C40" w:rsidRPr="00932C40" w14:paraId="2F3A7612" w14:textId="77777777" w:rsidTr="00D750B2">
        <w:trPr>
          <w:trHeight w:val="310"/>
        </w:trPr>
        <w:tc>
          <w:tcPr>
            <w:tcW w:w="1000" w:type="pct"/>
            <w:noWrap/>
            <w:hideMark/>
          </w:tcPr>
          <w:p w14:paraId="1204D2EF" w14:textId="77777777" w:rsidR="00932C40" w:rsidRPr="00932C40" w:rsidRDefault="00932C40" w:rsidP="00932C40">
            <w:pPr>
              <w:pStyle w:val="TableBody"/>
            </w:pPr>
            <w:r w:rsidRPr="00932C40">
              <w:t>2014</w:t>
            </w:r>
          </w:p>
        </w:tc>
        <w:tc>
          <w:tcPr>
            <w:tcW w:w="1000" w:type="pct"/>
            <w:noWrap/>
            <w:hideMark/>
          </w:tcPr>
          <w:p w14:paraId="5E1CD6EA" w14:textId="77777777" w:rsidR="00932C40" w:rsidRPr="00932C40" w:rsidRDefault="00932C40" w:rsidP="00932C40">
            <w:pPr>
              <w:pStyle w:val="TableBody"/>
            </w:pPr>
            <w:r w:rsidRPr="00932C40">
              <w:t>21.9</w:t>
            </w:r>
          </w:p>
        </w:tc>
        <w:tc>
          <w:tcPr>
            <w:tcW w:w="1000" w:type="pct"/>
            <w:noWrap/>
            <w:hideMark/>
          </w:tcPr>
          <w:p w14:paraId="136DC2C6" w14:textId="77777777" w:rsidR="00932C40" w:rsidRPr="00932C40" w:rsidRDefault="00932C40" w:rsidP="00932C40">
            <w:pPr>
              <w:pStyle w:val="TableBody"/>
            </w:pPr>
            <w:r w:rsidRPr="00932C40">
              <w:t>17.1</w:t>
            </w:r>
          </w:p>
        </w:tc>
        <w:tc>
          <w:tcPr>
            <w:tcW w:w="1000" w:type="pct"/>
            <w:noWrap/>
            <w:hideMark/>
          </w:tcPr>
          <w:p w14:paraId="74D5F1C1" w14:textId="77777777" w:rsidR="00932C40" w:rsidRPr="00932C40" w:rsidRDefault="00932C40" w:rsidP="00932C40">
            <w:pPr>
              <w:pStyle w:val="TableBody"/>
            </w:pPr>
            <w:r w:rsidRPr="00932C40">
              <w:t>33.3</w:t>
            </w:r>
          </w:p>
        </w:tc>
        <w:tc>
          <w:tcPr>
            <w:tcW w:w="1000" w:type="pct"/>
            <w:noWrap/>
            <w:hideMark/>
          </w:tcPr>
          <w:p w14:paraId="4EA8726C" w14:textId="77777777" w:rsidR="00932C40" w:rsidRPr="00932C40" w:rsidRDefault="00932C40" w:rsidP="00932C40">
            <w:pPr>
              <w:pStyle w:val="TableBody"/>
            </w:pPr>
            <w:r w:rsidRPr="00932C40">
              <w:t>27.6</w:t>
            </w:r>
          </w:p>
        </w:tc>
      </w:tr>
      <w:tr w:rsidR="00932C40" w:rsidRPr="00932C40" w14:paraId="71710B8E" w14:textId="77777777" w:rsidTr="00D750B2">
        <w:trPr>
          <w:trHeight w:val="310"/>
        </w:trPr>
        <w:tc>
          <w:tcPr>
            <w:tcW w:w="1000" w:type="pct"/>
            <w:noWrap/>
            <w:hideMark/>
          </w:tcPr>
          <w:p w14:paraId="70D06C66" w14:textId="77777777" w:rsidR="00932C40" w:rsidRPr="00932C40" w:rsidRDefault="00932C40" w:rsidP="00932C40">
            <w:pPr>
              <w:pStyle w:val="TableBody"/>
            </w:pPr>
            <w:r w:rsidRPr="00932C40">
              <w:t>2015</w:t>
            </w:r>
          </w:p>
        </w:tc>
        <w:tc>
          <w:tcPr>
            <w:tcW w:w="1000" w:type="pct"/>
            <w:noWrap/>
            <w:hideMark/>
          </w:tcPr>
          <w:p w14:paraId="06DB796C" w14:textId="77777777" w:rsidR="00932C40" w:rsidRPr="00932C40" w:rsidRDefault="00932C40" w:rsidP="00932C40">
            <w:pPr>
              <w:pStyle w:val="TableBody"/>
            </w:pPr>
            <w:r w:rsidRPr="00932C40">
              <w:t>9.5</w:t>
            </w:r>
          </w:p>
        </w:tc>
        <w:tc>
          <w:tcPr>
            <w:tcW w:w="1000" w:type="pct"/>
            <w:noWrap/>
            <w:hideMark/>
          </w:tcPr>
          <w:p w14:paraId="2CCDDB29" w14:textId="77777777" w:rsidR="00932C40" w:rsidRPr="00932C40" w:rsidRDefault="00932C40" w:rsidP="00932C40">
            <w:pPr>
              <w:pStyle w:val="TableBody"/>
            </w:pPr>
            <w:r w:rsidRPr="00932C40">
              <w:t>18.5</w:t>
            </w:r>
          </w:p>
        </w:tc>
        <w:tc>
          <w:tcPr>
            <w:tcW w:w="1000" w:type="pct"/>
            <w:noWrap/>
            <w:hideMark/>
          </w:tcPr>
          <w:p w14:paraId="705D6CD6" w14:textId="77777777" w:rsidR="00932C40" w:rsidRPr="00932C40" w:rsidRDefault="00932C40" w:rsidP="00932C40">
            <w:pPr>
              <w:pStyle w:val="TableBody"/>
            </w:pPr>
            <w:r w:rsidRPr="00932C40">
              <w:t>31.8</w:t>
            </w:r>
          </w:p>
        </w:tc>
        <w:tc>
          <w:tcPr>
            <w:tcW w:w="1000" w:type="pct"/>
            <w:noWrap/>
            <w:hideMark/>
          </w:tcPr>
          <w:p w14:paraId="4B254FBE" w14:textId="77777777" w:rsidR="00932C40" w:rsidRPr="00932C40" w:rsidRDefault="00932C40" w:rsidP="00932C40">
            <w:pPr>
              <w:pStyle w:val="TableBody"/>
            </w:pPr>
            <w:r w:rsidRPr="00932C40">
              <w:t>40.1</w:t>
            </w:r>
          </w:p>
        </w:tc>
      </w:tr>
      <w:tr w:rsidR="00932C40" w:rsidRPr="00932C40" w14:paraId="53DBE54E" w14:textId="77777777" w:rsidTr="00D750B2">
        <w:trPr>
          <w:trHeight w:val="310"/>
        </w:trPr>
        <w:tc>
          <w:tcPr>
            <w:tcW w:w="1000" w:type="pct"/>
            <w:noWrap/>
            <w:hideMark/>
          </w:tcPr>
          <w:p w14:paraId="18D53722" w14:textId="77777777" w:rsidR="00932C40" w:rsidRPr="00932C40" w:rsidRDefault="00932C40" w:rsidP="00932C40">
            <w:pPr>
              <w:pStyle w:val="TableBody"/>
            </w:pPr>
            <w:r w:rsidRPr="00932C40">
              <w:t>2016</w:t>
            </w:r>
          </w:p>
        </w:tc>
        <w:tc>
          <w:tcPr>
            <w:tcW w:w="1000" w:type="pct"/>
            <w:noWrap/>
            <w:hideMark/>
          </w:tcPr>
          <w:p w14:paraId="46B0C03C" w14:textId="77777777" w:rsidR="00932C40" w:rsidRPr="00932C40" w:rsidRDefault="00932C40" w:rsidP="00932C40">
            <w:pPr>
              <w:pStyle w:val="TableBody"/>
            </w:pPr>
            <w:r w:rsidRPr="00932C40">
              <w:t>14.2</w:t>
            </w:r>
          </w:p>
        </w:tc>
        <w:tc>
          <w:tcPr>
            <w:tcW w:w="1000" w:type="pct"/>
            <w:noWrap/>
            <w:hideMark/>
          </w:tcPr>
          <w:p w14:paraId="05CB9012" w14:textId="77777777" w:rsidR="00932C40" w:rsidRPr="00932C40" w:rsidRDefault="00932C40" w:rsidP="00932C40">
            <w:pPr>
              <w:pStyle w:val="TableBody"/>
            </w:pPr>
            <w:r w:rsidRPr="00932C40">
              <w:t>18.9</w:t>
            </w:r>
          </w:p>
        </w:tc>
        <w:tc>
          <w:tcPr>
            <w:tcW w:w="1000" w:type="pct"/>
            <w:noWrap/>
            <w:hideMark/>
          </w:tcPr>
          <w:p w14:paraId="6D62C6F2" w14:textId="77777777" w:rsidR="00932C40" w:rsidRPr="00932C40" w:rsidRDefault="00932C40" w:rsidP="00932C40">
            <w:pPr>
              <w:pStyle w:val="TableBody"/>
            </w:pPr>
            <w:r w:rsidRPr="00932C40">
              <w:t>26.3</w:t>
            </w:r>
          </w:p>
        </w:tc>
        <w:tc>
          <w:tcPr>
            <w:tcW w:w="1000" w:type="pct"/>
            <w:noWrap/>
            <w:hideMark/>
          </w:tcPr>
          <w:p w14:paraId="01772BE7" w14:textId="77777777" w:rsidR="00932C40" w:rsidRPr="00932C40" w:rsidRDefault="00932C40" w:rsidP="00932C40">
            <w:pPr>
              <w:pStyle w:val="TableBody"/>
            </w:pPr>
            <w:r w:rsidRPr="00932C40">
              <w:t>40.6</w:t>
            </w:r>
          </w:p>
        </w:tc>
      </w:tr>
      <w:tr w:rsidR="00932C40" w:rsidRPr="00932C40" w14:paraId="3E3A32B5" w14:textId="77777777" w:rsidTr="00D750B2">
        <w:trPr>
          <w:trHeight w:val="310"/>
        </w:trPr>
        <w:tc>
          <w:tcPr>
            <w:tcW w:w="1000" w:type="pct"/>
            <w:noWrap/>
            <w:hideMark/>
          </w:tcPr>
          <w:p w14:paraId="35F8B781" w14:textId="77777777" w:rsidR="00932C40" w:rsidRPr="00932C40" w:rsidRDefault="00932C40" w:rsidP="00932C40">
            <w:pPr>
              <w:pStyle w:val="TableBody"/>
            </w:pPr>
            <w:r w:rsidRPr="00932C40">
              <w:t>2017</w:t>
            </w:r>
          </w:p>
        </w:tc>
        <w:tc>
          <w:tcPr>
            <w:tcW w:w="1000" w:type="pct"/>
            <w:noWrap/>
            <w:hideMark/>
          </w:tcPr>
          <w:p w14:paraId="21A4B0D3" w14:textId="77777777" w:rsidR="00932C40" w:rsidRPr="00932C40" w:rsidRDefault="00932C40" w:rsidP="00932C40">
            <w:pPr>
              <w:pStyle w:val="TableBody"/>
            </w:pPr>
            <w:r w:rsidRPr="00932C40">
              <w:t>15.0</w:t>
            </w:r>
          </w:p>
        </w:tc>
        <w:tc>
          <w:tcPr>
            <w:tcW w:w="1000" w:type="pct"/>
            <w:noWrap/>
            <w:hideMark/>
          </w:tcPr>
          <w:p w14:paraId="462043C7" w14:textId="77777777" w:rsidR="00932C40" w:rsidRPr="00932C40" w:rsidRDefault="00932C40" w:rsidP="00932C40">
            <w:pPr>
              <w:pStyle w:val="TableBody"/>
            </w:pPr>
            <w:r w:rsidRPr="00932C40">
              <w:t>15.5</w:t>
            </w:r>
          </w:p>
        </w:tc>
        <w:tc>
          <w:tcPr>
            <w:tcW w:w="1000" w:type="pct"/>
            <w:noWrap/>
            <w:hideMark/>
          </w:tcPr>
          <w:p w14:paraId="5ED4FAD0" w14:textId="77777777" w:rsidR="00932C40" w:rsidRPr="00932C40" w:rsidRDefault="00932C40" w:rsidP="00932C40">
            <w:pPr>
              <w:pStyle w:val="TableBody"/>
            </w:pPr>
            <w:r w:rsidRPr="00932C40">
              <w:t>51.3</w:t>
            </w:r>
          </w:p>
        </w:tc>
        <w:tc>
          <w:tcPr>
            <w:tcW w:w="1000" w:type="pct"/>
            <w:noWrap/>
            <w:hideMark/>
          </w:tcPr>
          <w:p w14:paraId="2BA6EF61" w14:textId="77777777" w:rsidR="00932C40" w:rsidRPr="00932C40" w:rsidRDefault="00932C40" w:rsidP="00932C40">
            <w:pPr>
              <w:pStyle w:val="TableBody"/>
            </w:pPr>
            <w:r w:rsidRPr="00932C40">
              <w:t>18.2</w:t>
            </w:r>
          </w:p>
        </w:tc>
      </w:tr>
      <w:tr w:rsidR="00932C40" w:rsidRPr="00932C40" w14:paraId="713688FD" w14:textId="77777777" w:rsidTr="00D750B2">
        <w:trPr>
          <w:trHeight w:val="310"/>
        </w:trPr>
        <w:tc>
          <w:tcPr>
            <w:tcW w:w="1000" w:type="pct"/>
            <w:noWrap/>
            <w:hideMark/>
          </w:tcPr>
          <w:p w14:paraId="59B814C2" w14:textId="77777777" w:rsidR="00932C40" w:rsidRPr="00932C40" w:rsidRDefault="00932C40" w:rsidP="00932C40">
            <w:pPr>
              <w:pStyle w:val="TableBody"/>
            </w:pPr>
            <w:r w:rsidRPr="00932C40">
              <w:t>2018</w:t>
            </w:r>
          </w:p>
        </w:tc>
        <w:tc>
          <w:tcPr>
            <w:tcW w:w="1000" w:type="pct"/>
            <w:noWrap/>
            <w:hideMark/>
          </w:tcPr>
          <w:p w14:paraId="06012980" w14:textId="77777777" w:rsidR="00932C40" w:rsidRPr="00932C40" w:rsidRDefault="00932C40" w:rsidP="00932C40">
            <w:pPr>
              <w:pStyle w:val="TableBody"/>
            </w:pPr>
            <w:r w:rsidRPr="00932C40">
              <w:t>19.3</w:t>
            </w:r>
          </w:p>
        </w:tc>
        <w:tc>
          <w:tcPr>
            <w:tcW w:w="1000" w:type="pct"/>
            <w:noWrap/>
            <w:hideMark/>
          </w:tcPr>
          <w:p w14:paraId="75A1D0DD" w14:textId="77777777" w:rsidR="00932C40" w:rsidRPr="00932C40" w:rsidRDefault="00932C40" w:rsidP="00932C40">
            <w:pPr>
              <w:pStyle w:val="TableBody"/>
            </w:pPr>
            <w:r w:rsidRPr="00932C40">
              <w:t>14.8</w:t>
            </w:r>
          </w:p>
        </w:tc>
        <w:tc>
          <w:tcPr>
            <w:tcW w:w="1000" w:type="pct"/>
            <w:noWrap/>
            <w:hideMark/>
          </w:tcPr>
          <w:p w14:paraId="5BD6A56B" w14:textId="77777777" w:rsidR="00932C40" w:rsidRPr="00932C40" w:rsidRDefault="00932C40" w:rsidP="00932C40">
            <w:pPr>
              <w:pStyle w:val="TableBody"/>
            </w:pPr>
            <w:r w:rsidRPr="00932C40">
              <w:t>47.5</w:t>
            </w:r>
          </w:p>
        </w:tc>
        <w:tc>
          <w:tcPr>
            <w:tcW w:w="1000" w:type="pct"/>
            <w:noWrap/>
            <w:hideMark/>
          </w:tcPr>
          <w:p w14:paraId="5494F2E1" w14:textId="77777777" w:rsidR="00932C40" w:rsidRPr="00932C40" w:rsidRDefault="00932C40" w:rsidP="00932C40">
            <w:pPr>
              <w:pStyle w:val="TableBody"/>
            </w:pPr>
            <w:r w:rsidRPr="00932C40">
              <w:t>18.4</w:t>
            </w:r>
          </w:p>
        </w:tc>
      </w:tr>
      <w:tr w:rsidR="00932C40" w:rsidRPr="00932C40" w14:paraId="38948CB7" w14:textId="77777777" w:rsidTr="00D750B2">
        <w:trPr>
          <w:trHeight w:val="310"/>
        </w:trPr>
        <w:tc>
          <w:tcPr>
            <w:tcW w:w="1000" w:type="pct"/>
            <w:noWrap/>
            <w:hideMark/>
          </w:tcPr>
          <w:p w14:paraId="5432374A" w14:textId="77777777" w:rsidR="00932C40" w:rsidRPr="00932C40" w:rsidRDefault="00932C40" w:rsidP="00932C40">
            <w:pPr>
              <w:pStyle w:val="TableBody"/>
            </w:pPr>
            <w:r w:rsidRPr="00932C40">
              <w:t>2019</w:t>
            </w:r>
          </w:p>
        </w:tc>
        <w:tc>
          <w:tcPr>
            <w:tcW w:w="1000" w:type="pct"/>
            <w:noWrap/>
            <w:hideMark/>
          </w:tcPr>
          <w:p w14:paraId="257FE295" w14:textId="77777777" w:rsidR="00932C40" w:rsidRPr="00932C40" w:rsidRDefault="00932C40" w:rsidP="00932C40">
            <w:pPr>
              <w:pStyle w:val="TableBody"/>
            </w:pPr>
            <w:r w:rsidRPr="00932C40">
              <w:t>15.0</w:t>
            </w:r>
          </w:p>
        </w:tc>
        <w:tc>
          <w:tcPr>
            <w:tcW w:w="1000" w:type="pct"/>
            <w:noWrap/>
            <w:hideMark/>
          </w:tcPr>
          <w:p w14:paraId="362439A8" w14:textId="77777777" w:rsidR="00932C40" w:rsidRPr="00932C40" w:rsidRDefault="00932C40" w:rsidP="00932C40">
            <w:pPr>
              <w:pStyle w:val="TableBody"/>
            </w:pPr>
            <w:r w:rsidRPr="00932C40">
              <w:t>19.1</w:t>
            </w:r>
          </w:p>
        </w:tc>
        <w:tc>
          <w:tcPr>
            <w:tcW w:w="1000" w:type="pct"/>
            <w:noWrap/>
            <w:hideMark/>
          </w:tcPr>
          <w:p w14:paraId="26C4BF78" w14:textId="77777777" w:rsidR="00932C40" w:rsidRPr="00932C40" w:rsidRDefault="00932C40" w:rsidP="00932C40">
            <w:pPr>
              <w:pStyle w:val="TableBody"/>
            </w:pPr>
            <w:r w:rsidRPr="00932C40">
              <w:t>40.3</w:t>
            </w:r>
          </w:p>
        </w:tc>
        <w:tc>
          <w:tcPr>
            <w:tcW w:w="1000" w:type="pct"/>
            <w:noWrap/>
            <w:hideMark/>
          </w:tcPr>
          <w:p w14:paraId="64F22579" w14:textId="77777777" w:rsidR="00932C40" w:rsidRPr="00932C40" w:rsidRDefault="00932C40" w:rsidP="00932C40">
            <w:pPr>
              <w:pStyle w:val="TableBody"/>
            </w:pPr>
            <w:r w:rsidRPr="00932C40">
              <w:t>25.6</w:t>
            </w:r>
          </w:p>
        </w:tc>
      </w:tr>
      <w:tr w:rsidR="00932C40" w:rsidRPr="00932C40" w14:paraId="3346526E" w14:textId="77777777" w:rsidTr="00D750B2">
        <w:trPr>
          <w:trHeight w:val="310"/>
        </w:trPr>
        <w:tc>
          <w:tcPr>
            <w:tcW w:w="1000" w:type="pct"/>
            <w:noWrap/>
            <w:hideMark/>
          </w:tcPr>
          <w:p w14:paraId="35E728B0" w14:textId="77777777" w:rsidR="00932C40" w:rsidRPr="00932C40" w:rsidRDefault="00932C40" w:rsidP="00932C40">
            <w:pPr>
              <w:pStyle w:val="TableBody"/>
            </w:pPr>
            <w:r w:rsidRPr="00932C40">
              <w:t>2020</w:t>
            </w:r>
          </w:p>
        </w:tc>
        <w:tc>
          <w:tcPr>
            <w:tcW w:w="1000" w:type="pct"/>
            <w:noWrap/>
            <w:hideMark/>
          </w:tcPr>
          <w:p w14:paraId="0010CA79" w14:textId="77777777" w:rsidR="00932C40" w:rsidRPr="00932C40" w:rsidRDefault="00932C40" w:rsidP="00932C40">
            <w:pPr>
              <w:pStyle w:val="TableBody"/>
            </w:pPr>
            <w:r w:rsidRPr="00932C40">
              <w:t>12.6</w:t>
            </w:r>
          </w:p>
        </w:tc>
        <w:tc>
          <w:tcPr>
            <w:tcW w:w="1000" w:type="pct"/>
            <w:noWrap/>
            <w:hideMark/>
          </w:tcPr>
          <w:p w14:paraId="1F3431F7" w14:textId="77777777" w:rsidR="00932C40" w:rsidRPr="00932C40" w:rsidRDefault="00932C40" w:rsidP="00932C40">
            <w:pPr>
              <w:pStyle w:val="TableBody"/>
            </w:pPr>
            <w:r w:rsidRPr="00932C40">
              <w:t>17.7</w:t>
            </w:r>
          </w:p>
        </w:tc>
        <w:tc>
          <w:tcPr>
            <w:tcW w:w="1000" w:type="pct"/>
            <w:noWrap/>
            <w:hideMark/>
          </w:tcPr>
          <w:p w14:paraId="306D9871" w14:textId="77777777" w:rsidR="00932C40" w:rsidRPr="00932C40" w:rsidRDefault="00932C40" w:rsidP="00932C40">
            <w:pPr>
              <w:pStyle w:val="TableBody"/>
            </w:pPr>
            <w:r w:rsidRPr="00932C40">
              <w:t>38.2</w:t>
            </w:r>
          </w:p>
        </w:tc>
        <w:tc>
          <w:tcPr>
            <w:tcW w:w="1000" w:type="pct"/>
            <w:noWrap/>
            <w:hideMark/>
          </w:tcPr>
          <w:p w14:paraId="777DE1A4" w14:textId="77777777" w:rsidR="00932C40" w:rsidRPr="00932C40" w:rsidRDefault="00932C40" w:rsidP="00932C40">
            <w:pPr>
              <w:pStyle w:val="TableBody"/>
            </w:pPr>
            <w:r w:rsidRPr="00932C40">
              <w:t>31.5</w:t>
            </w:r>
          </w:p>
        </w:tc>
      </w:tr>
    </w:tbl>
    <w:p w14:paraId="60575B51" w14:textId="77777777" w:rsidR="005801E0" w:rsidRPr="006B4A5D" w:rsidRDefault="005801E0" w:rsidP="005801E0">
      <w:pPr>
        <w:pStyle w:val="Heading2"/>
      </w:pPr>
      <w:r w:rsidRPr="006B4A5D">
        <w:t xml:space="preserve">How many combined orders involved time served prison sentences? </w:t>
      </w:r>
    </w:p>
    <w:p w14:paraId="1257169C" w14:textId="77777777" w:rsidR="005801E0" w:rsidRPr="006B4A5D" w:rsidRDefault="005801E0" w:rsidP="001D2C8C">
      <w:r w:rsidRPr="006B4A5D">
        <w:t>In 2020, we released a report examining time served prison sentences, which involve an offender receiving a prison sentence identical to the amount of time that they have spent on remand. In that report, we found that time served prison sentences had quadrupled from 5% to 20% of all prison sentences in Victoria in the 6 years to 2017–18. We further observed that:</w:t>
      </w:r>
      <w:r w:rsidRPr="006B4A5D">
        <w:rPr>
          <w:rStyle w:val="Superscript"/>
        </w:rPr>
        <w:footnoteReference w:id="48"/>
      </w:r>
    </w:p>
    <w:p w14:paraId="320B0C87" w14:textId="77777777" w:rsidR="005801E0" w:rsidRPr="006B4A5D" w:rsidRDefault="005801E0" w:rsidP="001D2C8C">
      <w:pPr>
        <w:pStyle w:val="Bullets"/>
      </w:pPr>
      <w:r w:rsidRPr="006B4A5D">
        <w:t>there may be circumstances where the interests of justice require the court to impose a sentence that accounts for the time that the offender has spent on remand, even if the court would otherwise not have imposed a prison sentence if the offender had not been remanded in the first place;</w:t>
      </w:r>
    </w:p>
    <w:p w14:paraId="6CEC772C" w14:textId="77777777" w:rsidR="005801E0" w:rsidRPr="006B4A5D" w:rsidRDefault="005801E0" w:rsidP="001D2C8C">
      <w:pPr>
        <w:pStyle w:val="Bullets"/>
      </w:pPr>
      <w:r w:rsidRPr="006B4A5D">
        <w:t xml:space="preserve">time served prison sentences can sometimes reflect the remand experience causing an inappropriate encouragement of guilty </w:t>
      </w:r>
      <w:r w:rsidRPr="006B4A5D">
        <w:lastRenderedPageBreak/>
        <w:t>pleas, insofar as the offender may have had a plausible defence available to them but they pleaded guilty to facilitate their earlier release from custody;</w:t>
      </w:r>
    </w:p>
    <w:p w14:paraId="46A4D4E9" w14:textId="77777777" w:rsidR="005801E0" w:rsidRPr="006B4A5D" w:rsidRDefault="005801E0" w:rsidP="001D2C8C">
      <w:pPr>
        <w:pStyle w:val="Bullets"/>
      </w:pPr>
      <w:r w:rsidRPr="006B4A5D">
        <w:t>there are restrictions around the types of programs and services that can be provided to people who are held on remand compared to sentenced prisoners, because the latter have been found guilty and have a more fixed end point to their stay in prison (or point of eligibility for parole); and</w:t>
      </w:r>
    </w:p>
    <w:p w14:paraId="3C88C749" w14:textId="77777777" w:rsidR="005801E0" w:rsidRPr="006B4A5D" w:rsidRDefault="005801E0" w:rsidP="001D2C8C">
      <w:pPr>
        <w:pStyle w:val="Bullets"/>
      </w:pPr>
      <w:r w:rsidRPr="006B4A5D">
        <w:t>there are concerns around the availability of transition assistance for offenders who receive time served prison sentences, especially if their release after sentencing is not anticipated.</w:t>
      </w:r>
    </w:p>
    <w:p w14:paraId="665210C9" w14:textId="77777777" w:rsidR="005801E0" w:rsidRPr="006B4A5D" w:rsidRDefault="005801E0" w:rsidP="00A612BA">
      <w:r w:rsidRPr="006B4A5D">
        <w:t xml:space="preserve">Building on that analysis, it is useful to specifically examine how many combined orders involved time served prison sentences. They may reflect cases where the court acknowledges the punitive experience of time spent on remand by imposing a time served prison sentence but also sees a need for some form of ongoing supervision or rehabilitation that could be facilitated by the additional imposition of a CCO. </w:t>
      </w:r>
    </w:p>
    <w:p w14:paraId="755AE3FB" w14:textId="77777777" w:rsidR="005801E0" w:rsidRPr="006B4A5D" w:rsidRDefault="005801E0" w:rsidP="00A612BA">
      <w:r w:rsidRPr="006B4A5D">
        <w:t xml:space="preserve">For the higher courts, we had data on pre-sentence detention for the entire reference period, but for the Magistrates’ Court, we only had data on pre-sentence detention for the period 1 July 2016 onwards. The analysis for the Magistrates’ Court in this section is therefore limited to a shorter reference period (4.5 years). </w:t>
      </w:r>
    </w:p>
    <w:p w14:paraId="3AE902C7" w14:textId="77777777" w:rsidR="005801E0" w:rsidRPr="006B4A5D" w:rsidRDefault="005801E0" w:rsidP="00A612BA">
      <w:r w:rsidRPr="006B4A5D">
        <w:t xml:space="preserve">There were 11,036 combined orders imposed in the Magistrates’ Court during that 4.5-year period and 1,870 in the higher courts during the whole 9-year reference period. Figure 7 (page 13) shows how many of those combined order cases involved time served prison sentences. To allow for calculation errors, we considered a sentence to be a time served prison sentence if the total effective sentence of imprisonment and pre-sentence detention were the same plus or minus 5 days (0.17 months). In the Magistrates’ Court, there was a clear increase in the proportion of </w:t>
      </w:r>
      <w:r w:rsidRPr="006B4A5D">
        <w:lastRenderedPageBreak/>
        <w:t xml:space="preserve">combined order cases that involved time served prison sentences, from 37.7% to 48.8%. By 2020, about half of all combined order cases in the Magistrates’ Court involved time served prison sentences. Conversely, there was a less noticeable increase in time served prison sentences in the higher courts, though they did increase slightly from 16.7% in 2016 to 24.4% in 2020. </w:t>
      </w:r>
    </w:p>
    <w:p w14:paraId="181C6A08" w14:textId="77777777" w:rsidR="005801E0" w:rsidRPr="006B4A5D" w:rsidRDefault="005801E0" w:rsidP="00C34438">
      <w:pPr>
        <w:pStyle w:val="Caption"/>
      </w:pPr>
      <w:r w:rsidRPr="006B4A5D">
        <w:t>Figure 7: Proportion of combined order cases that involved time served prison sentences, 2012 to 2020 (11,036 combined order cases in the Magistrates’ Court and 1,870 combined order cases in the higher courts)</w:t>
      </w:r>
    </w:p>
    <w:tbl>
      <w:tblPr>
        <w:tblStyle w:val="Table"/>
        <w:tblW w:w="5000" w:type="pct"/>
        <w:tblLook w:val="04A0" w:firstRow="1" w:lastRow="0" w:firstColumn="1" w:lastColumn="0" w:noHBand="0" w:noVBand="1"/>
      </w:tblPr>
      <w:tblGrid>
        <w:gridCol w:w="1670"/>
        <w:gridCol w:w="2283"/>
        <w:gridCol w:w="1660"/>
        <w:gridCol w:w="1742"/>
        <w:gridCol w:w="1661"/>
      </w:tblGrid>
      <w:tr w:rsidR="00384D60" w:rsidRPr="00F52E95" w14:paraId="425EFE2D" w14:textId="32DB48AC" w:rsidTr="009D7893">
        <w:trPr>
          <w:trHeight w:val="310"/>
          <w:tblHeader/>
        </w:trPr>
        <w:tc>
          <w:tcPr>
            <w:tcW w:w="968" w:type="pct"/>
            <w:noWrap/>
            <w:hideMark/>
          </w:tcPr>
          <w:p w14:paraId="73588B25" w14:textId="77777777" w:rsidR="00384D60" w:rsidRPr="00F52E95" w:rsidRDefault="00384D60" w:rsidP="00587CA0">
            <w:pPr>
              <w:pStyle w:val="TableHeading"/>
            </w:pPr>
            <w:r w:rsidRPr="00F52E95">
              <w:t>Year</w:t>
            </w:r>
          </w:p>
        </w:tc>
        <w:tc>
          <w:tcPr>
            <w:tcW w:w="1145" w:type="pct"/>
            <w:noWrap/>
            <w:hideMark/>
          </w:tcPr>
          <w:p w14:paraId="26DEED59" w14:textId="77777777" w:rsidR="00384D60" w:rsidRPr="00F52E95" w:rsidRDefault="00384D60" w:rsidP="00587CA0">
            <w:pPr>
              <w:pStyle w:val="TableHeading"/>
            </w:pPr>
            <w:r w:rsidRPr="00F52E95">
              <w:t>Magistrates' Court</w:t>
            </w:r>
          </w:p>
        </w:tc>
        <w:tc>
          <w:tcPr>
            <w:tcW w:w="962" w:type="pct"/>
          </w:tcPr>
          <w:p w14:paraId="62DDD358" w14:textId="77777777" w:rsidR="00384D60" w:rsidRPr="001E4A2A" w:rsidRDefault="00384D60" w:rsidP="00587CA0">
            <w:pPr>
              <w:pStyle w:val="TableHeading"/>
            </w:pPr>
          </w:p>
        </w:tc>
        <w:tc>
          <w:tcPr>
            <w:tcW w:w="962" w:type="pct"/>
            <w:noWrap/>
            <w:hideMark/>
          </w:tcPr>
          <w:p w14:paraId="5144402E" w14:textId="71EE6D23" w:rsidR="00384D60" w:rsidRPr="00F52E95" w:rsidRDefault="00384D60" w:rsidP="00587CA0">
            <w:pPr>
              <w:pStyle w:val="TableHeading"/>
            </w:pPr>
            <w:r w:rsidRPr="00F52E95">
              <w:t>Higher courts</w:t>
            </w:r>
          </w:p>
        </w:tc>
        <w:tc>
          <w:tcPr>
            <w:tcW w:w="962" w:type="pct"/>
          </w:tcPr>
          <w:p w14:paraId="217FB046" w14:textId="77777777" w:rsidR="00384D60" w:rsidRPr="001E4A2A" w:rsidRDefault="00384D60" w:rsidP="00587CA0">
            <w:pPr>
              <w:pStyle w:val="TableHeading"/>
            </w:pPr>
          </w:p>
        </w:tc>
      </w:tr>
      <w:tr w:rsidR="00384D60" w:rsidRPr="00F52E95" w14:paraId="204341B9" w14:textId="77777777" w:rsidTr="009D7893">
        <w:trPr>
          <w:trHeight w:val="310"/>
          <w:tblHeader/>
        </w:trPr>
        <w:tc>
          <w:tcPr>
            <w:tcW w:w="968" w:type="pct"/>
            <w:noWrap/>
          </w:tcPr>
          <w:p w14:paraId="7162094E" w14:textId="77777777" w:rsidR="00384D60" w:rsidRPr="001E4A2A" w:rsidRDefault="00384D60" w:rsidP="00587CA0">
            <w:pPr>
              <w:pStyle w:val="TableHeading"/>
            </w:pPr>
          </w:p>
        </w:tc>
        <w:tc>
          <w:tcPr>
            <w:tcW w:w="1145" w:type="pct"/>
            <w:noWrap/>
          </w:tcPr>
          <w:p w14:paraId="590BEA39" w14:textId="64E7F251" w:rsidR="00384D60" w:rsidRPr="001E4A2A" w:rsidRDefault="00384D60" w:rsidP="00587CA0">
            <w:pPr>
              <w:pStyle w:val="TableHeading"/>
            </w:pPr>
            <w:r w:rsidRPr="001E4A2A">
              <w:t>Number</w:t>
            </w:r>
          </w:p>
        </w:tc>
        <w:tc>
          <w:tcPr>
            <w:tcW w:w="962" w:type="pct"/>
          </w:tcPr>
          <w:p w14:paraId="39257455" w14:textId="1EE1515D" w:rsidR="00384D60" w:rsidRPr="001E4A2A" w:rsidRDefault="00384D60" w:rsidP="00587CA0">
            <w:pPr>
              <w:pStyle w:val="TableHeading"/>
            </w:pPr>
            <w:r w:rsidRPr="001E4A2A">
              <w:t>Percentage</w:t>
            </w:r>
          </w:p>
        </w:tc>
        <w:tc>
          <w:tcPr>
            <w:tcW w:w="962" w:type="pct"/>
            <w:noWrap/>
          </w:tcPr>
          <w:p w14:paraId="6CECC2BC" w14:textId="2596F07B" w:rsidR="00384D60" w:rsidRPr="001E4A2A" w:rsidRDefault="00384D60" w:rsidP="00587CA0">
            <w:pPr>
              <w:pStyle w:val="TableHeading"/>
            </w:pPr>
            <w:r w:rsidRPr="001E4A2A">
              <w:t>Number</w:t>
            </w:r>
          </w:p>
        </w:tc>
        <w:tc>
          <w:tcPr>
            <w:tcW w:w="962" w:type="pct"/>
          </w:tcPr>
          <w:p w14:paraId="51F788AD" w14:textId="0D6F06A7" w:rsidR="00384D60" w:rsidRPr="001E4A2A" w:rsidRDefault="00384D60" w:rsidP="00587CA0">
            <w:pPr>
              <w:pStyle w:val="TableHeading"/>
            </w:pPr>
            <w:r w:rsidRPr="001E4A2A">
              <w:t>Percentage</w:t>
            </w:r>
          </w:p>
        </w:tc>
      </w:tr>
      <w:tr w:rsidR="009D7893" w:rsidRPr="00F52E95" w14:paraId="3748A5F8" w14:textId="3A9A3357" w:rsidTr="009D7893">
        <w:trPr>
          <w:trHeight w:val="300"/>
        </w:trPr>
        <w:tc>
          <w:tcPr>
            <w:tcW w:w="968" w:type="pct"/>
            <w:hideMark/>
          </w:tcPr>
          <w:p w14:paraId="5149D98A" w14:textId="54ECBA9F" w:rsidR="009D7893" w:rsidRPr="00F52E95" w:rsidRDefault="009D7893" w:rsidP="00587CA0">
            <w:pPr>
              <w:pStyle w:val="TableBody"/>
            </w:pPr>
            <w:r w:rsidRPr="00F52E95">
              <w:t>2012</w:t>
            </w:r>
          </w:p>
        </w:tc>
        <w:tc>
          <w:tcPr>
            <w:tcW w:w="1145" w:type="pct"/>
            <w:noWrap/>
            <w:hideMark/>
          </w:tcPr>
          <w:p w14:paraId="192B7121" w14:textId="77777777" w:rsidR="009D7893" w:rsidRPr="00F52E95" w:rsidRDefault="009D7893" w:rsidP="00587CA0">
            <w:pPr>
              <w:pStyle w:val="TableBody"/>
            </w:pPr>
          </w:p>
        </w:tc>
        <w:tc>
          <w:tcPr>
            <w:tcW w:w="962" w:type="pct"/>
          </w:tcPr>
          <w:p w14:paraId="26FF17CC" w14:textId="77777777" w:rsidR="009D7893" w:rsidRPr="00F52E95" w:rsidRDefault="009D7893" w:rsidP="00587CA0">
            <w:pPr>
              <w:pStyle w:val="TableBody"/>
            </w:pPr>
          </w:p>
        </w:tc>
        <w:tc>
          <w:tcPr>
            <w:tcW w:w="962" w:type="pct"/>
            <w:noWrap/>
          </w:tcPr>
          <w:p w14:paraId="329FCB57" w14:textId="2028E2D5" w:rsidR="009D7893" w:rsidRPr="00F52E95" w:rsidRDefault="005F632F" w:rsidP="00587CA0">
            <w:pPr>
              <w:pStyle w:val="TableBody"/>
            </w:pPr>
            <w:r w:rsidRPr="00F52E95">
              <w:t>30</w:t>
            </w:r>
          </w:p>
        </w:tc>
        <w:tc>
          <w:tcPr>
            <w:tcW w:w="962" w:type="pct"/>
          </w:tcPr>
          <w:p w14:paraId="48B05624" w14:textId="7C83AE45" w:rsidR="009D7893" w:rsidRPr="00F52E95" w:rsidRDefault="009D7893" w:rsidP="00587CA0">
            <w:pPr>
              <w:pStyle w:val="TableBody"/>
            </w:pPr>
            <w:r w:rsidRPr="00F52E95">
              <w:t>23.3%</w:t>
            </w:r>
          </w:p>
        </w:tc>
      </w:tr>
      <w:tr w:rsidR="009D7893" w:rsidRPr="00F52E95" w14:paraId="6AC4561C" w14:textId="2FE56C22" w:rsidTr="009D7893">
        <w:trPr>
          <w:trHeight w:val="300"/>
        </w:trPr>
        <w:tc>
          <w:tcPr>
            <w:tcW w:w="968" w:type="pct"/>
            <w:hideMark/>
          </w:tcPr>
          <w:p w14:paraId="7913DB01" w14:textId="3D4BCCB4" w:rsidR="009D7893" w:rsidRPr="00F52E95" w:rsidRDefault="009D7893" w:rsidP="00587CA0">
            <w:pPr>
              <w:pStyle w:val="TableBody"/>
            </w:pPr>
            <w:r w:rsidRPr="00F52E95">
              <w:t>2013</w:t>
            </w:r>
          </w:p>
        </w:tc>
        <w:tc>
          <w:tcPr>
            <w:tcW w:w="1145" w:type="pct"/>
            <w:noWrap/>
            <w:hideMark/>
          </w:tcPr>
          <w:p w14:paraId="09C5B33F" w14:textId="77777777" w:rsidR="009D7893" w:rsidRPr="00F52E95" w:rsidRDefault="009D7893" w:rsidP="00587CA0">
            <w:pPr>
              <w:pStyle w:val="TableBody"/>
            </w:pPr>
          </w:p>
        </w:tc>
        <w:tc>
          <w:tcPr>
            <w:tcW w:w="962" w:type="pct"/>
          </w:tcPr>
          <w:p w14:paraId="067C3132" w14:textId="77777777" w:rsidR="009D7893" w:rsidRPr="00F52E95" w:rsidRDefault="009D7893" w:rsidP="00587CA0">
            <w:pPr>
              <w:pStyle w:val="TableBody"/>
            </w:pPr>
          </w:p>
        </w:tc>
        <w:tc>
          <w:tcPr>
            <w:tcW w:w="962" w:type="pct"/>
            <w:noWrap/>
          </w:tcPr>
          <w:p w14:paraId="007A315C" w14:textId="103889DF" w:rsidR="009D7893" w:rsidRPr="00F52E95" w:rsidRDefault="005F632F" w:rsidP="00587CA0">
            <w:pPr>
              <w:pStyle w:val="TableBody"/>
            </w:pPr>
            <w:r w:rsidRPr="00F52E95">
              <w:t>35</w:t>
            </w:r>
          </w:p>
        </w:tc>
        <w:tc>
          <w:tcPr>
            <w:tcW w:w="962" w:type="pct"/>
          </w:tcPr>
          <w:p w14:paraId="0F723204" w14:textId="62C17511" w:rsidR="009D7893" w:rsidRPr="00F52E95" w:rsidRDefault="009D7893" w:rsidP="00587CA0">
            <w:pPr>
              <w:pStyle w:val="TableBody"/>
            </w:pPr>
            <w:r w:rsidRPr="00F52E95">
              <w:t>17.1%</w:t>
            </w:r>
          </w:p>
        </w:tc>
      </w:tr>
      <w:tr w:rsidR="009D7893" w:rsidRPr="00F52E95" w14:paraId="248E97E4" w14:textId="2AF578E1" w:rsidTr="009D7893">
        <w:trPr>
          <w:trHeight w:val="300"/>
        </w:trPr>
        <w:tc>
          <w:tcPr>
            <w:tcW w:w="968" w:type="pct"/>
            <w:hideMark/>
          </w:tcPr>
          <w:p w14:paraId="09285927" w14:textId="4D2DE1FA" w:rsidR="009D7893" w:rsidRPr="00F52E95" w:rsidRDefault="009D7893" w:rsidP="00587CA0">
            <w:pPr>
              <w:pStyle w:val="TableBody"/>
            </w:pPr>
            <w:r w:rsidRPr="00F52E95">
              <w:t>2014</w:t>
            </w:r>
          </w:p>
        </w:tc>
        <w:tc>
          <w:tcPr>
            <w:tcW w:w="1145" w:type="pct"/>
            <w:noWrap/>
            <w:hideMark/>
          </w:tcPr>
          <w:p w14:paraId="6BF0D819" w14:textId="77777777" w:rsidR="009D7893" w:rsidRPr="00F52E95" w:rsidRDefault="009D7893" w:rsidP="00587CA0">
            <w:pPr>
              <w:pStyle w:val="TableBody"/>
            </w:pPr>
          </w:p>
        </w:tc>
        <w:tc>
          <w:tcPr>
            <w:tcW w:w="962" w:type="pct"/>
          </w:tcPr>
          <w:p w14:paraId="47766AFE" w14:textId="77777777" w:rsidR="009D7893" w:rsidRPr="00F52E95" w:rsidRDefault="009D7893" w:rsidP="00587CA0">
            <w:pPr>
              <w:pStyle w:val="TableBody"/>
            </w:pPr>
          </w:p>
        </w:tc>
        <w:tc>
          <w:tcPr>
            <w:tcW w:w="962" w:type="pct"/>
            <w:noWrap/>
          </w:tcPr>
          <w:p w14:paraId="119F3A5C" w14:textId="06A0BCCA" w:rsidR="009D7893" w:rsidRPr="00F52E95" w:rsidRDefault="005F632F" w:rsidP="00587CA0">
            <w:pPr>
              <w:pStyle w:val="TableBody"/>
            </w:pPr>
            <w:r w:rsidRPr="00F52E95">
              <w:t>105</w:t>
            </w:r>
          </w:p>
        </w:tc>
        <w:tc>
          <w:tcPr>
            <w:tcW w:w="962" w:type="pct"/>
          </w:tcPr>
          <w:p w14:paraId="262B16C6" w14:textId="32B4EB83" w:rsidR="009D7893" w:rsidRPr="00F52E95" w:rsidRDefault="009D7893" w:rsidP="00587CA0">
            <w:pPr>
              <w:pStyle w:val="TableBody"/>
            </w:pPr>
            <w:r w:rsidRPr="00F52E95">
              <w:t>19.0%</w:t>
            </w:r>
          </w:p>
        </w:tc>
      </w:tr>
      <w:tr w:rsidR="009D7893" w:rsidRPr="00F52E95" w14:paraId="4F5A76C0" w14:textId="5E1564E6" w:rsidTr="009D7893">
        <w:trPr>
          <w:trHeight w:val="300"/>
        </w:trPr>
        <w:tc>
          <w:tcPr>
            <w:tcW w:w="968" w:type="pct"/>
            <w:hideMark/>
          </w:tcPr>
          <w:p w14:paraId="0D65CFB6" w14:textId="23C4124D" w:rsidR="009D7893" w:rsidRPr="00F52E95" w:rsidRDefault="009D7893" w:rsidP="00587CA0">
            <w:pPr>
              <w:pStyle w:val="TableBody"/>
            </w:pPr>
            <w:r w:rsidRPr="00F52E95">
              <w:t>2015</w:t>
            </w:r>
          </w:p>
        </w:tc>
        <w:tc>
          <w:tcPr>
            <w:tcW w:w="1145" w:type="pct"/>
            <w:noWrap/>
            <w:hideMark/>
          </w:tcPr>
          <w:p w14:paraId="15DE3058" w14:textId="77777777" w:rsidR="009D7893" w:rsidRPr="00F52E95" w:rsidRDefault="009D7893" w:rsidP="00587CA0">
            <w:pPr>
              <w:pStyle w:val="TableBody"/>
            </w:pPr>
          </w:p>
        </w:tc>
        <w:tc>
          <w:tcPr>
            <w:tcW w:w="962" w:type="pct"/>
          </w:tcPr>
          <w:p w14:paraId="2839F536" w14:textId="77777777" w:rsidR="009D7893" w:rsidRPr="00F52E95" w:rsidRDefault="009D7893" w:rsidP="00587CA0">
            <w:pPr>
              <w:pStyle w:val="TableBody"/>
            </w:pPr>
          </w:p>
        </w:tc>
        <w:tc>
          <w:tcPr>
            <w:tcW w:w="962" w:type="pct"/>
            <w:noWrap/>
          </w:tcPr>
          <w:p w14:paraId="07F14E6E" w14:textId="13C7CEAA" w:rsidR="009D7893" w:rsidRPr="00F52E95" w:rsidRDefault="005F632F" w:rsidP="00587CA0">
            <w:pPr>
              <w:pStyle w:val="TableBody"/>
            </w:pPr>
            <w:r w:rsidRPr="00F52E95">
              <w:t>399</w:t>
            </w:r>
          </w:p>
        </w:tc>
        <w:tc>
          <w:tcPr>
            <w:tcW w:w="962" w:type="pct"/>
          </w:tcPr>
          <w:p w14:paraId="75CCA384" w14:textId="61BBCE5D" w:rsidR="009D7893" w:rsidRPr="00F52E95" w:rsidRDefault="009D7893" w:rsidP="00587CA0">
            <w:pPr>
              <w:pStyle w:val="TableBody"/>
            </w:pPr>
            <w:r w:rsidRPr="00F52E95">
              <w:t>18.5%</w:t>
            </w:r>
          </w:p>
        </w:tc>
      </w:tr>
      <w:tr w:rsidR="009D7893" w:rsidRPr="00F52E95" w14:paraId="27C66AD0" w14:textId="46AA0899" w:rsidTr="009D7893">
        <w:trPr>
          <w:trHeight w:val="300"/>
        </w:trPr>
        <w:tc>
          <w:tcPr>
            <w:tcW w:w="968" w:type="pct"/>
            <w:hideMark/>
          </w:tcPr>
          <w:p w14:paraId="5C8A84B5" w14:textId="01E52CB0" w:rsidR="009D7893" w:rsidRPr="00F52E95" w:rsidRDefault="009D7893" w:rsidP="00587CA0">
            <w:pPr>
              <w:pStyle w:val="TableBody"/>
            </w:pPr>
            <w:r w:rsidRPr="00F52E95">
              <w:t>2016</w:t>
            </w:r>
          </w:p>
        </w:tc>
        <w:tc>
          <w:tcPr>
            <w:tcW w:w="1145" w:type="pct"/>
            <w:noWrap/>
          </w:tcPr>
          <w:p w14:paraId="4911EF3E" w14:textId="3A5824D8" w:rsidR="009D7893" w:rsidRPr="00F52E95" w:rsidRDefault="005F632F" w:rsidP="00587CA0">
            <w:pPr>
              <w:pStyle w:val="TableBody"/>
            </w:pPr>
            <w:r w:rsidRPr="00F52E95">
              <w:t>1,165</w:t>
            </w:r>
          </w:p>
        </w:tc>
        <w:tc>
          <w:tcPr>
            <w:tcW w:w="962" w:type="pct"/>
          </w:tcPr>
          <w:p w14:paraId="34B7A8A6" w14:textId="2DF21BF5" w:rsidR="009D7893" w:rsidRPr="00F52E95" w:rsidRDefault="009D7893" w:rsidP="00587CA0">
            <w:pPr>
              <w:pStyle w:val="TableBody"/>
            </w:pPr>
            <w:r w:rsidRPr="00F52E95">
              <w:t>37.7%</w:t>
            </w:r>
          </w:p>
        </w:tc>
        <w:tc>
          <w:tcPr>
            <w:tcW w:w="962" w:type="pct"/>
            <w:noWrap/>
          </w:tcPr>
          <w:p w14:paraId="5013EF0B" w14:textId="5C01118C" w:rsidR="009D7893" w:rsidRPr="00F52E95" w:rsidRDefault="005F632F" w:rsidP="00587CA0">
            <w:pPr>
              <w:pStyle w:val="TableBody"/>
            </w:pPr>
            <w:r w:rsidRPr="00F52E95">
              <w:t>323</w:t>
            </w:r>
          </w:p>
        </w:tc>
        <w:tc>
          <w:tcPr>
            <w:tcW w:w="962" w:type="pct"/>
          </w:tcPr>
          <w:p w14:paraId="0418A2FD" w14:textId="7CE8B473" w:rsidR="009D7893" w:rsidRPr="00F52E95" w:rsidRDefault="009D7893" w:rsidP="00587CA0">
            <w:pPr>
              <w:pStyle w:val="TableBody"/>
            </w:pPr>
            <w:r w:rsidRPr="00F52E95">
              <w:t>16.7%</w:t>
            </w:r>
          </w:p>
        </w:tc>
      </w:tr>
      <w:tr w:rsidR="009D7893" w:rsidRPr="00F52E95" w14:paraId="035F567F" w14:textId="40316960" w:rsidTr="009D7893">
        <w:trPr>
          <w:trHeight w:val="300"/>
        </w:trPr>
        <w:tc>
          <w:tcPr>
            <w:tcW w:w="968" w:type="pct"/>
            <w:hideMark/>
          </w:tcPr>
          <w:p w14:paraId="01FC8409" w14:textId="56A2B4A1" w:rsidR="009D7893" w:rsidRPr="00F52E95" w:rsidRDefault="009D7893" w:rsidP="00587CA0">
            <w:pPr>
              <w:pStyle w:val="TableBody"/>
            </w:pPr>
            <w:r w:rsidRPr="00F52E95">
              <w:t>2017</w:t>
            </w:r>
          </w:p>
        </w:tc>
        <w:tc>
          <w:tcPr>
            <w:tcW w:w="1145" w:type="pct"/>
            <w:noWrap/>
          </w:tcPr>
          <w:p w14:paraId="4F61F1E9" w14:textId="60BB8E66" w:rsidR="009D7893" w:rsidRPr="00F52E95" w:rsidRDefault="005F632F" w:rsidP="00587CA0">
            <w:pPr>
              <w:pStyle w:val="TableBody"/>
            </w:pPr>
            <w:r w:rsidRPr="00F52E95">
              <w:t>2,356</w:t>
            </w:r>
          </w:p>
        </w:tc>
        <w:tc>
          <w:tcPr>
            <w:tcW w:w="962" w:type="pct"/>
          </w:tcPr>
          <w:p w14:paraId="607C06B4" w14:textId="3C27622B" w:rsidR="009D7893" w:rsidRPr="00F52E95" w:rsidRDefault="009D7893" w:rsidP="00587CA0">
            <w:pPr>
              <w:pStyle w:val="TableBody"/>
            </w:pPr>
            <w:r w:rsidRPr="00F52E95">
              <w:t>37.9%</w:t>
            </w:r>
          </w:p>
        </w:tc>
        <w:tc>
          <w:tcPr>
            <w:tcW w:w="962" w:type="pct"/>
            <w:noWrap/>
          </w:tcPr>
          <w:p w14:paraId="7B8A4AAA" w14:textId="15E36FF3" w:rsidR="009D7893" w:rsidRPr="00F52E95" w:rsidRDefault="005F632F" w:rsidP="00587CA0">
            <w:pPr>
              <w:pStyle w:val="TableBody"/>
            </w:pPr>
            <w:r w:rsidRPr="00F52E95">
              <w:t>187</w:t>
            </w:r>
          </w:p>
        </w:tc>
        <w:tc>
          <w:tcPr>
            <w:tcW w:w="962" w:type="pct"/>
          </w:tcPr>
          <w:p w14:paraId="42A45AD2" w14:textId="065FAAD9" w:rsidR="009D7893" w:rsidRPr="00F52E95" w:rsidRDefault="009D7893" w:rsidP="00587CA0">
            <w:pPr>
              <w:pStyle w:val="TableBody"/>
            </w:pPr>
            <w:r w:rsidRPr="00F52E95">
              <w:t>18.7%</w:t>
            </w:r>
          </w:p>
        </w:tc>
      </w:tr>
      <w:tr w:rsidR="009D7893" w:rsidRPr="00F52E95" w14:paraId="6BAF52BE" w14:textId="363D070D" w:rsidTr="009D7893">
        <w:trPr>
          <w:trHeight w:val="300"/>
        </w:trPr>
        <w:tc>
          <w:tcPr>
            <w:tcW w:w="968" w:type="pct"/>
            <w:hideMark/>
          </w:tcPr>
          <w:p w14:paraId="7B85E7A0" w14:textId="42A5520D" w:rsidR="009D7893" w:rsidRPr="00F52E95" w:rsidRDefault="009D7893" w:rsidP="00587CA0">
            <w:pPr>
              <w:pStyle w:val="TableBody"/>
            </w:pPr>
            <w:r w:rsidRPr="00F52E95">
              <w:t>2018</w:t>
            </w:r>
          </w:p>
        </w:tc>
        <w:tc>
          <w:tcPr>
            <w:tcW w:w="1145" w:type="pct"/>
            <w:noWrap/>
          </w:tcPr>
          <w:p w14:paraId="5B13ECBE" w14:textId="6376AB5D" w:rsidR="009D7893" w:rsidRPr="00F52E95" w:rsidRDefault="005F632F" w:rsidP="00587CA0">
            <w:pPr>
              <w:pStyle w:val="TableBody"/>
            </w:pPr>
            <w:r w:rsidRPr="00F52E95">
              <w:t>2,485</w:t>
            </w:r>
          </w:p>
        </w:tc>
        <w:tc>
          <w:tcPr>
            <w:tcW w:w="962" w:type="pct"/>
          </w:tcPr>
          <w:p w14:paraId="30AAA3B5" w14:textId="4DEDCF22" w:rsidR="009D7893" w:rsidRPr="00F52E95" w:rsidRDefault="009D7893" w:rsidP="00587CA0">
            <w:pPr>
              <w:pStyle w:val="TableBody"/>
            </w:pPr>
            <w:r w:rsidRPr="00F52E95">
              <w:t>42.8%</w:t>
            </w:r>
          </w:p>
        </w:tc>
        <w:tc>
          <w:tcPr>
            <w:tcW w:w="962" w:type="pct"/>
            <w:noWrap/>
          </w:tcPr>
          <w:p w14:paraId="266E2C89" w14:textId="41762DA3" w:rsidR="009D7893" w:rsidRPr="00F52E95" w:rsidRDefault="005F632F" w:rsidP="00587CA0">
            <w:pPr>
              <w:pStyle w:val="TableBody"/>
            </w:pPr>
            <w:r w:rsidRPr="00F52E95">
              <w:t>244</w:t>
            </w:r>
          </w:p>
        </w:tc>
        <w:tc>
          <w:tcPr>
            <w:tcW w:w="962" w:type="pct"/>
          </w:tcPr>
          <w:p w14:paraId="5E44529D" w14:textId="1F29FF1B" w:rsidR="009D7893" w:rsidRPr="00F52E95" w:rsidRDefault="009D7893" w:rsidP="00587CA0">
            <w:pPr>
              <w:pStyle w:val="TableBody"/>
            </w:pPr>
            <w:r w:rsidRPr="00F52E95">
              <w:t>21.3%</w:t>
            </w:r>
          </w:p>
        </w:tc>
      </w:tr>
      <w:tr w:rsidR="009D7893" w:rsidRPr="00F52E95" w14:paraId="67D5EC71" w14:textId="7E224984" w:rsidTr="009D7893">
        <w:trPr>
          <w:trHeight w:val="300"/>
        </w:trPr>
        <w:tc>
          <w:tcPr>
            <w:tcW w:w="968" w:type="pct"/>
            <w:hideMark/>
          </w:tcPr>
          <w:p w14:paraId="40062E19" w14:textId="1B6FBA9F" w:rsidR="009D7893" w:rsidRPr="00F52E95" w:rsidRDefault="009D7893" w:rsidP="00587CA0">
            <w:pPr>
              <w:pStyle w:val="TableBody"/>
            </w:pPr>
            <w:r w:rsidRPr="00F52E95">
              <w:t>2019</w:t>
            </w:r>
          </w:p>
        </w:tc>
        <w:tc>
          <w:tcPr>
            <w:tcW w:w="1145" w:type="pct"/>
            <w:noWrap/>
          </w:tcPr>
          <w:p w14:paraId="48233E49" w14:textId="0A32D6B7" w:rsidR="009D7893" w:rsidRPr="00F52E95" w:rsidRDefault="005F632F" w:rsidP="00587CA0">
            <w:pPr>
              <w:pStyle w:val="TableBody"/>
            </w:pPr>
            <w:r w:rsidRPr="00F52E95">
              <w:t>2,685</w:t>
            </w:r>
          </w:p>
        </w:tc>
        <w:tc>
          <w:tcPr>
            <w:tcW w:w="962" w:type="pct"/>
          </w:tcPr>
          <w:p w14:paraId="3191AFB1" w14:textId="37301814" w:rsidR="009D7893" w:rsidRPr="00F52E95" w:rsidRDefault="009D7893" w:rsidP="00587CA0">
            <w:pPr>
              <w:pStyle w:val="TableBody"/>
            </w:pPr>
            <w:r w:rsidRPr="00F52E95">
              <w:t>44.6%</w:t>
            </w:r>
          </w:p>
        </w:tc>
        <w:tc>
          <w:tcPr>
            <w:tcW w:w="962" w:type="pct"/>
            <w:noWrap/>
          </w:tcPr>
          <w:p w14:paraId="0B19621F" w14:textId="2E5A5AA4" w:rsidR="009D7893" w:rsidRPr="00F52E95" w:rsidRDefault="005F632F" w:rsidP="00587CA0">
            <w:pPr>
              <w:pStyle w:val="TableBody"/>
            </w:pPr>
            <w:r w:rsidRPr="00F52E95">
              <w:t>293</w:t>
            </w:r>
          </w:p>
        </w:tc>
        <w:tc>
          <w:tcPr>
            <w:tcW w:w="962" w:type="pct"/>
          </w:tcPr>
          <w:p w14:paraId="046B5028" w14:textId="292C7219" w:rsidR="009D7893" w:rsidRPr="00F52E95" w:rsidRDefault="009D7893" w:rsidP="00587CA0">
            <w:pPr>
              <w:pStyle w:val="TableBody"/>
            </w:pPr>
            <w:r w:rsidRPr="00F52E95">
              <w:t>21.2%</w:t>
            </w:r>
          </w:p>
        </w:tc>
      </w:tr>
      <w:tr w:rsidR="009D7893" w:rsidRPr="00F52E95" w14:paraId="3C02DB01" w14:textId="23EEC41B" w:rsidTr="009D7893">
        <w:trPr>
          <w:trHeight w:val="300"/>
        </w:trPr>
        <w:tc>
          <w:tcPr>
            <w:tcW w:w="968" w:type="pct"/>
            <w:hideMark/>
          </w:tcPr>
          <w:p w14:paraId="14DC9933" w14:textId="076B1A30" w:rsidR="009D7893" w:rsidRPr="00F52E95" w:rsidRDefault="009D7893" w:rsidP="00587CA0">
            <w:pPr>
              <w:pStyle w:val="TableBody"/>
            </w:pPr>
            <w:r w:rsidRPr="00F52E95">
              <w:t>2020</w:t>
            </w:r>
          </w:p>
        </w:tc>
        <w:tc>
          <w:tcPr>
            <w:tcW w:w="1145" w:type="pct"/>
            <w:noWrap/>
          </w:tcPr>
          <w:p w14:paraId="6DEDED73" w14:textId="782AC4E4" w:rsidR="009D7893" w:rsidRPr="00F52E95" w:rsidRDefault="005F632F" w:rsidP="00587CA0">
            <w:pPr>
              <w:pStyle w:val="TableBody"/>
            </w:pPr>
            <w:r w:rsidRPr="00F52E95">
              <w:t>2,345</w:t>
            </w:r>
          </w:p>
        </w:tc>
        <w:tc>
          <w:tcPr>
            <w:tcW w:w="962" w:type="pct"/>
          </w:tcPr>
          <w:p w14:paraId="56B1F1BD" w14:textId="4B18911B" w:rsidR="009D7893" w:rsidRPr="00F52E95" w:rsidRDefault="009D7893" w:rsidP="00587CA0">
            <w:pPr>
              <w:pStyle w:val="TableBody"/>
            </w:pPr>
            <w:r w:rsidRPr="00F52E95">
              <w:t>48.8%</w:t>
            </w:r>
          </w:p>
        </w:tc>
        <w:tc>
          <w:tcPr>
            <w:tcW w:w="962" w:type="pct"/>
            <w:noWrap/>
          </w:tcPr>
          <w:p w14:paraId="5BBB5042" w14:textId="3F1548AF" w:rsidR="009D7893" w:rsidRPr="00F52E95" w:rsidRDefault="005F632F" w:rsidP="00587CA0">
            <w:pPr>
              <w:pStyle w:val="TableBody"/>
            </w:pPr>
            <w:r w:rsidRPr="00F52E95">
              <w:t>254</w:t>
            </w:r>
          </w:p>
        </w:tc>
        <w:tc>
          <w:tcPr>
            <w:tcW w:w="962" w:type="pct"/>
          </w:tcPr>
          <w:p w14:paraId="19E614C8" w14:textId="2921E0E8" w:rsidR="009D7893" w:rsidRPr="00F52E95" w:rsidRDefault="009D7893" w:rsidP="00587CA0">
            <w:pPr>
              <w:pStyle w:val="TableBody"/>
            </w:pPr>
            <w:r w:rsidRPr="00F52E95">
              <w:t>24.4%</w:t>
            </w:r>
          </w:p>
        </w:tc>
      </w:tr>
    </w:tbl>
    <w:p w14:paraId="7F3359E1" w14:textId="77777777" w:rsidR="005801E0" w:rsidRPr="006B4A5D" w:rsidRDefault="005801E0" w:rsidP="005801E0">
      <w:pPr>
        <w:pStyle w:val="Heading2"/>
      </w:pPr>
      <w:r w:rsidRPr="006B4A5D">
        <w:t xml:space="preserve">How much prison time in combined orders was pre-sentence detention? </w:t>
      </w:r>
    </w:p>
    <w:p w14:paraId="700C14CE" w14:textId="77777777" w:rsidR="005801E0" w:rsidRPr="006B4A5D" w:rsidRDefault="005801E0" w:rsidP="00A612BA">
      <w:r w:rsidRPr="006B4A5D">
        <w:t>When courts sentence someone to imprisonment, they are required to declare any time spent on remand in relation to the matter as pre-sentence detention (time already served).</w:t>
      </w:r>
      <w:r w:rsidRPr="006B4A5D">
        <w:rPr>
          <w:rStyle w:val="Superscript"/>
        </w:rPr>
        <w:footnoteReference w:id="49"/>
      </w:r>
      <w:r w:rsidRPr="006B4A5D">
        <w:t xml:space="preserve"> In the higher courts, there were 1,870 combined orders imposed between 2012 and 2020. Of those, 1,527 offenders had at least some pre-sentence detention declared, meaning that they had spent some time on remand – and conversely, 18% of people who received combined orders in the higher courts had not spent time on remand prior to sentencing. Across the 1,870 cases, there </w:t>
      </w:r>
      <w:r w:rsidRPr="006B4A5D">
        <w:lastRenderedPageBreak/>
        <w:t xml:space="preserve">was a total of 1,625 years of imprisonment imposed. There was also a total of 875 years declared as pre-sentence detention in those cases (Figure 8), meaning that just over half of sentenced prison terms in combined orders in the higher courts (53.8%) had already been served on remand prior to sentencing. </w:t>
      </w:r>
    </w:p>
    <w:p w14:paraId="1A871DA5" w14:textId="77777777" w:rsidR="005801E0" w:rsidRPr="006B4A5D" w:rsidRDefault="005801E0" w:rsidP="00C34438">
      <w:pPr>
        <w:pStyle w:val="Caption"/>
      </w:pPr>
      <w:r w:rsidRPr="006B4A5D">
        <w:t>Figure 8: Overall total prison terms imposed in combined order cases in the higher courts, 2012 to 2020, by whether time was spent on remand or still to be served (1,870 cases)</w:t>
      </w:r>
    </w:p>
    <w:tbl>
      <w:tblPr>
        <w:tblStyle w:val="Table"/>
        <w:tblW w:w="5000" w:type="pct"/>
        <w:tblLook w:val="04A0" w:firstRow="1" w:lastRow="0" w:firstColumn="1" w:lastColumn="0" w:noHBand="0" w:noVBand="1"/>
      </w:tblPr>
      <w:tblGrid>
        <w:gridCol w:w="4508"/>
        <w:gridCol w:w="4508"/>
      </w:tblGrid>
      <w:tr w:rsidR="00DD52C3" w:rsidRPr="00DD52C3" w14:paraId="34C4E1AB" w14:textId="77777777" w:rsidTr="00DF7CEF">
        <w:trPr>
          <w:trHeight w:val="310"/>
          <w:tblHeader/>
        </w:trPr>
        <w:tc>
          <w:tcPr>
            <w:tcW w:w="2500" w:type="pct"/>
            <w:noWrap/>
            <w:hideMark/>
          </w:tcPr>
          <w:p w14:paraId="558C9242" w14:textId="77777777" w:rsidR="00DD52C3" w:rsidRPr="00DD52C3" w:rsidRDefault="00DD52C3" w:rsidP="00AF7608">
            <w:pPr>
              <w:pStyle w:val="TableHeading"/>
            </w:pPr>
            <w:r w:rsidRPr="00DD52C3">
              <w:t>Time served on remand</w:t>
            </w:r>
          </w:p>
        </w:tc>
        <w:tc>
          <w:tcPr>
            <w:tcW w:w="2500" w:type="pct"/>
            <w:noWrap/>
            <w:hideMark/>
          </w:tcPr>
          <w:p w14:paraId="0CD3CF50" w14:textId="77777777" w:rsidR="00DD52C3" w:rsidRPr="00DD52C3" w:rsidRDefault="00DD52C3" w:rsidP="00AF7608">
            <w:pPr>
              <w:pStyle w:val="TableHeading"/>
            </w:pPr>
            <w:r w:rsidRPr="00DD52C3">
              <w:t>Remaining time to serve</w:t>
            </w:r>
          </w:p>
        </w:tc>
      </w:tr>
      <w:tr w:rsidR="00DD52C3" w:rsidRPr="00DD52C3" w14:paraId="6013A83A" w14:textId="77777777" w:rsidTr="00DF7CEF">
        <w:trPr>
          <w:trHeight w:val="310"/>
        </w:trPr>
        <w:tc>
          <w:tcPr>
            <w:tcW w:w="2500" w:type="pct"/>
            <w:noWrap/>
            <w:hideMark/>
          </w:tcPr>
          <w:p w14:paraId="00121A0B" w14:textId="375C38D9" w:rsidR="00DD52C3" w:rsidRPr="00DD52C3" w:rsidRDefault="00DD52C3" w:rsidP="00403686">
            <w:pPr>
              <w:pStyle w:val="TableBody"/>
            </w:pPr>
            <w:r w:rsidRPr="00DD52C3">
              <w:t>875</w:t>
            </w:r>
            <w:r w:rsidR="0007410A">
              <w:t xml:space="preserve"> years</w:t>
            </w:r>
          </w:p>
        </w:tc>
        <w:tc>
          <w:tcPr>
            <w:tcW w:w="2500" w:type="pct"/>
            <w:noWrap/>
            <w:hideMark/>
          </w:tcPr>
          <w:p w14:paraId="517DBEF5" w14:textId="0C3520E0" w:rsidR="00DD52C3" w:rsidRPr="00DD52C3" w:rsidRDefault="00DD52C3" w:rsidP="00403686">
            <w:pPr>
              <w:pStyle w:val="TableBody"/>
            </w:pPr>
            <w:r w:rsidRPr="00DD52C3">
              <w:t>750</w:t>
            </w:r>
            <w:r w:rsidR="0007410A">
              <w:t xml:space="preserve"> years</w:t>
            </w:r>
          </w:p>
        </w:tc>
      </w:tr>
      <w:tr w:rsidR="00366924" w:rsidRPr="00DD52C3" w14:paraId="7D4675C1" w14:textId="77777777" w:rsidTr="00DF7CEF">
        <w:trPr>
          <w:trHeight w:val="310"/>
        </w:trPr>
        <w:tc>
          <w:tcPr>
            <w:tcW w:w="2500" w:type="pct"/>
            <w:noWrap/>
          </w:tcPr>
          <w:p w14:paraId="7A6CEF38" w14:textId="247C1B95" w:rsidR="00366924" w:rsidRPr="00DD52C3" w:rsidRDefault="0007410A" w:rsidP="00403686">
            <w:pPr>
              <w:pStyle w:val="TableBody"/>
            </w:pPr>
            <w:r>
              <w:t>53.8%</w:t>
            </w:r>
          </w:p>
        </w:tc>
        <w:tc>
          <w:tcPr>
            <w:tcW w:w="2500" w:type="pct"/>
            <w:noWrap/>
          </w:tcPr>
          <w:p w14:paraId="402241E3" w14:textId="6D4D1CA8" w:rsidR="00366924" w:rsidRPr="00DD52C3" w:rsidRDefault="0007410A" w:rsidP="00403686">
            <w:pPr>
              <w:pStyle w:val="TableBody"/>
            </w:pPr>
            <w:r>
              <w:t>46.2%</w:t>
            </w:r>
          </w:p>
        </w:tc>
      </w:tr>
    </w:tbl>
    <w:p w14:paraId="41788978" w14:textId="77777777" w:rsidR="005801E0" w:rsidRPr="006B4A5D" w:rsidRDefault="005801E0" w:rsidP="00A612BA">
      <w:r w:rsidRPr="006B4A5D">
        <w:t xml:space="preserve">The situation in the Magistrates’ Court is very similar. There were 11,036 combined orders imposed in the Magistrates’ Court between July 2016 and December 2020. Of those, 10,040 offenders had spent at least some time on remand. Conversely, this means that just 9% of offenders who received a combined order in the Magistrates’ Court had not spent any time on remand prior to sentencing. Across the 11,036 cases, courts ordered 3,473 years of imprisonment. They also declared 2,078 years of pre-sentence detention, meaning that 59.8% of prison terms in combined orders in the Magistrates’ Court had already been served prior to sentencing. </w:t>
      </w:r>
    </w:p>
    <w:p w14:paraId="483E9616" w14:textId="77777777" w:rsidR="005801E0" w:rsidRPr="006B4A5D" w:rsidRDefault="005801E0" w:rsidP="00C34438">
      <w:pPr>
        <w:pStyle w:val="Caption"/>
      </w:pPr>
      <w:r w:rsidRPr="006B4A5D">
        <w:t>Figure 9: Overall total prison terms imposed in combined order cases in the Magistrates’ Court, July 2016 to December 2020, by whether time was spent on remand or still to be served (11,036 cases)</w:t>
      </w:r>
    </w:p>
    <w:tbl>
      <w:tblPr>
        <w:tblStyle w:val="Table"/>
        <w:tblW w:w="5000" w:type="pct"/>
        <w:tblLook w:val="04A0" w:firstRow="1" w:lastRow="0" w:firstColumn="1" w:lastColumn="0" w:noHBand="0" w:noVBand="1"/>
      </w:tblPr>
      <w:tblGrid>
        <w:gridCol w:w="4508"/>
        <w:gridCol w:w="4508"/>
      </w:tblGrid>
      <w:tr w:rsidR="00035A5D" w:rsidRPr="00DD52C3" w14:paraId="3708C0B1" w14:textId="77777777" w:rsidTr="004C6338">
        <w:trPr>
          <w:trHeight w:val="310"/>
          <w:tblHeader/>
        </w:trPr>
        <w:tc>
          <w:tcPr>
            <w:tcW w:w="2500" w:type="pct"/>
            <w:noWrap/>
            <w:hideMark/>
          </w:tcPr>
          <w:p w14:paraId="5A8B9093" w14:textId="77777777" w:rsidR="00035A5D" w:rsidRPr="00DD52C3" w:rsidRDefault="00035A5D" w:rsidP="004C6338">
            <w:pPr>
              <w:pStyle w:val="TableHeading"/>
            </w:pPr>
            <w:r w:rsidRPr="00DD52C3">
              <w:t>Time served on remand</w:t>
            </w:r>
          </w:p>
        </w:tc>
        <w:tc>
          <w:tcPr>
            <w:tcW w:w="2500" w:type="pct"/>
            <w:noWrap/>
            <w:hideMark/>
          </w:tcPr>
          <w:p w14:paraId="37363E82" w14:textId="77777777" w:rsidR="00035A5D" w:rsidRPr="00DD52C3" w:rsidRDefault="00035A5D" w:rsidP="004C6338">
            <w:pPr>
              <w:pStyle w:val="TableHeading"/>
            </w:pPr>
            <w:r w:rsidRPr="00DD52C3">
              <w:t>Remaining time to serve</w:t>
            </w:r>
          </w:p>
        </w:tc>
      </w:tr>
      <w:tr w:rsidR="00035A5D" w:rsidRPr="00DD52C3" w14:paraId="2693838F" w14:textId="77777777" w:rsidTr="004C6338">
        <w:trPr>
          <w:trHeight w:val="310"/>
        </w:trPr>
        <w:tc>
          <w:tcPr>
            <w:tcW w:w="2500" w:type="pct"/>
            <w:noWrap/>
            <w:hideMark/>
          </w:tcPr>
          <w:p w14:paraId="65D51A5E" w14:textId="5864D702" w:rsidR="00035A5D" w:rsidRPr="005536BD" w:rsidRDefault="00035A5D" w:rsidP="005536BD">
            <w:pPr>
              <w:pStyle w:val="TableBody"/>
            </w:pPr>
            <w:r w:rsidRPr="00035A5D">
              <w:t>2,078</w:t>
            </w:r>
            <w:r w:rsidRPr="005536BD">
              <w:t xml:space="preserve"> </w:t>
            </w:r>
            <w:r w:rsidRPr="005536BD">
              <w:t>years</w:t>
            </w:r>
          </w:p>
        </w:tc>
        <w:tc>
          <w:tcPr>
            <w:tcW w:w="2500" w:type="pct"/>
            <w:noWrap/>
            <w:hideMark/>
          </w:tcPr>
          <w:p w14:paraId="3B6180B5" w14:textId="071ADAF4" w:rsidR="00035A5D" w:rsidRPr="005536BD" w:rsidRDefault="00035A5D" w:rsidP="005536BD">
            <w:pPr>
              <w:pStyle w:val="TableBody"/>
            </w:pPr>
            <w:r w:rsidRPr="00035A5D">
              <w:t>1,395</w:t>
            </w:r>
            <w:r w:rsidRPr="005536BD">
              <w:t xml:space="preserve"> </w:t>
            </w:r>
            <w:r w:rsidRPr="005536BD">
              <w:t>years</w:t>
            </w:r>
          </w:p>
        </w:tc>
      </w:tr>
      <w:tr w:rsidR="00035A5D" w:rsidRPr="00DD52C3" w14:paraId="5CFB0689" w14:textId="77777777" w:rsidTr="004C6338">
        <w:trPr>
          <w:trHeight w:val="310"/>
        </w:trPr>
        <w:tc>
          <w:tcPr>
            <w:tcW w:w="2500" w:type="pct"/>
            <w:noWrap/>
          </w:tcPr>
          <w:p w14:paraId="042ADCB2" w14:textId="50CC860E" w:rsidR="00035A5D" w:rsidRPr="005536BD" w:rsidRDefault="00BE71E9" w:rsidP="005536BD">
            <w:pPr>
              <w:pStyle w:val="TableBody"/>
            </w:pPr>
            <w:r w:rsidRPr="005536BD">
              <w:t>59.8%</w:t>
            </w:r>
          </w:p>
        </w:tc>
        <w:tc>
          <w:tcPr>
            <w:tcW w:w="2500" w:type="pct"/>
            <w:noWrap/>
          </w:tcPr>
          <w:p w14:paraId="7B6140AC" w14:textId="513FB887" w:rsidR="00035A5D" w:rsidRPr="005536BD" w:rsidRDefault="00BE71E9" w:rsidP="005536BD">
            <w:pPr>
              <w:pStyle w:val="TableBody"/>
            </w:pPr>
            <w:r w:rsidRPr="005536BD">
              <w:t>40.2%</w:t>
            </w:r>
          </w:p>
        </w:tc>
      </w:tr>
    </w:tbl>
    <w:p w14:paraId="2EDCC35E" w14:textId="77777777" w:rsidR="005801E0" w:rsidRPr="006B4A5D" w:rsidRDefault="005801E0" w:rsidP="005801E0">
      <w:pPr>
        <w:pStyle w:val="Heading2"/>
        <w:pageBreakBefore/>
      </w:pPr>
      <w:r w:rsidRPr="006B4A5D">
        <w:lastRenderedPageBreak/>
        <w:t xml:space="preserve">How much prison time in combined orders was still to be served after sentencing? </w:t>
      </w:r>
    </w:p>
    <w:p w14:paraId="663FCC01" w14:textId="77777777" w:rsidR="005801E0" w:rsidRPr="006B4A5D" w:rsidRDefault="005801E0" w:rsidP="00A612BA">
      <w:r w:rsidRPr="006B4A5D">
        <w:t>Figure 10 shows how much additional time each offender was required to serve in the 11,036 combined order cases from July 2016 to December 2020 in the Magistrates’ Court and the 1,870 combined order cases from 2012 to 2020 in the higher courts. In the Magistrates’ Court, 55.0% of combined order cases involved no additional prison term (6,072 cases), and just 3.9% required an additional prison term of 6 months or more. In the higher courts, longer additional prison terms were more common. While almost half of combined order cases required no additional prison term after sentencing (48.2%), just over one-fifth required an additional prison term of 6 months or more (21.3%).</w:t>
      </w:r>
    </w:p>
    <w:p w14:paraId="388240EB" w14:textId="77777777" w:rsidR="005801E0" w:rsidRPr="006B4A5D" w:rsidRDefault="005801E0" w:rsidP="00C34438">
      <w:pPr>
        <w:pStyle w:val="Caption"/>
      </w:pPr>
      <w:r w:rsidRPr="006B4A5D">
        <w:t>Figure 10: Lengths of additional prison terms still to be served after sentencing in combined order cases (11,036 cases in the Magistrates’ Court from July 2016 to December 2020 and 1,870 cases in the higher courts from 2012 to 2020)</w:t>
      </w:r>
    </w:p>
    <w:tbl>
      <w:tblPr>
        <w:tblStyle w:val="Table"/>
        <w:tblW w:w="5000" w:type="pct"/>
        <w:tblLook w:val="04A0" w:firstRow="1" w:lastRow="0" w:firstColumn="1" w:lastColumn="0" w:noHBand="0" w:noVBand="1"/>
      </w:tblPr>
      <w:tblGrid>
        <w:gridCol w:w="3005"/>
        <w:gridCol w:w="3005"/>
        <w:gridCol w:w="3006"/>
      </w:tblGrid>
      <w:tr w:rsidR="00A41451" w:rsidRPr="00A41451" w14:paraId="43A7BA5A" w14:textId="77777777" w:rsidTr="00F16D63">
        <w:trPr>
          <w:trHeight w:val="310"/>
          <w:tblHeader/>
        </w:trPr>
        <w:tc>
          <w:tcPr>
            <w:tcW w:w="1666" w:type="pct"/>
            <w:noWrap/>
            <w:hideMark/>
          </w:tcPr>
          <w:p w14:paraId="07A62215" w14:textId="00753213" w:rsidR="00A41451" w:rsidRPr="00A41451" w:rsidRDefault="00A237BD" w:rsidP="00A41451">
            <w:pPr>
              <w:pStyle w:val="TableHeading"/>
            </w:pPr>
            <w:r>
              <w:t>Time to serve</w:t>
            </w:r>
          </w:p>
        </w:tc>
        <w:tc>
          <w:tcPr>
            <w:tcW w:w="1666" w:type="pct"/>
            <w:noWrap/>
            <w:hideMark/>
          </w:tcPr>
          <w:p w14:paraId="0B762C11" w14:textId="77777777" w:rsidR="00A41451" w:rsidRPr="00A41451" w:rsidRDefault="00A41451" w:rsidP="00A41451">
            <w:pPr>
              <w:pStyle w:val="TableHeading"/>
            </w:pPr>
            <w:r w:rsidRPr="00A41451">
              <w:t>Magistrates' Court</w:t>
            </w:r>
          </w:p>
        </w:tc>
        <w:tc>
          <w:tcPr>
            <w:tcW w:w="1667" w:type="pct"/>
            <w:noWrap/>
            <w:hideMark/>
          </w:tcPr>
          <w:p w14:paraId="4F8530A3" w14:textId="77777777" w:rsidR="00A41451" w:rsidRPr="00A41451" w:rsidRDefault="00A41451" w:rsidP="00A41451">
            <w:pPr>
              <w:pStyle w:val="TableHeading"/>
            </w:pPr>
            <w:r w:rsidRPr="00A41451">
              <w:t>Higher courts</w:t>
            </w:r>
          </w:p>
        </w:tc>
      </w:tr>
      <w:tr w:rsidR="00A41451" w:rsidRPr="00A41451" w14:paraId="334C675D" w14:textId="77777777" w:rsidTr="00A41451">
        <w:trPr>
          <w:trHeight w:val="310"/>
        </w:trPr>
        <w:tc>
          <w:tcPr>
            <w:tcW w:w="1666" w:type="pct"/>
            <w:noWrap/>
            <w:hideMark/>
          </w:tcPr>
          <w:p w14:paraId="14A4E012" w14:textId="77777777" w:rsidR="00A41451" w:rsidRPr="00A41451" w:rsidRDefault="00A41451" w:rsidP="00A41451">
            <w:pPr>
              <w:pStyle w:val="TableBody"/>
            </w:pPr>
            <w:r w:rsidRPr="00A41451">
              <w:t>No additional time to serve</w:t>
            </w:r>
          </w:p>
        </w:tc>
        <w:tc>
          <w:tcPr>
            <w:tcW w:w="1666" w:type="pct"/>
            <w:noWrap/>
            <w:hideMark/>
          </w:tcPr>
          <w:p w14:paraId="1434D00F" w14:textId="2504FA86" w:rsidR="00A41451" w:rsidRPr="00A41451" w:rsidRDefault="00A41451" w:rsidP="00A41451">
            <w:pPr>
              <w:pStyle w:val="TableBody"/>
            </w:pPr>
            <w:r w:rsidRPr="00A41451">
              <w:t xml:space="preserve">6,072 </w:t>
            </w:r>
          </w:p>
        </w:tc>
        <w:tc>
          <w:tcPr>
            <w:tcW w:w="1667" w:type="pct"/>
            <w:noWrap/>
            <w:hideMark/>
          </w:tcPr>
          <w:p w14:paraId="491E87CC" w14:textId="54F91BDC" w:rsidR="00A41451" w:rsidRPr="00A41451" w:rsidRDefault="00A41451" w:rsidP="00A41451">
            <w:pPr>
              <w:pStyle w:val="TableBody"/>
            </w:pPr>
            <w:r w:rsidRPr="00A41451">
              <w:t>902</w:t>
            </w:r>
          </w:p>
        </w:tc>
      </w:tr>
      <w:tr w:rsidR="00A41451" w:rsidRPr="00A41451" w14:paraId="02CE3356" w14:textId="77777777" w:rsidTr="00A41451">
        <w:trPr>
          <w:trHeight w:val="310"/>
        </w:trPr>
        <w:tc>
          <w:tcPr>
            <w:tcW w:w="1666" w:type="pct"/>
            <w:noWrap/>
            <w:hideMark/>
          </w:tcPr>
          <w:p w14:paraId="152634DA" w14:textId="77777777" w:rsidR="00A41451" w:rsidRPr="00A41451" w:rsidRDefault="00A41451" w:rsidP="00A41451">
            <w:pPr>
              <w:pStyle w:val="TableBody"/>
            </w:pPr>
            <w:r w:rsidRPr="00A41451">
              <w:t>Less than 3 months</w:t>
            </w:r>
          </w:p>
        </w:tc>
        <w:tc>
          <w:tcPr>
            <w:tcW w:w="1666" w:type="pct"/>
            <w:noWrap/>
            <w:hideMark/>
          </w:tcPr>
          <w:p w14:paraId="75C64F68" w14:textId="03D80C2A" w:rsidR="00A41451" w:rsidRPr="00A41451" w:rsidRDefault="00A41451" w:rsidP="00A41451">
            <w:pPr>
              <w:pStyle w:val="TableBody"/>
            </w:pPr>
            <w:r w:rsidRPr="00A41451">
              <w:t xml:space="preserve">3,310 </w:t>
            </w:r>
          </w:p>
        </w:tc>
        <w:tc>
          <w:tcPr>
            <w:tcW w:w="1667" w:type="pct"/>
            <w:noWrap/>
            <w:hideMark/>
          </w:tcPr>
          <w:p w14:paraId="53E13C2C" w14:textId="0A7900BA" w:rsidR="00A41451" w:rsidRPr="00A41451" w:rsidRDefault="00A41451" w:rsidP="00A41451">
            <w:pPr>
              <w:pStyle w:val="TableBody"/>
            </w:pPr>
            <w:r w:rsidRPr="00A41451">
              <w:t>353</w:t>
            </w:r>
          </w:p>
        </w:tc>
      </w:tr>
      <w:tr w:rsidR="00A41451" w:rsidRPr="00A41451" w14:paraId="34F15D99" w14:textId="77777777" w:rsidTr="00A41451">
        <w:trPr>
          <w:trHeight w:val="310"/>
        </w:trPr>
        <w:tc>
          <w:tcPr>
            <w:tcW w:w="1666" w:type="pct"/>
            <w:noWrap/>
            <w:hideMark/>
          </w:tcPr>
          <w:p w14:paraId="3B942B6E" w14:textId="77777777" w:rsidR="00A41451" w:rsidRPr="00A41451" w:rsidRDefault="00A41451" w:rsidP="00A41451">
            <w:pPr>
              <w:pStyle w:val="TableBody"/>
            </w:pPr>
            <w:r w:rsidRPr="00A41451">
              <w:t>3 to less than 6 months</w:t>
            </w:r>
          </w:p>
        </w:tc>
        <w:tc>
          <w:tcPr>
            <w:tcW w:w="1666" w:type="pct"/>
            <w:noWrap/>
            <w:hideMark/>
          </w:tcPr>
          <w:p w14:paraId="3E52F5DA" w14:textId="333EBA94" w:rsidR="00A41451" w:rsidRPr="00A41451" w:rsidRDefault="00A41451" w:rsidP="00A41451">
            <w:pPr>
              <w:pStyle w:val="TableBody"/>
            </w:pPr>
            <w:r w:rsidRPr="00A41451">
              <w:t xml:space="preserve">1,229 </w:t>
            </w:r>
          </w:p>
        </w:tc>
        <w:tc>
          <w:tcPr>
            <w:tcW w:w="1667" w:type="pct"/>
            <w:noWrap/>
            <w:hideMark/>
          </w:tcPr>
          <w:p w14:paraId="0FAE8357" w14:textId="079A06E1" w:rsidR="00A41451" w:rsidRPr="00A41451" w:rsidRDefault="00A41451" w:rsidP="00A41451">
            <w:pPr>
              <w:pStyle w:val="TableBody"/>
            </w:pPr>
            <w:r w:rsidRPr="00A41451">
              <w:t>216</w:t>
            </w:r>
          </w:p>
        </w:tc>
      </w:tr>
      <w:tr w:rsidR="00A41451" w:rsidRPr="00A41451" w14:paraId="41193EC8" w14:textId="77777777" w:rsidTr="00A41451">
        <w:trPr>
          <w:trHeight w:val="310"/>
        </w:trPr>
        <w:tc>
          <w:tcPr>
            <w:tcW w:w="1666" w:type="pct"/>
            <w:noWrap/>
            <w:hideMark/>
          </w:tcPr>
          <w:p w14:paraId="2AA08AE1" w14:textId="77777777" w:rsidR="00A41451" w:rsidRPr="00A41451" w:rsidRDefault="00A41451" w:rsidP="00A41451">
            <w:pPr>
              <w:pStyle w:val="TableBody"/>
            </w:pPr>
            <w:r w:rsidRPr="00A41451">
              <w:t>6 to less than 12 months</w:t>
            </w:r>
          </w:p>
        </w:tc>
        <w:tc>
          <w:tcPr>
            <w:tcW w:w="1666" w:type="pct"/>
            <w:noWrap/>
            <w:hideMark/>
          </w:tcPr>
          <w:p w14:paraId="6BFC9A79" w14:textId="12470597" w:rsidR="00A41451" w:rsidRPr="00A41451" w:rsidRDefault="00A41451" w:rsidP="00A41451">
            <w:pPr>
              <w:pStyle w:val="TableBody"/>
            </w:pPr>
            <w:r w:rsidRPr="00A41451">
              <w:t xml:space="preserve">395 </w:t>
            </w:r>
          </w:p>
        </w:tc>
        <w:tc>
          <w:tcPr>
            <w:tcW w:w="1667" w:type="pct"/>
            <w:noWrap/>
            <w:hideMark/>
          </w:tcPr>
          <w:p w14:paraId="54BF11C3" w14:textId="43CD3C07" w:rsidR="00A41451" w:rsidRPr="00A41451" w:rsidRDefault="00A41451" w:rsidP="00A41451">
            <w:pPr>
              <w:pStyle w:val="TableBody"/>
            </w:pPr>
            <w:r w:rsidRPr="00A41451">
              <w:t>271</w:t>
            </w:r>
          </w:p>
        </w:tc>
      </w:tr>
      <w:tr w:rsidR="00A41451" w:rsidRPr="00A41451" w14:paraId="3BC640CA" w14:textId="77777777" w:rsidTr="00A41451">
        <w:trPr>
          <w:trHeight w:val="310"/>
        </w:trPr>
        <w:tc>
          <w:tcPr>
            <w:tcW w:w="1666" w:type="pct"/>
            <w:noWrap/>
            <w:hideMark/>
          </w:tcPr>
          <w:p w14:paraId="008A4970" w14:textId="77777777" w:rsidR="00A41451" w:rsidRPr="00A41451" w:rsidRDefault="00A41451" w:rsidP="00A41451">
            <w:pPr>
              <w:pStyle w:val="TableBody"/>
            </w:pPr>
            <w:r w:rsidRPr="00A41451">
              <w:t>12 months or more</w:t>
            </w:r>
          </w:p>
        </w:tc>
        <w:tc>
          <w:tcPr>
            <w:tcW w:w="1666" w:type="pct"/>
            <w:noWrap/>
            <w:hideMark/>
          </w:tcPr>
          <w:p w14:paraId="54300BCD" w14:textId="05062F08" w:rsidR="00A41451" w:rsidRPr="00A41451" w:rsidRDefault="00A41451" w:rsidP="00A41451">
            <w:pPr>
              <w:pStyle w:val="TableBody"/>
            </w:pPr>
            <w:r w:rsidRPr="00A41451">
              <w:t>30</w:t>
            </w:r>
          </w:p>
        </w:tc>
        <w:tc>
          <w:tcPr>
            <w:tcW w:w="1667" w:type="pct"/>
            <w:noWrap/>
            <w:hideMark/>
          </w:tcPr>
          <w:p w14:paraId="5241A791" w14:textId="66DA6263" w:rsidR="00A41451" w:rsidRPr="00A41451" w:rsidRDefault="00A41451" w:rsidP="00A41451">
            <w:pPr>
              <w:pStyle w:val="TableBody"/>
            </w:pPr>
            <w:r w:rsidRPr="00A41451">
              <w:t>128</w:t>
            </w:r>
          </w:p>
        </w:tc>
      </w:tr>
    </w:tbl>
    <w:p w14:paraId="6461C420" w14:textId="77777777" w:rsidR="005801E0" w:rsidRPr="006B4A5D" w:rsidRDefault="005801E0" w:rsidP="00A612BA">
      <w:r w:rsidRPr="006B4A5D">
        <w:t>A potential issue arises here – in particular, how much additional prison time a court can order when imprisonment and a CCO are imposed on separate offences in the same case. When courts impose imprisonment</w:t>
      </w:r>
      <w:r w:rsidRPr="006B4A5D">
        <w:rPr>
          <w:rStyle w:val="Superscript"/>
        </w:rPr>
        <w:footnoteReference w:id="50"/>
      </w:r>
      <w:r w:rsidRPr="006B4A5D">
        <w:t xml:space="preserve"> and a CCO </w:t>
      </w:r>
      <w:r w:rsidRPr="006B4A5D">
        <w:rPr>
          <w:rStyle w:val="Italic"/>
        </w:rPr>
        <w:t>together</w:t>
      </w:r>
      <w:r w:rsidRPr="006B4A5D">
        <w:t xml:space="preserve"> on the same offence (or offences) in a case, section 44</w:t>
      </w:r>
      <w:r w:rsidRPr="006B4A5D">
        <w:rPr>
          <w:rStyle w:val="Superscript"/>
        </w:rPr>
        <w:footnoteReference w:id="51"/>
      </w:r>
      <w:r w:rsidRPr="006B4A5D">
        <w:t xml:space="preserve"> of the </w:t>
      </w:r>
      <w:r w:rsidRPr="006B4A5D">
        <w:rPr>
          <w:rStyle w:val="Italic"/>
        </w:rPr>
        <w:t xml:space="preserve">Sentencing Act </w:t>
      </w:r>
      <w:r w:rsidRPr="006B4A5D">
        <w:t xml:space="preserve">clearly allows them to impose up to an </w:t>
      </w:r>
      <w:r w:rsidRPr="006B4A5D">
        <w:lastRenderedPageBreak/>
        <w:t>additional 12 months’ imprisonment (on top of time spent on remand</w:t>
      </w:r>
      <w:r w:rsidRPr="006B4A5D">
        <w:rPr>
          <w:rStyle w:val="Superscript"/>
        </w:rPr>
        <w:footnoteReference w:id="52"/>
      </w:r>
      <w:r w:rsidRPr="006B4A5D">
        <w:t>) that the offender must serve before the CCO commences.</w:t>
      </w:r>
      <w:r w:rsidRPr="006B4A5D">
        <w:rPr>
          <w:rStyle w:val="Superscript"/>
        </w:rPr>
        <w:footnoteReference w:id="53"/>
      </w:r>
      <w:r w:rsidRPr="006B4A5D">
        <w:t xml:space="preserve"> There are, though, many cases where courts impose imprisonment and a CCO separately on different offences in the case.</w:t>
      </w:r>
      <w:r w:rsidRPr="006B4A5D">
        <w:rPr>
          <w:rStyle w:val="Superscript"/>
        </w:rPr>
        <w:footnoteReference w:id="54"/>
      </w:r>
      <w:r w:rsidRPr="006B4A5D">
        <w:t xml:space="preserve"> When this occurs, there are two plausible and competing interpretations of section 44 (see Table 1): if section 44 applies, courts can impose an additional 12 months’ imprisonment; if it doesn’t apply, section 38(2) restricts the maximum additional prison term to just 3 months.</w:t>
      </w:r>
      <w:r w:rsidRPr="006B4A5D">
        <w:rPr>
          <w:rStyle w:val="Superscript"/>
        </w:rPr>
        <w:footnoteReference w:id="55"/>
      </w:r>
      <w:r w:rsidRPr="006B4A5D">
        <w:t xml:space="preserve"> The reason there are plausible and competing interpretations of section 44 is that the language of the provision alternates between charge-specific language (‘the offence’) and case-specific language (‘when sentencing an offender’ and ‘the sum of all </w:t>
      </w:r>
      <w:r w:rsidRPr="006B4A5D">
        <w:lastRenderedPageBreak/>
        <w:t xml:space="preserve">the terms of imprisonment’). If the focus of the provision is charge-specific, then section 44 does not apply when imprisonment and a CCO are imposed separately. But if the provision is case-specific, then section 44 does apply. </w:t>
      </w:r>
    </w:p>
    <w:p w14:paraId="5A59F105" w14:textId="7C9872A1" w:rsidR="00495436" w:rsidRDefault="005801E0" w:rsidP="00F7422E">
      <w:pPr>
        <w:pStyle w:val="Caption"/>
      </w:pPr>
      <w:r w:rsidRPr="006B4A5D">
        <w:t xml:space="preserve">Table 1: Hypothetical case examples to illustrate the previous ambiguity about whether section 44 applies or not (prior to </w:t>
      </w:r>
      <w:r w:rsidRPr="006B4A5D">
        <w:rPr>
          <w:rStyle w:val="Italic"/>
        </w:rPr>
        <w:t>Wright v The King</w:t>
      </w:r>
      <w:r w:rsidRPr="006B4A5D">
        <w:t xml:space="preserve"> [2023] VSCA 243)</w:t>
      </w:r>
    </w:p>
    <w:tbl>
      <w:tblPr>
        <w:tblStyle w:val="TableGrid"/>
        <w:tblW w:w="5000" w:type="pct"/>
        <w:tblLook w:val="04A0" w:firstRow="1" w:lastRow="0" w:firstColumn="1" w:lastColumn="0" w:noHBand="0" w:noVBand="1"/>
      </w:tblPr>
      <w:tblGrid>
        <w:gridCol w:w="1804"/>
        <w:gridCol w:w="1803"/>
        <w:gridCol w:w="1803"/>
        <w:gridCol w:w="1803"/>
        <w:gridCol w:w="1803"/>
      </w:tblGrid>
      <w:tr w:rsidR="00697605" w14:paraId="63CEB3EA" w14:textId="77777777" w:rsidTr="00697605">
        <w:trPr>
          <w:tblHeader/>
        </w:trPr>
        <w:tc>
          <w:tcPr>
            <w:tcW w:w="1000" w:type="pct"/>
          </w:tcPr>
          <w:p w14:paraId="585756AB" w14:textId="5B2C825B" w:rsidR="00697605" w:rsidRDefault="00697605" w:rsidP="00D626D2">
            <w:pPr>
              <w:pStyle w:val="TableHeading"/>
            </w:pPr>
            <w:r w:rsidRPr="006B4A5D">
              <w:t>Case</w:t>
            </w:r>
          </w:p>
        </w:tc>
        <w:tc>
          <w:tcPr>
            <w:tcW w:w="1000" w:type="pct"/>
          </w:tcPr>
          <w:p w14:paraId="29A4CBF8" w14:textId="5591C92E" w:rsidR="00697605" w:rsidRDefault="00697605" w:rsidP="00D626D2">
            <w:pPr>
              <w:pStyle w:val="TableHeading"/>
            </w:pPr>
            <w:r w:rsidRPr="006B4A5D">
              <w:t>Charge</w:t>
            </w:r>
          </w:p>
        </w:tc>
        <w:tc>
          <w:tcPr>
            <w:tcW w:w="1000" w:type="pct"/>
          </w:tcPr>
          <w:p w14:paraId="3231A783" w14:textId="54DFC7AC" w:rsidR="00697605" w:rsidRDefault="00697605" w:rsidP="00D626D2">
            <w:pPr>
              <w:pStyle w:val="TableHeading"/>
            </w:pPr>
            <w:r w:rsidRPr="006B4A5D">
              <w:t>Sentence</w:t>
            </w:r>
          </w:p>
        </w:tc>
        <w:tc>
          <w:tcPr>
            <w:tcW w:w="1000" w:type="pct"/>
          </w:tcPr>
          <w:p w14:paraId="35F40BD5" w14:textId="27FBE2C9" w:rsidR="00697605" w:rsidRDefault="00697605" w:rsidP="00D626D2">
            <w:pPr>
              <w:pStyle w:val="TableHeading"/>
            </w:pPr>
            <w:r w:rsidRPr="006B4A5D">
              <w:t>Does section 44 apply?</w:t>
            </w:r>
          </w:p>
        </w:tc>
        <w:tc>
          <w:tcPr>
            <w:tcW w:w="1000" w:type="pct"/>
          </w:tcPr>
          <w:p w14:paraId="6E76A98A" w14:textId="0537EF92" w:rsidR="00697605" w:rsidRDefault="00697605" w:rsidP="00D626D2">
            <w:pPr>
              <w:pStyle w:val="TableHeading"/>
            </w:pPr>
            <w:r w:rsidRPr="006B4A5D">
              <w:t>Maximum additional prison term</w:t>
            </w:r>
          </w:p>
        </w:tc>
      </w:tr>
      <w:tr w:rsidR="00697605" w14:paraId="6B7C649E" w14:textId="77777777" w:rsidTr="00697605">
        <w:tc>
          <w:tcPr>
            <w:tcW w:w="1000" w:type="pct"/>
          </w:tcPr>
          <w:p w14:paraId="0BD90841" w14:textId="0B96DC0E" w:rsidR="00697605" w:rsidRDefault="00697605" w:rsidP="00D626D2">
            <w:pPr>
              <w:pStyle w:val="TableBody"/>
            </w:pPr>
            <w:r w:rsidRPr="006B4A5D">
              <w:t>Case 1</w:t>
            </w:r>
          </w:p>
        </w:tc>
        <w:tc>
          <w:tcPr>
            <w:tcW w:w="1000" w:type="pct"/>
          </w:tcPr>
          <w:p w14:paraId="201E5CD6" w14:textId="3584C91F" w:rsidR="00697605" w:rsidRDefault="00697605" w:rsidP="00D626D2">
            <w:pPr>
              <w:pStyle w:val="TableBody"/>
            </w:pPr>
            <w:r w:rsidRPr="006B4A5D">
              <w:t>Charge 1</w:t>
            </w:r>
            <w:r>
              <w:t xml:space="preserve"> and </w:t>
            </w:r>
            <w:r w:rsidRPr="006B4A5D">
              <w:t>Charge 2</w:t>
            </w:r>
          </w:p>
        </w:tc>
        <w:tc>
          <w:tcPr>
            <w:tcW w:w="1000" w:type="pct"/>
          </w:tcPr>
          <w:p w14:paraId="47DC5290" w14:textId="42248167" w:rsidR="00697605" w:rsidRDefault="00697605" w:rsidP="00D626D2">
            <w:pPr>
              <w:pStyle w:val="TableBody"/>
            </w:pPr>
            <w:r w:rsidRPr="006B4A5D">
              <w:t>Imprisonment with a CCO</w:t>
            </w:r>
          </w:p>
        </w:tc>
        <w:tc>
          <w:tcPr>
            <w:tcW w:w="1000" w:type="pct"/>
          </w:tcPr>
          <w:p w14:paraId="6A582977" w14:textId="0D852FC7" w:rsidR="00697605" w:rsidRDefault="00697605" w:rsidP="00D626D2">
            <w:pPr>
              <w:pStyle w:val="TableBody"/>
            </w:pPr>
            <w:r w:rsidRPr="006B4A5D">
              <w:t>Yes</w:t>
            </w:r>
          </w:p>
        </w:tc>
        <w:tc>
          <w:tcPr>
            <w:tcW w:w="1000" w:type="pct"/>
          </w:tcPr>
          <w:p w14:paraId="533B9B30" w14:textId="49869339" w:rsidR="00697605" w:rsidRDefault="00697605" w:rsidP="00D626D2">
            <w:pPr>
              <w:pStyle w:val="TableBody"/>
            </w:pPr>
            <w:r w:rsidRPr="006B4A5D">
              <w:t>12 months</w:t>
            </w:r>
          </w:p>
        </w:tc>
      </w:tr>
      <w:tr w:rsidR="00697605" w14:paraId="355D7589" w14:textId="77777777" w:rsidTr="00697605">
        <w:tc>
          <w:tcPr>
            <w:tcW w:w="1000" w:type="pct"/>
          </w:tcPr>
          <w:p w14:paraId="1E2CF338" w14:textId="4ACAD8CF" w:rsidR="00697605" w:rsidRDefault="00697605" w:rsidP="00D626D2">
            <w:pPr>
              <w:pStyle w:val="TableBody"/>
            </w:pPr>
            <w:r w:rsidRPr="006B4A5D">
              <w:t>Case 2</w:t>
            </w:r>
          </w:p>
        </w:tc>
        <w:tc>
          <w:tcPr>
            <w:tcW w:w="1000" w:type="pct"/>
          </w:tcPr>
          <w:p w14:paraId="3D7B5B86" w14:textId="62EC54A4" w:rsidR="00697605" w:rsidRDefault="00697605" w:rsidP="00D626D2">
            <w:pPr>
              <w:pStyle w:val="TableBody"/>
            </w:pPr>
            <w:r w:rsidRPr="006B4A5D">
              <w:t>Charge 1</w:t>
            </w:r>
          </w:p>
        </w:tc>
        <w:tc>
          <w:tcPr>
            <w:tcW w:w="1000" w:type="pct"/>
          </w:tcPr>
          <w:p w14:paraId="4072F5A7" w14:textId="1F77F072" w:rsidR="00697605" w:rsidRDefault="00697605" w:rsidP="00D626D2">
            <w:pPr>
              <w:pStyle w:val="TableBody"/>
            </w:pPr>
            <w:r w:rsidRPr="006B4A5D">
              <w:t>Imprisonment</w:t>
            </w:r>
          </w:p>
        </w:tc>
        <w:tc>
          <w:tcPr>
            <w:tcW w:w="1000" w:type="pct"/>
          </w:tcPr>
          <w:p w14:paraId="1546D692" w14:textId="57500939" w:rsidR="00697605" w:rsidRDefault="00697605" w:rsidP="00D626D2">
            <w:pPr>
              <w:pStyle w:val="TableBody"/>
            </w:pPr>
            <w:r w:rsidRPr="006B4A5D">
              <w:t>Unclear</w:t>
            </w:r>
          </w:p>
        </w:tc>
        <w:tc>
          <w:tcPr>
            <w:tcW w:w="1000" w:type="pct"/>
          </w:tcPr>
          <w:p w14:paraId="59A25CC7" w14:textId="347EB84F" w:rsidR="00697605" w:rsidRDefault="00697605" w:rsidP="00D626D2">
            <w:pPr>
              <w:pStyle w:val="TableBody"/>
            </w:pPr>
            <w:r w:rsidRPr="006B4A5D">
              <w:t>If no, 3 months</w:t>
            </w:r>
            <w:r w:rsidRPr="006B4A5D">
              <w:br/>
              <w:t>If yes, 12 months</w:t>
            </w:r>
          </w:p>
        </w:tc>
      </w:tr>
      <w:tr w:rsidR="00697605" w14:paraId="56AB6C42" w14:textId="77777777" w:rsidTr="00697605">
        <w:tc>
          <w:tcPr>
            <w:tcW w:w="1000" w:type="pct"/>
          </w:tcPr>
          <w:p w14:paraId="5D72E3F5" w14:textId="77777777" w:rsidR="00697605" w:rsidRDefault="00697605" w:rsidP="00D626D2">
            <w:pPr>
              <w:pStyle w:val="TableBody"/>
            </w:pPr>
          </w:p>
        </w:tc>
        <w:tc>
          <w:tcPr>
            <w:tcW w:w="1000" w:type="pct"/>
          </w:tcPr>
          <w:p w14:paraId="1BA00A05" w14:textId="410B66B5" w:rsidR="00697605" w:rsidRDefault="00697605" w:rsidP="00D626D2">
            <w:pPr>
              <w:pStyle w:val="TableBody"/>
            </w:pPr>
            <w:r w:rsidRPr="006B4A5D">
              <w:t>Charge 2</w:t>
            </w:r>
          </w:p>
        </w:tc>
        <w:tc>
          <w:tcPr>
            <w:tcW w:w="1000" w:type="pct"/>
          </w:tcPr>
          <w:p w14:paraId="65AD1763" w14:textId="6D6FFF0C" w:rsidR="00697605" w:rsidRDefault="00697605" w:rsidP="00D626D2">
            <w:pPr>
              <w:pStyle w:val="TableBody"/>
            </w:pPr>
            <w:r w:rsidRPr="006B4A5D">
              <w:t>CCO</w:t>
            </w:r>
          </w:p>
        </w:tc>
        <w:tc>
          <w:tcPr>
            <w:tcW w:w="1000" w:type="pct"/>
          </w:tcPr>
          <w:p w14:paraId="3C672C4C" w14:textId="77777777" w:rsidR="00697605" w:rsidRDefault="00697605" w:rsidP="00D626D2">
            <w:pPr>
              <w:pStyle w:val="TableBody"/>
            </w:pPr>
          </w:p>
        </w:tc>
        <w:tc>
          <w:tcPr>
            <w:tcW w:w="1000" w:type="pct"/>
          </w:tcPr>
          <w:p w14:paraId="5D1B38B3" w14:textId="77777777" w:rsidR="00697605" w:rsidRDefault="00697605" w:rsidP="00D626D2">
            <w:pPr>
              <w:pStyle w:val="TableBody"/>
            </w:pPr>
          </w:p>
        </w:tc>
      </w:tr>
    </w:tbl>
    <w:p w14:paraId="03EDD963" w14:textId="77777777" w:rsidR="005801E0" w:rsidRPr="006B4A5D" w:rsidRDefault="005801E0" w:rsidP="00A612BA">
      <w:r w:rsidRPr="006B4A5D">
        <w:t xml:space="preserve">Both potential interpretations of section 44 appear to have found operational purchase. In </w:t>
      </w:r>
      <w:r w:rsidRPr="006B4A5D">
        <w:rPr>
          <w:rStyle w:val="Italic"/>
        </w:rPr>
        <w:t>DPP v Wright &amp; Anor</w:t>
      </w:r>
      <w:r w:rsidRPr="006B4A5D">
        <w:t xml:space="preserve">, the County Court – and the Director of Public Prosecutions, who argued the point – concluded that section 44 </w:t>
      </w:r>
      <w:r w:rsidRPr="006B4A5D">
        <w:rPr>
          <w:rStyle w:val="Italic"/>
        </w:rPr>
        <w:t>does not</w:t>
      </w:r>
      <w:r w:rsidRPr="006B4A5D">
        <w:t xml:space="preserve"> apply in cases where imprisonment and a CCO are imposed separately, thereby limiting the maximum additional prison term that an offender can serve to 3 months.</w:t>
      </w:r>
      <w:r w:rsidRPr="006B4A5D">
        <w:rPr>
          <w:rStyle w:val="Superscript"/>
        </w:rPr>
        <w:footnoteReference w:id="56"/>
      </w:r>
      <w:r w:rsidRPr="006B4A5D">
        <w:t xml:space="preserve"> That case involved a category 2 offence (home invasion), for which courts cannot impose a combined </w:t>
      </w:r>
      <w:r w:rsidRPr="006B4A5D">
        <w:lastRenderedPageBreak/>
        <w:t>order.</w:t>
      </w:r>
      <w:r w:rsidRPr="006B4A5D">
        <w:rPr>
          <w:rStyle w:val="Superscript"/>
        </w:rPr>
        <w:footnoteReference w:id="57"/>
      </w:r>
      <w:r w:rsidRPr="006B4A5D">
        <w:t xml:space="preserve"> The court concluded that imposing a prison sentence on the category 2 offence and a CCO on other offences was allowed (despite section 5(2H)) but would limit the maximum additional prison term to 3 months (because section 44 did not apply). On the other hand, there were also 277 cases in the 4.5 years to December 2020 in which the Magistrates’ Court imposed an additional prison term of 3.5 months</w:t>
      </w:r>
      <w:r w:rsidRPr="006B4A5D">
        <w:rPr>
          <w:rStyle w:val="Superscript"/>
        </w:rPr>
        <w:footnoteReference w:id="58"/>
      </w:r>
      <w:r w:rsidRPr="006B4A5D">
        <w:t xml:space="preserve"> or more despite imposing imprisonment and a CCO on separate offences,</w:t>
      </w:r>
      <w:r w:rsidRPr="006B4A5D">
        <w:rPr>
          <w:rStyle w:val="Superscript"/>
        </w:rPr>
        <w:footnoteReference w:id="59"/>
      </w:r>
      <w:r w:rsidRPr="006B4A5D">
        <w:t xml:space="preserve"> suggesting section 44 </w:t>
      </w:r>
      <w:r w:rsidRPr="006B4A5D">
        <w:rPr>
          <w:rStyle w:val="Italic"/>
        </w:rPr>
        <w:t xml:space="preserve">did </w:t>
      </w:r>
      <w:r w:rsidRPr="006B4A5D">
        <w:t>apply in those cases.</w:t>
      </w:r>
    </w:p>
    <w:p w14:paraId="201E2A16" w14:textId="2A4A9973" w:rsidR="005801E0" w:rsidRPr="006B4A5D" w:rsidRDefault="005801E0" w:rsidP="001D2C8C">
      <w:r w:rsidRPr="006B4A5D">
        <w:t xml:space="preserve">Subsequently, the Court of Appeal delivered its judgment on appeal from the County Court decision in </w:t>
      </w:r>
      <w:r w:rsidRPr="006B4A5D">
        <w:rPr>
          <w:rStyle w:val="Italic"/>
        </w:rPr>
        <w:t>Wright</w:t>
      </w:r>
      <w:r w:rsidRPr="006B4A5D">
        <w:t>.</w:t>
      </w:r>
      <w:r w:rsidRPr="006B4A5D">
        <w:rPr>
          <w:rStyle w:val="Superscript"/>
        </w:rPr>
        <w:footnoteReference w:id="60"/>
      </w:r>
      <w:r w:rsidRPr="006B4A5D">
        <w:t xml:space="preserve"> In that new judgment, the Court of Appeal overturned the County Court’s reasoning. The Court of Appeal concluded that (a) the section 5(2H) limitation on combined orders for category 2 offences operates at the charge level, such that a court can nevertheless impose a CCO on other offences in the case, and also that (b) the section 44 lifting of the maximum additional prison time after sentencing from 3 months to 12 months has case-level application, regardless of whether there is a category 2 offence in the case (so long as there is also at least one offence on which to impose the CCO).</w:t>
      </w:r>
      <w:r w:rsidRPr="006B4A5D">
        <w:rPr>
          <w:rStyle w:val="Superscript"/>
        </w:rPr>
        <w:footnoteReference w:id="61"/>
      </w:r>
      <w:r w:rsidRPr="006B4A5D">
        <w:t xml:space="preserve"> In other words, in all cases where imprisonment and a CCO are imposed – whether together on the same charge, together on multiple charges or separately on different charges – section 44 operates to enable an additional 12 months’ imprisonment after sentencing. </w:t>
      </w:r>
    </w:p>
    <w:p w14:paraId="40415F71" w14:textId="77777777" w:rsidR="005801E0" w:rsidRPr="006B4A5D" w:rsidRDefault="005801E0" w:rsidP="00C34438">
      <w:pPr>
        <w:pStyle w:val="Heading1"/>
      </w:pPr>
      <w:bookmarkStart w:id="6" w:name="_Toc150439350"/>
      <w:r w:rsidRPr="006B4A5D">
        <w:lastRenderedPageBreak/>
        <w:t>The CCO component of combined orders</w:t>
      </w:r>
      <w:bookmarkEnd w:id="6"/>
    </w:p>
    <w:p w14:paraId="26F73689" w14:textId="77777777" w:rsidR="005801E0" w:rsidRPr="006B4A5D" w:rsidRDefault="005801E0" w:rsidP="00A612BA">
      <w:r w:rsidRPr="006B4A5D">
        <w:t>Having examined the data relating to the imprisonment component of combined orders, we now present an analysis of data relating to the CCO component. This includes an examination of how many ‘hidden’ CCOs</w:t>
      </w:r>
      <w:r w:rsidRPr="006B4A5D">
        <w:rPr>
          <w:rStyle w:val="Superscript"/>
        </w:rPr>
        <w:footnoteReference w:id="62"/>
      </w:r>
      <w:r w:rsidRPr="006B4A5D">
        <w:t xml:space="preserve"> are imposed in combined orders each year and the conditions attached to CCOs in combined order cases. </w:t>
      </w:r>
    </w:p>
    <w:p w14:paraId="74F4005B" w14:textId="77777777" w:rsidR="005801E0" w:rsidRPr="006B4A5D" w:rsidRDefault="005801E0" w:rsidP="005801E0">
      <w:pPr>
        <w:pStyle w:val="Heading2"/>
      </w:pPr>
      <w:r w:rsidRPr="006B4A5D">
        <w:t xml:space="preserve">Has there actually been a decrease in CCOs in recent years? </w:t>
      </w:r>
    </w:p>
    <w:p w14:paraId="4FBE940D" w14:textId="77777777" w:rsidR="005801E0" w:rsidRPr="006B4A5D" w:rsidRDefault="005801E0" w:rsidP="00A612BA">
      <w:r w:rsidRPr="006B4A5D">
        <w:t>A count of principal sentences would suggest that there has been a 20% decline in the number of CCOs imposed in recent years, from a peak of 10,508 in 2015 to 8,432 in 2019 (the effect of COVID-19 on court operations means that 2020 is not a useful comparator). CCOs are not, however, always the principal sentence. In a combined order case, imprisonment is the principal sentence. Sometimes, too, wholly and partially suspended sentences of imprisonment (which have now been abolished) can also be imposed alongside a CCO, and they were especially back in 2012. Once those ‘hidden’ CCOs are accounted for, there was a more modest 11.5% decline in the number of CCOs imposed in the Magistrates’ Court in that same timeframe, from 12,560 in 2015 to 11,117 in 2019.</w:t>
      </w:r>
    </w:p>
    <w:p w14:paraId="5D428D43" w14:textId="77777777" w:rsidR="005801E0" w:rsidRPr="006B4A5D" w:rsidRDefault="005801E0" w:rsidP="00C34438">
      <w:pPr>
        <w:pStyle w:val="Caption"/>
      </w:pPr>
      <w:r w:rsidRPr="006B4A5D">
        <w:t>Figure 11: Number of straight CCOs and combined order CCOs in the Magistrates’ Court, 2012 to 2020 (90,617 CCOs)</w:t>
      </w:r>
    </w:p>
    <w:tbl>
      <w:tblPr>
        <w:tblStyle w:val="Table"/>
        <w:tblW w:w="5000" w:type="pct"/>
        <w:tblLayout w:type="fixed"/>
        <w:tblLook w:val="04A0" w:firstRow="1" w:lastRow="0" w:firstColumn="1" w:lastColumn="0" w:noHBand="0" w:noVBand="1"/>
      </w:tblPr>
      <w:tblGrid>
        <w:gridCol w:w="2254"/>
        <w:gridCol w:w="2254"/>
        <w:gridCol w:w="2254"/>
        <w:gridCol w:w="2254"/>
      </w:tblGrid>
      <w:tr w:rsidR="00683053" w:rsidRPr="00683053" w14:paraId="1AB73AB5" w14:textId="77777777" w:rsidTr="00376DCC">
        <w:trPr>
          <w:trHeight w:val="310"/>
          <w:tblHeader/>
        </w:trPr>
        <w:tc>
          <w:tcPr>
            <w:tcW w:w="1250" w:type="pct"/>
            <w:noWrap/>
            <w:hideMark/>
          </w:tcPr>
          <w:p w14:paraId="1C4543EE" w14:textId="06339CB0" w:rsidR="00683053" w:rsidRPr="004D796D" w:rsidRDefault="00376DCC" w:rsidP="004D796D">
            <w:pPr>
              <w:pStyle w:val="TableHeading"/>
            </w:pPr>
            <w:r>
              <w:t>Year</w:t>
            </w:r>
          </w:p>
        </w:tc>
        <w:tc>
          <w:tcPr>
            <w:tcW w:w="1250" w:type="pct"/>
            <w:noWrap/>
            <w:hideMark/>
          </w:tcPr>
          <w:p w14:paraId="284BC905" w14:textId="77777777" w:rsidR="00683053" w:rsidRPr="004D796D" w:rsidRDefault="00683053" w:rsidP="004D796D">
            <w:pPr>
              <w:pStyle w:val="TableHeading"/>
            </w:pPr>
            <w:r w:rsidRPr="004D796D">
              <w:t>CCO - principal sentence</w:t>
            </w:r>
          </w:p>
        </w:tc>
        <w:tc>
          <w:tcPr>
            <w:tcW w:w="1250" w:type="pct"/>
            <w:noWrap/>
            <w:hideMark/>
          </w:tcPr>
          <w:p w14:paraId="7E6B8A32" w14:textId="77777777" w:rsidR="00683053" w:rsidRPr="004D796D" w:rsidRDefault="00683053" w:rsidP="004D796D">
            <w:pPr>
              <w:pStyle w:val="TableHeading"/>
            </w:pPr>
            <w:r w:rsidRPr="004D796D">
              <w:t>CCO with suspended sentence</w:t>
            </w:r>
          </w:p>
        </w:tc>
        <w:tc>
          <w:tcPr>
            <w:tcW w:w="1250" w:type="pct"/>
            <w:noWrap/>
            <w:hideMark/>
          </w:tcPr>
          <w:p w14:paraId="7EA1A801" w14:textId="77777777" w:rsidR="00683053" w:rsidRPr="004D796D" w:rsidRDefault="00683053" w:rsidP="004D796D">
            <w:pPr>
              <w:pStyle w:val="TableHeading"/>
            </w:pPr>
            <w:r w:rsidRPr="004D796D">
              <w:t>CCO with imprisonment (combined order)</w:t>
            </w:r>
          </w:p>
        </w:tc>
      </w:tr>
      <w:tr w:rsidR="00683053" w:rsidRPr="00683053" w14:paraId="717C33C0" w14:textId="77777777" w:rsidTr="00376DCC">
        <w:trPr>
          <w:trHeight w:val="310"/>
        </w:trPr>
        <w:tc>
          <w:tcPr>
            <w:tcW w:w="1250" w:type="pct"/>
            <w:noWrap/>
            <w:hideMark/>
          </w:tcPr>
          <w:p w14:paraId="0253ED7A" w14:textId="77777777" w:rsidR="00683053" w:rsidRPr="004D796D" w:rsidRDefault="00683053" w:rsidP="004D796D">
            <w:pPr>
              <w:pStyle w:val="TableBody"/>
            </w:pPr>
            <w:r w:rsidRPr="004D796D">
              <w:t>2012</w:t>
            </w:r>
          </w:p>
        </w:tc>
        <w:tc>
          <w:tcPr>
            <w:tcW w:w="1250" w:type="pct"/>
            <w:noWrap/>
            <w:hideMark/>
          </w:tcPr>
          <w:p w14:paraId="68CA0BE1" w14:textId="60BCACF5" w:rsidR="00683053" w:rsidRPr="004D796D" w:rsidRDefault="00683053" w:rsidP="004D796D">
            <w:pPr>
              <w:pStyle w:val="TableBody"/>
            </w:pPr>
            <w:r w:rsidRPr="004D796D">
              <w:t xml:space="preserve">6,203 </w:t>
            </w:r>
          </w:p>
        </w:tc>
        <w:tc>
          <w:tcPr>
            <w:tcW w:w="1250" w:type="pct"/>
            <w:noWrap/>
            <w:hideMark/>
          </w:tcPr>
          <w:p w14:paraId="2A36972D" w14:textId="42C3E0F6" w:rsidR="00683053" w:rsidRPr="004D796D" w:rsidRDefault="00683053" w:rsidP="004D796D">
            <w:pPr>
              <w:pStyle w:val="TableBody"/>
            </w:pPr>
            <w:r w:rsidRPr="004D796D">
              <w:t xml:space="preserve">623 </w:t>
            </w:r>
          </w:p>
        </w:tc>
        <w:tc>
          <w:tcPr>
            <w:tcW w:w="1250" w:type="pct"/>
            <w:noWrap/>
            <w:hideMark/>
          </w:tcPr>
          <w:p w14:paraId="0B525B10" w14:textId="182BB583" w:rsidR="00683053" w:rsidRPr="004D796D" w:rsidRDefault="00683053" w:rsidP="004D796D">
            <w:pPr>
              <w:pStyle w:val="TableBody"/>
            </w:pPr>
            <w:r w:rsidRPr="004D796D">
              <w:t xml:space="preserve">386 </w:t>
            </w:r>
          </w:p>
        </w:tc>
      </w:tr>
      <w:tr w:rsidR="00683053" w:rsidRPr="00683053" w14:paraId="0F99E667" w14:textId="77777777" w:rsidTr="00376DCC">
        <w:trPr>
          <w:trHeight w:val="310"/>
        </w:trPr>
        <w:tc>
          <w:tcPr>
            <w:tcW w:w="1250" w:type="pct"/>
            <w:noWrap/>
            <w:hideMark/>
          </w:tcPr>
          <w:p w14:paraId="44DA3CC5" w14:textId="77777777" w:rsidR="00683053" w:rsidRPr="004D796D" w:rsidRDefault="00683053" w:rsidP="004D796D">
            <w:pPr>
              <w:pStyle w:val="TableBody"/>
            </w:pPr>
            <w:r w:rsidRPr="004D796D">
              <w:t>2013</w:t>
            </w:r>
          </w:p>
        </w:tc>
        <w:tc>
          <w:tcPr>
            <w:tcW w:w="1250" w:type="pct"/>
            <w:noWrap/>
            <w:hideMark/>
          </w:tcPr>
          <w:p w14:paraId="035A1A53" w14:textId="136358FB" w:rsidR="00683053" w:rsidRPr="004D796D" w:rsidRDefault="00683053" w:rsidP="004D796D">
            <w:pPr>
              <w:pStyle w:val="TableBody"/>
            </w:pPr>
            <w:r w:rsidRPr="004D796D">
              <w:t xml:space="preserve">6,985 </w:t>
            </w:r>
          </w:p>
        </w:tc>
        <w:tc>
          <w:tcPr>
            <w:tcW w:w="1250" w:type="pct"/>
            <w:noWrap/>
            <w:hideMark/>
          </w:tcPr>
          <w:p w14:paraId="32B0A3F1" w14:textId="196D6A93" w:rsidR="00683053" w:rsidRPr="004D796D" w:rsidRDefault="00683053" w:rsidP="004D796D">
            <w:pPr>
              <w:pStyle w:val="TableBody"/>
            </w:pPr>
            <w:r w:rsidRPr="004D796D">
              <w:t>38</w:t>
            </w:r>
          </w:p>
        </w:tc>
        <w:tc>
          <w:tcPr>
            <w:tcW w:w="1250" w:type="pct"/>
            <w:noWrap/>
            <w:hideMark/>
          </w:tcPr>
          <w:p w14:paraId="3D8E1A76" w14:textId="159E48A5" w:rsidR="00683053" w:rsidRPr="004D796D" w:rsidRDefault="00683053" w:rsidP="004D796D">
            <w:pPr>
              <w:pStyle w:val="TableBody"/>
            </w:pPr>
            <w:r w:rsidRPr="004D796D">
              <w:t>645</w:t>
            </w:r>
          </w:p>
        </w:tc>
      </w:tr>
      <w:tr w:rsidR="00683053" w:rsidRPr="00683053" w14:paraId="1ACB26EE" w14:textId="77777777" w:rsidTr="00376DCC">
        <w:trPr>
          <w:trHeight w:val="310"/>
        </w:trPr>
        <w:tc>
          <w:tcPr>
            <w:tcW w:w="1250" w:type="pct"/>
            <w:noWrap/>
            <w:hideMark/>
          </w:tcPr>
          <w:p w14:paraId="1E28C67A" w14:textId="77777777" w:rsidR="00683053" w:rsidRPr="004D796D" w:rsidRDefault="00683053" w:rsidP="004D796D">
            <w:pPr>
              <w:pStyle w:val="TableBody"/>
            </w:pPr>
            <w:r w:rsidRPr="004D796D">
              <w:t>2014</w:t>
            </w:r>
          </w:p>
        </w:tc>
        <w:tc>
          <w:tcPr>
            <w:tcW w:w="1250" w:type="pct"/>
            <w:noWrap/>
            <w:hideMark/>
          </w:tcPr>
          <w:p w14:paraId="1D52ED9F" w14:textId="74EB59FF" w:rsidR="00683053" w:rsidRPr="004D796D" w:rsidRDefault="00683053" w:rsidP="004D796D">
            <w:pPr>
              <w:pStyle w:val="TableBody"/>
            </w:pPr>
            <w:r w:rsidRPr="004D796D">
              <w:t xml:space="preserve">7,748 </w:t>
            </w:r>
          </w:p>
        </w:tc>
        <w:tc>
          <w:tcPr>
            <w:tcW w:w="1250" w:type="pct"/>
            <w:noWrap/>
            <w:hideMark/>
          </w:tcPr>
          <w:p w14:paraId="1172A230" w14:textId="5B10545C" w:rsidR="00683053" w:rsidRPr="004D796D" w:rsidRDefault="00683053" w:rsidP="004D796D">
            <w:pPr>
              <w:pStyle w:val="TableBody"/>
            </w:pPr>
            <w:r w:rsidRPr="004D796D">
              <w:t>35</w:t>
            </w:r>
          </w:p>
        </w:tc>
        <w:tc>
          <w:tcPr>
            <w:tcW w:w="1250" w:type="pct"/>
            <w:noWrap/>
            <w:hideMark/>
          </w:tcPr>
          <w:p w14:paraId="75C4D277" w14:textId="5423A1C4" w:rsidR="00683053" w:rsidRPr="004D796D" w:rsidRDefault="00683053" w:rsidP="004D796D">
            <w:pPr>
              <w:pStyle w:val="TableBody"/>
            </w:pPr>
            <w:r w:rsidRPr="004D796D">
              <w:t>1,013</w:t>
            </w:r>
          </w:p>
        </w:tc>
      </w:tr>
      <w:tr w:rsidR="00683053" w:rsidRPr="00683053" w14:paraId="0E0F6090" w14:textId="77777777" w:rsidTr="00376DCC">
        <w:trPr>
          <w:trHeight w:val="310"/>
        </w:trPr>
        <w:tc>
          <w:tcPr>
            <w:tcW w:w="1250" w:type="pct"/>
            <w:noWrap/>
            <w:hideMark/>
          </w:tcPr>
          <w:p w14:paraId="7EA12A23" w14:textId="77777777" w:rsidR="00683053" w:rsidRPr="004D796D" w:rsidRDefault="00683053" w:rsidP="004D796D">
            <w:pPr>
              <w:pStyle w:val="TableBody"/>
            </w:pPr>
            <w:r w:rsidRPr="004D796D">
              <w:t>2015</w:t>
            </w:r>
          </w:p>
        </w:tc>
        <w:tc>
          <w:tcPr>
            <w:tcW w:w="1250" w:type="pct"/>
            <w:noWrap/>
            <w:hideMark/>
          </w:tcPr>
          <w:p w14:paraId="07DA6AF8" w14:textId="5BF72A9A" w:rsidR="00683053" w:rsidRPr="004D796D" w:rsidRDefault="00683053" w:rsidP="004D796D">
            <w:pPr>
              <w:pStyle w:val="TableBody"/>
            </w:pPr>
            <w:r w:rsidRPr="004D796D">
              <w:t xml:space="preserve">10,508 </w:t>
            </w:r>
          </w:p>
        </w:tc>
        <w:tc>
          <w:tcPr>
            <w:tcW w:w="1250" w:type="pct"/>
            <w:noWrap/>
            <w:hideMark/>
          </w:tcPr>
          <w:p w14:paraId="61464F15" w14:textId="2FFA1A4B" w:rsidR="00683053" w:rsidRPr="004D796D" w:rsidRDefault="00683053" w:rsidP="004D796D">
            <w:pPr>
              <w:pStyle w:val="TableBody"/>
            </w:pPr>
            <w:r w:rsidRPr="004D796D">
              <w:t xml:space="preserve">24 </w:t>
            </w:r>
          </w:p>
        </w:tc>
        <w:tc>
          <w:tcPr>
            <w:tcW w:w="1250" w:type="pct"/>
            <w:noWrap/>
            <w:hideMark/>
          </w:tcPr>
          <w:p w14:paraId="6154D229" w14:textId="554BB9F2" w:rsidR="00683053" w:rsidRPr="004D796D" w:rsidRDefault="00683053" w:rsidP="004D796D">
            <w:pPr>
              <w:pStyle w:val="TableBody"/>
            </w:pPr>
            <w:r w:rsidRPr="004D796D">
              <w:t xml:space="preserve">2,028 </w:t>
            </w:r>
          </w:p>
        </w:tc>
      </w:tr>
      <w:tr w:rsidR="00683053" w:rsidRPr="00683053" w14:paraId="2401E131" w14:textId="77777777" w:rsidTr="00376DCC">
        <w:trPr>
          <w:trHeight w:val="310"/>
        </w:trPr>
        <w:tc>
          <w:tcPr>
            <w:tcW w:w="1250" w:type="pct"/>
            <w:noWrap/>
            <w:hideMark/>
          </w:tcPr>
          <w:p w14:paraId="7EF83CD7" w14:textId="77777777" w:rsidR="00683053" w:rsidRPr="004D796D" w:rsidRDefault="00683053" w:rsidP="004D796D">
            <w:pPr>
              <w:pStyle w:val="TableBody"/>
            </w:pPr>
            <w:r w:rsidRPr="004D796D">
              <w:t>2016</w:t>
            </w:r>
          </w:p>
        </w:tc>
        <w:tc>
          <w:tcPr>
            <w:tcW w:w="1250" w:type="pct"/>
            <w:noWrap/>
            <w:hideMark/>
          </w:tcPr>
          <w:p w14:paraId="1442FDB8" w14:textId="02CBD85F" w:rsidR="00683053" w:rsidRPr="004D796D" w:rsidRDefault="00683053" w:rsidP="004D796D">
            <w:pPr>
              <w:pStyle w:val="TableBody"/>
            </w:pPr>
            <w:r w:rsidRPr="004D796D">
              <w:t xml:space="preserve">10,119 </w:t>
            </w:r>
          </w:p>
        </w:tc>
        <w:tc>
          <w:tcPr>
            <w:tcW w:w="1250" w:type="pct"/>
            <w:noWrap/>
            <w:hideMark/>
          </w:tcPr>
          <w:p w14:paraId="690C27D3" w14:textId="566A634D" w:rsidR="00683053" w:rsidRPr="004D796D" w:rsidRDefault="00683053" w:rsidP="004D796D">
            <w:pPr>
              <w:pStyle w:val="TableBody"/>
            </w:pPr>
            <w:r w:rsidRPr="004D796D">
              <w:t xml:space="preserve">6 </w:t>
            </w:r>
          </w:p>
        </w:tc>
        <w:tc>
          <w:tcPr>
            <w:tcW w:w="1250" w:type="pct"/>
            <w:noWrap/>
            <w:hideMark/>
          </w:tcPr>
          <w:p w14:paraId="1260BB66" w14:textId="09F82B5B" w:rsidR="00683053" w:rsidRPr="004D796D" w:rsidRDefault="00683053" w:rsidP="004D796D">
            <w:pPr>
              <w:pStyle w:val="TableBody"/>
            </w:pPr>
            <w:r w:rsidRPr="004D796D">
              <w:t xml:space="preserve">2,331 </w:t>
            </w:r>
          </w:p>
        </w:tc>
      </w:tr>
      <w:tr w:rsidR="00683053" w:rsidRPr="00683053" w14:paraId="21B41A96" w14:textId="77777777" w:rsidTr="00376DCC">
        <w:trPr>
          <w:trHeight w:val="310"/>
        </w:trPr>
        <w:tc>
          <w:tcPr>
            <w:tcW w:w="1250" w:type="pct"/>
            <w:noWrap/>
            <w:hideMark/>
          </w:tcPr>
          <w:p w14:paraId="7728E3EC" w14:textId="77777777" w:rsidR="00683053" w:rsidRPr="004D796D" w:rsidRDefault="00683053" w:rsidP="004D796D">
            <w:pPr>
              <w:pStyle w:val="TableBody"/>
            </w:pPr>
            <w:r w:rsidRPr="004D796D">
              <w:t>2017</w:t>
            </w:r>
          </w:p>
        </w:tc>
        <w:tc>
          <w:tcPr>
            <w:tcW w:w="1250" w:type="pct"/>
            <w:noWrap/>
            <w:hideMark/>
          </w:tcPr>
          <w:p w14:paraId="76BCCDBE" w14:textId="71A3D788" w:rsidR="00683053" w:rsidRPr="004D796D" w:rsidRDefault="00683053" w:rsidP="004D796D">
            <w:pPr>
              <w:pStyle w:val="TableBody"/>
            </w:pPr>
            <w:r w:rsidRPr="004D796D">
              <w:t xml:space="preserve">10,241 </w:t>
            </w:r>
          </w:p>
        </w:tc>
        <w:tc>
          <w:tcPr>
            <w:tcW w:w="1250" w:type="pct"/>
            <w:noWrap/>
            <w:hideMark/>
          </w:tcPr>
          <w:p w14:paraId="442DD95A" w14:textId="7C18BD60" w:rsidR="00683053" w:rsidRPr="004D796D" w:rsidRDefault="00683053" w:rsidP="004D796D">
            <w:pPr>
              <w:pStyle w:val="TableBody"/>
            </w:pPr>
            <w:r w:rsidRPr="004D796D">
              <w:t xml:space="preserve">10 </w:t>
            </w:r>
          </w:p>
        </w:tc>
        <w:tc>
          <w:tcPr>
            <w:tcW w:w="1250" w:type="pct"/>
            <w:noWrap/>
            <w:hideMark/>
          </w:tcPr>
          <w:p w14:paraId="2DF817C1" w14:textId="36775BB1" w:rsidR="00683053" w:rsidRPr="004D796D" w:rsidRDefault="00683053" w:rsidP="004D796D">
            <w:pPr>
              <w:pStyle w:val="TableBody"/>
            </w:pPr>
            <w:r w:rsidRPr="004D796D">
              <w:t xml:space="preserve">2,356 </w:t>
            </w:r>
          </w:p>
        </w:tc>
      </w:tr>
      <w:tr w:rsidR="00683053" w:rsidRPr="00683053" w14:paraId="29356FD9" w14:textId="77777777" w:rsidTr="00376DCC">
        <w:trPr>
          <w:trHeight w:val="310"/>
        </w:trPr>
        <w:tc>
          <w:tcPr>
            <w:tcW w:w="1250" w:type="pct"/>
            <w:noWrap/>
            <w:hideMark/>
          </w:tcPr>
          <w:p w14:paraId="156CAD4F" w14:textId="77777777" w:rsidR="00683053" w:rsidRPr="004D796D" w:rsidRDefault="00683053" w:rsidP="004D796D">
            <w:pPr>
              <w:pStyle w:val="TableBody"/>
            </w:pPr>
            <w:r w:rsidRPr="004D796D">
              <w:lastRenderedPageBreak/>
              <w:t>2018</w:t>
            </w:r>
          </w:p>
        </w:tc>
        <w:tc>
          <w:tcPr>
            <w:tcW w:w="1250" w:type="pct"/>
            <w:noWrap/>
            <w:hideMark/>
          </w:tcPr>
          <w:p w14:paraId="054167C0" w14:textId="0A20216A" w:rsidR="00683053" w:rsidRPr="004D796D" w:rsidRDefault="00683053" w:rsidP="004D796D">
            <w:pPr>
              <w:pStyle w:val="TableBody"/>
            </w:pPr>
            <w:r w:rsidRPr="004D796D">
              <w:t xml:space="preserve">9,406 </w:t>
            </w:r>
          </w:p>
        </w:tc>
        <w:tc>
          <w:tcPr>
            <w:tcW w:w="1250" w:type="pct"/>
            <w:noWrap/>
            <w:hideMark/>
          </w:tcPr>
          <w:p w14:paraId="3935DF22" w14:textId="64CACEAA" w:rsidR="00683053" w:rsidRPr="00F7119D" w:rsidRDefault="00683053" w:rsidP="00F7119D">
            <w:pPr>
              <w:pStyle w:val="TableBody"/>
            </w:pPr>
          </w:p>
        </w:tc>
        <w:tc>
          <w:tcPr>
            <w:tcW w:w="1250" w:type="pct"/>
            <w:noWrap/>
            <w:hideMark/>
          </w:tcPr>
          <w:p w14:paraId="62BDDF89" w14:textId="60E2985C" w:rsidR="00683053" w:rsidRPr="004D796D" w:rsidRDefault="00683053" w:rsidP="004D796D">
            <w:pPr>
              <w:pStyle w:val="TableBody"/>
            </w:pPr>
            <w:r w:rsidRPr="004D796D">
              <w:t>2,485</w:t>
            </w:r>
          </w:p>
        </w:tc>
      </w:tr>
      <w:tr w:rsidR="00683053" w:rsidRPr="00683053" w14:paraId="271255B1" w14:textId="77777777" w:rsidTr="00376DCC">
        <w:trPr>
          <w:trHeight w:val="310"/>
        </w:trPr>
        <w:tc>
          <w:tcPr>
            <w:tcW w:w="1250" w:type="pct"/>
            <w:noWrap/>
            <w:hideMark/>
          </w:tcPr>
          <w:p w14:paraId="0210B2F3" w14:textId="77777777" w:rsidR="00683053" w:rsidRPr="004D796D" w:rsidRDefault="00683053" w:rsidP="004D796D">
            <w:pPr>
              <w:pStyle w:val="TableBody"/>
            </w:pPr>
            <w:r w:rsidRPr="004D796D">
              <w:t>2019</w:t>
            </w:r>
          </w:p>
        </w:tc>
        <w:tc>
          <w:tcPr>
            <w:tcW w:w="1250" w:type="pct"/>
            <w:noWrap/>
            <w:hideMark/>
          </w:tcPr>
          <w:p w14:paraId="55ADC2F5" w14:textId="1A79D1F0" w:rsidR="00683053" w:rsidRPr="004D796D" w:rsidRDefault="00683053" w:rsidP="004D796D">
            <w:pPr>
              <w:pStyle w:val="TableBody"/>
            </w:pPr>
            <w:r w:rsidRPr="004D796D">
              <w:t xml:space="preserve">8,432 </w:t>
            </w:r>
          </w:p>
        </w:tc>
        <w:tc>
          <w:tcPr>
            <w:tcW w:w="1250" w:type="pct"/>
            <w:noWrap/>
            <w:hideMark/>
          </w:tcPr>
          <w:p w14:paraId="061D1111" w14:textId="5367350F" w:rsidR="00683053" w:rsidRPr="00F7119D" w:rsidRDefault="00683053" w:rsidP="00F7119D">
            <w:pPr>
              <w:pStyle w:val="TableBody"/>
            </w:pPr>
          </w:p>
        </w:tc>
        <w:tc>
          <w:tcPr>
            <w:tcW w:w="1250" w:type="pct"/>
            <w:noWrap/>
            <w:hideMark/>
          </w:tcPr>
          <w:p w14:paraId="24247E69" w14:textId="6FFBE2D3" w:rsidR="00683053" w:rsidRPr="004D796D" w:rsidRDefault="00683053" w:rsidP="004D796D">
            <w:pPr>
              <w:pStyle w:val="TableBody"/>
            </w:pPr>
            <w:r w:rsidRPr="004D796D">
              <w:t>2,685</w:t>
            </w:r>
          </w:p>
        </w:tc>
      </w:tr>
      <w:tr w:rsidR="00683053" w:rsidRPr="00683053" w14:paraId="44A2393C" w14:textId="77777777" w:rsidTr="00376DCC">
        <w:trPr>
          <w:trHeight w:val="310"/>
        </w:trPr>
        <w:tc>
          <w:tcPr>
            <w:tcW w:w="1250" w:type="pct"/>
            <w:noWrap/>
            <w:hideMark/>
          </w:tcPr>
          <w:p w14:paraId="056E2F16" w14:textId="77777777" w:rsidR="00683053" w:rsidRPr="004D796D" w:rsidRDefault="00683053" w:rsidP="004D796D">
            <w:pPr>
              <w:pStyle w:val="TableBody"/>
            </w:pPr>
            <w:r w:rsidRPr="004D796D">
              <w:t>2020</w:t>
            </w:r>
          </w:p>
        </w:tc>
        <w:tc>
          <w:tcPr>
            <w:tcW w:w="1250" w:type="pct"/>
            <w:noWrap/>
            <w:hideMark/>
          </w:tcPr>
          <w:p w14:paraId="6F1112EA" w14:textId="38A20BBD" w:rsidR="00683053" w:rsidRPr="004D796D" w:rsidRDefault="00683053" w:rsidP="004D796D">
            <w:pPr>
              <w:pStyle w:val="TableBody"/>
            </w:pPr>
            <w:r w:rsidRPr="004D796D">
              <w:t xml:space="preserve">3,964 </w:t>
            </w:r>
          </w:p>
        </w:tc>
        <w:tc>
          <w:tcPr>
            <w:tcW w:w="1250" w:type="pct"/>
            <w:noWrap/>
            <w:hideMark/>
          </w:tcPr>
          <w:p w14:paraId="7D0F967C" w14:textId="7C68052C" w:rsidR="00683053" w:rsidRPr="004D796D" w:rsidRDefault="00683053" w:rsidP="004D796D">
            <w:pPr>
              <w:pStyle w:val="TableBody"/>
            </w:pPr>
            <w:r w:rsidRPr="004D796D">
              <w:t xml:space="preserve">1 </w:t>
            </w:r>
          </w:p>
        </w:tc>
        <w:tc>
          <w:tcPr>
            <w:tcW w:w="1250" w:type="pct"/>
            <w:noWrap/>
            <w:hideMark/>
          </w:tcPr>
          <w:p w14:paraId="5A0D206F" w14:textId="2D39BDF4" w:rsidR="00683053" w:rsidRPr="004D796D" w:rsidRDefault="00683053" w:rsidP="004D796D">
            <w:pPr>
              <w:pStyle w:val="TableBody"/>
            </w:pPr>
            <w:r w:rsidRPr="004D796D">
              <w:t>2,345</w:t>
            </w:r>
          </w:p>
        </w:tc>
      </w:tr>
    </w:tbl>
    <w:p w14:paraId="6B282ABF" w14:textId="77777777" w:rsidR="005801E0" w:rsidRPr="006B4A5D" w:rsidRDefault="005801E0" w:rsidP="00A612BA">
      <w:r w:rsidRPr="006B4A5D">
        <w:t xml:space="preserve">The number of ‘hidden’ CCOs is even more stark in the higher courts (Figure 12, page 19). More than half (52.9%) of all CCOs in the higher courts between 2015 and 2020 were imposed alongside a more severe sentence (1,700 with imprisonment and 91 with a wholly or partially suspended sentence of imprisonment) and would not be represented in a count of principal sentences. </w:t>
      </w:r>
    </w:p>
    <w:p w14:paraId="42314006" w14:textId="60AA65F4" w:rsidR="005801E0" w:rsidRDefault="005801E0" w:rsidP="00B92E0A">
      <w:pPr>
        <w:pStyle w:val="Caption"/>
      </w:pPr>
      <w:r w:rsidRPr="006B4A5D">
        <w:t>Figure 12: Number of straight CCOs and combined order CCOs in the higher courts, 2012 to 2020 (4,463 CCOs)</w:t>
      </w:r>
    </w:p>
    <w:tbl>
      <w:tblPr>
        <w:tblStyle w:val="Table"/>
        <w:tblW w:w="5000" w:type="pct"/>
        <w:tblLayout w:type="fixed"/>
        <w:tblLook w:val="04A0" w:firstRow="1" w:lastRow="0" w:firstColumn="1" w:lastColumn="0" w:noHBand="0" w:noVBand="1"/>
      </w:tblPr>
      <w:tblGrid>
        <w:gridCol w:w="2254"/>
        <w:gridCol w:w="2254"/>
        <w:gridCol w:w="2254"/>
        <w:gridCol w:w="2254"/>
      </w:tblGrid>
      <w:tr w:rsidR="00941A9B" w:rsidRPr="001A2D63" w14:paraId="24E8E6F3" w14:textId="77777777" w:rsidTr="00F16D63">
        <w:trPr>
          <w:trHeight w:val="310"/>
          <w:tblHeader/>
        </w:trPr>
        <w:tc>
          <w:tcPr>
            <w:tcW w:w="1250" w:type="pct"/>
            <w:noWrap/>
            <w:hideMark/>
          </w:tcPr>
          <w:p w14:paraId="0AF738D7" w14:textId="6BF646FA" w:rsidR="001A2D63" w:rsidRPr="001A2D63" w:rsidRDefault="00941A9B" w:rsidP="002E6AB1">
            <w:pPr>
              <w:pStyle w:val="TableHeading"/>
            </w:pPr>
            <w:r>
              <w:t>Year</w:t>
            </w:r>
          </w:p>
        </w:tc>
        <w:tc>
          <w:tcPr>
            <w:tcW w:w="1250" w:type="pct"/>
            <w:noWrap/>
            <w:hideMark/>
          </w:tcPr>
          <w:p w14:paraId="494C4A06" w14:textId="77777777" w:rsidR="001A2D63" w:rsidRPr="00F7119D" w:rsidRDefault="001A2D63" w:rsidP="002E6AB1">
            <w:pPr>
              <w:pStyle w:val="TableHeading"/>
            </w:pPr>
            <w:r w:rsidRPr="00F7119D">
              <w:t>CCO - principal sentence</w:t>
            </w:r>
          </w:p>
        </w:tc>
        <w:tc>
          <w:tcPr>
            <w:tcW w:w="1250" w:type="pct"/>
            <w:noWrap/>
            <w:hideMark/>
          </w:tcPr>
          <w:p w14:paraId="0EC0B1AF" w14:textId="77777777" w:rsidR="001A2D63" w:rsidRPr="00F7119D" w:rsidRDefault="001A2D63" w:rsidP="002E6AB1">
            <w:pPr>
              <w:pStyle w:val="TableHeading"/>
            </w:pPr>
            <w:r w:rsidRPr="00F7119D">
              <w:t>CCO with suspended sentence</w:t>
            </w:r>
          </w:p>
        </w:tc>
        <w:tc>
          <w:tcPr>
            <w:tcW w:w="1250" w:type="pct"/>
            <w:noWrap/>
            <w:hideMark/>
          </w:tcPr>
          <w:p w14:paraId="116D3076" w14:textId="77777777" w:rsidR="001A2D63" w:rsidRPr="00F7119D" w:rsidRDefault="001A2D63" w:rsidP="002E6AB1">
            <w:pPr>
              <w:pStyle w:val="TableHeading"/>
            </w:pPr>
            <w:r w:rsidRPr="00F7119D">
              <w:t>CCO with imprisonment (combined order)</w:t>
            </w:r>
          </w:p>
        </w:tc>
      </w:tr>
      <w:tr w:rsidR="00941A9B" w:rsidRPr="001A2D63" w14:paraId="19092FE6" w14:textId="77777777" w:rsidTr="00941A9B">
        <w:trPr>
          <w:trHeight w:val="310"/>
        </w:trPr>
        <w:tc>
          <w:tcPr>
            <w:tcW w:w="1250" w:type="pct"/>
            <w:noWrap/>
            <w:hideMark/>
          </w:tcPr>
          <w:p w14:paraId="15F0C814" w14:textId="77777777" w:rsidR="001A2D63" w:rsidRPr="00F7119D" w:rsidRDefault="001A2D63" w:rsidP="009239F9">
            <w:pPr>
              <w:pStyle w:val="TableBody"/>
            </w:pPr>
            <w:r w:rsidRPr="00F7119D">
              <w:t>2012</w:t>
            </w:r>
          </w:p>
        </w:tc>
        <w:tc>
          <w:tcPr>
            <w:tcW w:w="1250" w:type="pct"/>
            <w:noWrap/>
            <w:hideMark/>
          </w:tcPr>
          <w:p w14:paraId="51386BE6" w14:textId="6895DA7A" w:rsidR="001A2D63" w:rsidRPr="00F7119D" w:rsidRDefault="001A2D63" w:rsidP="009239F9">
            <w:pPr>
              <w:pStyle w:val="TableBody"/>
            </w:pPr>
            <w:r w:rsidRPr="00F7119D">
              <w:t>264</w:t>
            </w:r>
          </w:p>
        </w:tc>
        <w:tc>
          <w:tcPr>
            <w:tcW w:w="1250" w:type="pct"/>
            <w:noWrap/>
            <w:hideMark/>
          </w:tcPr>
          <w:p w14:paraId="7C903F14" w14:textId="6FB437B5" w:rsidR="001A2D63" w:rsidRPr="00F7119D" w:rsidRDefault="001A2D63" w:rsidP="009239F9">
            <w:pPr>
              <w:pStyle w:val="TableBody"/>
            </w:pPr>
            <w:r w:rsidRPr="00F7119D">
              <w:t>44</w:t>
            </w:r>
          </w:p>
        </w:tc>
        <w:tc>
          <w:tcPr>
            <w:tcW w:w="1250" w:type="pct"/>
            <w:noWrap/>
            <w:hideMark/>
          </w:tcPr>
          <w:p w14:paraId="44D0CB04" w14:textId="1F7B52C6" w:rsidR="001A2D63" w:rsidRPr="00F7119D" w:rsidRDefault="001A2D63" w:rsidP="009239F9">
            <w:pPr>
              <w:pStyle w:val="TableBody"/>
            </w:pPr>
            <w:r w:rsidRPr="00F7119D">
              <w:t>30</w:t>
            </w:r>
          </w:p>
        </w:tc>
      </w:tr>
      <w:tr w:rsidR="00941A9B" w:rsidRPr="001A2D63" w14:paraId="79003B6E" w14:textId="77777777" w:rsidTr="00941A9B">
        <w:trPr>
          <w:trHeight w:val="310"/>
        </w:trPr>
        <w:tc>
          <w:tcPr>
            <w:tcW w:w="1250" w:type="pct"/>
            <w:noWrap/>
            <w:hideMark/>
          </w:tcPr>
          <w:p w14:paraId="107F3D0F" w14:textId="77777777" w:rsidR="001A2D63" w:rsidRPr="00F7119D" w:rsidRDefault="001A2D63" w:rsidP="009239F9">
            <w:pPr>
              <w:pStyle w:val="TableBody"/>
            </w:pPr>
            <w:r w:rsidRPr="00F7119D">
              <w:t>2013</w:t>
            </w:r>
          </w:p>
        </w:tc>
        <w:tc>
          <w:tcPr>
            <w:tcW w:w="1250" w:type="pct"/>
            <w:noWrap/>
            <w:hideMark/>
          </w:tcPr>
          <w:p w14:paraId="7C562C42" w14:textId="3D22514D" w:rsidR="001A2D63" w:rsidRPr="00F7119D" w:rsidRDefault="001A2D63" w:rsidP="009239F9">
            <w:pPr>
              <w:pStyle w:val="TableBody"/>
            </w:pPr>
            <w:r w:rsidRPr="00F7119D">
              <w:t>245</w:t>
            </w:r>
          </w:p>
        </w:tc>
        <w:tc>
          <w:tcPr>
            <w:tcW w:w="1250" w:type="pct"/>
            <w:noWrap/>
            <w:hideMark/>
          </w:tcPr>
          <w:p w14:paraId="10ECC894" w14:textId="6969E720" w:rsidR="001A2D63" w:rsidRPr="00F7119D" w:rsidRDefault="001A2D63" w:rsidP="009239F9">
            <w:pPr>
              <w:pStyle w:val="TableBody"/>
            </w:pPr>
            <w:r w:rsidRPr="00F7119D">
              <w:t>1</w:t>
            </w:r>
          </w:p>
        </w:tc>
        <w:tc>
          <w:tcPr>
            <w:tcW w:w="1250" w:type="pct"/>
            <w:noWrap/>
            <w:hideMark/>
          </w:tcPr>
          <w:p w14:paraId="66D79F1E" w14:textId="18A55C05" w:rsidR="001A2D63" w:rsidRPr="00F7119D" w:rsidRDefault="001A2D63" w:rsidP="009239F9">
            <w:pPr>
              <w:pStyle w:val="TableBody"/>
            </w:pPr>
            <w:r w:rsidRPr="00F7119D">
              <w:t>35</w:t>
            </w:r>
          </w:p>
        </w:tc>
      </w:tr>
      <w:tr w:rsidR="00941A9B" w:rsidRPr="001A2D63" w14:paraId="728F4CAD" w14:textId="77777777" w:rsidTr="00941A9B">
        <w:trPr>
          <w:trHeight w:val="310"/>
        </w:trPr>
        <w:tc>
          <w:tcPr>
            <w:tcW w:w="1250" w:type="pct"/>
            <w:noWrap/>
            <w:hideMark/>
          </w:tcPr>
          <w:p w14:paraId="18F4DCA1" w14:textId="77777777" w:rsidR="001A2D63" w:rsidRPr="00F7119D" w:rsidRDefault="001A2D63" w:rsidP="009239F9">
            <w:pPr>
              <w:pStyle w:val="TableBody"/>
            </w:pPr>
            <w:r w:rsidRPr="00F7119D">
              <w:t>2014</w:t>
            </w:r>
          </w:p>
        </w:tc>
        <w:tc>
          <w:tcPr>
            <w:tcW w:w="1250" w:type="pct"/>
            <w:noWrap/>
            <w:hideMark/>
          </w:tcPr>
          <w:p w14:paraId="04C0D519" w14:textId="1860301C" w:rsidR="001A2D63" w:rsidRPr="00F7119D" w:rsidRDefault="001A2D63" w:rsidP="009239F9">
            <w:pPr>
              <w:pStyle w:val="TableBody"/>
            </w:pPr>
            <w:r w:rsidRPr="00F7119D">
              <w:t>344</w:t>
            </w:r>
          </w:p>
        </w:tc>
        <w:tc>
          <w:tcPr>
            <w:tcW w:w="1250" w:type="pct"/>
            <w:noWrap/>
            <w:hideMark/>
          </w:tcPr>
          <w:p w14:paraId="74BBD3EE" w14:textId="50DFE22C" w:rsidR="001A2D63" w:rsidRPr="00F7119D" w:rsidRDefault="001A2D63" w:rsidP="009239F9">
            <w:pPr>
              <w:pStyle w:val="TableBody"/>
            </w:pPr>
            <w:r w:rsidRPr="00F7119D">
              <w:t>11</w:t>
            </w:r>
          </w:p>
        </w:tc>
        <w:tc>
          <w:tcPr>
            <w:tcW w:w="1250" w:type="pct"/>
            <w:noWrap/>
            <w:hideMark/>
          </w:tcPr>
          <w:p w14:paraId="64BE45F9" w14:textId="2FA3A297" w:rsidR="001A2D63" w:rsidRPr="00F7119D" w:rsidRDefault="001A2D63" w:rsidP="009239F9">
            <w:pPr>
              <w:pStyle w:val="TableBody"/>
            </w:pPr>
            <w:r w:rsidRPr="00F7119D">
              <w:t>105</w:t>
            </w:r>
          </w:p>
        </w:tc>
      </w:tr>
      <w:tr w:rsidR="00941A9B" w:rsidRPr="001A2D63" w14:paraId="46B556F4" w14:textId="77777777" w:rsidTr="00941A9B">
        <w:trPr>
          <w:trHeight w:val="310"/>
        </w:trPr>
        <w:tc>
          <w:tcPr>
            <w:tcW w:w="1250" w:type="pct"/>
            <w:noWrap/>
            <w:hideMark/>
          </w:tcPr>
          <w:p w14:paraId="7E7D8646" w14:textId="77777777" w:rsidR="001A2D63" w:rsidRPr="00F7119D" w:rsidRDefault="001A2D63" w:rsidP="009239F9">
            <w:pPr>
              <w:pStyle w:val="TableBody"/>
            </w:pPr>
            <w:r w:rsidRPr="00F7119D">
              <w:t>2015</w:t>
            </w:r>
          </w:p>
        </w:tc>
        <w:tc>
          <w:tcPr>
            <w:tcW w:w="1250" w:type="pct"/>
            <w:noWrap/>
            <w:hideMark/>
          </w:tcPr>
          <w:p w14:paraId="30952E55" w14:textId="415942B0" w:rsidR="001A2D63" w:rsidRPr="00F7119D" w:rsidRDefault="001A2D63" w:rsidP="009239F9">
            <w:pPr>
              <w:pStyle w:val="TableBody"/>
            </w:pPr>
            <w:r w:rsidRPr="00F7119D">
              <w:t>396</w:t>
            </w:r>
          </w:p>
        </w:tc>
        <w:tc>
          <w:tcPr>
            <w:tcW w:w="1250" w:type="pct"/>
            <w:noWrap/>
            <w:hideMark/>
          </w:tcPr>
          <w:p w14:paraId="661F32F1" w14:textId="46BD0BA9" w:rsidR="001A2D63" w:rsidRPr="00F7119D" w:rsidRDefault="001A2D63" w:rsidP="009239F9">
            <w:pPr>
              <w:pStyle w:val="TableBody"/>
            </w:pPr>
            <w:r w:rsidRPr="00F7119D">
              <w:t>27</w:t>
            </w:r>
          </w:p>
        </w:tc>
        <w:tc>
          <w:tcPr>
            <w:tcW w:w="1250" w:type="pct"/>
            <w:noWrap/>
            <w:hideMark/>
          </w:tcPr>
          <w:p w14:paraId="55F22D01" w14:textId="0860F083" w:rsidR="001A2D63" w:rsidRPr="00F7119D" w:rsidRDefault="001A2D63" w:rsidP="009239F9">
            <w:pPr>
              <w:pStyle w:val="TableBody"/>
            </w:pPr>
            <w:r w:rsidRPr="00F7119D">
              <w:t>399</w:t>
            </w:r>
          </w:p>
        </w:tc>
      </w:tr>
      <w:tr w:rsidR="00941A9B" w:rsidRPr="001A2D63" w14:paraId="5A1DE307" w14:textId="77777777" w:rsidTr="00941A9B">
        <w:trPr>
          <w:trHeight w:val="310"/>
        </w:trPr>
        <w:tc>
          <w:tcPr>
            <w:tcW w:w="1250" w:type="pct"/>
            <w:noWrap/>
            <w:hideMark/>
          </w:tcPr>
          <w:p w14:paraId="35D5B571" w14:textId="77777777" w:rsidR="001A2D63" w:rsidRPr="00F7119D" w:rsidRDefault="001A2D63" w:rsidP="009239F9">
            <w:pPr>
              <w:pStyle w:val="TableBody"/>
            </w:pPr>
            <w:r w:rsidRPr="00F7119D">
              <w:t>2016</w:t>
            </w:r>
          </w:p>
        </w:tc>
        <w:tc>
          <w:tcPr>
            <w:tcW w:w="1250" w:type="pct"/>
            <w:noWrap/>
            <w:hideMark/>
          </w:tcPr>
          <w:p w14:paraId="629E91FB" w14:textId="5D3124AF" w:rsidR="001A2D63" w:rsidRPr="00F7119D" w:rsidRDefault="001A2D63" w:rsidP="009239F9">
            <w:pPr>
              <w:pStyle w:val="TableBody"/>
            </w:pPr>
            <w:r w:rsidRPr="00F7119D">
              <w:t>304</w:t>
            </w:r>
          </w:p>
        </w:tc>
        <w:tc>
          <w:tcPr>
            <w:tcW w:w="1250" w:type="pct"/>
            <w:noWrap/>
            <w:hideMark/>
          </w:tcPr>
          <w:p w14:paraId="78533388" w14:textId="289622E4" w:rsidR="001A2D63" w:rsidRPr="00F7119D" w:rsidRDefault="001A2D63" w:rsidP="009239F9">
            <w:pPr>
              <w:pStyle w:val="TableBody"/>
            </w:pPr>
            <w:r w:rsidRPr="00F7119D">
              <w:t>20</w:t>
            </w:r>
          </w:p>
        </w:tc>
        <w:tc>
          <w:tcPr>
            <w:tcW w:w="1250" w:type="pct"/>
            <w:noWrap/>
            <w:hideMark/>
          </w:tcPr>
          <w:p w14:paraId="2AECD115" w14:textId="1CD40B2A" w:rsidR="001A2D63" w:rsidRPr="00F7119D" w:rsidRDefault="001A2D63" w:rsidP="009239F9">
            <w:pPr>
              <w:pStyle w:val="TableBody"/>
            </w:pPr>
            <w:r w:rsidRPr="00F7119D">
              <w:t>323</w:t>
            </w:r>
          </w:p>
        </w:tc>
      </w:tr>
      <w:tr w:rsidR="00941A9B" w:rsidRPr="001A2D63" w14:paraId="53F311E3" w14:textId="77777777" w:rsidTr="00941A9B">
        <w:trPr>
          <w:trHeight w:val="310"/>
        </w:trPr>
        <w:tc>
          <w:tcPr>
            <w:tcW w:w="1250" w:type="pct"/>
            <w:noWrap/>
            <w:hideMark/>
          </w:tcPr>
          <w:p w14:paraId="479B598F" w14:textId="77777777" w:rsidR="001A2D63" w:rsidRPr="00F7119D" w:rsidRDefault="001A2D63" w:rsidP="009239F9">
            <w:pPr>
              <w:pStyle w:val="TableBody"/>
            </w:pPr>
            <w:r w:rsidRPr="00F7119D">
              <w:t>2017</w:t>
            </w:r>
          </w:p>
        </w:tc>
        <w:tc>
          <w:tcPr>
            <w:tcW w:w="1250" w:type="pct"/>
            <w:noWrap/>
            <w:hideMark/>
          </w:tcPr>
          <w:p w14:paraId="2DC7B0DF" w14:textId="69AE4244" w:rsidR="001A2D63" w:rsidRPr="00F7119D" w:rsidRDefault="001A2D63" w:rsidP="009239F9">
            <w:pPr>
              <w:pStyle w:val="TableBody"/>
            </w:pPr>
            <w:r w:rsidRPr="00F7119D">
              <w:t>228</w:t>
            </w:r>
          </w:p>
        </w:tc>
        <w:tc>
          <w:tcPr>
            <w:tcW w:w="1250" w:type="pct"/>
            <w:noWrap/>
            <w:hideMark/>
          </w:tcPr>
          <w:p w14:paraId="60D92065" w14:textId="30759827" w:rsidR="001A2D63" w:rsidRPr="00F7119D" w:rsidRDefault="001A2D63" w:rsidP="009239F9">
            <w:pPr>
              <w:pStyle w:val="TableBody"/>
            </w:pPr>
            <w:r w:rsidRPr="00F7119D">
              <w:t>10</w:t>
            </w:r>
          </w:p>
        </w:tc>
        <w:tc>
          <w:tcPr>
            <w:tcW w:w="1250" w:type="pct"/>
            <w:noWrap/>
            <w:hideMark/>
          </w:tcPr>
          <w:p w14:paraId="04BCA42D" w14:textId="1A1B8AB9" w:rsidR="001A2D63" w:rsidRPr="00F7119D" w:rsidRDefault="001A2D63" w:rsidP="009239F9">
            <w:pPr>
              <w:pStyle w:val="TableBody"/>
            </w:pPr>
            <w:r w:rsidRPr="00F7119D">
              <w:t>187</w:t>
            </w:r>
          </w:p>
        </w:tc>
      </w:tr>
      <w:tr w:rsidR="00941A9B" w:rsidRPr="001A2D63" w14:paraId="1E5C4128" w14:textId="77777777" w:rsidTr="00941A9B">
        <w:trPr>
          <w:trHeight w:val="310"/>
        </w:trPr>
        <w:tc>
          <w:tcPr>
            <w:tcW w:w="1250" w:type="pct"/>
            <w:noWrap/>
            <w:hideMark/>
          </w:tcPr>
          <w:p w14:paraId="2F020C81" w14:textId="77777777" w:rsidR="001A2D63" w:rsidRPr="00F7119D" w:rsidRDefault="001A2D63" w:rsidP="009239F9">
            <w:pPr>
              <w:pStyle w:val="TableBody"/>
            </w:pPr>
            <w:r w:rsidRPr="00F7119D">
              <w:t>2018</w:t>
            </w:r>
          </w:p>
        </w:tc>
        <w:tc>
          <w:tcPr>
            <w:tcW w:w="1250" w:type="pct"/>
            <w:noWrap/>
            <w:hideMark/>
          </w:tcPr>
          <w:p w14:paraId="7CA67EEF" w14:textId="1C905F8C" w:rsidR="001A2D63" w:rsidRPr="00F7119D" w:rsidRDefault="001A2D63" w:rsidP="009239F9">
            <w:pPr>
              <w:pStyle w:val="TableBody"/>
            </w:pPr>
            <w:r w:rsidRPr="00F7119D">
              <w:t>245</w:t>
            </w:r>
          </w:p>
        </w:tc>
        <w:tc>
          <w:tcPr>
            <w:tcW w:w="1250" w:type="pct"/>
            <w:noWrap/>
            <w:hideMark/>
          </w:tcPr>
          <w:p w14:paraId="1A60A15F" w14:textId="1F4F2062" w:rsidR="001A2D63" w:rsidRPr="00F7119D" w:rsidRDefault="001A2D63" w:rsidP="009239F9">
            <w:pPr>
              <w:pStyle w:val="TableBody"/>
            </w:pPr>
            <w:r w:rsidRPr="00F7119D">
              <w:t>16</w:t>
            </w:r>
          </w:p>
        </w:tc>
        <w:tc>
          <w:tcPr>
            <w:tcW w:w="1250" w:type="pct"/>
            <w:noWrap/>
            <w:hideMark/>
          </w:tcPr>
          <w:p w14:paraId="081B6772" w14:textId="69EC39C1" w:rsidR="001A2D63" w:rsidRPr="00F7119D" w:rsidRDefault="001A2D63" w:rsidP="009239F9">
            <w:pPr>
              <w:pStyle w:val="TableBody"/>
            </w:pPr>
            <w:r w:rsidRPr="00F7119D">
              <w:t>244</w:t>
            </w:r>
          </w:p>
        </w:tc>
      </w:tr>
      <w:tr w:rsidR="00941A9B" w:rsidRPr="001A2D63" w14:paraId="667FB185" w14:textId="77777777" w:rsidTr="00941A9B">
        <w:trPr>
          <w:trHeight w:val="310"/>
        </w:trPr>
        <w:tc>
          <w:tcPr>
            <w:tcW w:w="1250" w:type="pct"/>
            <w:noWrap/>
            <w:hideMark/>
          </w:tcPr>
          <w:p w14:paraId="543C4C9C" w14:textId="77777777" w:rsidR="001A2D63" w:rsidRPr="00F7119D" w:rsidRDefault="001A2D63" w:rsidP="009239F9">
            <w:pPr>
              <w:pStyle w:val="TableBody"/>
            </w:pPr>
            <w:r w:rsidRPr="00F7119D">
              <w:t>2019</w:t>
            </w:r>
          </w:p>
        </w:tc>
        <w:tc>
          <w:tcPr>
            <w:tcW w:w="1250" w:type="pct"/>
            <w:noWrap/>
            <w:hideMark/>
          </w:tcPr>
          <w:p w14:paraId="2853D58A" w14:textId="6061A1FD" w:rsidR="001A2D63" w:rsidRPr="00F7119D" w:rsidRDefault="001A2D63" w:rsidP="009239F9">
            <w:pPr>
              <w:pStyle w:val="TableBody"/>
            </w:pPr>
            <w:r w:rsidRPr="00F7119D">
              <w:t>232</w:t>
            </w:r>
          </w:p>
        </w:tc>
        <w:tc>
          <w:tcPr>
            <w:tcW w:w="1250" w:type="pct"/>
            <w:noWrap/>
            <w:hideMark/>
          </w:tcPr>
          <w:p w14:paraId="3333D2F2" w14:textId="6621F5D7" w:rsidR="001A2D63" w:rsidRPr="00F7119D" w:rsidRDefault="001A2D63" w:rsidP="009239F9">
            <w:pPr>
              <w:pStyle w:val="TableBody"/>
            </w:pPr>
            <w:r w:rsidRPr="00F7119D">
              <w:t>9</w:t>
            </w:r>
          </w:p>
        </w:tc>
        <w:tc>
          <w:tcPr>
            <w:tcW w:w="1250" w:type="pct"/>
            <w:noWrap/>
            <w:hideMark/>
          </w:tcPr>
          <w:p w14:paraId="66305026" w14:textId="39666160" w:rsidR="001A2D63" w:rsidRPr="00F7119D" w:rsidRDefault="001A2D63" w:rsidP="009239F9">
            <w:pPr>
              <w:pStyle w:val="TableBody"/>
            </w:pPr>
            <w:r w:rsidRPr="00F7119D">
              <w:t>293</w:t>
            </w:r>
          </w:p>
        </w:tc>
      </w:tr>
      <w:tr w:rsidR="00941A9B" w:rsidRPr="001A2D63" w14:paraId="3B968971" w14:textId="77777777" w:rsidTr="00941A9B">
        <w:trPr>
          <w:trHeight w:val="310"/>
        </w:trPr>
        <w:tc>
          <w:tcPr>
            <w:tcW w:w="1250" w:type="pct"/>
            <w:noWrap/>
            <w:hideMark/>
          </w:tcPr>
          <w:p w14:paraId="4BCA34DA" w14:textId="77777777" w:rsidR="001A2D63" w:rsidRPr="00F7119D" w:rsidRDefault="001A2D63" w:rsidP="009239F9">
            <w:pPr>
              <w:pStyle w:val="TableBody"/>
            </w:pPr>
            <w:r w:rsidRPr="00F7119D">
              <w:t>2020</w:t>
            </w:r>
          </w:p>
        </w:tc>
        <w:tc>
          <w:tcPr>
            <w:tcW w:w="1250" w:type="pct"/>
            <w:noWrap/>
            <w:hideMark/>
          </w:tcPr>
          <w:p w14:paraId="275A5A80" w14:textId="3383BFCB" w:rsidR="001A2D63" w:rsidRPr="00F7119D" w:rsidRDefault="001A2D63" w:rsidP="009239F9">
            <w:pPr>
              <w:pStyle w:val="TableBody"/>
            </w:pPr>
            <w:r w:rsidRPr="00F7119D">
              <w:t>188</w:t>
            </w:r>
          </w:p>
        </w:tc>
        <w:tc>
          <w:tcPr>
            <w:tcW w:w="1250" w:type="pct"/>
            <w:noWrap/>
            <w:hideMark/>
          </w:tcPr>
          <w:p w14:paraId="504EA908" w14:textId="4D05DA42" w:rsidR="001A2D63" w:rsidRPr="00F7119D" w:rsidRDefault="001A2D63" w:rsidP="009239F9">
            <w:pPr>
              <w:pStyle w:val="TableBody"/>
            </w:pPr>
            <w:r w:rsidRPr="00F7119D">
              <w:t>9</w:t>
            </w:r>
          </w:p>
        </w:tc>
        <w:tc>
          <w:tcPr>
            <w:tcW w:w="1250" w:type="pct"/>
            <w:noWrap/>
            <w:hideMark/>
          </w:tcPr>
          <w:p w14:paraId="74B76B26" w14:textId="09D1E91E" w:rsidR="001A2D63" w:rsidRPr="00F7119D" w:rsidRDefault="001A2D63" w:rsidP="009239F9">
            <w:pPr>
              <w:pStyle w:val="TableBody"/>
            </w:pPr>
            <w:r w:rsidRPr="00F7119D">
              <w:t>254</w:t>
            </w:r>
          </w:p>
        </w:tc>
      </w:tr>
    </w:tbl>
    <w:p w14:paraId="76720A81" w14:textId="77777777" w:rsidR="005801E0" w:rsidRPr="006B4A5D" w:rsidRDefault="005801E0" w:rsidP="00A612BA">
      <w:r w:rsidRPr="006B4A5D">
        <w:t>Taken together, these findings highlight the true prevalence of CCOs in Victoria. From January 2012 (when CCOs first came into effect) to December 2020 (the end of our reference period), there were 95,080 cases in Victoria in which a CCO was imposed.</w:t>
      </w:r>
    </w:p>
    <w:p w14:paraId="1009FF63" w14:textId="77777777" w:rsidR="005801E0" w:rsidRPr="006B4A5D" w:rsidRDefault="005801E0" w:rsidP="005801E0">
      <w:pPr>
        <w:pStyle w:val="Heading2"/>
      </w:pPr>
      <w:r w:rsidRPr="006B4A5D">
        <w:t>Conditions of CCOs in combined orders</w:t>
      </w:r>
    </w:p>
    <w:p w14:paraId="6A972AA4" w14:textId="77777777" w:rsidR="005801E0" w:rsidRPr="006B4A5D" w:rsidRDefault="005801E0" w:rsidP="00A612BA">
      <w:r w:rsidRPr="006B4A5D">
        <w:t xml:space="preserve">The </w:t>
      </w:r>
      <w:r w:rsidRPr="006B4A5D">
        <w:rPr>
          <w:rStyle w:val="Italic"/>
        </w:rPr>
        <w:t xml:space="preserve">Sentencing Act </w:t>
      </w:r>
      <w:r w:rsidRPr="006B4A5D">
        <w:t>specifies a number of mandatory and optional conditions for CCOs.</w:t>
      </w:r>
      <w:r w:rsidRPr="006B4A5D">
        <w:rPr>
          <w:rStyle w:val="Superscript"/>
        </w:rPr>
        <w:footnoteReference w:id="63"/>
      </w:r>
      <w:r w:rsidRPr="006B4A5D">
        <w:t xml:space="preserve"> One of the optional conditions is unpaid community work, which the Court of Appeal has described as ‘the punitive element’ of </w:t>
      </w:r>
      <w:r w:rsidRPr="006B4A5D">
        <w:lastRenderedPageBreak/>
        <w:t>a community order, while also noting that all aspects of a CCO can be punitive when they curtail freedoms.</w:t>
      </w:r>
      <w:r w:rsidRPr="006B4A5D">
        <w:rPr>
          <w:rStyle w:val="Superscript"/>
        </w:rPr>
        <w:footnoteReference w:id="64"/>
      </w:r>
      <w:r w:rsidRPr="006B4A5D">
        <w:t xml:space="preserve"> We sought to identify whether CCOs in combined orders have a lower rate of unpaid community work conditions. This could reflect the prison sentence in those cases being the primary ‘punitive element’ of the sentence</w:t>
      </w:r>
      <w:r w:rsidRPr="006B4A5D">
        <w:rPr>
          <w:rStyle w:val="Superscript"/>
        </w:rPr>
        <w:footnoteReference w:id="65"/>
      </w:r>
      <w:r w:rsidRPr="006B4A5D">
        <w:t xml:space="preserve"> and priority being given to conditions of CCOs that are geared more towards rehabilitation and protection of the community (therapeutic and supervisory conditions) instead.</w:t>
      </w:r>
      <w:r w:rsidRPr="006B4A5D">
        <w:rPr>
          <w:rStyle w:val="Superscript"/>
        </w:rPr>
        <w:footnoteReference w:id="66"/>
      </w:r>
      <w:r w:rsidRPr="006B4A5D">
        <w:t xml:space="preserve"> </w:t>
      </w:r>
    </w:p>
    <w:p w14:paraId="444BBFD4" w14:textId="77777777" w:rsidR="005801E0" w:rsidRPr="006B4A5D" w:rsidRDefault="005801E0" w:rsidP="001D2C8C">
      <w:r w:rsidRPr="006B4A5D">
        <w:t xml:space="preserve">The data shows that there was indeed only </w:t>
      </w:r>
      <w:r w:rsidRPr="006B4A5D">
        <w:rPr>
          <w:rStyle w:val="Italic"/>
        </w:rPr>
        <w:t xml:space="preserve">one </w:t>
      </w:r>
      <w:r w:rsidRPr="006B4A5D">
        <w:t xml:space="preserve">condition that was less common in combined order CCOs than in straight CCOs, and it was unpaid community work (40.3% of combined order CCOs compared to 73.7% of straight CCOs) (Figure 13). In contrast, combined order CCOs were more likely to involve every other kind of optional condition: </w:t>
      </w:r>
    </w:p>
    <w:p w14:paraId="290AF139" w14:textId="77777777" w:rsidR="005801E0" w:rsidRPr="006B4A5D" w:rsidRDefault="005801E0" w:rsidP="001D2C8C">
      <w:pPr>
        <w:pStyle w:val="Bullets"/>
      </w:pPr>
      <w:r w:rsidRPr="006B4A5D">
        <w:t>assessment and treatment (96.3% in combined order CCOs compared to 73.2% in straight CCOs);</w:t>
      </w:r>
    </w:p>
    <w:p w14:paraId="23D4DCF1" w14:textId="77777777" w:rsidR="005801E0" w:rsidRPr="006B4A5D" w:rsidRDefault="005801E0" w:rsidP="001D2C8C">
      <w:pPr>
        <w:pStyle w:val="Bullets"/>
      </w:pPr>
      <w:r w:rsidRPr="006B4A5D">
        <w:t>Corrections supervision (89.0% compared to 51.8%);</w:t>
      </w:r>
    </w:p>
    <w:p w14:paraId="382CDD19" w14:textId="77777777" w:rsidR="005801E0" w:rsidRPr="006B4A5D" w:rsidRDefault="005801E0" w:rsidP="001D2C8C">
      <w:pPr>
        <w:pStyle w:val="Bullets"/>
      </w:pPr>
      <w:r w:rsidRPr="006B4A5D">
        <w:lastRenderedPageBreak/>
        <w:t xml:space="preserve">judicial monitoring (29.9% compared to 11.2%); and </w:t>
      </w:r>
    </w:p>
    <w:p w14:paraId="2C2ACFDD" w14:textId="77777777" w:rsidR="005801E0" w:rsidRPr="006B4A5D" w:rsidRDefault="005801E0" w:rsidP="001D2C8C">
      <w:pPr>
        <w:pStyle w:val="Bullets"/>
      </w:pPr>
      <w:r w:rsidRPr="006B4A5D">
        <w:t xml:space="preserve">each of the less common optional conditions (non-association, residence restriction, place restriction, curfew, alcohol exclusion and justice plan). </w:t>
      </w:r>
    </w:p>
    <w:p w14:paraId="01752B94" w14:textId="77777777" w:rsidR="005801E0" w:rsidRPr="006B4A5D" w:rsidRDefault="005801E0" w:rsidP="00C34438">
      <w:pPr>
        <w:pStyle w:val="Caption"/>
      </w:pPr>
      <w:r w:rsidRPr="006B4A5D">
        <w:t>Figure 13: Conditions in CCOs in the Magistrates’ Court, 2012 to 2020 (16,274 combined order CCOs and 73,606 straight CCOs)</w:t>
      </w:r>
    </w:p>
    <w:tbl>
      <w:tblPr>
        <w:tblStyle w:val="Table"/>
        <w:tblW w:w="5000" w:type="pct"/>
        <w:tblLook w:val="04A0" w:firstRow="1" w:lastRow="0" w:firstColumn="1" w:lastColumn="0" w:noHBand="0" w:noVBand="1"/>
      </w:tblPr>
      <w:tblGrid>
        <w:gridCol w:w="3005"/>
        <w:gridCol w:w="3005"/>
        <w:gridCol w:w="3006"/>
      </w:tblGrid>
      <w:tr w:rsidR="00401E1C" w:rsidRPr="00874F4D" w14:paraId="1DB569A1" w14:textId="77777777" w:rsidTr="007A45F6">
        <w:trPr>
          <w:trHeight w:val="310"/>
          <w:tblHeader/>
        </w:trPr>
        <w:tc>
          <w:tcPr>
            <w:tcW w:w="1666" w:type="pct"/>
            <w:noWrap/>
            <w:hideMark/>
          </w:tcPr>
          <w:p w14:paraId="4C788DCE" w14:textId="65DCA445" w:rsidR="00515202" w:rsidRPr="00874F4D" w:rsidRDefault="00236464" w:rsidP="007B783E">
            <w:pPr>
              <w:pStyle w:val="TableHeading"/>
            </w:pPr>
            <w:r>
              <w:t>Condition</w:t>
            </w:r>
          </w:p>
        </w:tc>
        <w:tc>
          <w:tcPr>
            <w:tcW w:w="1666" w:type="pct"/>
            <w:noWrap/>
            <w:hideMark/>
          </w:tcPr>
          <w:p w14:paraId="47E4EE4E" w14:textId="77777777" w:rsidR="00515202" w:rsidRPr="00874F4D" w:rsidRDefault="00515202" w:rsidP="007B783E">
            <w:pPr>
              <w:pStyle w:val="TableHeading"/>
            </w:pPr>
            <w:r w:rsidRPr="00874F4D">
              <w:t>Combined order CCOs</w:t>
            </w:r>
          </w:p>
        </w:tc>
        <w:tc>
          <w:tcPr>
            <w:tcW w:w="1667" w:type="pct"/>
            <w:noWrap/>
            <w:hideMark/>
          </w:tcPr>
          <w:p w14:paraId="3496F157" w14:textId="77777777" w:rsidR="00515202" w:rsidRPr="00874F4D" w:rsidRDefault="00515202" w:rsidP="007B783E">
            <w:pPr>
              <w:pStyle w:val="TableHeading"/>
            </w:pPr>
            <w:r w:rsidRPr="00874F4D">
              <w:t>Straight CCOs</w:t>
            </w:r>
          </w:p>
        </w:tc>
      </w:tr>
      <w:tr w:rsidR="00515202" w:rsidRPr="00874F4D" w14:paraId="7DC66B30" w14:textId="77777777" w:rsidTr="00401E1C">
        <w:trPr>
          <w:trHeight w:val="310"/>
        </w:trPr>
        <w:tc>
          <w:tcPr>
            <w:tcW w:w="1666" w:type="pct"/>
            <w:noWrap/>
            <w:hideMark/>
          </w:tcPr>
          <w:p w14:paraId="53A202DB" w14:textId="77777777" w:rsidR="00515202" w:rsidRPr="00874F4D" w:rsidRDefault="00515202" w:rsidP="00874F4D">
            <w:pPr>
              <w:pStyle w:val="TableBody"/>
            </w:pPr>
            <w:r w:rsidRPr="00874F4D">
              <w:t xml:space="preserve">Assessment and treatment </w:t>
            </w:r>
          </w:p>
        </w:tc>
        <w:tc>
          <w:tcPr>
            <w:tcW w:w="1666" w:type="pct"/>
            <w:noWrap/>
            <w:hideMark/>
          </w:tcPr>
          <w:p w14:paraId="09545C56" w14:textId="77777777" w:rsidR="00515202" w:rsidRPr="00874F4D" w:rsidRDefault="00515202" w:rsidP="00874F4D">
            <w:pPr>
              <w:pStyle w:val="TableBody"/>
            </w:pPr>
            <w:r w:rsidRPr="00874F4D">
              <w:t>96.3%</w:t>
            </w:r>
          </w:p>
        </w:tc>
        <w:tc>
          <w:tcPr>
            <w:tcW w:w="1667" w:type="pct"/>
            <w:noWrap/>
            <w:hideMark/>
          </w:tcPr>
          <w:p w14:paraId="0466FB61" w14:textId="77777777" w:rsidR="00515202" w:rsidRPr="00874F4D" w:rsidRDefault="00515202" w:rsidP="00874F4D">
            <w:pPr>
              <w:pStyle w:val="TableBody"/>
            </w:pPr>
            <w:r w:rsidRPr="00874F4D">
              <w:t>73.2%</w:t>
            </w:r>
          </w:p>
        </w:tc>
      </w:tr>
      <w:tr w:rsidR="00515202" w:rsidRPr="00874F4D" w14:paraId="5EE96668" w14:textId="77777777" w:rsidTr="00401E1C">
        <w:trPr>
          <w:trHeight w:val="310"/>
        </w:trPr>
        <w:tc>
          <w:tcPr>
            <w:tcW w:w="1666" w:type="pct"/>
            <w:noWrap/>
            <w:hideMark/>
          </w:tcPr>
          <w:p w14:paraId="400AFE0F" w14:textId="77777777" w:rsidR="00515202" w:rsidRPr="00874F4D" w:rsidRDefault="00515202" w:rsidP="00874F4D">
            <w:pPr>
              <w:pStyle w:val="TableBody"/>
            </w:pPr>
            <w:r w:rsidRPr="00874F4D">
              <w:t>Unpaid community work</w:t>
            </w:r>
          </w:p>
        </w:tc>
        <w:tc>
          <w:tcPr>
            <w:tcW w:w="1666" w:type="pct"/>
            <w:noWrap/>
            <w:hideMark/>
          </w:tcPr>
          <w:p w14:paraId="00C15567" w14:textId="77777777" w:rsidR="00515202" w:rsidRPr="00874F4D" w:rsidRDefault="00515202" w:rsidP="00874F4D">
            <w:pPr>
              <w:pStyle w:val="TableBody"/>
            </w:pPr>
            <w:r w:rsidRPr="00874F4D">
              <w:t>40.3%</w:t>
            </w:r>
          </w:p>
        </w:tc>
        <w:tc>
          <w:tcPr>
            <w:tcW w:w="1667" w:type="pct"/>
            <w:noWrap/>
            <w:hideMark/>
          </w:tcPr>
          <w:p w14:paraId="13F5FCA1" w14:textId="77777777" w:rsidR="00515202" w:rsidRPr="00874F4D" w:rsidRDefault="00515202" w:rsidP="00874F4D">
            <w:pPr>
              <w:pStyle w:val="TableBody"/>
            </w:pPr>
            <w:r w:rsidRPr="00874F4D">
              <w:t>73.7%</w:t>
            </w:r>
          </w:p>
        </w:tc>
      </w:tr>
      <w:tr w:rsidR="00515202" w:rsidRPr="00874F4D" w14:paraId="61FF4443" w14:textId="77777777" w:rsidTr="00401E1C">
        <w:trPr>
          <w:trHeight w:val="310"/>
        </w:trPr>
        <w:tc>
          <w:tcPr>
            <w:tcW w:w="1666" w:type="pct"/>
            <w:noWrap/>
            <w:hideMark/>
          </w:tcPr>
          <w:p w14:paraId="3B0A98C8" w14:textId="77777777" w:rsidR="00515202" w:rsidRPr="00874F4D" w:rsidRDefault="00515202" w:rsidP="00874F4D">
            <w:pPr>
              <w:pStyle w:val="TableBody"/>
            </w:pPr>
            <w:r w:rsidRPr="00874F4D">
              <w:t>Supervision</w:t>
            </w:r>
          </w:p>
        </w:tc>
        <w:tc>
          <w:tcPr>
            <w:tcW w:w="1666" w:type="pct"/>
            <w:noWrap/>
            <w:hideMark/>
          </w:tcPr>
          <w:p w14:paraId="20940F85" w14:textId="77777777" w:rsidR="00515202" w:rsidRPr="00874F4D" w:rsidRDefault="00515202" w:rsidP="00874F4D">
            <w:pPr>
              <w:pStyle w:val="TableBody"/>
            </w:pPr>
            <w:r w:rsidRPr="00874F4D">
              <w:t>89.0%</w:t>
            </w:r>
          </w:p>
        </w:tc>
        <w:tc>
          <w:tcPr>
            <w:tcW w:w="1667" w:type="pct"/>
            <w:noWrap/>
            <w:hideMark/>
          </w:tcPr>
          <w:p w14:paraId="6B241324" w14:textId="77777777" w:rsidR="00515202" w:rsidRPr="00874F4D" w:rsidRDefault="00515202" w:rsidP="00874F4D">
            <w:pPr>
              <w:pStyle w:val="TableBody"/>
            </w:pPr>
            <w:r w:rsidRPr="00874F4D">
              <w:t>51.8%</w:t>
            </w:r>
          </w:p>
        </w:tc>
      </w:tr>
      <w:tr w:rsidR="00515202" w:rsidRPr="00874F4D" w14:paraId="01388913" w14:textId="77777777" w:rsidTr="00401E1C">
        <w:trPr>
          <w:trHeight w:val="310"/>
        </w:trPr>
        <w:tc>
          <w:tcPr>
            <w:tcW w:w="1666" w:type="pct"/>
            <w:noWrap/>
            <w:hideMark/>
          </w:tcPr>
          <w:p w14:paraId="18EAA5AB" w14:textId="77777777" w:rsidR="00515202" w:rsidRPr="00874F4D" w:rsidRDefault="00515202" w:rsidP="00874F4D">
            <w:pPr>
              <w:pStyle w:val="TableBody"/>
            </w:pPr>
            <w:r w:rsidRPr="00874F4D">
              <w:t>Judicial monitoring</w:t>
            </w:r>
          </w:p>
        </w:tc>
        <w:tc>
          <w:tcPr>
            <w:tcW w:w="1666" w:type="pct"/>
            <w:noWrap/>
            <w:hideMark/>
          </w:tcPr>
          <w:p w14:paraId="7CE2571A" w14:textId="77777777" w:rsidR="00515202" w:rsidRPr="00874F4D" w:rsidRDefault="00515202" w:rsidP="00874F4D">
            <w:pPr>
              <w:pStyle w:val="TableBody"/>
            </w:pPr>
            <w:r w:rsidRPr="00874F4D">
              <w:t>29.9%</w:t>
            </w:r>
          </w:p>
        </w:tc>
        <w:tc>
          <w:tcPr>
            <w:tcW w:w="1667" w:type="pct"/>
            <w:noWrap/>
            <w:hideMark/>
          </w:tcPr>
          <w:p w14:paraId="12347350" w14:textId="77777777" w:rsidR="00515202" w:rsidRPr="00874F4D" w:rsidRDefault="00515202" w:rsidP="00874F4D">
            <w:pPr>
              <w:pStyle w:val="TableBody"/>
            </w:pPr>
            <w:r w:rsidRPr="00874F4D">
              <w:t>11.2%</w:t>
            </w:r>
          </w:p>
        </w:tc>
      </w:tr>
      <w:tr w:rsidR="00515202" w:rsidRPr="00874F4D" w14:paraId="0E88D4AA" w14:textId="77777777" w:rsidTr="00401E1C">
        <w:trPr>
          <w:trHeight w:val="310"/>
        </w:trPr>
        <w:tc>
          <w:tcPr>
            <w:tcW w:w="1666" w:type="pct"/>
            <w:noWrap/>
            <w:hideMark/>
          </w:tcPr>
          <w:p w14:paraId="70EF5C8A" w14:textId="77777777" w:rsidR="00515202" w:rsidRPr="00874F4D" w:rsidRDefault="00515202" w:rsidP="00874F4D">
            <w:pPr>
              <w:pStyle w:val="TableBody"/>
            </w:pPr>
            <w:r w:rsidRPr="00874F4D">
              <w:t>Non-association</w:t>
            </w:r>
          </w:p>
        </w:tc>
        <w:tc>
          <w:tcPr>
            <w:tcW w:w="1666" w:type="pct"/>
            <w:noWrap/>
            <w:hideMark/>
          </w:tcPr>
          <w:p w14:paraId="29BE14A5" w14:textId="77777777" w:rsidR="00515202" w:rsidRPr="00874F4D" w:rsidRDefault="00515202" w:rsidP="00874F4D">
            <w:pPr>
              <w:pStyle w:val="TableBody"/>
            </w:pPr>
            <w:r w:rsidRPr="00874F4D">
              <w:t>2.3%</w:t>
            </w:r>
          </w:p>
        </w:tc>
        <w:tc>
          <w:tcPr>
            <w:tcW w:w="1667" w:type="pct"/>
            <w:noWrap/>
            <w:hideMark/>
          </w:tcPr>
          <w:p w14:paraId="7C2ABC5A" w14:textId="77777777" w:rsidR="00515202" w:rsidRPr="00874F4D" w:rsidRDefault="00515202" w:rsidP="00874F4D">
            <w:pPr>
              <w:pStyle w:val="TableBody"/>
            </w:pPr>
            <w:r w:rsidRPr="00874F4D">
              <w:t>0.8%</w:t>
            </w:r>
          </w:p>
        </w:tc>
      </w:tr>
      <w:tr w:rsidR="00515202" w:rsidRPr="00874F4D" w14:paraId="3738F168" w14:textId="77777777" w:rsidTr="00401E1C">
        <w:trPr>
          <w:trHeight w:val="310"/>
        </w:trPr>
        <w:tc>
          <w:tcPr>
            <w:tcW w:w="1666" w:type="pct"/>
            <w:noWrap/>
            <w:hideMark/>
          </w:tcPr>
          <w:p w14:paraId="32533CEC" w14:textId="77777777" w:rsidR="00515202" w:rsidRPr="00874F4D" w:rsidRDefault="00515202" w:rsidP="00874F4D">
            <w:pPr>
              <w:pStyle w:val="TableBody"/>
            </w:pPr>
            <w:r w:rsidRPr="00874F4D">
              <w:t>Residence restriction</w:t>
            </w:r>
          </w:p>
        </w:tc>
        <w:tc>
          <w:tcPr>
            <w:tcW w:w="1666" w:type="pct"/>
            <w:noWrap/>
            <w:hideMark/>
          </w:tcPr>
          <w:p w14:paraId="3E55084B" w14:textId="77777777" w:rsidR="00515202" w:rsidRPr="00874F4D" w:rsidRDefault="00515202" w:rsidP="00874F4D">
            <w:pPr>
              <w:pStyle w:val="TableBody"/>
            </w:pPr>
            <w:r w:rsidRPr="00874F4D">
              <w:t>0.7%</w:t>
            </w:r>
          </w:p>
        </w:tc>
        <w:tc>
          <w:tcPr>
            <w:tcW w:w="1667" w:type="pct"/>
            <w:noWrap/>
            <w:hideMark/>
          </w:tcPr>
          <w:p w14:paraId="5F2C07ED" w14:textId="77777777" w:rsidR="00515202" w:rsidRPr="00874F4D" w:rsidRDefault="00515202" w:rsidP="00874F4D">
            <w:pPr>
              <w:pStyle w:val="TableBody"/>
            </w:pPr>
            <w:r w:rsidRPr="00874F4D">
              <w:t>0.2%</w:t>
            </w:r>
          </w:p>
        </w:tc>
      </w:tr>
      <w:tr w:rsidR="00515202" w:rsidRPr="00874F4D" w14:paraId="1E821B56" w14:textId="77777777" w:rsidTr="00401E1C">
        <w:trPr>
          <w:trHeight w:val="310"/>
        </w:trPr>
        <w:tc>
          <w:tcPr>
            <w:tcW w:w="1666" w:type="pct"/>
            <w:noWrap/>
            <w:hideMark/>
          </w:tcPr>
          <w:p w14:paraId="1E91E23F" w14:textId="77777777" w:rsidR="00515202" w:rsidRPr="00874F4D" w:rsidRDefault="00515202" w:rsidP="00874F4D">
            <w:pPr>
              <w:pStyle w:val="TableBody"/>
            </w:pPr>
            <w:r w:rsidRPr="00874F4D">
              <w:t>Place restriction</w:t>
            </w:r>
          </w:p>
        </w:tc>
        <w:tc>
          <w:tcPr>
            <w:tcW w:w="1666" w:type="pct"/>
            <w:noWrap/>
            <w:hideMark/>
          </w:tcPr>
          <w:p w14:paraId="5DA15EF4" w14:textId="77777777" w:rsidR="00515202" w:rsidRPr="00874F4D" w:rsidRDefault="00515202" w:rsidP="00874F4D">
            <w:pPr>
              <w:pStyle w:val="TableBody"/>
            </w:pPr>
            <w:r w:rsidRPr="00874F4D">
              <w:t>1.0%</w:t>
            </w:r>
          </w:p>
        </w:tc>
        <w:tc>
          <w:tcPr>
            <w:tcW w:w="1667" w:type="pct"/>
            <w:noWrap/>
            <w:hideMark/>
          </w:tcPr>
          <w:p w14:paraId="12C4AF34" w14:textId="77777777" w:rsidR="00515202" w:rsidRPr="00874F4D" w:rsidRDefault="00515202" w:rsidP="00874F4D">
            <w:pPr>
              <w:pStyle w:val="TableBody"/>
            </w:pPr>
            <w:r w:rsidRPr="00874F4D">
              <w:t>0.4%</w:t>
            </w:r>
          </w:p>
        </w:tc>
      </w:tr>
      <w:tr w:rsidR="00515202" w:rsidRPr="00874F4D" w14:paraId="79D140E6" w14:textId="77777777" w:rsidTr="00401E1C">
        <w:trPr>
          <w:trHeight w:val="310"/>
        </w:trPr>
        <w:tc>
          <w:tcPr>
            <w:tcW w:w="1666" w:type="pct"/>
            <w:noWrap/>
            <w:hideMark/>
          </w:tcPr>
          <w:p w14:paraId="005F63A0" w14:textId="77777777" w:rsidR="00515202" w:rsidRPr="00874F4D" w:rsidRDefault="00515202" w:rsidP="00874F4D">
            <w:pPr>
              <w:pStyle w:val="TableBody"/>
            </w:pPr>
            <w:r w:rsidRPr="00874F4D">
              <w:t>Curfew</w:t>
            </w:r>
          </w:p>
        </w:tc>
        <w:tc>
          <w:tcPr>
            <w:tcW w:w="1666" w:type="pct"/>
            <w:noWrap/>
            <w:hideMark/>
          </w:tcPr>
          <w:p w14:paraId="667D9922" w14:textId="77777777" w:rsidR="00515202" w:rsidRPr="00874F4D" w:rsidRDefault="00515202" w:rsidP="00874F4D">
            <w:pPr>
              <w:pStyle w:val="TableBody"/>
            </w:pPr>
            <w:r w:rsidRPr="00874F4D">
              <w:t>1.0%</w:t>
            </w:r>
          </w:p>
        </w:tc>
        <w:tc>
          <w:tcPr>
            <w:tcW w:w="1667" w:type="pct"/>
            <w:noWrap/>
            <w:hideMark/>
          </w:tcPr>
          <w:p w14:paraId="7B68AD67" w14:textId="77777777" w:rsidR="00515202" w:rsidRPr="00874F4D" w:rsidRDefault="00515202" w:rsidP="00874F4D">
            <w:pPr>
              <w:pStyle w:val="TableBody"/>
            </w:pPr>
            <w:r w:rsidRPr="00874F4D">
              <w:t>0.3%</w:t>
            </w:r>
          </w:p>
        </w:tc>
      </w:tr>
      <w:tr w:rsidR="00515202" w:rsidRPr="00874F4D" w14:paraId="575B3443" w14:textId="77777777" w:rsidTr="00401E1C">
        <w:trPr>
          <w:trHeight w:val="310"/>
        </w:trPr>
        <w:tc>
          <w:tcPr>
            <w:tcW w:w="1666" w:type="pct"/>
            <w:noWrap/>
            <w:hideMark/>
          </w:tcPr>
          <w:p w14:paraId="6BB3BAC0" w14:textId="77777777" w:rsidR="00515202" w:rsidRPr="00874F4D" w:rsidRDefault="00515202" w:rsidP="00874F4D">
            <w:pPr>
              <w:pStyle w:val="TableBody"/>
            </w:pPr>
            <w:r w:rsidRPr="00874F4D">
              <w:t>Alcohol exclusion</w:t>
            </w:r>
          </w:p>
        </w:tc>
        <w:tc>
          <w:tcPr>
            <w:tcW w:w="1666" w:type="pct"/>
            <w:noWrap/>
            <w:hideMark/>
          </w:tcPr>
          <w:p w14:paraId="69105A0C" w14:textId="77777777" w:rsidR="00515202" w:rsidRPr="00874F4D" w:rsidRDefault="00515202" w:rsidP="00874F4D">
            <w:pPr>
              <w:pStyle w:val="TableBody"/>
            </w:pPr>
            <w:r w:rsidRPr="00874F4D">
              <w:t>0.8%</w:t>
            </w:r>
          </w:p>
        </w:tc>
        <w:tc>
          <w:tcPr>
            <w:tcW w:w="1667" w:type="pct"/>
            <w:noWrap/>
            <w:hideMark/>
          </w:tcPr>
          <w:p w14:paraId="335B79C4" w14:textId="77777777" w:rsidR="00515202" w:rsidRPr="00874F4D" w:rsidRDefault="00515202" w:rsidP="00874F4D">
            <w:pPr>
              <w:pStyle w:val="TableBody"/>
            </w:pPr>
            <w:r w:rsidRPr="00874F4D">
              <w:t>0.5%</w:t>
            </w:r>
          </w:p>
        </w:tc>
      </w:tr>
      <w:tr w:rsidR="00515202" w:rsidRPr="00874F4D" w14:paraId="1651264F" w14:textId="77777777" w:rsidTr="00401E1C">
        <w:trPr>
          <w:trHeight w:val="310"/>
        </w:trPr>
        <w:tc>
          <w:tcPr>
            <w:tcW w:w="1666" w:type="pct"/>
            <w:noWrap/>
            <w:hideMark/>
          </w:tcPr>
          <w:p w14:paraId="60F0C2EF" w14:textId="77777777" w:rsidR="00515202" w:rsidRPr="00874F4D" w:rsidRDefault="00515202" w:rsidP="00874F4D">
            <w:pPr>
              <w:pStyle w:val="TableBody"/>
            </w:pPr>
            <w:r w:rsidRPr="00874F4D">
              <w:t>Justice plan</w:t>
            </w:r>
          </w:p>
        </w:tc>
        <w:tc>
          <w:tcPr>
            <w:tcW w:w="1666" w:type="pct"/>
            <w:noWrap/>
            <w:hideMark/>
          </w:tcPr>
          <w:p w14:paraId="0F732770" w14:textId="77777777" w:rsidR="00515202" w:rsidRPr="00874F4D" w:rsidRDefault="00515202" w:rsidP="00874F4D">
            <w:pPr>
              <w:pStyle w:val="TableBody"/>
            </w:pPr>
            <w:r w:rsidRPr="00874F4D">
              <w:t>2.2%</w:t>
            </w:r>
          </w:p>
        </w:tc>
        <w:tc>
          <w:tcPr>
            <w:tcW w:w="1667" w:type="pct"/>
            <w:noWrap/>
            <w:hideMark/>
          </w:tcPr>
          <w:p w14:paraId="4FBCBAA5" w14:textId="77777777" w:rsidR="00515202" w:rsidRPr="00874F4D" w:rsidRDefault="00515202" w:rsidP="00874F4D">
            <w:pPr>
              <w:pStyle w:val="TableBody"/>
            </w:pPr>
            <w:r w:rsidRPr="00874F4D">
              <w:t>1.5%</w:t>
            </w:r>
          </w:p>
        </w:tc>
      </w:tr>
    </w:tbl>
    <w:p w14:paraId="5E308458" w14:textId="77777777" w:rsidR="005801E0" w:rsidRPr="006B4A5D" w:rsidRDefault="005801E0" w:rsidP="00A612BA">
      <w:r w:rsidRPr="006B4A5D">
        <w:t>The higher rate of all other conditions among CCOs in combined orders could reflect the more complex risk and needs profile of offenders who receive combined orders. If their offending was serious enough to warrant a prison term, and/or they were remanded because they were deemed an unacceptable risk for bail, this could reflect a cohort that is more in need of rehabilitation and supervision than is the cohort of offenders who receive straight CCOs.</w:t>
      </w:r>
      <w:r w:rsidRPr="006B4A5D">
        <w:rPr>
          <w:rStyle w:val="Superscript"/>
        </w:rPr>
        <w:footnoteReference w:id="67"/>
      </w:r>
      <w:r w:rsidRPr="006B4A5D">
        <w:t xml:space="preserve"> </w:t>
      </w:r>
    </w:p>
    <w:p w14:paraId="12D4AC27" w14:textId="77777777" w:rsidR="005801E0" w:rsidRPr="006B4A5D" w:rsidRDefault="005801E0" w:rsidP="00C34438">
      <w:pPr>
        <w:pStyle w:val="Heading1"/>
      </w:pPr>
      <w:bookmarkStart w:id="7" w:name="_Toc150439351"/>
      <w:r w:rsidRPr="006B4A5D">
        <w:t>Concluding remarks</w:t>
      </w:r>
      <w:bookmarkEnd w:id="7"/>
    </w:p>
    <w:p w14:paraId="03DD015B" w14:textId="77777777" w:rsidR="005801E0" w:rsidRPr="006B4A5D" w:rsidRDefault="005801E0" w:rsidP="001D2C8C">
      <w:r w:rsidRPr="006B4A5D">
        <w:t xml:space="preserve">This report has presented a statistical profile of cases in which an offender received a combined order of imprisonment with a CCO. The key findings include: </w:t>
      </w:r>
    </w:p>
    <w:p w14:paraId="5089A17A" w14:textId="77777777" w:rsidR="005801E0" w:rsidRPr="006B4A5D" w:rsidRDefault="005801E0" w:rsidP="001D2C8C">
      <w:pPr>
        <w:pStyle w:val="Bullets"/>
      </w:pPr>
      <w:r w:rsidRPr="006B4A5D">
        <w:lastRenderedPageBreak/>
        <w:t>there has been a significant increase in the number of combined orders imposed, especially in the Magistrates’ Court, with almost 3,000 combined orders imposed in 2019 (prior to COVID-19 affecting court operations);</w:t>
      </w:r>
    </w:p>
    <w:p w14:paraId="4B049F9C" w14:textId="77777777" w:rsidR="005801E0" w:rsidRPr="006B4A5D" w:rsidRDefault="005801E0" w:rsidP="001D2C8C">
      <w:pPr>
        <w:pStyle w:val="Bullets"/>
      </w:pPr>
      <w:r w:rsidRPr="006B4A5D">
        <w:t>the vast majority of combined orders were imposed on males (90.1%), and the median age of people who received combined orders was 32;</w:t>
      </w:r>
    </w:p>
    <w:p w14:paraId="0B6BF8CB" w14:textId="77777777" w:rsidR="005801E0" w:rsidRPr="006B4A5D" w:rsidRDefault="005801E0" w:rsidP="001D2C8C">
      <w:pPr>
        <w:pStyle w:val="Bullets"/>
      </w:pPr>
      <w:r w:rsidRPr="006B4A5D">
        <w:t xml:space="preserve">the most common offence type in combined order cases in the Magistrates’ Court was an assault and injury offence (35.6%), such as unlawful assault and recklessly causing injury, and in the higher courts it was robbery offences (23.0%); </w:t>
      </w:r>
    </w:p>
    <w:p w14:paraId="48344469" w14:textId="77777777" w:rsidR="005801E0" w:rsidRPr="006B4A5D" w:rsidRDefault="005801E0" w:rsidP="001D2C8C">
      <w:pPr>
        <w:pStyle w:val="Bullets"/>
      </w:pPr>
      <w:r w:rsidRPr="006B4A5D">
        <w:t>41.7% of combined orders in the Magistrates’ Court were imposed in cases with a family violence indicator;</w:t>
      </w:r>
    </w:p>
    <w:p w14:paraId="1831409F" w14:textId="77777777" w:rsidR="005801E0" w:rsidRPr="006B4A5D" w:rsidRDefault="005801E0" w:rsidP="001D2C8C">
      <w:pPr>
        <w:pStyle w:val="Bullets"/>
      </w:pPr>
      <w:r w:rsidRPr="006B4A5D">
        <w:t xml:space="preserve">the majority of prison terms in combined orders were spent on remand (59.8% in the Magistrates’ Court and 53.8% in the higher courts); </w:t>
      </w:r>
    </w:p>
    <w:p w14:paraId="3488CA63" w14:textId="77777777" w:rsidR="005801E0" w:rsidRPr="006B4A5D" w:rsidRDefault="005801E0" w:rsidP="001D2C8C">
      <w:pPr>
        <w:pStyle w:val="Bullets"/>
      </w:pPr>
      <w:r w:rsidRPr="006B4A5D">
        <w:t>the offender still had to serve additional prison time of 6 months or more in 3.9% of combined order cases in the Magistrates’ Court and 21.3% of combined order cases in the higher courts;</w:t>
      </w:r>
    </w:p>
    <w:p w14:paraId="7EC8FB66" w14:textId="77777777" w:rsidR="005801E0" w:rsidRPr="006B4A5D" w:rsidRDefault="005801E0" w:rsidP="001D2C8C">
      <w:pPr>
        <w:pStyle w:val="Bullets"/>
      </w:pPr>
      <w:r w:rsidRPr="006B4A5D">
        <w:t>a significant proportion of combined order cases involve time served prison sentences, especially in the Magistrates’ Court (by 2020, 48.8% of combined order cases involved time served prison sentences in the Magistrates’ Court and 24.4% in the higher courts);</w:t>
      </w:r>
    </w:p>
    <w:p w14:paraId="7F61642C" w14:textId="77777777" w:rsidR="005801E0" w:rsidRPr="006B4A5D" w:rsidRDefault="005801E0" w:rsidP="001D2C8C">
      <w:pPr>
        <w:pStyle w:val="Bullets"/>
      </w:pPr>
      <w:r w:rsidRPr="006B4A5D">
        <w:t xml:space="preserve">there were 95,080 CCOs imposed in Victoria from 2012 to 2020, and 18,144 (19.1%) were imposed as part of a combined order with imprisonment; and </w:t>
      </w:r>
    </w:p>
    <w:p w14:paraId="564CF062" w14:textId="77777777" w:rsidR="005801E0" w:rsidRPr="006B4A5D" w:rsidRDefault="005801E0" w:rsidP="001D2C8C">
      <w:pPr>
        <w:pStyle w:val="Bullets"/>
      </w:pPr>
      <w:r w:rsidRPr="006B4A5D">
        <w:t xml:space="preserve">the conditions of combined order CCOs differ markedly from conditions of straight CCOs: unpaid community work was much more commonly imposed in straight CCOs (73.7% compared to </w:t>
      </w:r>
      <w:r w:rsidRPr="006B4A5D">
        <w:lastRenderedPageBreak/>
        <w:t xml:space="preserve">40.3%) whereas all other conditions were more common in combined order CCOs. </w:t>
      </w:r>
    </w:p>
    <w:p w14:paraId="60AEB7F1" w14:textId="77777777" w:rsidR="005801E0" w:rsidRPr="006B4A5D" w:rsidRDefault="005801E0" w:rsidP="00A612BA">
      <w:r w:rsidRPr="006B4A5D">
        <w:t xml:space="preserve">At the outset, we set out to examine the true prevalence of CCOs and whether it might be obscured by the oft-employed counting rule based on the principal sentence (which only counts the most serious sentence type in each case). Between 2015 and 2020, half of all CCOs in the higher courts (50.2%) and one-fifth of CCOs in the Magistrates’ Court (21.3%) were imposed alongside imprisonment. In 2019 alone, this amounts to almost 3,000 ‘hidden’ CCOs, which have significant resource implications for the justice system in facilitating and supervising these orders. </w:t>
      </w:r>
    </w:p>
    <w:p w14:paraId="29D37850" w14:textId="77777777" w:rsidR="005801E0" w:rsidRPr="006B4A5D" w:rsidRDefault="005801E0" w:rsidP="00A612BA">
      <w:r w:rsidRPr="006B4A5D">
        <w:t>We also sought to determine whether there were substantive differences between combined order CCOs and straight CCOs. The differences in the conditions imposed on these two groups were marked. While courts appropriately acknowledge that all conditions of CCOs can operate in a punitive fashion, it is the unpaid community work condition that clearly tends to fall away in CCOs in combined orders, and instead courts prioritise conditions that are geared towards facilitating the offender’s rehabilitation once they leave prison: assessment and treatment, Corrections supervision and judicial monitoring. There are most likely a number of reasons for this. For one, the experience of incarceration possibly militates against the need for a community work condition to operate as a form of punishment. For another, people who are held on remand, or those who commit offending serious enough to warrant a prison term, are more likely to have complex needs that require an additional focus on rehabilitation and supervision in the conditions of their CCO.</w:t>
      </w:r>
    </w:p>
    <w:p w14:paraId="30BB4DC9" w14:textId="77777777" w:rsidR="005801E0" w:rsidRPr="006B4A5D" w:rsidRDefault="005801E0" w:rsidP="00A612BA">
      <w:r w:rsidRPr="006B4A5D">
        <w:t xml:space="preserve">We also sought to understand the effect of the 2014 and 2017 legislative reforms to CCOs, first increasing the maximum additional prison term after sentencing from 3 months to 2 years, and then reducing it from 2 years to 1 year. It seems both reforms had their intended effect. The </w:t>
      </w:r>
      <w:r w:rsidRPr="006B4A5D">
        <w:lastRenderedPageBreak/>
        <w:t xml:space="preserve">number of combined orders did significantly increase in 2015, though this was likely also due to the Court of Appeal’s 2014 guideline judgment in </w:t>
      </w:r>
      <w:r w:rsidRPr="006B4A5D">
        <w:rPr>
          <w:rStyle w:val="Italic"/>
        </w:rPr>
        <w:t>Boulton</w:t>
      </w:r>
      <w:r w:rsidRPr="006B4A5D">
        <w:t xml:space="preserve">. There was also a significant increase in imprisonment lengths in combined orders, suggesting that the increased maximum additional prison term at least partly contributed to the increase in combined orders. Further, while the 2017 reform does not appear to have had much effect in the Magistrates’ Court – where prison sentences in excess of 12 months are rare – the imprisonment component of combined orders in the higher courts became much shorter in 2017. In essence, both of those reforms appear to have achieved their intended effect of first expanding and then contracting the availability and use of combined orders. </w:t>
      </w:r>
    </w:p>
    <w:p w14:paraId="1CA3DEC1" w14:textId="77777777" w:rsidR="005801E0" w:rsidRPr="006B4A5D" w:rsidRDefault="005801E0" w:rsidP="005801E0">
      <w:pPr>
        <w:pStyle w:val="Heading1"/>
        <w:pageBreakBefore/>
      </w:pPr>
      <w:bookmarkStart w:id="8" w:name="_Toc150439352"/>
      <w:r w:rsidRPr="006B4A5D">
        <w:lastRenderedPageBreak/>
        <w:t>References</w:t>
      </w:r>
      <w:bookmarkEnd w:id="8"/>
    </w:p>
    <w:p w14:paraId="55A55792" w14:textId="77777777" w:rsidR="005801E0" w:rsidRPr="006B4A5D" w:rsidRDefault="005801E0" w:rsidP="00C34438">
      <w:pPr>
        <w:pStyle w:val="Heading2"/>
      </w:pPr>
      <w:r w:rsidRPr="006B4A5D">
        <w:t>Bibliography</w:t>
      </w:r>
    </w:p>
    <w:p w14:paraId="431D647D" w14:textId="77777777" w:rsidR="005801E0" w:rsidRPr="006B4A5D" w:rsidRDefault="005801E0" w:rsidP="00C34438">
      <w:r w:rsidRPr="006B4A5D">
        <w:t xml:space="preserve">Australian Bureau of Statistics, </w:t>
      </w:r>
      <w:r w:rsidRPr="006B4A5D">
        <w:rPr>
          <w:rStyle w:val="Italic"/>
        </w:rPr>
        <w:t xml:space="preserve">Australian and New Zealand Standard Offence Classification (ANZSOC) </w:t>
      </w:r>
      <w:r w:rsidRPr="006B4A5D">
        <w:t>(abs.gov.au, 2011) &lt;https://www.abs.gov.au/statistics/classifications/australian-and-new-zealand-standard-offence-classification-anzsoc&gt;.</w:t>
      </w:r>
    </w:p>
    <w:p w14:paraId="59A4F131" w14:textId="77777777" w:rsidR="005801E0" w:rsidRPr="006B4A5D" w:rsidRDefault="005801E0" w:rsidP="005801E0">
      <w:pPr>
        <w:pStyle w:val="Bibliography"/>
      </w:pPr>
      <w:r w:rsidRPr="006B4A5D">
        <w:t xml:space="preserve">Australian Bureau of Statistics, </w:t>
      </w:r>
      <w:r w:rsidRPr="006B4A5D">
        <w:rPr>
          <w:rStyle w:val="Italic"/>
        </w:rPr>
        <w:t>National Offence Index</w:t>
      </w:r>
      <w:r w:rsidRPr="006B4A5D">
        <w:t xml:space="preserve"> (abs.gov.au, 2018) &lt;https://www.abs.gov.au/statistics/classifications/national-offence-index&gt;.</w:t>
      </w:r>
    </w:p>
    <w:p w14:paraId="27C5C037" w14:textId="77777777" w:rsidR="005801E0" w:rsidRPr="006B4A5D" w:rsidRDefault="005801E0" w:rsidP="005801E0">
      <w:pPr>
        <w:pStyle w:val="Bibliography"/>
      </w:pPr>
      <w:r w:rsidRPr="006B4A5D">
        <w:t xml:space="preserve">Sentencing Advisory Council, </w:t>
      </w:r>
      <w:r w:rsidRPr="006B4A5D">
        <w:rPr>
          <w:rStyle w:val="Italic"/>
        </w:rPr>
        <w:t xml:space="preserve">Community Correction Orders in the Higher Courts: Imposition, Duration, and Conditions </w:t>
      </w:r>
      <w:r w:rsidRPr="006B4A5D">
        <w:t>(Sentencing Advisory Council, 2014).</w:t>
      </w:r>
    </w:p>
    <w:p w14:paraId="686BC888" w14:textId="77777777" w:rsidR="005801E0" w:rsidRPr="006B4A5D" w:rsidRDefault="005801E0" w:rsidP="005801E0">
      <w:pPr>
        <w:pStyle w:val="Bibliography"/>
      </w:pPr>
      <w:r w:rsidRPr="006B4A5D">
        <w:t xml:space="preserve">Sentencing Advisory Council, </w:t>
      </w:r>
      <w:r w:rsidRPr="006B4A5D">
        <w:rPr>
          <w:rStyle w:val="Italic"/>
        </w:rPr>
        <w:t xml:space="preserve">Community Correction Orders: Monitoring Report </w:t>
      </w:r>
      <w:r w:rsidRPr="006B4A5D">
        <w:t>(Sentencing Advisory Council, 2014).</w:t>
      </w:r>
    </w:p>
    <w:p w14:paraId="09F8FF59" w14:textId="77777777" w:rsidR="005801E0" w:rsidRPr="006B4A5D" w:rsidRDefault="005801E0" w:rsidP="005801E0">
      <w:pPr>
        <w:pStyle w:val="Bibliography"/>
      </w:pPr>
      <w:r w:rsidRPr="006B4A5D">
        <w:t xml:space="preserve">Sentencing Advisory Council, </w:t>
      </w:r>
      <w:r w:rsidRPr="006B4A5D">
        <w:rPr>
          <w:rStyle w:val="Italic"/>
        </w:rPr>
        <w:t xml:space="preserve">Community Correction Orders: Second Monitoring Report (Pre-Guideline Judgment) </w:t>
      </w:r>
      <w:r w:rsidRPr="006B4A5D">
        <w:t>(Sentencing Advisory Council, 2015).</w:t>
      </w:r>
    </w:p>
    <w:p w14:paraId="3068A910" w14:textId="77777777" w:rsidR="005801E0" w:rsidRPr="006B4A5D" w:rsidRDefault="005801E0" w:rsidP="005801E0">
      <w:pPr>
        <w:pStyle w:val="Bibliography"/>
      </w:pPr>
      <w:r w:rsidRPr="006B4A5D">
        <w:t xml:space="preserve">Sentencing Advisory Council, </w:t>
      </w:r>
      <w:r w:rsidRPr="006B4A5D">
        <w:rPr>
          <w:rStyle w:val="Italic"/>
        </w:rPr>
        <w:t xml:space="preserve">Community Correction Orders: Third Monitoring Report (Post-Guideline Judgment) </w:t>
      </w:r>
      <w:r w:rsidRPr="006B4A5D">
        <w:t>(Sentencing Advisory Council, 2016).</w:t>
      </w:r>
    </w:p>
    <w:p w14:paraId="3A2A9957" w14:textId="77777777" w:rsidR="005801E0" w:rsidRPr="006B4A5D" w:rsidRDefault="005801E0" w:rsidP="005801E0">
      <w:pPr>
        <w:pStyle w:val="Bibliography"/>
      </w:pPr>
      <w:r w:rsidRPr="006B4A5D">
        <w:t xml:space="preserve">Sentencing Advisory Council, </w:t>
      </w:r>
      <w:r w:rsidRPr="006B4A5D">
        <w:rPr>
          <w:rStyle w:val="Italic"/>
        </w:rPr>
        <w:t xml:space="preserve">Contravention of Community Correction Orders </w:t>
      </w:r>
      <w:r w:rsidRPr="006B4A5D">
        <w:t>(Sentencing Advisory Council, 2017).</w:t>
      </w:r>
    </w:p>
    <w:p w14:paraId="0F495FDF" w14:textId="77777777" w:rsidR="005801E0" w:rsidRPr="006B4A5D" w:rsidRDefault="005801E0" w:rsidP="005801E0">
      <w:pPr>
        <w:pStyle w:val="Bibliography"/>
      </w:pPr>
      <w:r w:rsidRPr="006B4A5D">
        <w:t xml:space="preserve">Sentencing Advisory Council, </w:t>
      </w:r>
      <w:r w:rsidRPr="006B4A5D">
        <w:rPr>
          <w:rStyle w:val="Italic"/>
        </w:rPr>
        <w:t xml:space="preserve">Reforming Adjourned Undertakings: Consultation Paper </w:t>
      </w:r>
      <w:r w:rsidRPr="006B4A5D">
        <w:t>(Sentencing Advisory Council, 2022).</w:t>
      </w:r>
    </w:p>
    <w:p w14:paraId="0CEFA982" w14:textId="77777777" w:rsidR="005801E0" w:rsidRPr="006B4A5D" w:rsidRDefault="005801E0" w:rsidP="005801E0">
      <w:pPr>
        <w:pStyle w:val="Bibliography"/>
      </w:pPr>
      <w:r w:rsidRPr="006B4A5D">
        <w:t>Sentencing Advisory Council, ‘Sentencing Outcomes in the Higher Courts’ (sentencingcouncil.vic.gov.au, 2023) &lt;https://www.sentencingcouncil.vic.gov.au/sentencing-statistics/sentencing-outcomes-higher-courts&gt;.</w:t>
      </w:r>
    </w:p>
    <w:p w14:paraId="61469C3E" w14:textId="77777777" w:rsidR="005801E0" w:rsidRPr="006B4A5D" w:rsidRDefault="005801E0" w:rsidP="005801E0">
      <w:pPr>
        <w:pStyle w:val="Bibliography"/>
      </w:pPr>
      <w:r w:rsidRPr="006B4A5D">
        <w:lastRenderedPageBreak/>
        <w:t>Sentencing Advisory Council, ‘Sentencing Outcomes in the Magistrates’ Court’ (sentencingcouncil.vic.gov.au, 2023) &lt;https://www.sentencingcouncil.vic.gov.au/sentencing-statistics/sentencing-outcomes-magistrates-court&gt;.</w:t>
      </w:r>
    </w:p>
    <w:p w14:paraId="6CE4E351" w14:textId="77777777" w:rsidR="005801E0" w:rsidRPr="006B4A5D" w:rsidRDefault="005801E0" w:rsidP="005801E0">
      <w:pPr>
        <w:pStyle w:val="Bibliography"/>
      </w:pPr>
      <w:r w:rsidRPr="006B4A5D">
        <w:t xml:space="preserve">Sentencing Advisory Council, </w:t>
      </w:r>
      <w:r w:rsidRPr="006B4A5D">
        <w:rPr>
          <w:rStyle w:val="Italic"/>
        </w:rPr>
        <w:t>Serious Offending by People Serving a Community Correction Order: 2016–17</w:t>
      </w:r>
      <w:r w:rsidRPr="006B4A5D">
        <w:t xml:space="preserve"> (Sentencing Advisory Council, 2018).</w:t>
      </w:r>
    </w:p>
    <w:p w14:paraId="23F190BD" w14:textId="77777777" w:rsidR="005801E0" w:rsidRPr="006B4A5D" w:rsidRDefault="005801E0" w:rsidP="005801E0">
      <w:pPr>
        <w:pStyle w:val="Bibliography"/>
      </w:pPr>
      <w:r w:rsidRPr="006B4A5D">
        <w:t xml:space="preserve">Sentencing Advisory Council, </w:t>
      </w:r>
      <w:r w:rsidRPr="006B4A5D">
        <w:rPr>
          <w:rStyle w:val="Italic"/>
        </w:rPr>
        <w:t>Serious Offending by People Serving a Community Correction Order: 2017–18</w:t>
      </w:r>
      <w:r w:rsidRPr="006B4A5D">
        <w:t xml:space="preserve"> (Sentencing Advisory Council, 2019).</w:t>
      </w:r>
    </w:p>
    <w:p w14:paraId="054A754F" w14:textId="77777777" w:rsidR="005801E0" w:rsidRPr="006B4A5D" w:rsidRDefault="005801E0" w:rsidP="005801E0">
      <w:pPr>
        <w:pStyle w:val="Bibliography"/>
      </w:pPr>
      <w:r w:rsidRPr="006B4A5D">
        <w:t xml:space="preserve">Sentencing Advisory Council, </w:t>
      </w:r>
      <w:r w:rsidRPr="006B4A5D">
        <w:rPr>
          <w:rStyle w:val="Italic"/>
        </w:rPr>
        <w:t>Serious Offending by People Serving a Community Correction Order: 2018–19</w:t>
      </w:r>
      <w:r w:rsidRPr="006B4A5D">
        <w:t xml:space="preserve"> (Sentencing Advisory Council, 2020).</w:t>
      </w:r>
    </w:p>
    <w:p w14:paraId="14831897" w14:textId="77777777" w:rsidR="005801E0" w:rsidRPr="006B4A5D" w:rsidRDefault="005801E0" w:rsidP="005801E0">
      <w:pPr>
        <w:pStyle w:val="Bibliography"/>
      </w:pPr>
      <w:r w:rsidRPr="006B4A5D">
        <w:t xml:space="preserve">Sentencing Advisory Council, </w:t>
      </w:r>
      <w:r w:rsidRPr="006B4A5D">
        <w:rPr>
          <w:rStyle w:val="Italic"/>
        </w:rPr>
        <w:t>Serious Offending by People Serving a Community Correction Order: 2019–20</w:t>
      </w:r>
      <w:r w:rsidRPr="006B4A5D">
        <w:t xml:space="preserve"> (Sentencing Advisory Council, 2021).</w:t>
      </w:r>
    </w:p>
    <w:p w14:paraId="045317E0" w14:textId="77777777" w:rsidR="005801E0" w:rsidRPr="006B4A5D" w:rsidRDefault="005801E0" w:rsidP="005801E0">
      <w:pPr>
        <w:pStyle w:val="Bibliography"/>
      </w:pPr>
      <w:r w:rsidRPr="006B4A5D">
        <w:t xml:space="preserve">Sentencing Advisory Council, </w:t>
      </w:r>
      <w:r w:rsidRPr="006B4A5D">
        <w:rPr>
          <w:rStyle w:val="Italic"/>
        </w:rPr>
        <w:t>Serious Offending by People Serving a Community Correction Order: 2020–21</w:t>
      </w:r>
      <w:r w:rsidRPr="006B4A5D">
        <w:t xml:space="preserve"> (Sentencing Advisory Council, 2022).</w:t>
      </w:r>
    </w:p>
    <w:p w14:paraId="02C796A3" w14:textId="77777777" w:rsidR="005801E0" w:rsidRPr="006B4A5D" w:rsidRDefault="005801E0" w:rsidP="005801E0">
      <w:pPr>
        <w:pStyle w:val="Bibliography"/>
      </w:pPr>
      <w:r w:rsidRPr="006B4A5D">
        <w:t xml:space="preserve">Sentencing Advisory Council, </w:t>
      </w:r>
      <w:r w:rsidRPr="006B4A5D">
        <w:rPr>
          <w:rStyle w:val="Italic"/>
        </w:rPr>
        <w:t xml:space="preserve">Swift, Certain and Fair Approaches to Sentencing Family Violence Offenders: Discussion Paper </w:t>
      </w:r>
      <w:r w:rsidRPr="006B4A5D">
        <w:t>(Sentencing Advisory Council, 2017).</w:t>
      </w:r>
    </w:p>
    <w:p w14:paraId="3DEAAFC6" w14:textId="77777777" w:rsidR="005801E0" w:rsidRPr="006B4A5D" w:rsidRDefault="005801E0" w:rsidP="005801E0">
      <w:pPr>
        <w:pStyle w:val="Bibliography"/>
      </w:pPr>
      <w:r w:rsidRPr="006B4A5D">
        <w:t xml:space="preserve">Sentencing Advisory Council, </w:t>
      </w:r>
      <w:r w:rsidRPr="006B4A5D">
        <w:rPr>
          <w:rStyle w:val="Italic"/>
        </w:rPr>
        <w:t xml:space="preserve">Time Served Prison Sentences in Victoria </w:t>
      </w:r>
      <w:r w:rsidRPr="006B4A5D">
        <w:t>(Sentencing Advisory Council, 2020).</w:t>
      </w:r>
    </w:p>
    <w:p w14:paraId="6F66207C" w14:textId="77777777" w:rsidR="005801E0" w:rsidRPr="006B4A5D" w:rsidRDefault="005801E0" w:rsidP="005801E0">
      <w:pPr>
        <w:pStyle w:val="Bibliography"/>
      </w:pPr>
      <w:r w:rsidRPr="006B4A5D">
        <w:t xml:space="preserve">Victorian Auditor-General, </w:t>
      </w:r>
      <w:r w:rsidRPr="006B4A5D">
        <w:rPr>
          <w:rStyle w:val="Italic"/>
        </w:rPr>
        <w:t xml:space="preserve">Managing Community Correction Orders </w:t>
      </w:r>
      <w:r w:rsidRPr="006B4A5D">
        <w:t>(Victorian Auditor General’s Office, 2017).</w:t>
      </w:r>
    </w:p>
    <w:p w14:paraId="3BF938EC" w14:textId="77777777" w:rsidR="005801E0" w:rsidRPr="006B4A5D" w:rsidRDefault="005801E0" w:rsidP="005801E0">
      <w:pPr>
        <w:pStyle w:val="Heading2"/>
      </w:pPr>
      <w:r w:rsidRPr="006B4A5D">
        <w:t>Cases</w:t>
      </w:r>
    </w:p>
    <w:p w14:paraId="63098395" w14:textId="77777777" w:rsidR="005801E0" w:rsidRPr="006B4A5D" w:rsidRDefault="005801E0" w:rsidP="00C34438">
      <w:r w:rsidRPr="006B4A5D">
        <w:rPr>
          <w:rStyle w:val="Italic"/>
        </w:rPr>
        <w:t xml:space="preserve">Boulton &amp; </w:t>
      </w:r>
      <w:proofErr w:type="spellStart"/>
      <w:r w:rsidRPr="006B4A5D">
        <w:rPr>
          <w:rStyle w:val="Italic"/>
        </w:rPr>
        <w:t>Ors</w:t>
      </w:r>
      <w:proofErr w:type="spellEnd"/>
      <w:r w:rsidRPr="006B4A5D">
        <w:rPr>
          <w:rStyle w:val="Italic"/>
        </w:rPr>
        <w:t xml:space="preserve"> v The Queen </w:t>
      </w:r>
      <w:r w:rsidRPr="006B4A5D">
        <w:t>[2014] VSCA 342</w:t>
      </w:r>
    </w:p>
    <w:p w14:paraId="7F09E0C3" w14:textId="77777777" w:rsidR="005801E0" w:rsidRPr="006B4A5D" w:rsidRDefault="005801E0" w:rsidP="00C34438">
      <w:r w:rsidRPr="006B4A5D">
        <w:rPr>
          <w:rStyle w:val="Italic"/>
        </w:rPr>
        <w:lastRenderedPageBreak/>
        <w:t xml:space="preserve">Bradshaw v The Queen </w:t>
      </w:r>
      <w:r w:rsidRPr="006B4A5D">
        <w:t>[2017] VSCA 273</w:t>
      </w:r>
    </w:p>
    <w:p w14:paraId="39009FC9" w14:textId="77777777" w:rsidR="005801E0" w:rsidRPr="006B4A5D" w:rsidRDefault="005801E0" w:rsidP="00C34438">
      <w:r w:rsidRPr="006B4A5D">
        <w:rPr>
          <w:rStyle w:val="Italic"/>
        </w:rPr>
        <w:t xml:space="preserve">Cooke v The Queen </w:t>
      </w:r>
      <w:r w:rsidRPr="006B4A5D">
        <w:t>[2021] VSCA 70</w:t>
      </w:r>
    </w:p>
    <w:p w14:paraId="67FEC11A" w14:textId="77777777" w:rsidR="005801E0" w:rsidRPr="006B4A5D" w:rsidRDefault="005801E0" w:rsidP="00C34438">
      <w:r w:rsidRPr="006B4A5D">
        <w:rPr>
          <w:rStyle w:val="Italic"/>
        </w:rPr>
        <w:t xml:space="preserve">Debono v The Queen </w:t>
      </w:r>
      <w:r w:rsidRPr="006B4A5D">
        <w:t>[2016] VSCA 16</w:t>
      </w:r>
    </w:p>
    <w:p w14:paraId="3342EF8B" w14:textId="77777777" w:rsidR="005801E0" w:rsidRPr="006B4A5D" w:rsidRDefault="005801E0" w:rsidP="00C34438">
      <w:r w:rsidRPr="006B4A5D">
        <w:rPr>
          <w:rStyle w:val="Italic"/>
        </w:rPr>
        <w:t xml:space="preserve">Deng-Mabior v The Queen </w:t>
      </w:r>
      <w:r w:rsidRPr="006B4A5D">
        <w:t>[2015] VSCA 179</w:t>
      </w:r>
    </w:p>
    <w:p w14:paraId="29EC6CF5" w14:textId="77777777" w:rsidR="005801E0" w:rsidRPr="006B4A5D" w:rsidRDefault="005801E0" w:rsidP="00C34438">
      <w:proofErr w:type="spellStart"/>
      <w:r w:rsidRPr="006B4A5D">
        <w:rPr>
          <w:rStyle w:val="Italic"/>
        </w:rPr>
        <w:t>Dordevic</w:t>
      </w:r>
      <w:proofErr w:type="spellEnd"/>
      <w:r w:rsidRPr="006B4A5D">
        <w:rPr>
          <w:rStyle w:val="Italic"/>
        </w:rPr>
        <w:t xml:space="preserve"> v The Queen </w:t>
      </w:r>
      <w:r w:rsidRPr="006B4A5D">
        <w:t>[2016] VSCA 166</w:t>
      </w:r>
    </w:p>
    <w:p w14:paraId="6E1CB517" w14:textId="77777777" w:rsidR="005801E0" w:rsidRPr="006B4A5D" w:rsidRDefault="005801E0" w:rsidP="00C34438">
      <w:r w:rsidRPr="006B4A5D">
        <w:rPr>
          <w:rStyle w:val="Italic"/>
        </w:rPr>
        <w:t xml:space="preserve">DPP v Basic </w:t>
      </w:r>
      <w:r w:rsidRPr="006B4A5D">
        <w:t>[2016] VSCA 99</w:t>
      </w:r>
    </w:p>
    <w:p w14:paraId="5E5C1523" w14:textId="77777777" w:rsidR="005801E0" w:rsidRPr="006B4A5D" w:rsidRDefault="005801E0" w:rsidP="00C34438">
      <w:r w:rsidRPr="006B4A5D">
        <w:rPr>
          <w:rStyle w:val="Italic"/>
        </w:rPr>
        <w:t xml:space="preserve">DPP v </w:t>
      </w:r>
      <w:proofErr w:type="spellStart"/>
      <w:r w:rsidRPr="006B4A5D">
        <w:rPr>
          <w:rStyle w:val="Italic"/>
        </w:rPr>
        <w:t>Daniher</w:t>
      </w:r>
      <w:proofErr w:type="spellEnd"/>
      <w:r w:rsidRPr="006B4A5D">
        <w:rPr>
          <w:rStyle w:val="Italic"/>
        </w:rPr>
        <w:t xml:space="preserve"> (a pseudonym) </w:t>
      </w:r>
      <w:r w:rsidRPr="006B4A5D">
        <w:t>[2020] VCC 945</w:t>
      </w:r>
    </w:p>
    <w:p w14:paraId="0DA3BB35" w14:textId="77777777" w:rsidR="005801E0" w:rsidRPr="006B4A5D" w:rsidRDefault="005801E0" w:rsidP="00C34438">
      <w:r w:rsidRPr="006B4A5D">
        <w:rPr>
          <w:rStyle w:val="Italic"/>
        </w:rPr>
        <w:t xml:space="preserve">DPP v Gatherer </w:t>
      </w:r>
      <w:r w:rsidRPr="006B4A5D">
        <w:t>[2022] VCC 2190</w:t>
      </w:r>
    </w:p>
    <w:p w14:paraId="5D518B69" w14:textId="77777777" w:rsidR="005801E0" w:rsidRPr="006B4A5D" w:rsidRDefault="005801E0" w:rsidP="00C34438">
      <w:r w:rsidRPr="006B4A5D">
        <w:rPr>
          <w:rStyle w:val="Italic"/>
        </w:rPr>
        <w:t xml:space="preserve">DPP v </w:t>
      </w:r>
      <w:proofErr w:type="spellStart"/>
      <w:r w:rsidRPr="006B4A5D">
        <w:rPr>
          <w:rStyle w:val="Italic"/>
        </w:rPr>
        <w:t>Grech</w:t>
      </w:r>
      <w:proofErr w:type="spellEnd"/>
      <w:r w:rsidRPr="006B4A5D">
        <w:rPr>
          <w:rStyle w:val="Italic"/>
        </w:rPr>
        <w:t xml:space="preserve"> </w:t>
      </w:r>
      <w:r w:rsidRPr="006B4A5D">
        <w:t>[2016] VSCA 98</w:t>
      </w:r>
    </w:p>
    <w:p w14:paraId="1C5E2CF7" w14:textId="77777777" w:rsidR="005801E0" w:rsidRPr="006B4A5D" w:rsidRDefault="005801E0" w:rsidP="00C34438">
      <w:r w:rsidRPr="006B4A5D">
        <w:rPr>
          <w:rStyle w:val="Italic"/>
        </w:rPr>
        <w:t xml:space="preserve">DPP v </w:t>
      </w:r>
      <w:proofErr w:type="spellStart"/>
      <w:r w:rsidRPr="006B4A5D">
        <w:rPr>
          <w:rStyle w:val="Italic"/>
        </w:rPr>
        <w:t>Hudgson</w:t>
      </w:r>
      <w:proofErr w:type="spellEnd"/>
      <w:r w:rsidRPr="006B4A5D">
        <w:rPr>
          <w:rStyle w:val="Italic"/>
        </w:rPr>
        <w:t xml:space="preserve"> </w:t>
      </w:r>
      <w:r w:rsidRPr="006B4A5D">
        <w:t>[2016] VSCA 254</w:t>
      </w:r>
    </w:p>
    <w:p w14:paraId="63EFAFD5" w14:textId="77777777" w:rsidR="005801E0" w:rsidRPr="006B4A5D" w:rsidRDefault="005801E0" w:rsidP="00C34438">
      <w:r w:rsidRPr="006B4A5D">
        <w:rPr>
          <w:rStyle w:val="Italic"/>
        </w:rPr>
        <w:t xml:space="preserve">DPP v Wright &amp; Anor </w:t>
      </w:r>
      <w:r w:rsidRPr="006B4A5D">
        <w:t>[2023] VCC 375</w:t>
      </w:r>
    </w:p>
    <w:p w14:paraId="7D396FBE" w14:textId="77777777" w:rsidR="005801E0" w:rsidRPr="006B4A5D" w:rsidRDefault="005801E0" w:rsidP="00C34438">
      <w:r w:rsidRPr="006B4A5D">
        <w:rPr>
          <w:rStyle w:val="Italic"/>
        </w:rPr>
        <w:t xml:space="preserve">Guo v The Queen </w:t>
      </w:r>
      <w:r w:rsidRPr="006B4A5D">
        <w:t>[2020] VSCA 273</w:t>
      </w:r>
    </w:p>
    <w:p w14:paraId="1F80C569" w14:textId="77777777" w:rsidR="005801E0" w:rsidRPr="006B4A5D" w:rsidRDefault="005801E0" w:rsidP="00C34438">
      <w:proofErr w:type="spellStart"/>
      <w:r w:rsidRPr="006B4A5D">
        <w:rPr>
          <w:rStyle w:val="Italic"/>
        </w:rPr>
        <w:t>Luchian</w:t>
      </w:r>
      <w:proofErr w:type="spellEnd"/>
      <w:r w:rsidRPr="006B4A5D">
        <w:rPr>
          <w:rStyle w:val="Italic"/>
        </w:rPr>
        <w:t xml:space="preserve"> v The Queen </w:t>
      </w:r>
      <w:r w:rsidRPr="006B4A5D">
        <w:t>[2019] VSCA 145</w:t>
      </w:r>
    </w:p>
    <w:p w14:paraId="2A220A83" w14:textId="77777777" w:rsidR="005801E0" w:rsidRPr="006B4A5D" w:rsidRDefault="005801E0" w:rsidP="00C34438">
      <w:proofErr w:type="spellStart"/>
      <w:r w:rsidRPr="006B4A5D">
        <w:rPr>
          <w:rStyle w:val="Italic"/>
        </w:rPr>
        <w:t>Luu</w:t>
      </w:r>
      <w:proofErr w:type="spellEnd"/>
      <w:r w:rsidRPr="006B4A5D">
        <w:rPr>
          <w:rStyle w:val="Italic"/>
        </w:rPr>
        <w:t xml:space="preserve"> v The Queen </w:t>
      </w:r>
      <w:r w:rsidRPr="006B4A5D">
        <w:t>[2018] VSCA 92</w:t>
      </w:r>
    </w:p>
    <w:p w14:paraId="76FA145C" w14:textId="77777777" w:rsidR="005801E0" w:rsidRPr="006B4A5D" w:rsidRDefault="005801E0" w:rsidP="00C34438">
      <w:r w:rsidRPr="006B4A5D">
        <w:rPr>
          <w:rStyle w:val="Italic"/>
        </w:rPr>
        <w:t xml:space="preserve">Pang v The Queen </w:t>
      </w:r>
      <w:r w:rsidRPr="006B4A5D">
        <w:t>[2019] VSCA 56</w:t>
      </w:r>
    </w:p>
    <w:p w14:paraId="72EC0647" w14:textId="77777777" w:rsidR="005801E0" w:rsidRPr="006B4A5D" w:rsidRDefault="005801E0" w:rsidP="00C34438">
      <w:r w:rsidRPr="006B4A5D">
        <w:rPr>
          <w:rStyle w:val="Italic"/>
        </w:rPr>
        <w:t xml:space="preserve">R v Dunn </w:t>
      </w:r>
      <w:r w:rsidRPr="006B4A5D">
        <w:t>[2020] VSC 708</w:t>
      </w:r>
    </w:p>
    <w:p w14:paraId="63B9D18B" w14:textId="77777777" w:rsidR="005801E0" w:rsidRPr="006B4A5D" w:rsidRDefault="005801E0" w:rsidP="00C34438">
      <w:r w:rsidRPr="006B4A5D">
        <w:rPr>
          <w:rStyle w:val="Italic"/>
        </w:rPr>
        <w:t xml:space="preserve">Scammell v The Queen </w:t>
      </w:r>
      <w:r w:rsidRPr="006B4A5D">
        <w:t>[2015] VSCA 206</w:t>
      </w:r>
    </w:p>
    <w:p w14:paraId="6AA8B628" w14:textId="77777777" w:rsidR="005801E0" w:rsidRPr="006B4A5D" w:rsidRDefault="005801E0" w:rsidP="00C34438">
      <w:r w:rsidRPr="006B4A5D">
        <w:rPr>
          <w:rStyle w:val="Italic"/>
        </w:rPr>
        <w:t xml:space="preserve">Seiler v The King </w:t>
      </w:r>
      <w:r w:rsidRPr="006B4A5D">
        <w:t>[2023] VSCA 171</w:t>
      </w:r>
    </w:p>
    <w:p w14:paraId="6561159D" w14:textId="77777777" w:rsidR="005801E0" w:rsidRPr="006B4A5D" w:rsidRDefault="005801E0" w:rsidP="00C34438">
      <w:proofErr w:type="spellStart"/>
      <w:r w:rsidRPr="006B4A5D">
        <w:rPr>
          <w:rStyle w:val="Italic"/>
        </w:rPr>
        <w:t>Tannous</w:t>
      </w:r>
      <w:proofErr w:type="spellEnd"/>
      <w:r w:rsidRPr="006B4A5D">
        <w:rPr>
          <w:rStyle w:val="Italic"/>
        </w:rPr>
        <w:t xml:space="preserve"> v The Queen </w:t>
      </w:r>
      <w:r w:rsidRPr="006B4A5D">
        <w:t>[2017] VSCA 91</w:t>
      </w:r>
    </w:p>
    <w:p w14:paraId="58871641" w14:textId="77777777" w:rsidR="005801E0" w:rsidRPr="006B4A5D" w:rsidRDefault="005801E0" w:rsidP="00C34438">
      <w:r w:rsidRPr="006B4A5D">
        <w:rPr>
          <w:rStyle w:val="Italic"/>
        </w:rPr>
        <w:t xml:space="preserve">Williams v The Queen </w:t>
      </w:r>
      <w:r w:rsidRPr="006B4A5D">
        <w:t>[2018] VSCA 171</w:t>
      </w:r>
    </w:p>
    <w:p w14:paraId="516D9CDF" w14:textId="77777777" w:rsidR="005801E0" w:rsidRPr="006B4A5D" w:rsidRDefault="005801E0" w:rsidP="00C34438">
      <w:r w:rsidRPr="006B4A5D">
        <w:rPr>
          <w:rStyle w:val="Italic"/>
        </w:rPr>
        <w:t xml:space="preserve">Wright v The King </w:t>
      </w:r>
      <w:r w:rsidRPr="006B4A5D">
        <w:t>[2023] VSCA 243</w:t>
      </w:r>
    </w:p>
    <w:p w14:paraId="7527E802" w14:textId="77777777" w:rsidR="005801E0" w:rsidRPr="006B4A5D" w:rsidRDefault="005801E0" w:rsidP="00C34438">
      <w:r w:rsidRPr="006B4A5D">
        <w:rPr>
          <w:rStyle w:val="Italic"/>
        </w:rPr>
        <w:t xml:space="preserve">Younger v The Queen </w:t>
      </w:r>
      <w:r w:rsidRPr="006B4A5D">
        <w:t>[2017] VSCA 199</w:t>
      </w:r>
    </w:p>
    <w:p w14:paraId="16FC7C21" w14:textId="77777777" w:rsidR="005801E0" w:rsidRPr="006B4A5D" w:rsidRDefault="005801E0" w:rsidP="005801E0">
      <w:pPr>
        <w:pStyle w:val="Heading2"/>
      </w:pPr>
      <w:r w:rsidRPr="006B4A5D">
        <w:lastRenderedPageBreak/>
        <w:t>Legislation</w:t>
      </w:r>
    </w:p>
    <w:p w14:paraId="6F32CAF0" w14:textId="77777777" w:rsidR="005801E0" w:rsidRPr="006B4A5D" w:rsidRDefault="005801E0" w:rsidP="00C34438">
      <w:r w:rsidRPr="006B4A5D">
        <w:rPr>
          <w:rStyle w:val="Italic"/>
        </w:rPr>
        <w:t xml:space="preserve">Control of Weapons Act 1990 </w:t>
      </w:r>
      <w:r w:rsidRPr="006B4A5D">
        <w:t>(Vic)</w:t>
      </w:r>
    </w:p>
    <w:p w14:paraId="0AA047EF" w14:textId="77777777" w:rsidR="005801E0" w:rsidRPr="006B4A5D" w:rsidRDefault="005801E0" w:rsidP="00C34438">
      <w:r w:rsidRPr="006B4A5D">
        <w:rPr>
          <w:rStyle w:val="Italic"/>
        </w:rPr>
        <w:t xml:space="preserve">Corrections Act 1986 </w:t>
      </w:r>
      <w:r w:rsidRPr="006B4A5D">
        <w:t>(Vic)</w:t>
      </w:r>
    </w:p>
    <w:p w14:paraId="41F46148" w14:textId="77777777" w:rsidR="005801E0" w:rsidRPr="006B4A5D" w:rsidRDefault="005801E0" w:rsidP="00C34438">
      <w:r w:rsidRPr="006B4A5D">
        <w:rPr>
          <w:rStyle w:val="Italic"/>
        </w:rPr>
        <w:t xml:space="preserve">Crimes Act 1958 </w:t>
      </w:r>
      <w:r w:rsidRPr="006B4A5D">
        <w:t>(Vic)</w:t>
      </w:r>
    </w:p>
    <w:p w14:paraId="5744EF9B" w14:textId="77777777" w:rsidR="005801E0" w:rsidRPr="006B4A5D" w:rsidRDefault="005801E0" w:rsidP="00C34438">
      <w:r w:rsidRPr="006B4A5D">
        <w:rPr>
          <w:rStyle w:val="Italic"/>
        </w:rPr>
        <w:t xml:space="preserve">Drugs, Poisons and Controlled Substances Act 1981 </w:t>
      </w:r>
      <w:r w:rsidRPr="006B4A5D">
        <w:t>(Vic)</w:t>
      </w:r>
    </w:p>
    <w:p w14:paraId="0AA8EF18" w14:textId="77777777" w:rsidR="005801E0" w:rsidRPr="006B4A5D" w:rsidRDefault="005801E0" w:rsidP="00C34438">
      <w:r w:rsidRPr="006B4A5D">
        <w:rPr>
          <w:rStyle w:val="Italic"/>
        </w:rPr>
        <w:t>Sentencing Act 1991</w:t>
      </w:r>
      <w:r w:rsidRPr="006B4A5D">
        <w:t xml:space="preserve"> (Vic)</w:t>
      </w:r>
    </w:p>
    <w:p w14:paraId="0DE920C5" w14:textId="77777777" w:rsidR="005801E0" w:rsidRPr="006B4A5D" w:rsidRDefault="005801E0" w:rsidP="00C34438">
      <w:r w:rsidRPr="006B4A5D">
        <w:rPr>
          <w:rStyle w:val="Italic"/>
        </w:rPr>
        <w:t xml:space="preserve">Sentencing Amendment (Community Correction Reform) Act 2011 </w:t>
      </w:r>
      <w:r w:rsidRPr="006B4A5D">
        <w:t>(Vic)</w:t>
      </w:r>
    </w:p>
    <w:p w14:paraId="439AF01F" w14:textId="77777777" w:rsidR="005801E0" w:rsidRPr="006B4A5D" w:rsidRDefault="005801E0" w:rsidP="00C34438">
      <w:r w:rsidRPr="006B4A5D">
        <w:rPr>
          <w:rStyle w:val="Italic"/>
        </w:rPr>
        <w:t xml:space="preserve">Sentencing Amendment (Emergency Workers) Act 2014 </w:t>
      </w:r>
      <w:r w:rsidRPr="006B4A5D">
        <w:t>(Vic)</w:t>
      </w:r>
    </w:p>
    <w:p w14:paraId="29FAA4D6" w14:textId="77777777" w:rsidR="005801E0" w:rsidRPr="006B4A5D" w:rsidRDefault="005801E0" w:rsidP="00C34438">
      <w:r w:rsidRPr="006B4A5D">
        <w:rPr>
          <w:rStyle w:val="Italic"/>
        </w:rPr>
        <w:t xml:space="preserve">Sentencing (Community Correction Order) and Other Acts Amendment Act 2016 </w:t>
      </w:r>
      <w:r w:rsidRPr="006B4A5D">
        <w:t>(Vic)</w:t>
      </w:r>
    </w:p>
    <w:p w14:paraId="0F927BD7" w14:textId="77777777" w:rsidR="005801E0" w:rsidRPr="006B4A5D" w:rsidRDefault="005801E0" w:rsidP="00C34438">
      <w:r w:rsidRPr="006B4A5D">
        <w:rPr>
          <w:rStyle w:val="Italic"/>
        </w:rPr>
        <w:t xml:space="preserve">Summary Offences Act 1966 </w:t>
      </w:r>
      <w:r w:rsidRPr="006B4A5D">
        <w:t>(Vic)</w:t>
      </w:r>
    </w:p>
    <w:p w14:paraId="01A58F45" w14:textId="77777777" w:rsidR="005801E0" w:rsidRPr="006B4A5D" w:rsidRDefault="005801E0" w:rsidP="005801E0">
      <w:pPr>
        <w:pStyle w:val="Heading2"/>
      </w:pPr>
      <w:r w:rsidRPr="006B4A5D">
        <w:t>Quasi-legislative materials</w:t>
      </w:r>
    </w:p>
    <w:p w14:paraId="47760B54" w14:textId="77777777" w:rsidR="005801E0" w:rsidRPr="006B4A5D" w:rsidRDefault="005801E0" w:rsidP="005801E0">
      <w:pPr>
        <w:pStyle w:val="Bibliography"/>
      </w:pPr>
      <w:r w:rsidRPr="006B4A5D">
        <w:t xml:space="preserve">Victoria, </w:t>
      </w:r>
      <w:r w:rsidRPr="006B4A5D">
        <w:rPr>
          <w:rStyle w:val="Italic"/>
        </w:rPr>
        <w:t>Parliamentary Debates</w:t>
      </w:r>
      <w:r w:rsidRPr="006B4A5D">
        <w:t xml:space="preserve">, Legislative Assembly, 13 October 2016 (Martin </w:t>
      </w:r>
      <w:proofErr w:type="spellStart"/>
      <w:r w:rsidRPr="006B4A5D">
        <w:t>Pakula</w:t>
      </w:r>
      <w:proofErr w:type="spellEnd"/>
      <w:r w:rsidRPr="006B4A5D">
        <w:t>, Attorney-General).</w:t>
      </w:r>
    </w:p>
    <w:p w14:paraId="169D7760" w14:textId="77777777" w:rsidR="005801E0" w:rsidRPr="006B4A5D" w:rsidRDefault="005801E0" w:rsidP="005801E0">
      <w:pPr>
        <w:pStyle w:val="Bibliography"/>
      </w:pPr>
      <w:r w:rsidRPr="006B4A5D">
        <w:t xml:space="preserve">Victoria, </w:t>
      </w:r>
      <w:r w:rsidRPr="006B4A5D">
        <w:rPr>
          <w:rStyle w:val="Italic"/>
        </w:rPr>
        <w:t>Parliamentary Debates</w:t>
      </w:r>
      <w:r w:rsidRPr="006B4A5D">
        <w:t>, Legislative Assembly, 26 June 2014 (Robert Clark, Attorney-General).</w:t>
      </w:r>
    </w:p>
    <w:p w14:paraId="31F9655C" w14:textId="77777777" w:rsidR="001015A1" w:rsidRPr="006B4A5D" w:rsidRDefault="001015A1" w:rsidP="005C5C61">
      <w:pPr>
        <w:pageBreakBefore/>
      </w:pPr>
      <w:r w:rsidRPr="006B4A5D">
        <w:lastRenderedPageBreak/>
        <w:t>Authored by Paul McGorrery and Paul Schollum</w:t>
      </w:r>
    </w:p>
    <w:p w14:paraId="47B238D6" w14:textId="77777777" w:rsidR="001015A1" w:rsidRPr="006B4A5D" w:rsidRDefault="001015A1" w:rsidP="00C34438">
      <w:r w:rsidRPr="006B4A5D">
        <w:t>Research assistant: Melanie Hull</w:t>
      </w:r>
    </w:p>
    <w:p w14:paraId="1B3B4F59" w14:textId="77777777" w:rsidR="001015A1" w:rsidRPr="006B4A5D" w:rsidRDefault="001015A1" w:rsidP="00C34438">
      <w:r w:rsidRPr="006B4A5D">
        <w:t>Published by the Sentencing Advisory Council, Melbourne, Victoria, Australia</w:t>
      </w:r>
    </w:p>
    <w:p w14:paraId="4D5FC87F" w14:textId="77777777" w:rsidR="001015A1" w:rsidRPr="006B4A5D" w:rsidRDefault="001015A1" w:rsidP="00C34438">
      <w:r w:rsidRPr="006B4A5D">
        <w:t>© Copyright State of Victoria, Sentencing Advisory Council, 2023</w:t>
      </w:r>
    </w:p>
    <w:p w14:paraId="6E9B8EB2" w14:textId="77777777" w:rsidR="001015A1" w:rsidRPr="006B4A5D" w:rsidRDefault="001015A1" w:rsidP="00C34438">
      <w:r w:rsidRPr="006B4A5D">
        <w:t xml:space="preserve">This publication is protected by the laws of copyright. No part may be reproduced by any process except in accordance with the provisions of the </w:t>
      </w:r>
      <w:r w:rsidRPr="006B4A5D">
        <w:rPr>
          <w:rStyle w:val="Italic"/>
        </w:rPr>
        <w:t>Copyright Act 1968</w:t>
      </w:r>
      <w:r w:rsidRPr="006B4A5D">
        <w:t xml:space="preserve"> (</w:t>
      </w:r>
      <w:proofErr w:type="spellStart"/>
      <w:r w:rsidRPr="006B4A5D">
        <w:t>Cth</w:t>
      </w:r>
      <w:proofErr w:type="spellEnd"/>
      <w:r w:rsidRPr="006B4A5D">
        <w:t>).</w:t>
      </w:r>
    </w:p>
    <w:p w14:paraId="60BE2558" w14:textId="77777777" w:rsidR="001015A1" w:rsidRPr="006B4A5D" w:rsidRDefault="001015A1" w:rsidP="00C34438">
      <w:r w:rsidRPr="006B4A5D">
        <w:t>ISBN 978-1-925071-74-0 (Online)</w:t>
      </w:r>
    </w:p>
    <w:p w14:paraId="79AB8359" w14:textId="77777777" w:rsidR="001015A1" w:rsidRPr="006B4A5D" w:rsidRDefault="001015A1" w:rsidP="00C34438">
      <w:r w:rsidRPr="006B4A5D">
        <w:t>Authorised by the Sentencing Advisory Council,</w:t>
      </w:r>
      <w:r w:rsidRPr="006B4A5D">
        <w:br/>
        <w:t>Level 3, 333 Queen Street, Melbourne VIC 3000</w:t>
      </w:r>
    </w:p>
    <w:p w14:paraId="43DADA21" w14:textId="77777777" w:rsidR="001015A1" w:rsidRPr="006B4A5D" w:rsidRDefault="001015A1" w:rsidP="00C34438">
      <w:r w:rsidRPr="006B4A5D">
        <w:t>Copyedited and typeset by Catherine Jeffreys AE</w:t>
      </w:r>
    </w:p>
    <w:sectPr w:rsidR="001015A1" w:rsidRPr="006B4A5D" w:rsidSect="00D6349A">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7AC77" w14:textId="77777777" w:rsidR="0073136D" w:rsidRDefault="0073136D">
      <w:pPr>
        <w:spacing w:after="0" w:line="240" w:lineRule="auto"/>
      </w:pPr>
      <w:r>
        <w:separator/>
      </w:r>
    </w:p>
  </w:endnote>
  <w:endnote w:type="continuationSeparator" w:id="0">
    <w:p w14:paraId="70357E5E" w14:textId="77777777" w:rsidR="0073136D" w:rsidRDefault="0073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96EC" w14:textId="77777777" w:rsidR="00041EC2" w:rsidRDefault="00041EC2"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C0BF" w14:textId="77777777" w:rsidR="0073136D" w:rsidRDefault="0073136D">
      <w:pPr>
        <w:spacing w:after="0" w:line="240" w:lineRule="auto"/>
      </w:pPr>
      <w:r>
        <w:separator/>
      </w:r>
    </w:p>
  </w:footnote>
  <w:footnote w:type="continuationSeparator" w:id="0">
    <w:p w14:paraId="01D58BB8" w14:textId="77777777" w:rsidR="0073136D" w:rsidRDefault="0073136D">
      <w:pPr>
        <w:spacing w:after="0" w:line="240" w:lineRule="auto"/>
      </w:pPr>
      <w:r>
        <w:continuationSeparator/>
      </w:r>
    </w:p>
  </w:footnote>
  <w:footnote w:id="1">
    <w:p w14:paraId="1C53FEF7" w14:textId="77777777" w:rsidR="005801E0" w:rsidRDefault="005801E0" w:rsidP="002D0603">
      <w:pPr>
        <w:pStyle w:val="Footnote"/>
      </w:pPr>
      <w:r>
        <w:rPr>
          <w:vertAlign w:val="superscript"/>
        </w:rPr>
        <w:footnoteRef/>
      </w:r>
      <w:r>
        <w:t>.</w:t>
      </w:r>
      <w:r>
        <w:tab/>
        <w:t xml:space="preserve">See </w:t>
      </w:r>
      <w:r>
        <w:rPr>
          <w:rStyle w:val="Italic"/>
        </w:rPr>
        <w:t xml:space="preserve">Sentencing Act 1991 </w:t>
      </w:r>
      <w:r>
        <w:t>(Vic) s 7.</w:t>
      </w:r>
    </w:p>
  </w:footnote>
  <w:footnote w:id="2">
    <w:p w14:paraId="5D690C1E" w14:textId="77777777" w:rsidR="005801E0" w:rsidRDefault="005801E0" w:rsidP="002D0603">
      <w:pPr>
        <w:pStyle w:val="Footnote"/>
      </w:pPr>
      <w:r>
        <w:rPr>
          <w:vertAlign w:val="superscript"/>
        </w:rPr>
        <w:footnoteRef/>
      </w:r>
      <w:r>
        <w:t>.</w:t>
      </w:r>
      <w:r>
        <w:tab/>
        <w:t xml:space="preserve">On the ability to impose multiple sentencing orders for a single offence, see </w:t>
      </w:r>
      <w:r>
        <w:rPr>
          <w:rStyle w:val="Italic"/>
        </w:rPr>
        <w:t xml:space="preserve">Sentencing Act 1991 </w:t>
      </w:r>
      <w:r>
        <w:t xml:space="preserve">(Vic) ss 43 (CCO and fine), 44 (CCO and imprisonment), 49 (fine and ‘any other sentence’). Courts also can, and often do, impose different sentencing orders for various offences in a case when there are multiple charges: see, for example, Sentencing Advisory Council, </w:t>
      </w:r>
      <w:r>
        <w:rPr>
          <w:rStyle w:val="Italic"/>
        </w:rPr>
        <w:t xml:space="preserve">Reforming Adjourned Undertakings: Consultation Paper </w:t>
      </w:r>
      <w:r>
        <w:t>(2022) 13 (highlighting the number of cases where an adjourned undertaking was imposed alongside a fine, imprisonment, a community order or an ‘other’ sentence).</w:t>
      </w:r>
    </w:p>
  </w:footnote>
  <w:footnote w:id="3">
    <w:p w14:paraId="2202B231" w14:textId="77777777" w:rsidR="005801E0" w:rsidRDefault="005801E0" w:rsidP="002D0603">
      <w:pPr>
        <w:pStyle w:val="Footnote"/>
      </w:pPr>
      <w:r>
        <w:rPr>
          <w:vertAlign w:val="superscript"/>
        </w:rPr>
        <w:footnoteRef/>
      </w:r>
      <w:r>
        <w:t>.</w:t>
      </w:r>
      <w:r>
        <w:tab/>
        <w:t xml:space="preserve">The mandatory conditions of a CCO are to not reoffend, not leave Victoria without permission, report </w:t>
      </w:r>
      <w:r>
        <w:rPr>
          <w:spacing w:val="-1"/>
        </w:rPr>
        <w:t xml:space="preserve">to a community corrections centre and notify Corrections Victoria of any change of address: </w:t>
      </w:r>
      <w:r>
        <w:rPr>
          <w:rStyle w:val="Italic"/>
          <w:spacing w:val="-1"/>
        </w:rPr>
        <w:t xml:space="preserve">Sentencing </w:t>
      </w:r>
      <w:r>
        <w:rPr>
          <w:rStyle w:val="Italic"/>
        </w:rPr>
        <w:t xml:space="preserve">Act 1991 </w:t>
      </w:r>
      <w:r>
        <w:t xml:space="preserve">(Vic) s 45. The optional conditions can include medical or substance abuse treatment, unpaid community work, a requirement to live at a particular address, a prohibition on living at a particular address, a prohibition on associating with certain people, a curfew, not consuming alcohol, judicial monitoring and/or electronic monitoring: </w:t>
      </w:r>
      <w:r>
        <w:rPr>
          <w:rStyle w:val="Italic"/>
        </w:rPr>
        <w:t xml:space="preserve">Sentencing Act 1991 </w:t>
      </w:r>
      <w:r>
        <w:t xml:space="preserve">(Vic) </w:t>
      </w:r>
      <w:proofErr w:type="spellStart"/>
      <w:r>
        <w:t>pt</w:t>
      </w:r>
      <w:proofErr w:type="spellEnd"/>
      <w:r>
        <w:t xml:space="preserve"> 3A div 4.</w:t>
      </w:r>
    </w:p>
  </w:footnote>
  <w:footnote w:id="4">
    <w:p w14:paraId="5C7ACCBA" w14:textId="77777777" w:rsidR="005801E0" w:rsidRDefault="005801E0" w:rsidP="002D0603">
      <w:pPr>
        <w:pStyle w:val="Footnote"/>
      </w:pPr>
      <w:r>
        <w:rPr>
          <w:vertAlign w:val="superscript"/>
        </w:rPr>
        <w:footnoteRef/>
      </w:r>
      <w:r>
        <w:t>.</w:t>
      </w:r>
      <w:r>
        <w:tab/>
        <w:t xml:space="preserve">That reference period was chosen because CCOs replaced a number of pre-existing sentencing options in January 2012: </w:t>
      </w:r>
      <w:r>
        <w:rPr>
          <w:rStyle w:val="Italic"/>
        </w:rPr>
        <w:t xml:space="preserve">Sentencing Amendment (Community Correction Reform) Act 2011 </w:t>
      </w:r>
      <w:r>
        <w:t>(Vic).</w:t>
      </w:r>
    </w:p>
  </w:footnote>
  <w:footnote w:id="5">
    <w:p w14:paraId="6E0CEDFC" w14:textId="77777777" w:rsidR="005801E0" w:rsidRDefault="005801E0" w:rsidP="002D0603">
      <w:pPr>
        <w:pStyle w:val="Footnote"/>
      </w:pPr>
      <w:r>
        <w:rPr>
          <w:vertAlign w:val="superscript"/>
        </w:rPr>
        <w:footnoteRef/>
      </w:r>
      <w:r>
        <w:t>.</w:t>
      </w:r>
      <w:r>
        <w:tab/>
        <w:t>That is, a CCO that is not combined with imprisonment.</w:t>
      </w:r>
    </w:p>
  </w:footnote>
  <w:footnote w:id="6">
    <w:p w14:paraId="0112C467" w14:textId="77777777" w:rsidR="005801E0" w:rsidRDefault="005801E0" w:rsidP="002D0603">
      <w:pPr>
        <w:pStyle w:val="Footnote"/>
      </w:pPr>
      <w:r>
        <w:rPr>
          <w:vertAlign w:val="superscript"/>
        </w:rPr>
        <w:footnoteRef/>
      </w:r>
      <w:r>
        <w:t>.</w:t>
      </w:r>
      <w:r>
        <w:tab/>
        <w:t>That is, imprisonment that is not combined with a CCO.</w:t>
      </w:r>
    </w:p>
  </w:footnote>
  <w:footnote w:id="7">
    <w:p w14:paraId="48054D9A" w14:textId="77777777" w:rsidR="005801E0" w:rsidRDefault="005801E0" w:rsidP="002D0603">
      <w:pPr>
        <w:pStyle w:val="Footnote"/>
      </w:pPr>
      <w:r>
        <w:rPr>
          <w:vertAlign w:val="superscript"/>
        </w:rPr>
        <w:footnoteRef/>
      </w:r>
      <w:r>
        <w:t>.</w:t>
      </w:r>
      <w:r>
        <w:tab/>
        <w:t xml:space="preserve">Sentencing Advisory Council, </w:t>
      </w:r>
      <w:r>
        <w:rPr>
          <w:rStyle w:val="Italic"/>
        </w:rPr>
        <w:t xml:space="preserve">Community Correction Orders: Monitoring Report </w:t>
      </w:r>
      <w:r>
        <w:t xml:space="preserve">(2014); Sentencing </w:t>
      </w:r>
      <w:r>
        <w:rPr>
          <w:spacing w:val="-1"/>
        </w:rPr>
        <w:t xml:space="preserve">Advisory Council, </w:t>
      </w:r>
      <w:r>
        <w:rPr>
          <w:rStyle w:val="Italic"/>
          <w:spacing w:val="-1"/>
        </w:rPr>
        <w:t xml:space="preserve">Community Correction Orders in the Higher Courts: Imposition, Duration, and Conditions </w:t>
      </w:r>
      <w:r>
        <w:t xml:space="preserve">(2014); Sentencing Advisory Council, </w:t>
      </w:r>
      <w:r>
        <w:rPr>
          <w:rStyle w:val="Italic"/>
        </w:rPr>
        <w:t xml:space="preserve">Community Correction Orders: Second Monitoring Report (Pre-Guideline Judgment) </w:t>
      </w:r>
      <w:r>
        <w:t xml:space="preserve">(2015). As required by section 104AA of the </w:t>
      </w:r>
      <w:r>
        <w:rPr>
          <w:rStyle w:val="Italic"/>
        </w:rPr>
        <w:t xml:space="preserve">Corrections Act 1986 </w:t>
      </w:r>
      <w:r>
        <w:t xml:space="preserve">(Vic), we have also published five reports on serious offending committed by people while serving a CCO, as well as a report on contraventions of community correction orders: Sentencing Advisory Council, </w:t>
      </w:r>
      <w:r>
        <w:rPr>
          <w:rStyle w:val="Italic"/>
        </w:rPr>
        <w:t>Serious Offending by People Serving a Community Correction Order: 2016–17</w:t>
      </w:r>
      <w:r>
        <w:t xml:space="preserve"> (2018); Sentencing Advisory </w:t>
      </w:r>
      <w:r>
        <w:rPr>
          <w:spacing w:val="-1"/>
        </w:rPr>
        <w:t xml:space="preserve">Council, </w:t>
      </w:r>
      <w:r>
        <w:rPr>
          <w:rStyle w:val="Italic"/>
          <w:spacing w:val="-1"/>
        </w:rPr>
        <w:t>Serious Offending by People Serving a Community Correction Order: 2017–18</w:t>
      </w:r>
      <w:r>
        <w:rPr>
          <w:spacing w:val="-1"/>
        </w:rPr>
        <w:t xml:space="preserve"> (2019); Sentencing </w:t>
      </w:r>
      <w:r>
        <w:t xml:space="preserve">Advisory Council, </w:t>
      </w:r>
      <w:r>
        <w:rPr>
          <w:rStyle w:val="Italic"/>
        </w:rPr>
        <w:t>Serious Offending by People Serving a Community Correction Order: 2018–19</w:t>
      </w:r>
      <w:r>
        <w:t xml:space="preserve"> (2020); </w:t>
      </w:r>
      <w:r>
        <w:rPr>
          <w:spacing w:val="-1"/>
        </w:rPr>
        <w:t xml:space="preserve">Sentencing Advisory Council, </w:t>
      </w:r>
      <w:r>
        <w:rPr>
          <w:rStyle w:val="Italic"/>
          <w:spacing w:val="-1"/>
        </w:rPr>
        <w:t>Serious Offending by People Serving a Community Correction Order: 2019–</w:t>
      </w:r>
      <w:r>
        <w:rPr>
          <w:rStyle w:val="Italic"/>
        </w:rPr>
        <w:t>20</w:t>
      </w:r>
      <w:r>
        <w:t xml:space="preserve"> (2021); </w:t>
      </w:r>
      <w:r>
        <w:rPr>
          <w:rStyle w:val="Italic"/>
        </w:rPr>
        <w:t>Sentencing Advisory Council, Serious Offending by People Serving a Community Correction Order: 2020–21</w:t>
      </w:r>
      <w:r>
        <w:t xml:space="preserve"> (2022); Sentencing Advisory Council, </w:t>
      </w:r>
      <w:r>
        <w:rPr>
          <w:rStyle w:val="Italic"/>
        </w:rPr>
        <w:t xml:space="preserve">Contravention of Community Correction Orders </w:t>
      </w:r>
      <w:r>
        <w:t xml:space="preserve">(2017). There was some discussion of the differences between straight CCOs and CCOs in combined orders (‘combined order CCOs’) in the Council’s 2016 report on CCOs: Sentencing Advisory Council, </w:t>
      </w:r>
      <w:r>
        <w:rPr>
          <w:rStyle w:val="Italic"/>
        </w:rPr>
        <w:t xml:space="preserve">Community Correction Orders: Third Monitoring Report (Post-Guideline Judgment) </w:t>
      </w:r>
      <w:r>
        <w:t>(2016) 23–28.</w:t>
      </w:r>
    </w:p>
  </w:footnote>
  <w:footnote w:id="8">
    <w:p w14:paraId="0E7EF0E7" w14:textId="77777777" w:rsidR="005801E0" w:rsidRDefault="005801E0" w:rsidP="002D0603">
      <w:pPr>
        <w:pStyle w:val="Footnote"/>
        <w:ind w:left="468"/>
      </w:pPr>
      <w:r>
        <w:rPr>
          <w:vertAlign w:val="superscript"/>
        </w:rPr>
        <w:footnoteRef/>
      </w:r>
      <w:r>
        <w:t>.</w:t>
      </w:r>
      <w:r>
        <w:tab/>
        <w:t xml:space="preserve">See, for example, Victorian Auditor-General, </w:t>
      </w:r>
      <w:r>
        <w:rPr>
          <w:rStyle w:val="Italic"/>
        </w:rPr>
        <w:t xml:space="preserve">Managing Community Correction Orders </w:t>
      </w:r>
      <w:r>
        <w:t>(2017) 6.</w:t>
      </w:r>
    </w:p>
  </w:footnote>
  <w:footnote w:id="9">
    <w:p w14:paraId="36EC98B3" w14:textId="77777777" w:rsidR="005801E0" w:rsidRDefault="005801E0" w:rsidP="002D0603">
      <w:pPr>
        <w:pStyle w:val="Footnote"/>
        <w:ind w:left="468"/>
      </w:pPr>
      <w:r>
        <w:rPr>
          <w:vertAlign w:val="superscript"/>
        </w:rPr>
        <w:footnoteRef/>
      </w:r>
      <w:r>
        <w:t>.</w:t>
      </w:r>
      <w:r>
        <w:tab/>
      </w:r>
      <w:r>
        <w:rPr>
          <w:rStyle w:val="Italic"/>
        </w:rPr>
        <w:t xml:space="preserve">Sentencing Act 1991 </w:t>
      </w:r>
      <w:r>
        <w:t>(Vic) ss 5(4)–(7).</w:t>
      </w:r>
    </w:p>
  </w:footnote>
  <w:footnote w:id="10">
    <w:p w14:paraId="2DAAC925" w14:textId="77777777" w:rsidR="005801E0" w:rsidRDefault="005801E0" w:rsidP="00A612BA">
      <w:pPr>
        <w:pStyle w:val="Footnote"/>
      </w:pPr>
      <w:r>
        <w:rPr>
          <w:vertAlign w:val="superscript"/>
        </w:rPr>
        <w:footnoteRef/>
      </w:r>
      <w:r>
        <w:t>.</w:t>
      </w:r>
      <w:r>
        <w:tab/>
        <w:t>According to data on our website, CCOs were most prevalent in 2015–16 after the Court of Appeal’s guideline judgment about their use (</w:t>
      </w:r>
      <w:r>
        <w:rPr>
          <w:rStyle w:val="Italic"/>
        </w:rPr>
        <w:t xml:space="preserve">Boulton &amp; </w:t>
      </w:r>
      <w:proofErr w:type="spellStart"/>
      <w:r>
        <w:rPr>
          <w:rStyle w:val="Italic"/>
        </w:rPr>
        <w:t>Ors</w:t>
      </w:r>
      <w:proofErr w:type="spellEnd"/>
      <w:r>
        <w:rPr>
          <w:rStyle w:val="Italic"/>
        </w:rPr>
        <w:t xml:space="preserve"> v The Queen </w:t>
      </w:r>
      <w:r>
        <w:t>[2014] VSCA 342). Since then they have decreased from 20.9% to 11.8% of outcomes in the Magistrates’ Court, and from 10.5% to 6.2% of outcomes in the higher courts. See Sentencing Advisory Council, ‘Sentencing Outcomes in the Magistrates’ Court’ (sentencingcouncil.vic.gov.au, 2023); Sentencing Advisory Council, ‘Sentencing Outcomes in the Higher Courts’ (sentencingcouncil.vic.gov.au, 2023).</w:t>
      </w:r>
    </w:p>
  </w:footnote>
  <w:footnote w:id="11">
    <w:p w14:paraId="0BF35A2D" w14:textId="77777777" w:rsidR="005801E0" w:rsidRDefault="005801E0" w:rsidP="00A612BA">
      <w:pPr>
        <w:pStyle w:val="Footnote"/>
      </w:pPr>
      <w:r>
        <w:rPr>
          <w:vertAlign w:val="superscript"/>
        </w:rPr>
        <w:footnoteRef/>
      </w:r>
      <w:r>
        <w:t>.</w:t>
      </w:r>
      <w:r>
        <w:tab/>
      </w:r>
      <w:r>
        <w:rPr>
          <w:rStyle w:val="Italic"/>
        </w:rPr>
        <w:t xml:space="preserve">Sentencing Amendment (Emergency Workers) Act 2014 </w:t>
      </w:r>
      <w:r>
        <w:t xml:space="preserve">(Vic) s 18(1). </w:t>
      </w:r>
    </w:p>
  </w:footnote>
  <w:footnote w:id="12">
    <w:p w14:paraId="11D719A3" w14:textId="77777777" w:rsidR="005801E0" w:rsidRDefault="005801E0" w:rsidP="00A612BA">
      <w:pPr>
        <w:pStyle w:val="Footnote"/>
      </w:pPr>
      <w:r>
        <w:rPr>
          <w:vertAlign w:val="superscript"/>
        </w:rPr>
        <w:footnoteRef/>
      </w:r>
      <w:r>
        <w:t>.</w:t>
      </w:r>
      <w:r>
        <w:tab/>
      </w:r>
      <w:r>
        <w:rPr>
          <w:rStyle w:val="Italic"/>
        </w:rPr>
        <w:t xml:space="preserve">Sentencing (Community Correction Order) and Other Acts Amendment Act 2016 </w:t>
      </w:r>
      <w:r>
        <w:t>(Vic) s 12.</w:t>
      </w:r>
    </w:p>
  </w:footnote>
  <w:footnote w:id="13">
    <w:p w14:paraId="71373369" w14:textId="11C3448C" w:rsidR="005801E0" w:rsidRDefault="005801E0" w:rsidP="00F53265">
      <w:pPr>
        <w:pStyle w:val="Footnote"/>
      </w:pPr>
      <w:r>
        <w:rPr>
          <w:vertAlign w:val="superscript"/>
        </w:rPr>
        <w:footnoteRef/>
      </w:r>
      <w:r>
        <w:t>.</w:t>
      </w:r>
      <w:r>
        <w:tab/>
        <w:t xml:space="preserve">The principal offence in a case is identified by the offence that received the most severe sentence in the case, or alternatively, if multiple offences received the same most severe sentence, by using the National Offence Index: Australian Bureau of Statistics, </w:t>
      </w:r>
      <w:r>
        <w:rPr>
          <w:rStyle w:val="Italic"/>
        </w:rPr>
        <w:t>National Offence Index</w:t>
      </w:r>
      <w:r>
        <w:t xml:space="preserve"> (abs.gov.au, 2018).</w:t>
      </w:r>
    </w:p>
  </w:footnote>
  <w:footnote w:id="14">
    <w:p w14:paraId="66D008C6" w14:textId="0B295E84" w:rsidR="005801E0" w:rsidRDefault="005801E0" w:rsidP="00F53265">
      <w:pPr>
        <w:pStyle w:val="Footnote"/>
      </w:pPr>
      <w:r>
        <w:rPr>
          <w:vertAlign w:val="superscript"/>
        </w:rPr>
        <w:footnoteRef/>
      </w:r>
      <w:r>
        <w:t>.</w:t>
      </w:r>
      <w:r>
        <w:tab/>
        <w:t xml:space="preserve">A </w:t>
      </w:r>
      <w:r>
        <w:rPr>
          <w:rStyle w:val="Italic"/>
        </w:rPr>
        <w:t xml:space="preserve">time served prison sentence </w:t>
      </w:r>
      <w:r>
        <w:t xml:space="preserve">is a sentence equating almost exactly to the amount of time spent on remand prior to sentencing: see Sentencing Advisory Council, </w:t>
      </w:r>
      <w:r>
        <w:rPr>
          <w:rStyle w:val="Italic"/>
        </w:rPr>
        <w:t xml:space="preserve">Time Served Prison Sentences in Victoria </w:t>
      </w:r>
      <w:r>
        <w:t>(2020) 1.</w:t>
      </w:r>
    </w:p>
  </w:footnote>
  <w:footnote w:id="15">
    <w:p w14:paraId="148CC2B8" w14:textId="5FD119E7" w:rsidR="005801E0" w:rsidRDefault="005801E0" w:rsidP="00604498">
      <w:pPr>
        <w:pStyle w:val="Footnote"/>
      </w:pPr>
      <w:r>
        <w:rPr>
          <w:vertAlign w:val="superscript"/>
        </w:rPr>
        <w:footnoteRef/>
      </w:r>
      <w:r>
        <w:t>.</w:t>
      </w:r>
      <w:r>
        <w:tab/>
        <w:t>That is, the County and Supreme Courts of Victoria.</w:t>
      </w:r>
    </w:p>
  </w:footnote>
  <w:footnote w:id="16">
    <w:p w14:paraId="3FDF8FD2" w14:textId="73DBA34F" w:rsidR="005801E0" w:rsidRDefault="005801E0" w:rsidP="00604498">
      <w:pPr>
        <w:pStyle w:val="Footnote"/>
      </w:pPr>
      <w:r>
        <w:rPr>
          <w:vertAlign w:val="superscript"/>
        </w:rPr>
        <w:footnoteRef/>
      </w:r>
      <w:r>
        <w:t>.</w:t>
      </w:r>
      <w:r>
        <w:tab/>
      </w:r>
      <w:r>
        <w:rPr>
          <w:rStyle w:val="Italic"/>
        </w:rPr>
        <w:t xml:space="preserve">Boulton &amp; </w:t>
      </w:r>
      <w:proofErr w:type="spellStart"/>
      <w:r>
        <w:rPr>
          <w:rStyle w:val="Italic"/>
        </w:rPr>
        <w:t>Ors</w:t>
      </w:r>
      <w:proofErr w:type="spellEnd"/>
      <w:r>
        <w:rPr>
          <w:rStyle w:val="Italic"/>
        </w:rPr>
        <w:t xml:space="preserve"> v The Queen </w:t>
      </w:r>
      <w:r>
        <w:t>[2014] VSCA 342.</w:t>
      </w:r>
    </w:p>
  </w:footnote>
  <w:footnote w:id="17">
    <w:p w14:paraId="74493F73" w14:textId="70CBD913" w:rsidR="005801E0" w:rsidRDefault="005801E0" w:rsidP="001528AF">
      <w:pPr>
        <w:pStyle w:val="Footnote"/>
      </w:pPr>
      <w:r>
        <w:rPr>
          <w:vertAlign w:val="superscript"/>
        </w:rPr>
        <w:footnoteRef/>
      </w:r>
      <w:r>
        <w:t>.</w:t>
      </w:r>
      <w:r>
        <w:tab/>
        <w:t xml:space="preserve">That is, the Australian Bureau of Statistics’ Standard Offence Classification (ANZSOC): Australian Bureau of Statistics, </w:t>
      </w:r>
      <w:r>
        <w:rPr>
          <w:rStyle w:val="Italic"/>
        </w:rPr>
        <w:t>Australian and New Zealand Standard Offence Classification (ANZSOC)</w:t>
      </w:r>
      <w:r>
        <w:t xml:space="preserve"> (abs.gov.au, 2011).</w:t>
      </w:r>
    </w:p>
  </w:footnote>
  <w:footnote w:id="18">
    <w:p w14:paraId="505D7E50" w14:textId="575395E7" w:rsidR="005801E0" w:rsidRDefault="005801E0" w:rsidP="001528AF">
      <w:pPr>
        <w:pStyle w:val="Footnote"/>
      </w:pPr>
      <w:r>
        <w:rPr>
          <w:vertAlign w:val="superscript"/>
        </w:rPr>
        <w:footnoteRef/>
      </w:r>
      <w:r>
        <w:t>.</w:t>
      </w:r>
      <w:r>
        <w:tab/>
        <w:t>In this report, a ‘combined order case’ is a case in which a combined order was imposed on the offender.</w:t>
      </w:r>
    </w:p>
  </w:footnote>
  <w:footnote w:id="19">
    <w:p w14:paraId="47891782" w14:textId="3CAA9D41" w:rsidR="005801E0" w:rsidRDefault="005801E0" w:rsidP="001528AF">
      <w:pPr>
        <w:pStyle w:val="Footnote"/>
      </w:pPr>
      <w:r>
        <w:rPr>
          <w:vertAlign w:val="superscript"/>
        </w:rPr>
        <w:footnoteRef/>
      </w:r>
      <w:r>
        <w:t>.</w:t>
      </w:r>
      <w:r>
        <w:tab/>
        <w:t xml:space="preserve">The most common assault and injury offence was unlawful assault (1,742 cases): </w:t>
      </w:r>
      <w:r>
        <w:rPr>
          <w:rStyle w:val="Italic"/>
        </w:rPr>
        <w:t xml:space="preserve">Summary Offences Act 1966 </w:t>
      </w:r>
      <w:r>
        <w:t>(Vic) s 23.</w:t>
      </w:r>
    </w:p>
  </w:footnote>
  <w:footnote w:id="20">
    <w:p w14:paraId="4C242CAF" w14:textId="785F9463" w:rsidR="005801E0" w:rsidRDefault="005801E0" w:rsidP="001528AF">
      <w:pPr>
        <w:pStyle w:val="Footnote"/>
      </w:pPr>
      <w:r>
        <w:rPr>
          <w:vertAlign w:val="superscript"/>
        </w:rPr>
        <w:footnoteRef/>
      </w:r>
      <w:r>
        <w:t>.</w:t>
      </w:r>
      <w:r>
        <w:tab/>
        <w:t xml:space="preserve">The most common drug-related offence was trafficking in a non-commercial quantity of methylamphetamine (976 cases): </w:t>
      </w:r>
      <w:r>
        <w:rPr>
          <w:rStyle w:val="Italic"/>
        </w:rPr>
        <w:t xml:space="preserve">Drugs, Poisons and Controlled Substances Act 1981 </w:t>
      </w:r>
      <w:r>
        <w:t>(Vic) s 71AC.</w:t>
      </w:r>
    </w:p>
  </w:footnote>
  <w:footnote w:id="21">
    <w:p w14:paraId="1625A5A1" w14:textId="05CC88A3" w:rsidR="005801E0" w:rsidRDefault="005801E0" w:rsidP="001528AF">
      <w:pPr>
        <w:pStyle w:val="Footnote"/>
      </w:pPr>
      <w:r>
        <w:rPr>
          <w:vertAlign w:val="superscript"/>
        </w:rPr>
        <w:footnoteRef/>
      </w:r>
      <w:r>
        <w:t>.</w:t>
      </w:r>
      <w:r>
        <w:tab/>
        <w:t xml:space="preserve">The most common burglary offence was burglary (1,245 cases): </w:t>
      </w:r>
      <w:r>
        <w:rPr>
          <w:rStyle w:val="Italic"/>
        </w:rPr>
        <w:t xml:space="preserve">Crimes Act 1958 </w:t>
      </w:r>
      <w:r>
        <w:t>(Vic) s 76.</w:t>
      </w:r>
    </w:p>
  </w:footnote>
  <w:footnote w:id="22">
    <w:p w14:paraId="3C491B1B" w14:textId="12A293A2" w:rsidR="005801E0" w:rsidRDefault="005801E0" w:rsidP="001528AF">
      <w:pPr>
        <w:pStyle w:val="Footnote"/>
      </w:pPr>
      <w:r>
        <w:rPr>
          <w:vertAlign w:val="superscript"/>
        </w:rPr>
        <w:footnoteRef/>
      </w:r>
      <w:r>
        <w:t>.</w:t>
      </w:r>
      <w:r>
        <w:tab/>
        <w:t xml:space="preserve">The most common endangerment offence was reckless conduct endangering serious injury (405 cases): </w:t>
      </w:r>
      <w:r>
        <w:rPr>
          <w:rStyle w:val="Italic"/>
        </w:rPr>
        <w:t xml:space="preserve">Crimes Act 1958 </w:t>
      </w:r>
      <w:r>
        <w:t>(Vic) s 23.</w:t>
      </w:r>
    </w:p>
  </w:footnote>
  <w:footnote w:id="23">
    <w:p w14:paraId="62EA3503" w14:textId="02066D18" w:rsidR="005801E0" w:rsidRDefault="005801E0" w:rsidP="001528AF">
      <w:pPr>
        <w:pStyle w:val="Footnote"/>
      </w:pPr>
      <w:r>
        <w:rPr>
          <w:vertAlign w:val="superscript"/>
        </w:rPr>
        <w:footnoteRef/>
      </w:r>
      <w:r>
        <w:t>.</w:t>
      </w:r>
      <w:r>
        <w:tab/>
      </w:r>
      <w:r>
        <w:rPr>
          <w:rStyle w:val="Italic"/>
        </w:rPr>
        <w:t xml:space="preserve">Summary Offences Act 1966 </w:t>
      </w:r>
      <w:r>
        <w:t>(Vic) s 23.</w:t>
      </w:r>
    </w:p>
  </w:footnote>
  <w:footnote w:id="24">
    <w:p w14:paraId="0ABE422F" w14:textId="4B93F0E2" w:rsidR="005801E0" w:rsidRDefault="005801E0" w:rsidP="001528AF">
      <w:pPr>
        <w:pStyle w:val="Footnote"/>
      </w:pPr>
      <w:r>
        <w:rPr>
          <w:vertAlign w:val="superscript"/>
        </w:rPr>
        <w:footnoteRef/>
      </w:r>
      <w:r>
        <w:t>.</w:t>
      </w:r>
      <w:r>
        <w:tab/>
      </w:r>
      <w:r>
        <w:rPr>
          <w:rStyle w:val="Italic"/>
        </w:rPr>
        <w:t xml:space="preserve">Crimes Act 1958 </w:t>
      </w:r>
      <w:r>
        <w:t>(Vic) s 18.</w:t>
      </w:r>
    </w:p>
  </w:footnote>
  <w:footnote w:id="25">
    <w:p w14:paraId="01AF6125" w14:textId="058CECAB" w:rsidR="005801E0" w:rsidRDefault="005801E0" w:rsidP="001528AF">
      <w:pPr>
        <w:pStyle w:val="Footnote"/>
      </w:pPr>
      <w:r>
        <w:rPr>
          <w:vertAlign w:val="superscript"/>
        </w:rPr>
        <w:footnoteRef/>
      </w:r>
      <w:r>
        <w:t>.</w:t>
      </w:r>
      <w:r>
        <w:tab/>
      </w:r>
      <w:r>
        <w:rPr>
          <w:rStyle w:val="Italic"/>
        </w:rPr>
        <w:t xml:space="preserve">Crimes Act 1958 </w:t>
      </w:r>
      <w:r>
        <w:t>(Vic) s 76.</w:t>
      </w:r>
    </w:p>
  </w:footnote>
  <w:footnote w:id="26">
    <w:p w14:paraId="4F411B7B" w14:textId="0A600915" w:rsidR="005801E0" w:rsidRDefault="005801E0" w:rsidP="001528AF">
      <w:pPr>
        <w:pStyle w:val="Footnote"/>
      </w:pPr>
      <w:r>
        <w:rPr>
          <w:vertAlign w:val="superscript"/>
        </w:rPr>
        <w:footnoteRef/>
      </w:r>
      <w:r>
        <w:t>.</w:t>
      </w:r>
      <w:r>
        <w:tab/>
      </w:r>
      <w:r>
        <w:rPr>
          <w:rStyle w:val="Italic"/>
        </w:rPr>
        <w:t xml:space="preserve">Drugs, Poisons and Controlled Substances Act 1981 </w:t>
      </w:r>
      <w:r>
        <w:t>(Vic) s 71AC.</w:t>
      </w:r>
    </w:p>
  </w:footnote>
  <w:footnote w:id="27">
    <w:p w14:paraId="0A5ADFEF" w14:textId="21491D82" w:rsidR="005801E0" w:rsidRDefault="005801E0" w:rsidP="001528AF">
      <w:pPr>
        <w:pStyle w:val="Footnote"/>
      </w:pPr>
      <w:r>
        <w:rPr>
          <w:vertAlign w:val="superscript"/>
        </w:rPr>
        <w:footnoteRef/>
      </w:r>
      <w:r>
        <w:t>.</w:t>
      </w:r>
      <w:r>
        <w:tab/>
      </w:r>
      <w:r>
        <w:rPr>
          <w:rStyle w:val="Italic"/>
        </w:rPr>
        <w:t xml:space="preserve">Control of Weapons Act 1990 </w:t>
      </w:r>
      <w:r>
        <w:t>(Vic) s 6(1).</w:t>
      </w:r>
    </w:p>
  </w:footnote>
  <w:footnote w:id="28">
    <w:p w14:paraId="472FD373" w14:textId="0CFDC485" w:rsidR="005801E0" w:rsidRDefault="005801E0" w:rsidP="001528AF">
      <w:pPr>
        <w:pStyle w:val="Footnote"/>
      </w:pPr>
      <w:r>
        <w:rPr>
          <w:vertAlign w:val="superscript"/>
        </w:rPr>
        <w:footnoteRef/>
      </w:r>
      <w:r>
        <w:t>.</w:t>
      </w:r>
      <w:r>
        <w:tab/>
      </w:r>
      <w:r>
        <w:rPr>
          <w:rStyle w:val="Italic"/>
        </w:rPr>
        <w:t xml:space="preserve">Crimes Act 1958 </w:t>
      </w:r>
      <w:r>
        <w:t>(Vic) s 18.</w:t>
      </w:r>
    </w:p>
  </w:footnote>
  <w:footnote w:id="29">
    <w:p w14:paraId="0A590409" w14:textId="7E68CFF2" w:rsidR="005801E0" w:rsidRDefault="005801E0" w:rsidP="001528AF">
      <w:pPr>
        <w:pStyle w:val="Footnote"/>
      </w:pPr>
      <w:r>
        <w:rPr>
          <w:vertAlign w:val="superscript"/>
        </w:rPr>
        <w:footnoteRef/>
      </w:r>
      <w:r>
        <w:t>.</w:t>
      </w:r>
      <w:r>
        <w:tab/>
        <w:t>There was one case where the principal offence was unknown.</w:t>
      </w:r>
    </w:p>
  </w:footnote>
  <w:footnote w:id="30">
    <w:p w14:paraId="5748E38D" w14:textId="15FE6882" w:rsidR="005801E0" w:rsidRDefault="005801E0" w:rsidP="001528AF">
      <w:pPr>
        <w:pStyle w:val="Footnote"/>
      </w:pPr>
      <w:r>
        <w:rPr>
          <w:vertAlign w:val="superscript"/>
        </w:rPr>
        <w:footnoteRef/>
      </w:r>
      <w:r>
        <w:t>.</w:t>
      </w:r>
      <w:r>
        <w:tab/>
        <w:t xml:space="preserve">The most common of these was armed robbery (287 cases): </w:t>
      </w:r>
      <w:r>
        <w:rPr>
          <w:rStyle w:val="Italic"/>
        </w:rPr>
        <w:t xml:space="preserve">Crimes Act 1958 </w:t>
      </w:r>
      <w:r>
        <w:t>(Vic) s 75A.</w:t>
      </w:r>
    </w:p>
  </w:footnote>
  <w:footnote w:id="31">
    <w:p w14:paraId="387D2A56" w14:textId="5BFC04CA" w:rsidR="005801E0" w:rsidRDefault="005801E0" w:rsidP="001528AF">
      <w:pPr>
        <w:pStyle w:val="Footnote"/>
      </w:pPr>
      <w:r>
        <w:rPr>
          <w:vertAlign w:val="superscript"/>
        </w:rPr>
        <w:footnoteRef/>
      </w:r>
      <w:r>
        <w:t>.</w:t>
      </w:r>
      <w:r>
        <w:tab/>
        <w:t xml:space="preserve">The most common of these was intentionally causing injury (136 cases): </w:t>
      </w:r>
      <w:r>
        <w:rPr>
          <w:rStyle w:val="Italic"/>
        </w:rPr>
        <w:t xml:space="preserve">Crimes Act 1958 </w:t>
      </w:r>
      <w:r>
        <w:t>(Vic) s 18.</w:t>
      </w:r>
    </w:p>
  </w:footnote>
  <w:footnote w:id="32">
    <w:p w14:paraId="5C5E0A35" w14:textId="6E5090BF" w:rsidR="005801E0" w:rsidRDefault="005801E0" w:rsidP="001528AF">
      <w:pPr>
        <w:pStyle w:val="Footnote"/>
      </w:pPr>
      <w:r>
        <w:rPr>
          <w:vertAlign w:val="superscript"/>
        </w:rPr>
        <w:footnoteRef/>
      </w:r>
      <w:r>
        <w:t>.</w:t>
      </w:r>
      <w:r>
        <w:tab/>
        <w:t xml:space="preserve">The most common of these was aggravated burglary (123 cases): </w:t>
      </w:r>
      <w:r>
        <w:rPr>
          <w:rStyle w:val="Italic"/>
        </w:rPr>
        <w:t xml:space="preserve">Crimes Act 1958 </w:t>
      </w:r>
      <w:r>
        <w:t>(Vic) s 77.</w:t>
      </w:r>
    </w:p>
  </w:footnote>
  <w:footnote w:id="33">
    <w:p w14:paraId="72201611" w14:textId="23CDE7A6" w:rsidR="005801E0" w:rsidRDefault="005801E0" w:rsidP="001528AF">
      <w:pPr>
        <w:pStyle w:val="Footnote"/>
      </w:pPr>
      <w:r>
        <w:rPr>
          <w:vertAlign w:val="superscript"/>
        </w:rPr>
        <w:footnoteRef/>
      </w:r>
      <w:r>
        <w:t>.</w:t>
      </w:r>
      <w:r>
        <w:tab/>
        <w:t xml:space="preserve">The most common of these was sexual penetration of a child aged under 16 (53 cases): </w:t>
      </w:r>
      <w:r>
        <w:rPr>
          <w:rStyle w:val="Italic"/>
        </w:rPr>
        <w:t xml:space="preserve">Crimes Act 1958 </w:t>
      </w:r>
      <w:r>
        <w:t>(Vic) ss 49A, 49B (and repealed versions of the same offences).</w:t>
      </w:r>
    </w:p>
  </w:footnote>
  <w:footnote w:id="34">
    <w:p w14:paraId="738861F3" w14:textId="637A486D" w:rsidR="005801E0" w:rsidRDefault="005801E0" w:rsidP="008C305F">
      <w:pPr>
        <w:pStyle w:val="Footnote"/>
      </w:pPr>
      <w:r>
        <w:rPr>
          <w:vertAlign w:val="superscript"/>
        </w:rPr>
        <w:footnoteRef/>
      </w:r>
      <w:r>
        <w:t>.</w:t>
      </w:r>
      <w:r>
        <w:tab/>
        <w:t>The prevalence of these offence types in all cases in the higher courts was as follows: robbery offences (14.1%), acts intended to cause injury (14.8%), drug-related offences (16.9%), burglary offences (7.6%) and sex offences (18.4%). Therefore, relative to all sentenced cases in the higher courts, robbery offences and acts intended to cause injury comprise a particularly high proportion of combined order cases. Sex offences, on the other hand, are substantially less prevalent among combined order cases than among all cases.</w:t>
      </w:r>
    </w:p>
  </w:footnote>
  <w:footnote w:id="35">
    <w:p w14:paraId="17857FBD" w14:textId="6539697E" w:rsidR="005801E0" w:rsidRDefault="005801E0" w:rsidP="008C305F">
      <w:pPr>
        <w:pStyle w:val="Footnote"/>
      </w:pPr>
      <w:r>
        <w:rPr>
          <w:vertAlign w:val="superscript"/>
        </w:rPr>
        <w:footnoteRef/>
      </w:r>
      <w:r>
        <w:t>.</w:t>
      </w:r>
      <w:r>
        <w:tab/>
        <w:t xml:space="preserve">In mid-2015, the Magistrates’ Court began linking its database with Victorian Police’s LEAP system to import the ‘family violence indicator’, which indicates that one or more offences in a case involved family violence: Sentencing Advisory Council, </w:t>
      </w:r>
      <w:r>
        <w:rPr>
          <w:rStyle w:val="Italic"/>
        </w:rPr>
        <w:t xml:space="preserve">Swift, Certain and Fair Approaches to Sentencing Family Violence Offenders: Discussion Paper </w:t>
      </w:r>
      <w:r>
        <w:t>(2017) 34.</w:t>
      </w:r>
    </w:p>
  </w:footnote>
  <w:footnote w:id="36">
    <w:p w14:paraId="5AC0EF3C" w14:textId="5DB305A1" w:rsidR="005801E0" w:rsidRDefault="005801E0" w:rsidP="00CA62C1">
      <w:pPr>
        <w:pStyle w:val="Footnote"/>
      </w:pPr>
      <w:r>
        <w:rPr>
          <w:vertAlign w:val="superscript"/>
        </w:rPr>
        <w:footnoteRef/>
      </w:r>
      <w:r>
        <w:t>.</w:t>
      </w:r>
      <w:r>
        <w:tab/>
        <w:t xml:space="preserve">Prior to CCOs coming into operation, courts could impose a combination of up to 3 months’ imprisonment with what was previously known as a community-based order: </w:t>
      </w:r>
      <w:r>
        <w:rPr>
          <w:rStyle w:val="Italic"/>
        </w:rPr>
        <w:t xml:space="preserve">Sentencing Act 1991 </w:t>
      </w:r>
      <w:r>
        <w:t>(Vic) s 36(2) (repealed).</w:t>
      </w:r>
    </w:p>
  </w:footnote>
  <w:footnote w:id="37">
    <w:p w14:paraId="34A7ACF9" w14:textId="37EBD358" w:rsidR="005801E0" w:rsidRDefault="005801E0" w:rsidP="00CA62C1">
      <w:pPr>
        <w:pStyle w:val="Footnote"/>
      </w:pPr>
      <w:r>
        <w:rPr>
          <w:vertAlign w:val="superscript"/>
        </w:rPr>
        <w:footnoteRef/>
      </w:r>
      <w:r>
        <w:t>.</w:t>
      </w:r>
      <w:r>
        <w:tab/>
        <w:t xml:space="preserve">As amended by section 18(1) of the </w:t>
      </w:r>
      <w:r>
        <w:rPr>
          <w:rStyle w:val="Italic"/>
        </w:rPr>
        <w:t xml:space="preserve">Sentencing Amendment (Emergency Workers) Act 2014 </w:t>
      </w:r>
      <w:r>
        <w:t xml:space="preserve">(Vic). </w:t>
      </w:r>
    </w:p>
  </w:footnote>
  <w:footnote w:id="38">
    <w:p w14:paraId="60FF2802" w14:textId="6D17B959" w:rsidR="005801E0" w:rsidRDefault="005801E0" w:rsidP="00CA62C1">
      <w:pPr>
        <w:pStyle w:val="Footnote"/>
      </w:pPr>
      <w:r>
        <w:rPr>
          <w:vertAlign w:val="superscript"/>
        </w:rPr>
        <w:footnoteRef/>
      </w:r>
      <w:r>
        <w:t>.</w:t>
      </w:r>
      <w:r>
        <w:tab/>
        <w:t xml:space="preserve">Victoria, </w:t>
      </w:r>
      <w:r>
        <w:rPr>
          <w:rStyle w:val="Italic"/>
        </w:rPr>
        <w:t>Parliamentary Debates</w:t>
      </w:r>
      <w:r>
        <w:t>, Legislative Assembly, 26 June 2014, 2399 (Robert Clark, Attorney-General).</w:t>
      </w:r>
    </w:p>
  </w:footnote>
  <w:footnote w:id="39">
    <w:p w14:paraId="4645E180" w14:textId="422E7821" w:rsidR="005801E0" w:rsidRDefault="005801E0" w:rsidP="00CA62C1">
      <w:pPr>
        <w:pStyle w:val="Footnote"/>
      </w:pPr>
      <w:r>
        <w:rPr>
          <w:vertAlign w:val="superscript"/>
        </w:rPr>
        <w:footnoteRef/>
      </w:r>
      <w:r>
        <w:t>.</w:t>
      </w:r>
      <w:r>
        <w:tab/>
      </w:r>
      <w:r>
        <w:rPr>
          <w:rStyle w:val="Italic"/>
        </w:rPr>
        <w:t xml:space="preserve">Sentencing (Community Correction Order) and Other Acts Amendment Act 2016 </w:t>
      </w:r>
      <w:r>
        <w:t xml:space="preserve">(Vic) s 12. There is one exception where courts may impose imprisonment of </w:t>
      </w:r>
      <w:r>
        <w:rPr>
          <w:rStyle w:val="Italic"/>
        </w:rPr>
        <w:t xml:space="preserve">any </w:t>
      </w:r>
      <w:r>
        <w:t xml:space="preserve">length with a CCO, and that is when </w:t>
      </w:r>
      <w:r>
        <w:rPr>
          <w:spacing w:val="-1"/>
        </w:rPr>
        <w:t xml:space="preserve">someone is being sentenced for one or more ‘arson offences’ as defined in clause 5 of Schedule 1 of </w:t>
      </w:r>
      <w:r>
        <w:t xml:space="preserve">the </w:t>
      </w:r>
      <w:r>
        <w:rPr>
          <w:rStyle w:val="Italic"/>
        </w:rPr>
        <w:t xml:space="preserve">Sentencing Act 1991 </w:t>
      </w:r>
      <w:r>
        <w:t xml:space="preserve">(Vic): see s 44(1A). See, for example, </w:t>
      </w:r>
      <w:proofErr w:type="spellStart"/>
      <w:r>
        <w:rPr>
          <w:rStyle w:val="Italic"/>
        </w:rPr>
        <w:t>Tannous</w:t>
      </w:r>
      <w:proofErr w:type="spellEnd"/>
      <w:r>
        <w:rPr>
          <w:rStyle w:val="Italic"/>
        </w:rPr>
        <w:t xml:space="preserve"> v The Queen </w:t>
      </w:r>
      <w:r>
        <w:t xml:space="preserve">[2017] VSCA 91 (imposing a 4-year prison sentence with a 4-year CCO to commence on release, and no non-parole period). While this carve-out for arson offences is not functionally limited to </w:t>
      </w:r>
      <w:proofErr w:type="spellStart"/>
      <w:r>
        <w:t>behaviour</w:t>
      </w:r>
      <w:proofErr w:type="spellEnd"/>
      <w:r>
        <w:t xml:space="preserve"> causing or risking bushfires, that appears to have been the intended target of this exception to the maximum duration of imprisonment: Victoria, </w:t>
      </w:r>
      <w:r>
        <w:rPr>
          <w:rStyle w:val="Italic"/>
        </w:rPr>
        <w:t>Parliamentary Debates</w:t>
      </w:r>
      <w:r>
        <w:t>, Legislative Assembly, 26 June 2014, 2399 (Robert Clark, Attorney-General).</w:t>
      </w:r>
    </w:p>
  </w:footnote>
  <w:footnote w:id="40">
    <w:p w14:paraId="58327FEF" w14:textId="0BC359F1" w:rsidR="005801E0" w:rsidRDefault="005801E0" w:rsidP="00CA62C1">
      <w:pPr>
        <w:pStyle w:val="Footnote"/>
      </w:pPr>
      <w:r>
        <w:rPr>
          <w:vertAlign w:val="superscript"/>
        </w:rPr>
        <w:footnoteRef/>
      </w:r>
      <w:r>
        <w:t>.</w:t>
      </w:r>
      <w:r>
        <w:tab/>
        <w:t xml:space="preserve">Victoria, </w:t>
      </w:r>
      <w:r>
        <w:rPr>
          <w:rStyle w:val="Italic"/>
        </w:rPr>
        <w:t>Parliamentary Debates</w:t>
      </w:r>
      <w:r>
        <w:t xml:space="preserve">, Legislative Assembly, 13 October 2016, 3861 (Martin </w:t>
      </w:r>
      <w:proofErr w:type="spellStart"/>
      <w:r>
        <w:t>Pakula</w:t>
      </w:r>
      <w:proofErr w:type="spellEnd"/>
      <w:r>
        <w:t xml:space="preserve">, Attorney-General). Although not referenced in the second reading speech and not the apparent basis for the reduction, numerous calls were made by the Court of Appeal for the government to review the 2-year maximum duration of imprisonment in combined orders given the confusion it had caused between CCOs and parole: see </w:t>
      </w:r>
      <w:proofErr w:type="spellStart"/>
      <w:r>
        <w:rPr>
          <w:rStyle w:val="Italic"/>
        </w:rPr>
        <w:t>Dordevic</w:t>
      </w:r>
      <w:proofErr w:type="spellEnd"/>
      <w:r>
        <w:rPr>
          <w:rStyle w:val="Italic"/>
        </w:rPr>
        <w:t xml:space="preserve"> v The Queen </w:t>
      </w:r>
      <w:r>
        <w:t xml:space="preserve">[2016] VSCA 166, [33]; </w:t>
      </w:r>
      <w:r>
        <w:rPr>
          <w:rStyle w:val="Italic"/>
        </w:rPr>
        <w:t xml:space="preserve">DPP v Basic </w:t>
      </w:r>
      <w:r>
        <w:t xml:space="preserve">[2016] VSCA 99, [35]; </w:t>
      </w:r>
      <w:r>
        <w:rPr>
          <w:rStyle w:val="Italic"/>
        </w:rPr>
        <w:t xml:space="preserve">DPP v </w:t>
      </w:r>
      <w:proofErr w:type="spellStart"/>
      <w:r>
        <w:rPr>
          <w:rStyle w:val="Italic"/>
        </w:rPr>
        <w:t>Grech</w:t>
      </w:r>
      <w:proofErr w:type="spellEnd"/>
      <w:r>
        <w:rPr>
          <w:rStyle w:val="Italic"/>
        </w:rPr>
        <w:t xml:space="preserve"> </w:t>
      </w:r>
      <w:r>
        <w:t xml:space="preserve">[2016] VSCA 98, [75]; </w:t>
      </w:r>
      <w:r>
        <w:rPr>
          <w:rStyle w:val="Italic"/>
        </w:rPr>
        <w:t xml:space="preserve">Debono v The Queen </w:t>
      </w:r>
      <w:r>
        <w:t xml:space="preserve">[2016] VSCA 16, [13]; </w:t>
      </w:r>
      <w:r>
        <w:rPr>
          <w:rStyle w:val="Italic"/>
        </w:rPr>
        <w:t xml:space="preserve">Deng-Mabior v The Queen </w:t>
      </w:r>
      <w:r>
        <w:t>[2015] VSCA 179, [38].</w:t>
      </w:r>
    </w:p>
  </w:footnote>
  <w:footnote w:id="41">
    <w:p w14:paraId="7F4A867A" w14:textId="605E1EC2" w:rsidR="005801E0" w:rsidRDefault="005801E0" w:rsidP="00CA62C1">
      <w:pPr>
        <w:pStyle w:val="Footnote"/>
      </w:pPr>
      <w:r>
        <w:rPr>
          <w:vertAlign w:val="superscript"/>
        </w:rPr>
        <w:footnoteRef/>
      </w:r>
      <w:r>
        <w:t>.</w:t>
      </w:r>
      <w:r>
        <w:tab/>
      </w:r>
      <w:proofErr w:type="spellStart"/>
      <w:r>
        <w:rPr>
          <w:rStyle w:val="Italic"/>
        </w:rPr>
        <w:t>Dordevic</w:t>
      </w:r>
      <w:proofErr w:type="spellEnd"/>
      <w:r>
        <w:rPr>
          <w:rStyle w:val="Italic"/>
        </w:rPr>
        <w:t xml:space="preserve"> v The Queen </w:t>
      </w:r>
      <w:r>
        <w:t>[2016] VSCA 166, [33].</w:t>
      </w:r>
    </w:p>
  </w:footnote>
  <w:footnote w:id="42">
    <w:p w14:paraId="0CA1CD5B" w14:textId="15CED8C3" w:rsidR="005801E0" w:rsidRDefault="005801E0" w:rsidP="00CA62C1">
      <w:pPr>
        <w:pStyle w:val="Footnote"/>
      </w:pPr>
      <w:r>
        <w:rPr>
          <w:vertAlign w:val="superscript"/>
        </w:rPr>
        <w:footnoteRef/>
      </w:r>
      <w:r>
        <w:t>.</w:t>
      </w:r>
      <w:r>
        <w:tab/>
        <w:t xml:space="preserve">See </w:t>
      </w:r>
      <w:r>
        <w:rPr>
          <w:rStyle w:val="Italic"/>
        </w:rPr>
        <w:t xml:space="preserve">DPP v </w:t>
      </w:r>
      <w:proofErr w:type="spellStart"/>
      <w:r>
        <w:rPr>
          <w:rStyle w:val="Italic"/>
        </w:rPr>
        <w:t>Hudgson</w:t>
      </w:r>
      <w:proofErr w:type="spellEnd"/>
      <w:r>
        <w:rPr>
          <w:rStyle w:val="Italic"/>
        </w:rPr>
        <w:t xml:space="preserve"> </w:t>
      </w:r>
      <w:r>
        <w:t xml:space="preserve">[2016] VSCA 254, [27]–[37]; </w:t>
      </w:r>
      <w:r>
        <w:rPr>
          <w:rStyle w:val="Italic"/>
        </w:rPr>
        <w:t xml:space="preserve">Pang v The Queen </w:t>
      </w:r>
      <w:r>
        <w:t>[2019] VSCA 56, [63]–[64].</w:t>
      </w:r>
    </w:p>
  </w:footnote>
  <w:footnote w:id="43">
    <w:p w14:paraId="2F8EA44C" w14:textId="3B5E73FA" w:rsidR="005801E0" w:rsidRDefault="005801E0" w:rsidP="00CA62C1">
      <w:pPr>
        <w:pStyle w:val="Footnote"/>
      </w:pPr>
      <w:r>
        <w:rPr>
          <w:vertAlign w:val="superscript"/>
        </w:rPr>
        <w:footnoteRef/>
      </w:r>
      <w:r>
        <w:t>.</w:t>
      </w:r>
      <w:r>
        <w:tab/>
      </w:r>
      <w:r>
        <w:rPr>
          <w:rStyle w:val="Italic"/>
        </w:rPr>
        <w:t xml:space="preserve">Sentencing Act 1991 </w:t>
      </w:r>
      <w:r>
        <w:t>(Vic) s 11(1)(b).</w:t>
      </w:r>
    </w:p>
  </w:footnote>
  <w:footnote w:id="44">
    <w:p w14:paraId="09920E0E" w14:textId="31940E12" w:rsidR="005801E0" w:rsidRDefault="005801E0" w:rsidP="00CA62C1">
      <w:pPr>
        <w:pStyle w:val="Footnote"/>
      </w:pPr>
      <w:r>
        <w:rPr>
          <w:vertAlign w:val="superscript"/>
        </w:rPr>
        <w:footnoteRef/>
      </w:r>
      <w:r>
        <w:t>.</w:t>
      </w:r>
      <w:r>
        <w:tab/>
        <w:t xml:space="preserve">Section 44 of the </w:t>
      </w:r>
      <w:r>
        <w:rPr>
          <w:rStyle w:val="Italic"/>
        </w:rPr>
        <w:t xml:space="preserve">Sentencing Act 1991 </w:t>
      </w:r>
      <w:r>
        <w:t>(Vic) places a limit on the imprisonment lengths in combined orders, but pre-sentence detention (time spent on remand) does not count towards that limit.</w:t>
      </w:r>
    </w:p>
  </w:footnote>
  <w:footnote w:id="45">
    <w:p w14:paraId="6AF029F1" w14:textId="17EC909F" w:rsidR="005801E0" w:rsidRDefault="005801E0" w:rsidP="00CA62C1">
      <w:pPr>
        <w:pStyle w:val="Footnote"/>
      </w:pPr>
      <w:r>
        <w:rPr>
          <w:vertAlign w:val="superscript"/>
        </w:rPr>
        <w:footnoteRef/>
      </w:r>
      <w:r>
        <w:t>.</w:t>
      </w:r>
      <w:r>
        <w:tab/>
      </w:r>
      <w:r>
        <w:rPr>
          <w:rStyle w:val="Italic"/>
        </w:rPr>
        <w:t xml:space="preserve">Sentencing Act 1991 </w:t>
      </w:r>
      <w:r>
        <w:t>(Vic) s 11(2A).</w:t>
      </w:r>
    </w:p>
  </w:footnote>
  <w:footnote w:id="46">
    <w:p w14:paraId="1DE308CD" w14:textId="6974F38F" w:rsidR="005801E0" w:rsidRDefault="005801E0" w:rsidP="00CA62C1">
      <w:pPr>
        <w:pStyle w:val="Footnote"/>
      </w:pPr>
      <w:r>
        <w:rPr>
          <w:vertAlign w:val="superscript"/>
        </w:rPr>
        <w:footnoteRef/>
      </w:r>
      <w:r>
        <w:t>.</w:t>
      </w:r>
      <w:r>
        <w:tab/>
      </w:r>
      <w:r>
        <w:rPr>
          <w:rStyle w:val="Italic"/>
        </w:rPr>
        <w:t xml:space="preserve">R v Dunn </w:t>
      </w:r>
      <w:r>
        <w:t>[2020] VSC 708, [25]–[40].</w:t>
      </w:r>
    </w:p>
  </w:footnote>
  <w:footnote w:id="47">
    <w:p w14:paraId="7C0A5485" w14:textId="62BDAC48" w:rsidR="005801E0" w:rsidRDefault="005801E0" w:rsidP="00081A91">
      <w:pPr>
        <w:pStyle w:val="Footnote"/>
      </w:pPr>
      <w:r>
        <w:rPr>
          <w:vertAlign w:val="superscript"/>
        </w:rPr>
        <w:footnoteRef/>
      </w:r>
      <w:r>
        <w:t>.</w:t>
      </w:r>
      <w:r>
        <w:tab/>
      </w:r>
      <w:proofErr w:type="spellStart"/>
      <w:r>
        <w:rPr>
          <w:rStyle w:val="Italic"/>
        </w:rPr>
        <w:t>Dordevic</w:t>
      </w:r>
      <w:proofErr w:type="spellEnd"/>
      <w:r>
        <w:rPr>
          <w:rStyle w:val="Italic"/>
        </w:rPr>
        <w:t xml:space="preserve"> v The Queen </w:t>
      </w:r>
      <w:r>
        <w:t>[2016] VSCA 166, [33].</w:t>
      </w:r>
    </w:p>
  </w:footnote>
  <w:footnote w:id="48">
    <w:p w14:paraId="063B3025" w14:textId="2187319B" w:rsidR="005801E0" w:rsidRDefault="005801E0" w:rsidP="00081A91">
      <w:pPr>
        <w:pStyle w:val="Footnote"/>
      </w:pPr>
      <w:r>
        <w:rPr>
          <w:vertAlign w:val="superscript"/>
        </w:rPr>
        <w:footnoteRef/>
      </w:r>
      <w:r>
        <w:t>.</w:t>
      </w:r>
      <w:r>
        <w:tab/>
        <w:t>Sentencing Advisory Council (2020), above n 14.</w:t>
      </w:r>
    </w:p>
  </w:footnote>
  <w:footnote w:id="49">
    <w:p w14:paraId="0B12F463" w14:textId="4601CCE8" w:rsidR="005801E0" w:rsidRDefault="005801E0" w:rsidP="002951B2">
      <w:pPr>
        <w:pStyle w:val="Footnote"/>
      </w:pPr>
      <w:r>
        <w:rPr>
          <w:vertAlign w:val="superscript"/>
        </w:rPr>
        <w:footnoteRef/>
      </w:r>
      <w:r>
        <w:t>.</w:t>
      </w:r>
      <w:r>
        <w:tab/>
      </w:r>
      <w:r>
        <w:rPr>
          <w:rStyle w:val="Italic"/>
        </w:rPr>
        <w:t xml:space="preserve">Sentencing Act 1991 </w:t>
      </w:r>
      <w:r>
        <w:t xml:space="preserve">(Vic) s 18. As the Court of Appeal recently observed, calculating pre-sentence detention is usually straightforward, but it can be complex ‘where an offender is sentenced for different offences at different times’: </w:t>
      </w:r>
      <w:r>
        <w:rPr>
          <w:rStyle w:val="Italic"/>
        </w:rPr>
        <w:t xml:space="preserve">Seiler v The King </w:t>
      </w:r>
      <w:r>
        <w:t>[2023] VSCA 171, [26]–[27].</w:t>
      </w:r>
    </w:p>
  </w:footnote>
  <w:footnote w:id="50">
    <w:p w14:paraId="44D38CBC" w14:textId="725D5D01" w:rsidR="005801E0" w:rsidRDefault="005801E0" w:rsidP="00C4631F">
      <w:pPr>
        <w:pStyle w:val="Footnote"/>
      </w:pPr>
      <w:r>
        <w:rPr>
          <w:vertAlign w:val="superscript"/>
        </w:rPr>
        <w:footnoteRef/>
      </w:r>
      <w:r>
        <w:t>.</w:t>
      </w:r>
      <w:r>
        <w:tab/>
      </w:r>
      <w:r>
        <w:rPr>
          <w:spacing w:val="-1"/>
        </w:rPr>
        <w:t xml:space="preserve">This specifically does not include youth justice centre orders: </w:t>
      </w:r>
      <w:r>
        <w:rPr>
          <w:rStyle w:val="Italic"/>
          <w:spacing w:val="-1"/>
        </w:rPr>
        <w:t xml:space="preserve">Scammell v The Queen </w:t>
      </w:r>
      <w:r>
        <w:rPr>
          <w:spacing w:val="-1"/>
        </w:rPr>
        <w:t xml:space="preserve">[2015] VSCA 206, </w:t>
      </w:r>
      <w:r>
        <w:t xml:space="preserve">[20]; </w:t>
      </w:r>
      <w:r>
        <w:rPr>
          <w:rStyle w:val="Italic"/>
        </w:rPr>
        <w:t xml:space="preserve">Bradshaw v The Queen </w:t>
      </w:r>
      <w:r>
        <w:t xml:space="preserve">[2017] VSCA 273, [54]; </w:t>
      </w:r>
      <w:r>
        <w:rPr>
          <w:rStyle w:val="Italic"/>
        </w:rPr>
        <w:t xml:space="preserve">Guo v The Queen </w:t>
      </w:r>
      <w:r>
        <w:t>[2020] VSCA 273, [30]–[31].</w:t>
      </w:r>
    </w:p>
  </w:footnote>
  <w:footnote w:id="51">
    <w:p w14:paraId="02CAD9BF" w14:textId="77777777" w:rsidR="005801E0" w:rsidRDefault="005801E0" w:rsidP="005801E0">
      <w:pPr>
        <w:pStyle w:val="Footnote"/>
      </w:pPr>
      <w:r>
        <w:rPr>
          <w:vertAlign w:val="superscript"/>
        </w:rPr>
        <w:footnoteRef/>
      </w:r>
      <w:r>
        <w:t>.</w:t>
      </w:r>
      <w:r>
        <w:tab/>
        <w:t xml:space="preserve">Section 44(1) of the </w:t>
      </w:r>
      <w:r>
        <w:rPr>
          <w:rStyle w:val="Italic"/>
        </w:rPr>
        <w:t xml:space="preserve">Sentencing Act 1991 </w:t>
      </w:r>
      <w:r>
        <w:t>(Vic) reads:</w:t>
      </w:r>
    </w:p>
    <w:p w14:paraId="78629D99" w14:textId="76B34D73" w:rsidR="005801E0" w:rsidRPr="002E6D89" w:rsidRDefault="005801E0" w:rsidP="002E6D89">
      <w:pPr>
        <w:pStyle w:val="Footnote"/>
        <w:ind w:left="908"/>
        <w:rPr>
          <w:sz w:val="18"/>
          <w:szCs w:val="18"/>
        </w:rPr>
      </w:pPr>
      <w:r w:rsidRPr="00C4631F">
        <w:rPr>
          <w:sz w:val="18"/>
          <w:szCs w:val="18"/>
        </w:rPr>
        <w:t>(1)</w:t>
      </w:r>
      <w:r w:rsidRPr="00C4631F">
        <w:rPr>
          <w:sz w:val="18"/>
          <w:szCs w:val="18"/>
        </w:rPr>
        <w:tab/>
        <w:t>Subject to any specific provision relating to the offence, when sentencing an offender in respect of one, or more than one, offence (other than an offence to which clause 5 of Schedule 1 applies), a court may make a community correction order in addition to imposing a sentence of imprisonment only if the sum of all the terms of imprisonment to be served (after deduction of any period of custody that under section 18 is reckoned to be a period of imprisonment or detention already served) is one year or less.</w:t>
      </w:r>
    </w:p>
  </w:footnote>
  <w:footnote w:id="52">
    <w:p w14:paraId="7A44FE93" w14:textId="77777777" w:rsidR="005801E0" w:rsidRDefault="005801E0" w:rsidP="005801E0">
      <w:pPr>
        <w:pStyle w:val="Footnote"/>
      </w:pPr>
      <w:r>
        <w:rPr>
          <w:vertAlign w:val="superscript"/>
        </w:rPr>
        <w:footnoteRef/>
      </w:r>
      <w:r>
        <w:t>.</w:t>
      </w:r>
      <w:r>
        <w:tab/>
        <w:t xml:space="preserve">Time spent on remand does not count towards this maximum: </w:t>
      </w:r>
      <w:r>
        <w:rPr>
          <w:rStyle w:val="Italic"/>
        </w:rPr>
        <w:t xml:space="preserve">Sentencing Act 1991 </w:t>
      </w:r>
      <w:r>
        <w:t xml:space="preserve">(Vic) s 44(1); </w:t>
      </w:r>
      <w:r>
        <w:rPr>
          <w:rStyle w:val="Italic"/>
        </w:rPr>
        <w:t xml:space="preserve">Younger v The Queen </w:t>
      </w:r>
      <w:r>
        <w:t xml:space="preserve">[2017] VSCA 199, [64]; </w:t>
      </w:r>
      <w:r>
        <w:rPr>
          <w:rStyle w:val="Italic"/>
        </w:rPr>
        <w:t xml:space="preserve">Williams v The Queen </w:t>
      </w:r>
      <w:r>
        <w:t xml:space="preserve">[2018] VSCA 171, [36]. As the Supreme Court observed in </w:t>
      </w:r>
      <w:r>
        <w:rPr>
          <w:rStyle w:val="Italic"/>
        </w:rPr>
        <w:t xml:space="preserve">R v Dunn </w:t>
      </w:r>
      <w:r>
        <w:t xml:space="preserve">[2020] VSC 708, [12]: </w:t>
      </w:r>
    </w:p>
    <w:p w14:paraId="43E74151" w14:textId="51AFEC93" w:rsidR="005801E0" w:rsidRPr="0041573A" w:rsidRDefault="00EB5EBA" w:rsidP="0041573A">
      <w:pPr>
        <w:pStyle w:val="Footnote"/>
        <w:ind w:left="908"/>
        <w:rPr>
          <w:sz w:val="18"/>
          <w:szCs w:val="18"/>
        </w:rPr>
      </w:pPr>
      <w:r>
        <w:rPr>
          <w:sz w:val="18"/>
          <w:szCs w:val="18"/>
        </w:rPr>
        <w:tab/>
      </w:r>
      <w:r w:rsidR="005801E0" w:rsidRPr="0041573A">
        <w:rPr>
          <w:sz w:val="18"/>
          <w:szCs w:val="18"/>
        </w:rPr>
        <w:t xml:space="preserve">it makes no difference how much time the offender has spent on remand before sentence. Instead, for the purposes of the applicable ceiling of imprisonment specified in the concluding words of s 44(1), what matters is whether the </w:t>
      </w:r>
      <w:r w:rsidR="005801E0" w:rsidRPr="0041573A">
        <w:rPr>
          <w:rStyle w:val="Italic"/>
          <w:sz w:val="18"/>
          <w:szCs w:val="18"/>
        </w:rPr>
        <w:t>future</w:t>
      </w:r>
      <w:r w:rsidR="005801E0" w:rsidRPr="0041573A">
        <w:rPr>
          <w:sz w:val="18"/>
          <w:szCs w:val="18"/>
        </w:rPr>
        <w:t xml:space="preserve"> period to be served (from the time of the imposition of sentence) is within that ceiling.</w:t>
      </w:r>
    </w:p>
    <w:p w14:paraId="3347F460" w14:textId="2742E0AB" w:rsidR="005801E0" w:rsidRDefault="00D873EF" w:rsidP="00D873EF">
      <w:pPr>
        <w:pStyle w:val="Footnote"/>
      </w:pPr>
      <w:r>
        <w:tab/>
      </w:r>
      <w:r w:rsidR="005801E0">
        <w:t xml:space="preserve">See, for example, </w:t>
      </w:r>
      <w:r w:rsidR="005801E0">
        <w:rPr>
          <w:rStyle w:val="Italic"/>
        </w:rPr>
        <w:t xml:space="preserve">Cooke v The Queen </w:t>
      </w:r>
      <w:r w:rsidR="005801E0">
        <w:t xml:space="preserve">[2021] VSCA 70, [38], in which the offender received a combined order involving a 2.5-year prison term, 1.5 years of which were pre-sentence detention. See also </w:t>
      </w:r>
      <w:proofErr w:type="spellStart"/>
      <w:r w:rsidR="005801E0">
        <w:rPr>
          <w:rStyle w:val="Italic"/>
        </w:rPr>
        <w:t>Luchian</w:t>
      </w:r>
      <w:proofErr w:type="spellEnd"/>
      <w:r w:rsidR="005801E0">
        <w:rPr>
          <w:rStyle w:val="Italic"/>
        </w:rPr>
        <w:t xml:space="preserve"> v The Queen </w:t>
      </w:r>
      <w:r w:rsidR="005801E0">
        <w:t>[2019] VSCA 145, [66].</w:t>
      </w:r>
    </w:p>
  </w:footnote>
  <w:footnote w:id="53">
    <w:p w14:paraId="6D865EED" w14:textId="0F1AA706" w:rsidR="005801E0" w:rsidRDefault="005801E0" w:rsidP="00EA3D9A">
      <w:pPr>
        <w:pStyle w:val="Footnote"/>
      </w:pPr>
      <w:r>
        <w:rPr>
          <w:vertAlign w:val="superscript"/>
        </w:rPr>
        <w:footnoteRef/>
      </w:r>
      <w:r>
        <w:t>.</w:t>
      </w:r>
      <w:r>
        <w:tab/>
        <w:t xml:space="preserve">See </w:t>
      </w:r>
      <w:r>
        <w:rPr>
          <w:rStyle w:val="Italic"/>
        </w:rPr>
        <w:t xml:space="preserve">Sentencing Act 1991 </w:t>
      </w:r>
      <w:r>
        <w:t>(Vic) s 44(3).</w:t>
      </w:r>
    </w:p>
  </w:footnote>
  <w:footnote w:id="54">
    <w:p w14:paraId="0119B609" w14:textId="0C864243" w:rsidR="005801E0" w:rsidRDefault="005801E0" w:rsidP="00EA3D9A">
      <w:pPr>
        <w:pStyle w:val="Footnote"/>
      </w:pPr>
      <w:r>
        <w:rPr>
          <w:vertAlign w:val="superscript"/>
        </w:rPr>
        <w:footnoteRef/>
      </w:r>
      <w:r>
        <w:t>.</w:t>
      </w:r>
      <w:r>
        <w:tab/>
        <w:t xml:space="preserve">One of the consequences of imposing imprisonment and a CCO on separate offences is that if an offender breaches the CCO after release from prison and is to be resentenced, the court can only resentence the offender for the offences to which the CCO applied and must otherwise leave the prison sentences for the other offences untouched: </w:t>
      </w:r>
      <w:r>
        <w:rPr>
          <w:rStyle w:val="Italic"/>
        </w:rPr>
        <w:t xml:space="preserve">Sentencing Act 1991 </w:t>
      </w:r>
      <w:r>
        <w:t>(Vic) s 83AS(1)(c). For the four ‘matters tell[</w:t>
      </w:r>
      <w:proofErr w:type="spellStart"/>
      <w:r>
        <w:t>ing</w:t>
      </w:r>
      <w:proofErr w:type="spellEnd"/>
      <w:r>
        <w:t xml:space="preserve">] in </w:t>
      </w:r>
      <w:proofErr w:type="spellStart"/>
      <w:r>
        <w:t>favour</w:t>
      </w:r>
      <w:proofErr w:type="spellEnd"/>
      <w:r>
        <w:t xml:space="preserve"> of’ this approach, see </w:t>
      </w:r>
      <w:proofErr w:type="spellStart"/>
      <w:r>
        <w:rPr>
          <w:rStyle w:val="Italic"/>
        </w:rPr>
        <w:t>Luu</w:t>
      </w:r>
      <w:proofErr w:type="spellEnd"/>
      <w:r>
        <w:rPr>
          <w:rStyle w:val="Italic"/>
        </w:rPr>
        <w:t xml:space="preserve"> v The Queen </w:t>
      </w:r>
      <w:r>
        <w:t>[2018] VSCA 92, [21].</w:t>
      </w:r>
    </w:p>
  </w:footnote>
  <w:footnote w:id="55">
    <w:p w14:paraId="29B33AE1" w14:textId="15A8B6D8" w:rsidR="005801E0" w:rsidRDefault="005801E0" w:rsidP="00EA3D9A">
      <w:pPr>
        <w:pStyle w:val="Footnote"/>
      </w:pPr>
      <w:r>
        <w:rPr>
          <w:vertAlign w:val="superscript"/>
        </w:rPr>
        <w:footnoteRef/>
      </w:r>
      <w:r>
        <w:t>.</w:t>
      </w:r>
      <w:r>
        <w:tab/>
        <w:t xml:space="preserve">Section 38(2) of the </w:t>
      </w:r>
      <w:r>
        <w:rPr>
          <w:rStyle w:val="Italic"/>
        </w:rPr>
        <w:t xml:space="preserve">Sentencing Act 1991 </w:t>
      </w:r>
      <w:r>
        <w:t>(Vic) provides that ‘[u]</w:t>
      </w:r>
      <w:proofErr w:type="spellStart"/>
      <w:r>
        <w:t>nless</w:t>
      </w:r>
      <w:proofErr w:type="spellEnd"/>
      <w:r>
        <w:t xml:space="preserve"> section 44(3) applies, a community correction order must commence on a date specified by the court that is not later than 3 months after the making of the order’.</w:t>
      </w:r>
    </w:p>
  </w:footnote>
  <w:footnote w:id="56">
    <w:p w14:paraId="3583AB76" w14:textId="3518A7CA" w:rsidR="005801E0" w:rsidRPr="00261F16" w:rsidRDefault="005801E0" w:rsidP="00261F16">
      <w:pPr>
        <w:pStyle w:val="Footnote"/>
        <w:rPr>
          <w:spacing w:val="-1"/>
        </w:rPr>
      </w:pPr>
      <w:r>
        <w:rPr>
          <w:vertAlign w:val="superscript"/>
        </w:rPr>
        <w:footnoteRef/>
      </w:r>
      <w:r>
        <w:t>.</w:t>
      </w:r>
      <w:r>
        <w:tab/>
      </w:r>
      <w:r>
        <w:rPr>
          <w:rStyle w:val="Italic"/>
        </w:rPr>
        <w:t xml:space="preserve">DPP v Wright &amp; Anor </w:t>
      </w:r>
      <w:r>
        <w:t>[2023] VCC 375, [108]. In that case, one of the offences was a category 2 offence (mandating imprisonment unless certain exceptions apply), and the court found itself prohibited from imposing ‘a sentence of imprisonment … in addition to making a community correction order in accordance with section 44’ (</w:t>
      </w:r>
      <w:r>
        <w:rPr>
          <w:rStyle w:val="Italic"/>
        </w:rPr>
        <w:t xml:space="preserve">Sentencing Act 1991 </w:t>
      </w:r>
      <w:r>
        <w:t xml:space="preserve">(Vic) s 5(2H)) not just on the category 2 offence but in the case as a whole. We note that one plausible possibility does not seem to have been expressly considered in </w:t>
      </w:r>
      <w:r>
        <w:rPr>
          <w:rStyle w:val="Italic"/>
        </w:rPr>
        <w:t>Wright</w:t>
      </w:r>
      <w:r>
        <w:t xml:space="preserve">, in particular, the imposition of a prison term for the category 2 offence, but the separate imposition of a combined order of imprisonment with a CCO on the other offences. This could be supported by the court’s reasoning in </w:t>
      </w:r>
      <w:proofErr w:type="spellStart"/>
      <w:r>
        <w:rPr>
          <w:rStyle w:val="Italic"/>
        </w:rPr>
        <w:t>Daniher</w:t>
      </w:r>
      <w:proofErr w:type="spellEnd"/>
      <w:r>
        <w:t xml:space="preserve">, that it would be unusual to ‘impose limitations on the sentencing discretion … simply because [some charges] are on </w:t>
      </w:r>
      <w:r>
        <w:rPr>
          <w:spacing w:val="-1"/>
        </w:rPr>
        <w:t xml:space="preserve">the same indictment as a category 2 offence’: </w:t>
      </w:r>
      <w:r>
        <w:rPr>
          <w:rStyle w:val="Italic"/>
          <w:spacing w:val="-1"/>
        </w:rPr>
        <w:t xml:space="preserve">DPP v </w:t>
      </w:r>
      <w:proofErr w:type="spellStart"/>
      <w:r>
        <w:rPr>
          <w:rStyle w:val="Italic"/>
          <w:spacing w:val="-1"/>
        </w:rPr>
        <w:t>Daniher</w:t>
      </w:r>
      <w:proofErr w:type="spellEnd"/>
      <w:r>
        <w:rPr>
          <w:rStyle w:val="Italic"/>
          <w:spacing w:val="-1"/>
        </w:rPr>
        <w:t xml:space="preserve"> (a pseudonym) </w:t>
      </w:r>
      <w:r>
        <w:rPr>
          <w:spacing w:val="-1"/>
        </w:rPr>
        <w:t>[2020] VCC 945, [65]–[73].</w:t>
      </w:r>
    </w:p>
  </w:footnote>
  <w:footnote w:id="57">
    <w:p w14:paraId="4C3D9A5B" w14:textId="0DE9C415" w:rsidR="005801E0" w:rsidRDefault="005801E0" w:rsidP="00261F16">
      <w:pPr>
        <w:pStyle w:val="Footnote"/>
      </w:pPr>
      <w:r>
        <w:rPr>
          <w:vertAlign w:val="superscript"/>
        </w:rPr>
        <w:footnoteRef/>
      </w:r>
      <w:r>
        <w:t>.</w:t>
      </w:r>
      <w:r>
        <w:tab/>
      </w:r>
      <w:r>
        <w:rPr>
          <w:rStyle w:val="Italic"/>
        </w:rPr>
        <w:t xml:space="preserve">Sentencing Act 1991 </w:t>
      </w:r>
      <w:r>
        <w:t xml:space="preserve">(Vic) ss 5(2G), (2H), as amended by </w:t>
      </w:r>
      <w:r>
        <w:rPr>
          <w:rStyle w:val="Italic"/>
        </w:rPr>
        <w:t xml:space="preserve">Sentencing (Community Correction Order) and Other Acts Amendment Act 2016 </w:t>
      </w:r>
      <w:r>
        <w:t>(Vic) ss 3–4.</w:t>
      </w:r>
    </w:p>
  </w:footnote>
  <w:footnote w:id="58">
    <w:p w14:paraId="20D2ED62" w14:textId="5C1408FB" w:rsidR="005801E0" w:rsidRDefault="005801E0" w:rsidP="00261F16">
      <w:pPr>
        <w:pStyle w:val="Footnote"/>
      </w:pPr>
      <w:r>
        <w:rPr>
          <w:vertAlign w:val="superscript"/>
        </w:rPr>
        <w:footnoteRef/>
      </w:r>
      <w:r>
        <w:t>.</w:t>
      </w:r>
      <w:r>
        <w:tab/>
        <w:t>An additional half-month was added for this analysis, to allow for the possibility of rounding errors.</w:t>
      </w:r>
    </w:p>
  </w:footnote>
  <w:footnote w:id="59">
    <w:p w14:paraId="573B5213" w14:textId="07A97D99" w:rsidR="005801E0" w:rsidRDefault="005801E0" w:rsidP="00261F16">
      <w:pPr>
        <w:pStyle w:val="Footnote"/>
      </w:pPr>
      <w:r>
        <w:rPr>
          <w:vertAlign w:val="superscript"/>
        </w:rPr>
        <w:footnoteRef/>
      </w:r>
      <w:r>
        <w:t>.</w:t>
      </w:r>
      <w:r>
        <w:tab/>
        <w:t>In that 4.5-year period, there were 11,036 combined orders imposed in the Magistrates’ Court, and 21.2% of them involved the imprisonment and CCO being imposed on separate offences (2,337).</w:t>
      </w:r>
    </w:p>
  </w:footnote>
  <w:footnote w:id="60">
    <w:p w14:paraId="3B329906" w14:textId="0C440617" w:rsidR="005801E0" w:rsidRDefault="005801E0" w:rsidP="00261F16">
      <w:pPr>
        <w:pStyle w:val="Footnote"/>
      </w:pPr>
      <w:r>
        <w:rPr>
          <w:vertAlign w:val="superscript"/>
        </w:rPr>
        <w:footnoteRef/>
      </w:r>
      <w:r>
        <w:t>.</w:t>
      </w:r>
      <w:r>
        <w:tab/>
      </w:r>
      <w:r>
        <w:rPr>
          <w:rStyle w:val="Italic"/>
        </w:rPr>
        <w:t xml:space="preserve">Wright v The King </w:t>
      </w:r>
      <w:r>
        <w:t>[2023] VSCA 243.</w:t>
      </w:r>
    </w:p>
  </w:footnote>
  <w:footnote w:id="61">
    <w:p w14:paraId="75C877A9" w14:textId="28AA59FA" w:rsidR="005801E0" w:rsidRDefault="005801E0" w:rsidP="00261F16">
      <w:pPr>
        <w:pStyle w:val="Footnote"/>
      </w:pPr>
      <w:r>
        <w:rPr>
          <w:vertAlign w:val="superscript"/>
        </w:rPr>
        <w:footnoteRef/>
      </w:r>
      <w:r>
        <w:t>.</w:t>
      </w:r>
      <w:r>
        <w:tab/>
      </w:r>
      <w:r>
        <w:rPr>
          <w:rStyle w:val="Italic"/>
        </w:rPr>
        <w:t xml:space="preserve">Wright v The King </w:t>
      </w:r>
      <w:r>
        <w:t>[2023] VSCA 243, [61]–[65].</w:t>
      </w:r>
    </w:p>
  </w:footnote>
  <w:footnote w:id="62">
    <w:p w14:paraId="678644A9" w14:textId="7FF70333" w:rsidR="005801E0" w:rsidRDefault="005801E0" w:rsidP="00376DCC">
      <w:pPr>
        <w:pStyle w:val="Footnote"/>
      </w:pPr>
      <w:r>
        <w:rPr>
          <w:vertAlign w:val="superscript"/>
        </w:rPr>
        <w:footnoteRef/>
      </w:r>
      <w:r>
        <w:t>.</w:t>
      </w:r>
      <w:r>
        <w:tab/>
        <w:t>In this report, a ‘hidden’ CCO is a CCO that is not included in a count of principal sentences.</w:t>
      </w:r>
    </w:p>
  </w:footnote>
  <w:footnote w:id="63">
    <w:p w14:paraId="4A0D4C44" w14:textId="20E0C79B" w:rsidR="005801E0" w:rsidRDefault="005801E0" w:rsidP="00DC5564">
      <w:pPr>
        <w:pStyle w:val="Footnote"/>
      </w:pPr>
      <w:r>
        <w:rPr>
          <w:vertAlign w:val="superscript"/>
        </w:rPr>
        <w:footnoteRef/>
      </w:r>
      <w:r>
        <w:t>.</w:t>
      </w:r>
      <w:r>
        <w:tab/>
      </w:r>
      <w:r>
        <w:rPr>
          <w:rStyle w:val="Italic"/>
        </w:rPr>
        <w:t xml:space="preserve">Sentencing Act 1991 </w:t>
      </w:r>
      <w:r>
        <w:t>(Vic) ss 45–48LA.</w:t>
      </w:r>
    </w:p>
  </w:footnote>
  <w:footnote w:id="64">
    <w:p w14:paraId="08EA8444" w14:textId="6A563FAD" w:rsidR="005801E0" w:rsidRDefault="005801E0" w:rsidP="00DC5564">
      <w:pPr>
        <w:pStyle w:val="Footnote"/>
      </w:pPr>
      <w:r>
        <w:rPr>
          <w:vertAlign w:val="superscript"/>
        </w:rPr>
        <w:footnoteRef/>
      </w:r>
      <w:r>
        <w:t>.</w:t>
      </w:r>
      <w:r>
        <w:tab/>
      </w:r>
      <w:r>
        <w:rPr>
          <w:rStyle w:val="Italic"/>
        </w:rPr>
        <w:t xml:space="preserve">Boulton &amp; </w:t>
      </w:r>
      <w:proofErr w:type="spellStart"/>
      <w:r>
        <w:rPr>
          <w:rStyle w:val="Italic"/>
        </w:rPr>
        <w:t>Ors</w:t>
      </w:r>
      <w:proofErr w:type="spellEnd"/>
      <w:r>
        <w:rPr>
          <w:rStyle w:val="Italic"/>
        </w:rPr>
        <w:t xml:space="preserve"> v The Queen</w:t>
      </w:r>
      <w:r>
        <w:t xml:space="preserve"> [2014] VSCA 342, [60].</w:t>
      </w:r>
    </w:p>
  </w:footnote>
  <w:footnote w:id="65">
    <w:p w14:paraId="27E0CFA4" w14:textId="77777777" w:rsidR="005801E0" w:rsidRDefault="005801E0" w:rsidP="005801E0">
      <w:pPr>
        <w:pStyle w:val="Footnote"/>
      </w:pPr>
      <w:r>
        <w:rPr>
          <w:vertAlign w:val="superscript"/>
        </w:rPr>
        <w:footnoteRef/>
      </w:r>
      <w:r>
        <w:t>.</w:t>
      </w:r>
      <w:r>
        <w:tab/>
        <w:t xml:space="preserve">See, for example, how the Court of Appeal described the punitive aspects of imprisonment in its guideline judgment in </w:t>
      </w:r>
      <w:r>
        <w:rPr>
          <w:rStyle w:val="Italic"/>
        </w:rPr>
        <w:t xml:space="preserve">Boulton &amp; </w:t>
      </w:r>
      <w:proofErr w:type="spellStart"/>
      <w:r>
        <w:rPr>
          <w:rStyle w:val="Italic"/>
        </w:rPr>
        <w:t>Ors</w:t>
      </w:r>
      <w:proofErr w:type="spellEnd"/>
      <w:r>
        <w:rPr>
          <w:rStyle w:val="Italic"/>
        </w:rPr>
        <w:t xml:space="preserve"> v The Queen</w:t>
      </w:r>
      <w:r>
        <w:t xml:space="preserve"> [2014] VSCA 342, [104]–[106]: </w:t>
      </w:r>
    </w:p>
    <w:p w14:paraId="39EF1775" w14:textId="3FB422CE" w:rsidR="005801E0" w:rsidRPr="00C909DE" w:rsidRDefault="00DC5564" w:rsidP="00C909DE">
      <w:pPr>
        <w:pStyle w:val="Footnote"/>
        <w:rPr>
          <w:sz w:val="18"/>
          <w:szCs w:val="18"/>
        </w:rPr>
      </w:pPr>
      <w:r w:rsidRPr="00DC5564">
        <w:rPr>
          <w:sz w:val="18"/>
          <w:szCs w:val="18"/>
        </w:rPr>
        <w:tab/>
      </w:r>
      <w:r w:rsidR="005801E0" w:rsidRPr="00DC5564">
        <w:rPr>
          <w:sz w:val="18"/>
          <w:szCs w:val="18"/>
        </w:rPr>
        <w:t>[I]</w:t>
      </w:r>
      <w:proofErr w:type="spellStart"/>
      <w:r w:rsidR="005801E0" w:rsidRPr="00DC5564">
        <w:rPr>
          <w:sz w:val="18"/>
          <w:szCs w:val="18"/>
        </w:rPr>
        <w:t>mprisonment</w:t>
      </w:r>
      <w:proofErr w:type="spellEnd"/>
      <w:r w:rsidR="005801E0" w:rsidRPr="00DC5564">
        <w:rPr>
          <w:sz w:val="18"/>
          <w:szCs w:val="18"/>
        </w:rPr>
        <w:t xml:space="preserve"> is uniquely punitive because of that feature which distinguishes it from all other forms of sanction, namely, the complete loss of liberty. But imprisonment has a number of other punitive features, apart from the loss of physical freedom. There is the loss of personal autonomy and of privacy, and the associated loss of control over choice of activities and choice of associates. The prisoner is subject to strict discipline, restriction of movement, forced association with other prisoners and — for a substantial part of each day — confinement in a small cell (in many instances, a cell shared with a cellmate not of the prisoner’s choosing). There is, moreover, exposure to the risks associated with the confinement of large numbers of people in a small space — violence, bullying, intimidation. On any view, this is severe punishment.</w:t>
      </w:r>
    </w:p>
  </w:footnote>
  <w:footnote w:id="66">
    <w:p w14:paraId="1F02460F" w14:textId="5F440D57" w:rsidR="005801E0" w:rsidRDefault="005801E0" w:rsidP="000B416E">
      <w:pPr>
        <w:pStyle w:val="Footnote"/>
      </w:pPr>
      <w:r>
        <w:rPr>
          <w:vertAlign w:val="superscript"/>
        </w:rPr>
        <w:footnoteRef/>
      </w:r>
      <w:r>
        <w:t>.</w:t>
      </w:r>
      <w:r>
        <w:tab/>
        <w:t xml:space="preserve">See, for example, </w:t>
      </w:r>
      <w:r>
        <w:rPr>
          <w:rStyle w:val="Italic"/>
        </w:rPr>
        <w:t xml:space="preserve">DPP v Gatherer </w:t>
      </w:r>
      <w:r>
        <w:t>[2022] VCC 2190, [61] (‘this order will be a largely therapeutic one, I do not propose to attach a work condition’).</w:t>
      </w:r>
    </w:p>
  </w:footnote>
  <w:footnote w:id="67">
    <w:p w14:paraId="6C624354" w14:textId="63A3C48A" w:rsidR="005801E0" w:rsidRDefault="005801E0" w:rsidP="005C5C61">
      <w:pPr>
        <w:pStyle w:val="Footnote"/>
      </w:pPr>
      <w:r>
        <w:rPr>
          <w:vertAlign w:val="superscript"/>
        </w:rPr>
        <w:footnoteRef/>
      </w:r>
      <w:r>
        <w:t>.</w:t>
      </w:r>
      <w:r>
        <w:tab/>
        <w:t>Sentencing Advisory Council</w:t>
      </w:r>
      <w:r>
        <w:rPr>
          <w:rStyle w:val="Italic"/>
        </w:rPr>
        <w:t xml:space="preserve"> </w:t>
      </w:r>
      <w:r>
        <w:t xml:space="preserve">(2016), above n 7, 28 (‘people on remand are likely to be charged with more serious offences or to have more extensive criminal histories’).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56D7" w14:textId="77777777" w:rsidR="00041EC2" w:rsidRPr="001E3774" w:rsidRDefault="00816C25" w:rsidP="008323B2">
    <w:pPr>
      <w:spacing w:before="0" w:after="360" w:line="240" w:lineRule="auto"/>
      <w:rPr>
        <w:sz w:val="20"/>
      </w:rPr>
    </w:pPr>
    <w:r w:rsidRPr="008323B2">
      <w:rPr>
        <w:i/>
        <w:iCs/>
        <w:sz w:val="20"/>
      </w:rPr>
      <w:t>Combined Orders of Imprisonment with a Community Correction order in Victoria</w:t>
    </w:r>
    <w:r w:rsidR="00041EC2">
      <w:rPr>
        <w:sz w:val="20"/>
      </w:rPr>
      <w:t xml:space="preserve"> </w:t>
    </w:r>
    <w:r>
      <w:rPr>
        <w:sz w:val="20"/>
      </w:rPr>
      <w:t xml:space="preserve">● November </w:t>
    </w:r>
    <w:r w:rsidR="00041EC2">
      <w:rPr>
        <w:sz w:val="20"/>
      </w:rPr>
      <w:t>2023 ● Sentencing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embedSystemFonts/>
  <w:bordersDoNotSurroundHeader/>
  <w:bordersDoNotSurroundFooter/>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92"/>
    <w:rsid w:val="00005C26"/>
    <w:rsid w:val="00007C8C"/>
    <w:rsid w:val="0001134A"/>
    <w:rsid w:val="00014E52"/>
    <w:rsid w:val="00014F2C"/>
    <w:rsid w:val="000171EF"/>
    <w:rsid w:val="00026071"/>
    <w:rsid w:val="000278BB"/>
    <w:rsid w:val="00031D5F"/>
    <w:rsid w:val="00034AE6"/>
    <w:rsid w:val="00035413"/>
    <w:rsid w:val="00035A5D"/>
    <w:rsid w:val="00041EC2"/>
    <w:rsid w:val="000427AA"/>
    <w:rsid w:val="00050B03"/>
    <w:rsid w:val="00050B8A"/>
    <w:rsid w:val="00050BF8"/>
    <w:rsid w:val="00050EE9"/>
    <w:rsid w:val="00057C77"/>
    <w:rsid w:val="0006104A"/>
    <w:rsid w:val="0006596C"/>
    <w:rsid w:val="00066093"/>
    <w:rsid w:val="00066A46"/>
    <w:rsid w:val="00066F87"/>
    <w:rsid w:val="00067FA5"/>
    <w:rsid w:val="000706AC"/>
    <w:rsid w:val="00070DF1"/>
    <w:rsid w:val="00072BF5"/>
    <w:rsid w:val="0007307E"/>
    <w:rsid w:val="0007410A"/>
    <w:rsid w:val="00075ECD"/>
    <w:rsid w:val="000802AD"/>
    <w:rsid w:val="00081A91"/>
    <w:rsid w:val="00083BE5"/>
    <w:rsid w:val="000841B0"/>
    <w:rsid w:val="00084687"/>
    <w:rsid w:val="000853D4"/>
    <w:rsid w:val="00086F87"/>
    <w:rsid w:val="0009038A"/>
    <w:rsid w:val="00090773"/>
    <w:rsid w:val="00091E82"/>
    <w:rsid w:val="00094B2B"/>
    <w:rsid w:val="000A1410"/>
    <w:rsid w:val="000A2EC7"/>
    <w:rsid w:val="000A3196"/>
    <w:rsid w:val="000A3913"/>
    <w:rsid w:val="000B028C"/>
    <w:rsid w:val="000B1B6C"/>
    <w:rsid w:val="000B416E"/>
    <w:rsid w:val="000B45FD"/>
    <w:rsid w:val="000B4F53"/>
    <w:rsid w:val="000B634A"/>
    <w:rsid w:val="000C2770"/>
    <w:rsid w:val="000C5A4C"/>
    <w:rsid w:val="000C68BF"/>
    <w:rsid w:val="000D1F9C"/>
    <w:rsid w:val="000D4AB1"/>
    <w:rsid w:val="000D4ACB"/>
    <w:rsid w:val="000E1D9C"/>
    <w:rsid w:val="000E2235"/>
    <w:rsid w:val="000E2800"/>
    <w:rsid w:val="000E638F"/>
    <w:rsid w:val="000E67D0"/>
    <w:rsid w:val="000F24F0"/>
    <w:rsid w:val="000F454E"/>
    <w:rsid w:val="001015A1"/>
    <w:rsid w:val="00105B94"/>
    <w:rsid w:val="00106679"/>
    <w:rsid w:val="00106EB4"/>
    <w:rsid w:val="00107BCD"/>
    <w:rsid w:val="00111982"/>
    <w:rsid w:val="001123B9"/>
    <w:rsid w:val="00114896"/>
    <w:rsid w:val="00120452"/>
    <w:rsid w:val="00125046"/>
    <w:rsid w:val="0012575F"/>
    <w:rsid w:val="00125C39"/>
    <w:rsid w:val="0012645E"/>
    <w:rsid w:val="00131244"/>
    <w:rsid w:val="00135356"/>
    <w:rsid w:val="00135C30"/>
    <w:rsid w:val="00137B80"/>
    <w:rsid w:val="0014068F"/>
    <w:rsid w:val="001434E8"/>
    <w:rsid w:val="001446F6"/>
    <w:rsid w:val="001459BF"/>
    <w:rsid w:val="001463DE"/>
    <w:rsid w:val="00150C14"/>
    <w:rsid w:val="00150DBB"/>
    <w:rsid w:val="00152192"/>
    <w:rsid w:val="001528AF"/>
    <w:rsid w:val="00160502"/>
    <w:rsid w:val="001615C7"/>
    <w:rsid w:val="00165B10"/>
    <w:rsid w:val="00173049"/>
    <w:rsid w:val="00175A75"/>
    <w:rsid w:val="00175B23"/>
    <w:rsid w:val="00177475"/>
    <w:rsid w:val="001774F2"/>
    <w:rsid w:val="00177B78"/>
    <w:rsid w:val="00181117"/>
    <w:rsid w:val="00181701"/>
    <w:rsid w:val="001833B4"/>
    <w:rsid w:val="00190E17"/>
    <w:rsid w:val="001917EB"/>
    <w:rsid w:val="00191E69"/>
    <w:rsid w:val="00193952"/>
    <w:rsid w:val="00196BD3"/>
    <w:rsid w:val="001970F5"/>
    <w:rsid w:val="001A0831"/>
    <w:rsid w:val="001A2D63"/>
    <w:rsid w:val="001A72C5"/>
    <w:rsid w:val="001B255C"/>
    <w:rsid w:val="001B7F6F"/>
    <w:rsid w:val="001C75C1"/>
    <w:rsid w:val="001D0C6E"/>
    <w:rsid w:val="001D2C8C"/>
    <w:rsid w:val="001D3B29"/>
    <w:rsid w:val="001D4674"/>
    <w:rsid w:val="001E0CC8"/>
    <w:rsid w:val="001E3774"/>
    <w:rsid w:val="001E4A2A"/>
    <w:rsid w:val="001E4E27"/>
    <w:rsid w:val="001E54C9"/>
    <w:rsid w:val="001E6C0C"/>
    <w:rsid w:val="001F1C7C"/>
    <w:rsid w:val="001F2E5A"/>
    <w:rsid w:val="001F471E"/>
    <w:rsid w:val="001F4C71"/>
    <w:rsid w:val="001F7595"/>
    <w:rsid w:val="001F7BAD"/>
    <w:rsid w:val="002039C0"/>
    <w:rsid w:val="00206AF3"/>
    <w:rsid w:val="00207E1C"/>
    <w:rsid w:val="00212F61"/>
    <w:rsid w:val="00217FD7"/>
    <w:rsid w:val="002209C8"/>
    <w:rsid w:val="00220B05"/>
    <w:rsid w:val="002220B3"/>
    <w:rsid w:val="002225C5"/>
    <w:rsid w:val="00225592"/>
    <w:rsid w:val="002323A3"/>
    <w:rsid w:val="00236464"/>
    <w:rsid w:val="00236601"/>
    <w:rsid w:val="002369E2"/>
    <w:rsid w:val="00237CDC"/>
    <w:rsid w:val="002466DE"/>
    <w:rsid w:val="0025199A"/>
    <w:rsid w:val="002546D0"/>
    <w:rsid w:val="00257443"/>
    <w:rsid w:val="00261F16"/>
    <w:rsid w:val="00263161"/>
    <w:rsid w:val="00266788"/>
    <w:rsid w:val="00270C5B"/>
    <w:rsid w:val="00272FAB"/>
    <w:rsid w:val="00282BBF"/>
    <w:rsid w:val="00283226"/>
    <w:rsid w:val="00283254"/>
    <w:rsid w:val="00286947"/>
    <w:rsid w:val="00287374"/>
    <w:rsid w:val="0028752B"/>
    <w:rsid w:val="002940A2"/>
    <w:rsid w:val="00294202"/>
    <w:rsid w:val="002951B2"/>
    <w:rsid w:val="002A0E65"/>
    <w:rsid w:val="002A2B29"/>
    <w:rsid w:val="002A32E7"/>
    <w:rsid w:val="002A466E"/>
    <w:rsid w:val="002B0695"/>
    <w:rsid w:val="002B1984"/>
    <w:rsid w:val="002B73A2"/>
    <w:rsid w:val="002C2130"/>
    <w:rsid w:val="002C2F57"/>
    <w:rsid w:val="002C3862"/>
    <w:rsid w:val="002C4F89"/>
    <w:rsid w:val="002C5AD9"/>
    <w:rsid w:val="002D0603"/>
    <w:rsid w:val="002D0B8A"/>
    <w:rsid w:val="002D322E"/>
    <w:rsid w:val="002D32D6"/>
    <w:rsid w:val="002D3764"/>
    <w:rsid w:val="002D579F"/>
    <w:rsid w:val="002D6557"/>
    <w:rsid w:val="002E564C"/>
    <w:rsid w:val="002E6AB1"/>
    <w:rsid w:val="002E6D89"/>
    <w:rsid w:val="002E7B69"/>
    <w:rsid w:val="002F0CCB"/>
    <w:rsid w:val="002F2DB3"/>
    <w:rsid w:val="002F48E4"/>
    <w:rsid w:val="002F6248"/>
    <w:rsid w:val="002F7907"/>
    <w:rsid w:val="00302144"/>
    <w:rsid w:val="0030606D"/>
    <w:rsid w:val="00306BA2"/>
    <w:rsid w:val="00307BF1"/>
    <w:rsid w:val="00307F8D"/>
    <w:rsid w:val="0031200C"/>
    <w:rsid w:val="00315385"/>
    <w:rsid w:val="00315675"/>
    <w:rsid w:val="00315FC2"/>
    <w:rsid w:val="0032172A"/>
    <w:rsid w:val="003220B1"/>
    <w:rsid w:val="003245F2"/>
    <w:rsid w:val="0032633A"/>
    <w:rsid w:val="00331208"/>
    <w:rsid w:val="0033132F"/>
    <w:rsid w:val="003316F3"/>
    <w:rsid w:val="00331878"/>
    <w:rsid w:val="003330BE"/>
    <w:rsid w:val="00334D30"/>
    <w:rsid w:val="00337A67"/>
    <w:rsid w:val="00342CAB"/>
    <w:rsid w:val="00346383"/>
    <w:rsid w:val="003477A8"/>
    <w:rsid w:val="00347C2A"/>
    <w:rsid w:val="00351B54"/>
    <w:rsid w:val="00352042"/>
    <w:rsid w:val="00352D71"/>
    <w:rsid w:val="00354898"/>
    <w:rsid w:val="003564D1"/>
    <w:rsid w:val="0036597D"/>
    <w:rsid w:val="00365FDF"/>
    <w:rsid w:val="00366924"/>
    <w:rsid w:val="003700BC"/>
    <w:rsid w:val="00370D1B"/>
    <w:rsid w:val="00372C51"/>
    <w:rsid w:val="00375ED2"/>
    <w:rsid w:val="00376DCC"/>
    <w:rsid w:val="00377D92"/>
    <w:rsid w:val="00383796"/>
    <w:rsid w:val="00384D60"/>
    <w:rsid w:val="0038711E"/>
    <w:rsid w:val="003948B9"/>
    <w:rsid w:val="003953BA"/>
    <w:rsid w:val="00395F6D"/>
    <w:rsid w:val="003A5A87"/>
    <w:rsid w:val="003B1BD7"/>
    <w:rsid w:val="003B442C"/>
    <w:rsid w:val="003B4F5C"/>
    <w:rsid w:val="003B6E5E"/>
    <w:rsid w:val="003C3218"/>
    <w:rsid w:val="003C3859"/>
    <w:rsid w:val="003D5C43"/>
    <w:rsid w:val="003E3A2E"/>
    <w:rsid w:val="003F0F4C"/>
    <w:rsid w:val="003F33A3"/>
    <w:rsid w:val="003F4090"/>
    <w:rsid w:val="003F7D3A"/>
    <w:rsid w:val="00400CEB"/>
    <w:rsid w:val="00401C3E"/>
    <w:rsid w:val="00401E1C"/>
    <w:rsid w:val="00403686"/>
    <w:rsid w:val="004055B5"/>
    <w:rsid w:val="004106B3"/>
    <w:rsid w:val="004137CE"/>
    <w:rsid w:val="0041573A"/>
    <w:rsid w:val="00415FFD"/>
    <w:rsid w:val="0042101E"/>
    <w:rsid w:val="00423332"/>
    <w:rsid w:val="00426FD2"/>
    <w:rsid w:val="00433B52"/>
    <w:rsid w:val="00437797"/>
    <w:rsid w:val="004520D1"/>
    <w:rsid w:val="00457D97"/>
    <w:rsid w:val="004665B1"/>
    <w:rsid w:val="00467E17"/>
    <w:rsid w:val="00470753"/>
    <w:rsid w:val="0047446E"/>
    <w:rsid w:val="00475FBD"/>
    <w:rsid w:val="00480D98"/>
    <w:rsid w:val="00487398"/>
    <w:rsid w:val="00487EF2"/>
    <w:rsid w:val="00487F5F"/>
    <w:rsid w:val="00490430"/>
    <w:rsid w:val="0049264A"/>
    <w:rsid w:val="004936FB"/>
    <w:rsid w:val="00495415"/>
    <w:rsid w:val="00495436"/>
    <w:rsid w:val="00496282"/>
    <w:rsid w:val="00497483"/>
    <w:rsid w:val="00497C3E"/>
    <w:rsid w:val="004A0D39"/>
    <w:rsid w:val="004A2CF3"/>
    <w:rsid w:val="004A358D"/>
    <w:rsid w:val="004A4D79"/>
    <w:rsid w:val="004A62A0"/>
    <w:rsid w:val="004B068E"/>
    <w:rsid w:val="004B0C4E"/>
    <w:rsid w:val="004B0C9A"/>
    <w:rsid w:val="004B12EE"/>
    <w:rsid w:val="004B3DC2"/>
    <w:rsid w:val="004B4B98"/>
    <w:rsid w:val="004B599A"/>
    <w:rsid w:val="004C52D3"/>
    <w:rsid w:val="004C68C2"/>
    <w:rsid w:val="004D0185"/>
    <w:rsid w:val="004D055D"/>
    <w:rsid w:val="004D05B8"/>
    <w:rsid w:val="004D43CF"/>
    <w:rsid w:val="004D5EE2"/>
    <w:rsid w:val="004D77B3"/>
    <w:rsid w:val="004D7804"/>
    <w:rsid w:val="004D796D"/>
    <w:rsid w:val="004D7E43"/>
    <w:rsid w:val="004E0049"/>
    <w:rsid w:val="004E1A18"/>
    <w:rsid w:val="004E42C7"/>
    <w:rsid w:val="004E6367"/>
    <w:rsid w:val="004F73C6"/>
    <w:rsid w:val="004F73F4"/>
    <w:rsid w:val="005016C9"/>
    <w:rsid w:val="005033AB"/>
    <w:rsid w:val="00513540"/>
    <w:rsid w:val="00515202"/>
    <w:rsid w:val="00515F4F"/>
    <w:rsid w:val="00520D23"/>
    <w:rsid w:val="00523664"/>
    <w:rsid w:val="00523CF1"/>
    <w:rsid w:val="00526D86"/>
    <w:rsid w:val="00527848"/>
    <w:rsid w:val="00527C8C"/>
    <w:rsid w:val="00533377"/>
    <w:rsid w:val="005373CC"/>
    <w:rsid w:val="00540E8E"/>
    <w:rsid w:val="00542BCC"/>
    <w:rsid w:val="00546E02"/>
    <w:rsid w:val="00552284"/>
    <w:rsid w:val="00552ED1"/>
    <w:rsid w:val="005536BD"/>
    <w:rsid w:val="00553AA8"/>
    <w:rsid w:val="00554B0F"/>
    <w:rsid w:val="0056002A"/>
    <w:rsid w:val="00564D43"/>
    <w:rsid w:val="0056748A"/>
    <w:rsid w:val="005713BA"/>
    <w:rsid w:val="005801E0"/>
    <w:rsid w:val="00580AF1"/>
    <w:rsid w:val="0058328D"/>
    <w:rsid w:val="00585E11"/>
    <w:rsid w:val="00587CA0"/>
    <w:rsid w:val="00590F5B"/>
    <w:rsid w:val="00590F8F"/>
    <w:rsid w:val="00594975"/>
    <w:rsid w:val="00595E5D"/>
    <w:rsid w:val="005A1A70"/>
    <w:rsid w:val="005A2DD8"/>
    <w:rsid w:val="005A3FCE"/>
    <w:rsid w:val="005A4851"/>
    <w:rsid w:val="005A5FC3"/>
    <w:rsid w:val="005A69E7"/>
    <w:rsid w:val="005A6AD2"/>
    <w:rsid w:val="005B226F"/>
    <w:rsid w:val="005B3F45"/>
    <w:rsid w:val="005B7138"/>
    <w:rsid w:val="005C16F8"/>
    <w:rsid w:val="005C19FD"/>
    <w:rsid w:val="005C5C61"/>
    <w:rsid w:val="005C7673"/>
    <w:rsid w:val="005D00F7"/>
    <w:rsid w:val="005D1C21"/>
    <w:rsid w:val="005D3C51"/>
    <w:rsid w:val="005D47B9"/>
    <w:rsid w:val="005D56D5"/>
    <w:rsid w:val="005D72E6"/>
    <w:rsid w:val="005D7FEE"/>
    <w:rsid w:val="005E03B9"/>
    <w:rsid w:val="005E08D5"/>
    <w:rsid w:val="005E0FA3"/>
    <w:rsid w:val="005E1829"/>
    <w:rsid w:val="005E444F"/>
    <w:rsid w:val="005E4554"/>
    <w:rsid w:val="005F13DF"/>
    <w:rsid w:val="005F1685"/>
    <w:rsid w:val="005F2AE7"/>
    <w:rsid w:val="005F438A"/>
    <w:rsid w:val="005F632F"/>
    <w:rsid w:val="005F6FA9"/>
    <w:rsid w:val="00600D96"/>
    <w:rsid w:val="00601F54"/>
    <w:rsid w:val="00604498"/>
    <w:rsid w:val="0061190F"/>
    <w:rsid w:val="00613286"/>
    <w:rsid w:val="00620DC8"/>
    <w:rsid w:val="00621735"/>
    <w:rsid w:val="0062388D"/>
    <w:rsid w:val="00623C6B"/>
    <w:rsid w:val="006267C3"/>
    <w:rsid w:val="0063162A"/>
    <w:rsid w:val="00632D14"/>
    <w:rsid w:val="00633044"/>
    <w:rsid w:val="0063308C"/>
    <w:rsid w:val="00633FF7"/>
    <w:rsid w:val="00634244"/>
    <w:rsid w:val="00635F73"/>
    <w:rsid w:val="00636B72"/>
    <w:rsid w:val="00637285"/>
    <w:rsid w:val="00641DA6"/>
    <w:rsid w:val="006427FE"/>
    <w:rsid w:val="0064397B"/>
    <w:rsid w:val="00643AE3"/>
    <w:rsid w:val="00652361"/>
    <w:rsid w:val="00654B4A"/>
    <w:rsid w:val="00657CB1"/>
    <w:rsid w:val="00664763"/>
    <w:rsid w:val="00665523"/>
    <w:rsid w:val="006666D0"/>
    <w:rsid w:val="00672D86"/>
    <w:rsid w:val="00672E9A"/>
    <w:rsid w:val="00674C34"/>
    <w:rsid w:val="00683053"/>
    <w:rsid w:val="00683D32"/>
    <w:rsid w:val="006848BC"/>
    <w:rsid w:val="00685547"/>
    <w:rsid w:val="00685BD2"/>
    <w:rsid w:val="006871CA"/>
    <w:rsid w:val="00690765"/>
    <w:rsid w:val="00696C16"/>
    <w:rsid w:val="00696D03"/>
    <w:rsid w:val="00697605"/>
    <w:rsid w:val="006A0EDE"/>
    <w:rsid w:val="006A24A4"/>
    <w:rsid w:val="006B291B"/>
    <w:rsid w:val="006B4A5D"/>
    <w:rsid w:val="006B72F4"/>
    <w:rsid w:val="006C1537"/>
    <w:rsid w:val="006D1BC1"/>
    <w:rsid w:val="006D1D12"/>
    <w:rsid w:val="006D202C"/>
    <w:rsid w:val="006D5104"/>
    <w:rsid w:val="006E68EC"/>
    <w:rsid w:val="006E77B6"/>
    <w:rsid w:val="006F3F36"/>
    <w:rsid w:val="006F4619"/>
    <w:rsid w:val="006F6A5C"/>
    <w:rsid w:val="006F77A5"/>
    <w:rsid w:val="00700BC7"/>
    <w:rsid w:val="007010B5"/>
    <w:rsid w:val="0070203B"/>
    <w:rsid w:val="00703380"/>
    <w:rsid w:val="007044B7"/>
    <w:rsid w:val="0070601D"/>
    <w:rsid w:val="00707B92"/>
    <w:rsid w:val="0071116E"/>
    <w:rsid w:val="00712490"/>
    <w:rsid w:val="00715C7D"/>
    <w:rsid w:val="00716DAB"/>
    <w:rsid w:val="00720224"/>
    <w:rsid w:val="00720D8A"/>
    <w:rsid w:val="00720DFC"/>
    <w:rsid w:val="00721534"/>
    <w:rsid w:val="00721731"/>
    <w:rsid w:val="007238AB"/>
    <w:rsid w:val="0073136D"/>
    <w:rsid w:val="00733B0D"/>
    <w:rsid w:val="007354FD"/>
    <w:rsid w:val="00735DF1"/>
    <w:rsid w:val="00741722"/>
    <w:rsid w:val="00741AD3"/>
    <w:rsid w:val="00742CAD"/>
    <w:rsid w:val="007442B3"/>
    <w:rsid w:val="00744633"/>
    <w:rsid w:val="007455E8"/>
    <w:rsid w:val="00750C7D"/>
    <w:rsid w:val="0075182F"/>
    <w:rsid w:val="0076421D"/>
    <w:rsid w:val="00764EE8"/>
    <w:rsid w:val="00767052"/>
    <w:rsid w:val="007715AB"/>
    <w:rsid w:val="00771A2E"/>
    <w:rsid w:val="00771DA7"/>
    <w:rsid w:val="00776366"/>
    <w:rsid w:val="00782856"/>
    <w:rsid w:val="00784F3D"/>
    <w:rsid w:val="00785F1D"/>
    <w:rsid w:val="00786CC9"/>
    <w:rsid w:val="007906A8"/>
    <w:rsid w:val="00790C4F"/>
    <w:rsid w:val="00791B53"/>
    <w:rsid w:val="00791C21"/>
    <w:rsid w:val="00792D4E"/>
    <w:rsid w:val="00794DFA"/>
    <w:rsid w:val="0079520A"/>
    <w:rsid w:val="0079735B"/>
    <w:rsid w:val="00797752"/>
    <w:rsid w:val="007977A7"/>
    <w:rsid w:val="007A45F6"/>
    <w:rsid w:val="007A72F2"/>
    <w:rsid w:val="007B1693"/>
    <w:rsid w:val="007B298F"/>
    <w:rsid w:val="007B32AD"/>
    <w:rsid w:val="007B6AFF"/>
    <w:rsid w:val="007B783E"/>
    <w:rsid w:val="007B7A1F"/>
    <w:rsid w:val="007B7B5A"/>
    <w:rsid w:val="007C1944"/>
    <w:rsid w:val="007C2B98"/>
    <w:rsid w:val="007C4F31"/>
    <w:rsid w:val="007C667F"/>
    <w:rsid w:val="007C7B6E"/>
    <w:rsid w:val="007D1915"/>
    <w:rsid w:val="007D570A"/>
    <w:rsid w:val="007E07CD"/>
    <w:rsid w:val="007E570C"/>
    <w:rsid w:val="007E5CA6"/>
    <w:rsid w:val="007E7774"/>
    <w:rsid w:val="007F25B8"/>
    <w:rsid w:val="007F2D1D"/>
    <w:rsid w:val="007F3862"/>
    <w:rsid w:val="007F4552"/>
    <w:rsid w:val="007F486D"/>
    <w:rsid w:val="007F4973"/>
    <w:rsid w:val="007F6F1F"/>
    <w:rsid w:val="007F788C"/>
    <w:rsid w:val="00807D88"/>
    <w:rsid w:val="00810254"/>
    <w:rsid w:val="008113B6"/>
    <w:rsid w:val="00814C4B"/>
    <w:rsid w:val="00816C25"/>
    <w:rsid w:val="00816C6E"/>
    <w:rsid w:val="00816FA3"/>
    <w:rsid w:val="008174A1"/>
    <w:rsid w:val="008179EA"/>
    <w:rsid w:val="00831580"/>
    <w:rsid w:val="00831665"/>
    <w:rsid w:val="00831DDA"/>
    <w:rsid w:val="008323B2"/>
    <w:rsid w:val="00833E75"/>
    <w:rsid w:val="00834BC4"/>
    <w:rsid w:val="00840142"/>
    <w:rsid w:val="00842583"/>
    <w:rsid w:val="008444DD"/>
    <w:rsid w:val="00844898"/>
    <w:rsid w:val="008479CF"/>
    <w:rsid w:val="00851822"/>
    <w:rsid w:val="008540E5"/>
    <w:rsid w:val="00854A59"/>
    <w:rsid w:val="008568C4"/>
    <w:rsid w:val="00856D9A"/>
    <w:rsid w:val="00860690"/>
    <w:rsid w:val="008631EF"/>
    <w:rsid w:val="00866DDA"/>
    <w:rsid w:val="00870A4C"/>
    <w:rsid w:val="00872369"/>
    <w:rsid w:val="00874F4D"/>
    <w:rsid w:val="00875A2F"/>
    <w:rsid w:val="00880689"/>
    <w:rsid w:val="00885021"/>
    <w:rsid w:val="0088705B"/>
    <w:rsid w:val="00894253"/>
    <w:rsid w:val="00896433"/>
    <w:rsid w:val="0089673C"/>
    <w:rsid w:val="00896AE3"/>
    <w:rsid w:val="00896B8D"/>
    <w:rsid w:val="00896E82"/>
    <w:rsid w:val="008A1C48"/>
    <w:rsid w:val="008A2083"/>
    <w:rsid w:val="008A365A"/>
    <w:rsid w:val="008B2E75"/>
    <w:rsid w:val="008B5525"/>
    <w:rsid w:val="008C0CC7"/>
    <w:rsid w:val="008C2429"/>
    <w:rsid w:val="008C305F"/>
    <w:rsid w:val="008C52BC"/>
    <w:rsid w:val="008C5716"/>
    <w:rsid w:val="008C5B57"/>
    <w:rsid w:val="008C79B1"/>
    <w:rsid w:val="008D0DB8"/>
    <w:rsid w:val="008D152C"/>
    <w:rsid w:val="008D384B"/>
    <w:rsid w:val="008D4CA6"/>
    <w:rsid w:val="008D512A"/>
    <w:rsid w:val="008E0C9A"/>
    <w:rsid w:val="008E23B0"/>
    <w:rsid w:val="008E470B"/>
    <w:rsid w:val="008E7E77"/>
    <w:rsid w:val="008F0875"/>
    <w:rsid w:val="008F2266"/>
    <w:rsid w:val="008F42B4"/>
    <w:rsid w:val="008F608B"/>
    <w:rsid w:val="008F7BBD"/>
    <w:rsid w:val="00900199"/>
    <w:rsid w:val="00900627"/>
    <w:rsid w:val="00900F8A"/>
    <w:rsid w:val="00903B30"/>
    <w:rsid w:val="009051A3"/>
    <w:rsid w:val="009071A5"/>
    <w:rsid w:val="00907826"/>
    <w:rsid w:val="0091246C"/>
    <w:rsid w:val="00913036"/>
    <w:rsid w:val="00914BC1"/>
    <w:rsid w:val="00915C56"/>
    <w:rsid w:val="009239F9"/>
    <w:rsid w:val="009253CB"/>
    <w:rsid w:val="009257D9"/>
    <w:rsid w:val="00932C40"/>
    <w:rsid w:val="00934533"/>
    <w:rsid w:val="00934E7C"/>
    <w:rsid w:val="00941A9B"/>
    <w:rsid w:val="00943D86"/>
    <w:rsid w:val="00944548"/>
    <w:rsid w:val="0094526B"/>
    <w:rsid w:val="0094576D"/>
    <w:rsid w:val="00946381"/>
    <w:rsid w:val="009503C4"/>
    <w:rsid w:val="00951DEC"/>
    <w:rsid w:val="00952035"/>
    <w:rsid w:val="00957888"/>
    <w:rsid w:val="00960344"/>
    <w:rsid w:val="009603FA"/>
    <w:rsid w:val="00962272"/>
    <w:rsid w:val="00962ED1"/>
    <w:rsid w:val="00963820"/>
    <w:rsid w:val="00964755"/>
    <w:rsid w:val="00971658"/>
    <w:rsid w:val="00973F7B"/>
    <w:rsid w:val="0097436A"/>
    <w:rsid w:val="0097443C"/>
    <w:rsid w:val="00980B55"/>
    <w:rsid w:val="00980D06"/>
    <w:rsid w:val="00981F27"/>
    <w:rsid w:val="0098349A"/>
    <w:rsid w:val="00983D8C"/>
    <w:rsid w:val="0098431B"/>
    <w:rsid w:val="009854D1"/>
    <w:rsid w:val="00986637"/>
    <w:rsid w:val="0098737E"/>
    <w:rsid w:val="00987F92"/>
    <w:rsid w:val="00992587"/>
    <w:rsid w:val="009939F2"/>
    <w:rsid w:val="00993C9B"/>
    <w:rsid w:val="009967EC"/>
    <w:rsid w:val="0099739A"/>
    <w:rsid w:val="009A0D71"/>
    <w:rsid w:val="009A0E17"/>
    <w:rsid w:val="009A49FB"/>
    <w:rsid w:val="009A4D8C"/>
    <w:rsid w:val="009A789C"/>
    <w:rsid w:val="009B167C"/>
    <w:rsid w:val="009B171E"/>
    <w:rsid w:val="009B1786"/>
    <w:rsid w:val="009B1AE1"/>
    <w:rsid w:val="009B438E"/>
    <w:rsid w:val="009B5DA7"/>
    <w:rsid w:val="009C07C4"/>
    <w:rsid w:val="009C21E2"/>
    <w:rsid w:val="009C2C77"/>
    <w:rsid w:val="009C32E2"/>
    <w:rsid w:val="009C630D"/>
    <w:rsid w:val="009C6CA9"/>
    <w:rsid w:val="009D0FD7"/>
    <w:rsid w:val="009D1FE4"/>
    <w:rsid w:val="009D7893"/>
    <w:rsid w:val="009E4FAB"/>
    <w:rsid w:val="009E5334"/>
    <w:rsid w:val="009E6778"/>
    <w:rsid w:val="009F05B7"/>
    <w:rsid w:val="009F12CA"/>
    <w:rsid w:val="009F383E"/>
    <w:rsid w:val="009F489E"/>
    <w:rsid w:val="009F522C"/>
    <w:rsid w:val="009F64B8"/>
    <w:rsid w:val="00A022F7"/>
    <w:rsid w:val="00A03A42"/>
    <w:rsid w:val="00A03AF9"/>
    <w:rsid w:val="00A042E9"/>
    <w:rsid w:val="00A051EB"/>
    <w:rsid w:val="00A06F72"/>
    <w:rsid w:val="00A13264"/>
    <w:rsid w:val="00A16780"/>
    <w:rsid w:val="00A237BD"/>
    <w:rsid w:val="00A27F38"/>
    <w:rsid w:val="00A41451"/>
    <w:rsid w:val="00A43237"/>
    <w:rsid w:val="00A46CFB"/>
    <w:rsid w:val="00A5049B"/>
    <w:rsid w:val="00A51A6D"/>
    <w:rsid w:val="00A5249D"/>
    <w:rsid w:val="00A52977"/>
    <w:rsid w:val="00A53215"/>
    <w:rsid w:val="00A55A15"/>
    <w:rsid w:val="00A55C00"/>
    <w:rsid w:val="00A55E95"/>
    <w:rsid w:val="00A562D5"/>
    <w:rsid w:val="00A570B6"/>
    <w:rsid w:val="00A612BA"/>
    <w:rsid w:val="00A615CD"/>
    <w:rsid w:val="00A63AA7"/>
    <w:rsid w:val="00A64327"/>
    <w:rsid w:val="00A679FC"/>
    <w:rsid w:val="00A67FE8"/>
    <w:rsid w:val="00A70562"/>
    <w:rsid w:val="00A7068F"/>
    <w:rsid w:val="00A71B89"/>
    <w:rsid w:val="00A73E41"/>
    <w:rsid w:val="00A813A8"/>
    <w:rsid w:val="00A82835"/>
    <w:rsid w:val="00A83355"/>
    <w:rsid w:val="00A83BE4"/>
    <w:rsid w:val="00A901DA"/>
    <w:rsid w:val="00A94AEB"/>
    <w:rsid w:val="00A96DDD"/>
    <w:rsid w:val="00A9766F"/>
    <w:rsid w:val="00AA32CC"/>
    <w:rsid w:val="00AA4752"/>
    <w:rsid w:val="00AA4AB9"/>
    <w:rsid w:val="00AA507D"/>
    <w:rsid w:val="00AA7402"/>
    <w:rsid w:val="00AB01E6"/>
    <w:rsid w:val="00AB44EA"/>
    <w:rsid w:val="00AC09D3"/>
    <w:rsid w:val="00AC411F"/>
    <w:rsid w:val="00AC54F2"/>
    <w:rsid w:val="00AC562F"/>
    <w:rsid w:val="00AD21D4"/>
    <w:rsid w:val="00AE0026"/>
    <w:rsid w:val="00AE0DB0"/>
    <w:rsid w:val="00AE163C"/>
    <w:rsid w:val="00AE239B"/>
    <w:rsid w:val="00AE29F6"/>
    <w:rsid w:val="00AE3961"/>
    <w:rsid w:val="00AE45CF"/>
    <w:rsid w:val="00AE4821"/>
    <w:rsid w:val="00AE6277"/>
    <w:rsid w:val="00AE62CA"/>
    <w:rsid w:val="00AE709F"/>
    <w:rsid w:val="00AE75F2"/>
    <w:rsid w:val="00AF0E38"/>
    <w:rsid w:val="00AF1625"/>
    <w:rsid w:val="00AF23D0"/>
    <w:rsid w:val="00AF3D37"/>
    <w:rsid w:val="00AF7608"/>
    <w:rsid w:val="00B01E33"/>
    <w:rsid w:val="00B052EE"/>
    <w:rsid w:val="00B060F0"/>
    <w:rsid w:val="00B07B3F"/>
    <w:rsid w:val="00B125D2"/>
    <w:rsid w:val="00B17325"/>
    <w:rsid w:val="00B263DE"/>
    <w:rsid w:val="00B27213"/>
    <w:rsid w:val="00B31474"/>
    <w:rsid w:val="00B32A86"/>
    <w:rsid w:val="00B33911"/>
    <w:rsid w:val="00B42032"/>
    <w:rsid w:val="00B453F8"/>
    <w:rsid w:val="00B45EF1"/>
    <w:rsid w:val="00B46C7E"/>
    <w:rsid w:val="00B535F9"/>
    <w:rsid w:val="00B5475A"/>
    <w:rsid w:val="00B54A0D"/>
    <w:rsid w:val="00B5513C"/>
    <w:rsid w:val="00B57D3D"/>
    <w:rsid w:val="00B6312C"/>
    <w:rsid w:val="00B6486F"/>
    <w:rsid w:val="00B64EB6"/>
    <w:rsid w:val="00B65462"/>
    <w:rsid w:val="00B705FD"/>
    <w:rsid w:val="00B816DB"/>
    <w:rsid w:val="00B83458"/>
    <w:rsid w:val="00B83836"/>
    <w:rsid w:val="00B84113"/>
    <w:rsid w:val="00B8695D"/>
    <w:rsid w:val="00B86FA5"/>
    <w:rsid w:val="00B916C0"/>
    <w:rsid w:val="00B92E0A"/>
    <w:rsid w:val="00B96A98"/>
    <w:rsid w:val="00BA1D48"/>
    <w:rsid w:val="00BA2035"/>
    <w:rsid w:val="00BA2CFA"/>
    <w:rsid w:val="00BA67A0"/>
    <w:rsid w:val="00BA78E0"/>
    <w:rsid w:val="00BB2009"/>
    <w:rsid w:val="00BB426A"/>
    <w:rsid w:val="00BB74B5"/>
    <w:rsid w:val="00BC2F03"/>
    <w:rsid w:val="00BC75DB"/>
    <w:rsid w:val="00BD4D08"/>
    <w:rsid w:val="00BD5932"/>
    <w:rsid w:val="00BD6763"/>
    <w:rsid w:val="00BD6F15"/>
    <w:rsid w:val="00BD77D4"/>
    <w:rsid w:val="00BE1BD7"/>
    <w:rsid w:val="00BE71E9"/>
    <w:rsid w:val="00BF1330"/>
    <w:rsid w:val="00BF40A7"/>
    <w:rsid w:val="00BF5952"/>
    <w:rsid w:val="00BF776D"/>
    <w:rsid w:val="00BF7C3B"/>
    <w:rsid w:val="00C0128D"/>
    <w:rsid w:val="00C02165"/>
    <w:rsid w:val="00C027AD"/>
    <w:rsid w:val="00C03334"/>
    <w:rsid w:val="00C045F1"/>
    <w:rsid w:val="00C0646D"/>
    <w:rsid w:val="00C107C1"/>
    <w:rsid w:val="00C14D08"/>
    <w:rsid w:val="00C1793F"/>
    <w:rsid w:val="00C21DDF"/>
    <w:rsid w:val="00C22333"/>
    <w:rsid w:val="00C26E23"/>
    <w:rsid w:val="00C279BA"/>
    <w:rsid w:val="00C30CC5"/>
    <w:rsid w:val="00C33A79"/>
    <w:rsid w:val="00C34438"/>
    <w:rsid w:val="00C41513"/>
    <w:rsid w:val="00C4631F"/>
    <w:rsid w:val="00C4698B"/>
    <w:rsid w:val="00C5406A"/>
    <w:rsid w:val="00C54DC6"/>
    <w:rsid w:val="00C63F33"/>
    <w:rsid w:val="00C63FCA"/>
    <w:rsid w:val="00C643FA"/>
    <w:rsid w:val="00C718DD"/>
    <w:rsid w:val="00C71FD8"/>
    <w:rsid w:val="00C7257B"/>
    <w:rsid w:val="00C75B09"/>
    <w:rsid w:val="00C75F41"/>
    <w:rsid w:val="00C821A8"/>
    <w:rsid w:val="00C83123"/>
    <w:rsid w:val="00C8645E"/>
    <w:rsid w:val="00C90739"/>
    <w:rsid w:val="00C909DE"/>
    <w:rsid w:val="00C9506C"/>
    <w:rsid w:val="00CA0CB3"/>
    <w:rsid w:val="00CA128D"/>
    <w:rsid w:val="00CA202C"/>
    <w:rsid w:val="00CA24A7"/>
    <w:rsid w:val="00CA4604"/>
    <w:rsid w:val="00CA4B44"/>
    <w:rsid w:val="00CA62C1"/>
    <w:rsid w:val="00CA741A"/>
    <w:rsid w:val="00CB1778"/>
    <w:rsid w:val="00CB30E6"/>
    <w:rsid w:val="00CC349F"/>
    <w:rsid w:val="00CC48DF"/>
    <w:rsid w:val="00CC5A7E"/>
    <w:rsid w:val="00CD484B"/>
    <w:rsid w:val="00CD7B7B"/>
    <w:rsid w:val="00CE02E1"/>
    <w:rsid w:val="00CE1A93"/>
    <w:rsid w:val="00CE2625"/>
    <w:rsid w:val="00CE2DDE"/>
    <w:rsid w:val="00CE3FB9"/>
    <w:rsid w:val="00CE666D"/>
    <w:rsid w:val="00CE750F"/>
    <w:rsid w:val="00CF0E8D"/>
    <w:rsid w:val="00CF2128"/>
    <w:rsid w:val="00CF2BE9"/>
    <w:rsid w:val="00CF5A22"/>
    <w:rsid w:val="00D0164B"/>
    <w:rsid w:val="00D01F24"/>
    <w:rsid w:val="00D02489"/>
    <w:rsid w:val="00D044F2"/>
    <w:rsid w:val="00D05B7A"/>
    <w:rsid w:val="00D10620"/>
    <w:rsid w:val="00D16DD6"/>
    <w:rsid w:val="00D17D3A"/>
    <w:rsid w:val="00D20EAF"/>
    <w:rsid w:val="00D20ED6"/>
    <w:rsid w:val="00D22FF4"/>
    <w:rsid w:val="00D267FD"/>
    <w:rsid w:val="00D27704"/>
    <w:rsid w:val="00D307AF"/>
    <w:rsid w:val="00D31660"/>
    <w:rsid w:val="00D31FD8"/>
    <w:rsid w:val="00D3245A"/>
    <w:rsid w:val="00D32B18"/>
    <w:rsid w:val="00D3464F"/>
    <w:rsid w:val="00D347C8"/>
    <w:rsid w:val="00D4313E"/>
    <w:rsid w:val="00D446E8"/>
    <w:rsid w:val="00D44EDE"/>
    <w:rsid w:val="00D5053F"/>
    <w:rsid w:val="00D51458"/>
    <w:rsid w:val="00D53537"/>
    <w:rsid w:val="00D53B20"/>
    <w:rsid w:val="00D5582E"/>
    <w:rsid w:val="00D603F8"/>
    <w:rsid w:val="00D60F99"/>
    <w:rsid w:val="00D614A0"/>
    <w:rsid w:val="00D626D2"/>
    <w:rsid w:val="00D6349A"/>
    <w:rsid w:val="00D72302"/>
    <w:rsid w:val="00D7328F"/>
    <w:rsid w:val="00D750B2"/>
    <w:rsid w:val="00D75BAA"/>
    <w:rsid w:val="00D7791D"/>
    <w:rsid w:val="00D8020D"/>
    <w:rsid w:val="00D806CF"/>
    <w:rsid w:val="00D8626C"/>
    <w:rsid w:val="00D86504"/>
    <w:rsid w:val="00D86798"/>
    <w:rsid w:val="00D873EF"/>
    <w:rsid w:val="00D91090"/>
    <w:rsid w:val="00D9381D"/>
    <w:rsid w:val="00D93830"/>
    <w:rsid w:val="00D95E1D"/>
    <w:rsid w:val="00DA0C0B"/>
    <w:rsid w:val="00DA2423"/>
    <w:rsid w:val="00DA4BDA"/>
    <w:rsid w:val="00DB0F5E"/>
    <w:rsid w:val="00DB30FB"/>
    <w:rsid w:val="00DB3F3E"/>
    <w:rsid w:val="00DB57AC"/>
    <w:rsid w:val="00DB7446"/>
    <w:rsid w:val="00DC0AE0"/>
    <w:rsid w:val="00DC4EB8"/>
    <w:rsid w:val="00DC5564"/>
    <w:rsid w:val="00DD52C3"/>
    <w:rsid w:val="00DE0768"/>
    <w:rsid w:val="00DE1574"/>
    <w:rsid w:val="00DF104E"/>
    <w:rsid w:val="00DF49DB"/>
    <w:rsid w:val="00DF5A63"/>
    <w:rsid w:val="00DF5EED"/>
    <w:rsid w:val="00DF7CEF"/>
    <w:rsid w:val="00E04E3A"/>
    <w:rsid w:val="00E074D3"/>
    <w:rsid w:val="00E07D69"/>
    <w:rsid w:val="00E143C9"/>
    <w:rsid w:val="00E3033C"/>
    <w:rsid w:val="00E30677"/>
    <w:rsid w:val="00E341AD"/>
    <w:rsid w:val="00E3517D"/>
    <w:rsid w:val="00E3623B"/>
    <w:rsid w:val="00E364D1"/>
    <w:rsid w:val="00E3672A"/>
    <w:rsid w:val="00E36735"/>
    <w:rsid w:val="00E442FB"/>
    <w:rsid w:val="00E458E1"/>
    <w:rsid w:val="00E52CBB"/>
    <w:rsid w:val="00E536D1"/>
    <w:rsid w:val="00E53ABC"/>
    <w:rsid w:val="00E54D22"/>
    <w:rsid w:val="00E556D9"/>
    <w:rsid w:val="00E55EDC"/>
    <w:rsid w:val="00E562BF"/>
    <w:rsid w:val="00E608BD"/>
    <w:rsid w:val="00E61577"/>
    <w:rsid w:val="00E64525"/>
    <w:rsid w:val="00E64819"/>
    <w:rsid w:val="00E66128"/>
    <w:rsid w:val="00E705AE"/>
    <w:rsid w:val="00E712DD"/>
    <w:rsid w:val="00E715F0"/>
    <w:rsid w:val="00E734D2"/>
    <w:rsid w:val="00E736B3"/>
    <w:rsid w:val="00E73E8F"/>
    <w:rsid w:val="00E742E5"/>
    <w:rsid w:val="00E760E7"/>
    <w:rsid w:val="00E812DB"/>
    <w:rsid w:val="00E848FE"/>
    <w:rsid w:val="00E90DBD"/>
    <w:rsid w:val="00E936D4"/>
    <w:rsid w:val="00E9593E"/>
    <w:rsid w:val="00E9615E"/>
    <w:rsid w:val="00E96286"/>
    <w:rsid w:val="00EA2313"/>
    <w:rsid w:val="00EA3D9A"/>
    <w:rsid w:val="00EA4146"/>
    <w:rsid w:val="00EA5225"/>
    <w:rsid w:val="00EA52C4"/>
    <w:rsid w:val="00EA7259"/>
    <w:rsid w:val="00EB06EB"/>
    <w:rsid w:val="00EB239C"/>
    <w:rsid w:val="00EB5EBA"/>
    <w:rsid w:val="00EC1E20"/>
    <w:rsid w:val="00EC6912"/>
    <w:rsid w:val="00ED27C5"/>
    <w:rsid w:val="00ED6672"/>
    <w:rsid w:val="00ED7DF3"/>
    <w:rsid w:val="00EE2658"/>
    <w:rsid w:val="00EE2A5F"/>
    <w:rsid w:val="00EE2AA7"/>
    <w:rsid w:val="00EE6FFE"/>
    <w:rsid w:val="00EF2BB6"/>
    <w:rsid w:val="00EF40CA"/>
    <w:rsid w:val="00EF467D"/>
    <w:rsid w:val="00EF5C77"/>
    <w:rsid w:val="00EF6DA6"/>
    <w:rsid w:val="00EF7419"/>
    <w:rsid w:val="00EF7CE8"/>
    <w:rsid w:val="00F00867"/>
    <w:rsid w:val="00F10C83"/>
    <w:rsid w:val="00F12314"/>
    <w:rsid w:val="00F12469"/>
    <w:rsid w:val="00F15302"/>
    <w:rsid w:val="00F15385"/>
    <w:rsid w:val="00F16D63"/>
    <w:rsid w:val="00F17BB0"/>
    <w:rsid w:val="00F22F0A"/>
    <w:rsid w:val="00F237E6"/>
    <w:rsid w:val="00F27342"/>
    <w:rsid w:val="00F27CEF"/>
    <w:rsid w:val="00F344C1"/>
    <w:rsid w:val="00F36EFA"/>
    <w:rsid w:val="00F37A8D"/>
    <w:rsid w:val="00F401BE"/>
    <w:rsid w:val="00F42F27"/>
    <w:rsid w:val="00F4395F"/>
    <w:rsid w:val="00F52E95"/>
    <w:rsid w:val="00F53265"/>
    <w:rsid w:val="00F54D6A"/>
    <w:rsid w:val="00F56893"/>
    <w:rsid w:val="00F56A1A"/>
    <w:rsid w:val="00F62482"/>
    <w:rsid w:val="00F62D45"/>
    <w:rsid w:val="00F7119D"/>
    <w:rsid w:val="00F71B9C"/>
    <w:rsid w:val="00F71BAD"/>
    <w:rsid w:val="00F72229"/>
    <w:rsid w:val="00F733BF"/>
    <w:rsid w:val="00F7422E"/>
    <w:rsid w:val="00F74DDF"/>
    <w:rsid w:val="00F77CB3"/>
    <w:rsid w:val="00F80959"/>
    <w:rsid w:val="00F8652F"/>
    <w:rsid w:val="00F874E4"/>
    <w:rsid w:val="00F91EE7"/>
    <w:rsid w:val="00F91FF2"/>
    <w:rsid w:val="00F937E2"/>
    <w:rsid w:val="00F93D7F"/>
    <w:rsid w:val="00F962AE"/>
    <w:rsid w:val="00F97EDD"/>
    <w:rsid w:val="00FA1142"/>
    <w:rsid w:val="00FA491F"/>
    <w:rsid w:val="00FA702B"/>
    <w:rsid w:val="00FA7A0D"/>
    <w:rsid w:val="00FB0A3B"/>
    <w:rsid w:val="00FB444B"/>
    <w:rsid w:val="00FB500B"/>
    <w:rsid w:val="00FB5F3F"/>
    <w:rsid w:val="00FC1272"/>
    <w:rsid w:val="00FC15FB"/>
    <w:rsid w:val="00FC23CF"/>
    <w:rsid w:val="00FC305D"/>
    <w:rsid w:val="00FC7F73"/>
    <w:rsid w:val="00FD0F1C"/>
    <w:rsid w:val="00FD75DA"/>
    <w:rsid w:val="00FE0D28"/>
    <w:rsid w:val="00FE132B"/>
    <w:rsid w:val="00FE3F4F"/>
    <w:rsid w:val="00FE444E"/>
    <w:rsid w:val="00FE75CE"/>
    <w:rsid w:val="00FF1467"/>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3C4F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38"/>
    <w:pPr>
      <w:suppressAutoHyphens/>
      <w:spacing w:before="160" w:after="160" w:line="360" w:lineRule="auto"/>
    </w:pPr>
  </w:style>
  <w:style w:type="paragraph" w:styleId="Heading1">
    <w:name w:val="heading 1"/>
    <w:basedOn w:val="Normal"/>
    <w:next w:val="Normal"/>
    <w:link w:val="Heading1Char"/>
    <w:uiPriority w:val="99"/>
    <w:qFormat/>
    <w:rsid w:val="0006104A"/>
    <w:pPr>
      <w:keepNext/>
      <w:spacing w:before="240" w:after="60" w:line="240" w:lineRule="auto"/>
      <w:outlineLvl w:val="0"/>
    </w:pPr>
    <w:rPr>
      <w:b/>
      <w:bCs/>
      <w:kern w:val="32"/>
      <w:sz w:val="36"/>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06104A"/>
    <w:rPr>
      <w:b/>
      <w:bCs/>
      <w:kern w:val="32"/>
      <w:sz w:val="36"/>
      <w:szCs w:val="32"/>
    </w:rPr>
  </w:style>
  <w:style w:type="paragraph" w:styleId="Title">
    <w:name w:val="Title"/>
    <w:basedOn w:val="Normal"/>
    <w:next w:val="Normal"/>
    <w:link w:val="TitleChar"/>
    <w:uiPriority w:val="99"/>
    <w:qFormat/>
    <w:rsid w:val="0006104A"/>
    <w:pPr>
      <w:spacing w:before="120" w:after="240" w:line="240" w:lineRule="auto"/>
      <w:outlineLvl w:val="0"/>
    </w:pPr>
    <w:rPr>
      <w:b/>
      <w:bCs/>
      <w:kern w:val="28"/>
      <w:sz w:val="48"/>
      <w:szCs w:val="32"/>
    </w:rPr>
  </w:style>
  <w:style w:type="character" w:customStyle="1" w:styleId="TitleChar">
    <w:name w:val="Title Char"/>
    <w:link w:val="Title"/>
    <w:uiPriority w:val="99"/>
    <w:rsid w:val="0006104A"/>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872369"/>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872369"/>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28752B"/>
    <w:pPr>
      <w:pageBreakBefore/>
      <w:numPr>
        <w:numId w:val="1"/>
      </w:numPr>
      <w:tabs>
        <w:tab w:val="left" w:pos="851"/>
      </w:tabs>
      <w:suppressAutoHyphens/>
      <w:spacing w:after="120"/>
      <w:ind w:left="992" w:hanging="992"/>
    </w:pPr>
    <w:rPr>
      <w:b/>
      <w:bCs/>
      <w:kern w:val="32"/>
      <w:sz w:val="48"/>
      <w:szCs w:val="32"/>
    </w:rPr>
  </w:style>
  <w:style w:type="paragraph" w:customStyle="1" w:styleId="Bullets">
    <w:name w:val="Bullets"/>
    <w:basedOn w:val="Normal"/>
    <w:qFormat/>
    <w:rsid w:val="001D2C8C"/>
    <w:pPr>
      <w:numPr>
        <w:numId w:val="2"/>
      </w:numPr>
      <w:spacing w:before="60" w:after="60"/>
      <w:ind w:left="1037" w:hanging="357"/>
    </w:pPr>
  </w:style>
  <w:style w:type="character" w:customStyle="1" w:styleId="Heading1NumberedChar">
    <w:name w:val="Heading 1 Numbered Char"/>
    <w:link w:val="Heading1Numbered"/>
    <w:rsid w:val="0028752B"/>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99"/>
    <w:qFormat/>
    <w:rsid w:val="00415FFD"/>
    <w:pPr>
      <w:spacing w:before="200" w:after="12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uiPriority w:val="99"/>
    <w:qFormat/>
    <w:rsid w:val="00A7068F"/>
    <w:pPr>
      <w:tabs>
        <w:tab w:val="left" w:pos="454"/>
      </w:tabs>
      <w:suppressAutoHyphens/>
      <w:spacing w:line="360" w:lineRule="auto"/>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uiPriority w:val="99"/>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Body">
    <w:name w:val="Body"/>
    <w:basedOn w:val="NoParagraphStyle"/>
    <w:uiPriority w:val="99"/>
    <w:rsid w:val="00E3623B"/>
    <w:pPr>
      <w:suppressAutoHyphens/>
      <w:spacing w:after="160" w:line="320" w:lineRule="atLeast"/>
    </w:pPr>
    <w:rPr>
      <w:rFonts w:ascii="ITC Franklin Gothic Std Book" w:eastAsiaTheme="minorEastAsia" w:hAnsi="ITC Franklin Gothic Std Book" w:cs="ITC Franklin Gothic Std Book"/>
      <w:sz w:val="23"/>
      <w:szCs w:val="23"/>
      <w:lang w:val="en-US"/>
    </w:rPr>
  </w:style>
  <w:style w:type="paragraph" w:customStyle="1" w:styleId="Anchor">
    <w:name w:val="Anchor"/>
    <w:basedOn w:val="NoParagraphStyle"/>
    <w:uiPriority w:val="99"/>
    <w:rsid w:val="00E3623B"/>
    <w:pPr>
      <w:suppressAutoHyphens/>
      <w:spacing w:line="125" w:lineRule="atLeast"/>
    </w:pPr>
    <w:rPr>
      <w:rFonts w:ascii="ITC Franklin Gothic Std Book" w:eastAsiaTheme="minorEastAsia" w:hAnsi="ITC Franklin Gothic Std Book" w:cs="ITC Franklin Gothic Std Book"/>
      <w:sz w:val="13"/>
      <w:szCs w:val="13"/>
      <w:lang w:val="en-US"/>
    </w:rPr>
  </w:style>
  <w:style w:type="paragraph" w:customStyle="1" w:styleId="BodyPrebullet">
    <w:name w:val="Body Prebullet"/>
    <w:basedOn w:val="Body"/>
    <w:uiPriority w:val="99"/>
    <w:rsid w:val="00E3623B"/>
    <w:pPr>
      <w:spacing w:after="70"/>
    </w:pPr>
  </w:style>
  <w:style w:type="paragraph" w:customStyle="1" w:styleId="Bullet">
    <w:name w:val="Bullet"/>
    <w:basedOn w:val="NoParagraphStyle"/>
    <w:uiPriority w:val="99"/>
    <w:rsid w:val="00E3623B"/>
    <w:pPr>
      <w:tabs>
        <w:tab w:val="left" w:pos="482"/>
      </w:tabs>
      <w:suppressAutoHyphens/>
      <w:spacing w:after="70" w:line="320" w:lineRule="atLeast"/>
      <w:ind w:left="460" w:hanging="200"/>
    </w:pPr>
    <w:rPr>
      <w:rFonts w:ascii="ITC Franklin Gothic Std Book" w:eastAsiaTheme="minorEastAsia" w:hAnsi="ITC Franklin Gothic Std Book" w:cs="ITC Franklin Gothic Std Book"/>
      <w:sz w:val="23"/>
      <w:szCs w:val="23"/>
      <w:lang w:val="en-US"/>
    </w:rPr>
  </w:style>
  <w:style w:type="paragraph" w:customStyle="1" w:styleId="BulletLast">
    <w:name w:val="Bullet Last"/>
    <w:basedOn w:val="NoParagraphStyle"/>
    <w:uiPriority w:val="99"/>
    <w:rsid w:val="00E3623B"/>
    <w:pPr>
      <w:tabs>
        <w:tab w:val="left" w:pos="360"/>
      </w:tabs>
      <w:suppressAutoHyphens/>
      <w:spacing w:after="140" w:line="320" w:lineRule="atLeast"/>
      <w:ind w:left="460" w:hanging="200"/>
    </w:pPr>
    <w:rPr>
      <w:rFonts w:ascii="ITC Franklin Gothic Std Book" w:eastAsiaTheme="minorEastAsia" w:hAnsi="ITC Franklin Gothic Std Book" w:cs="ITC Franklin Gothic Std Book"/>
      <w:sz w:val="23"/>
      <w:szCs w:val="23"/>
      <w:lang w:val="en-US"/>
    </w:rPr>
  </w:style>
  <w:style w:type="paragraph" w:customStyle="1" w:styleId="ReferencesIndent">
    <w:name w:val="References Indent"/>
    <w:basedOn w:val="NoParagraphStyle"/>
    <w:uiPriority w:val="99"/>
    <w:rsid w:val="00E3623B"/>
    <w:pPr>
      <w:suppressAutoHyphens/>
      <w:spacing w:line="300" w:lineRule="atLeast"/>
      <w:ind w:left="360" w:hanging="360"/>
    </w:pPr>
    <w:rPr>
      <w:rFonts w:ascii="ITC Franklin Gothic Std Book" w:eastAsiaTheme="minorEastAsia" w:hAnsi="ITC Franklin Gothic Std Book" w:cs="ITC Franklin Gothic Std Book"/>
      <w:sz w:val="21"/>
      <w:szCs w:val="21"/>
      <w:lang w:val="en-US"/>
    </w:rPr>
  </w:style>
  <w:style w:type="paragraph" w:customStyle="1" w:styleId="References">
    <w:name w:val="References"/>
    <w:basedOn w:val="NoParagraphStyle"/>
    <w:uiPriority w:val="99"/>
    <w:rsid w:val="00E3623B"/>
    <w:pPr>
      <w:suppressAutoHyphens/>
      <w:spacing w:after="28" w:line="300" w:lineRule="atLeast"/>
      <w:ind w:left="360" w:hanging="360"/>
    </w:pPr>
    <w:rPr>
      <w:rFonts w:ascii="ITC Franklin Gothic Std Book" w:eastAsiaTheme="minorEastAsia" w:hAnsi="ITC Franklin Gothic Std Book" w:cs="ITC Franklin Gothic Std Book"/>
      <w:sz w:val="21"/>
      <w:szCs w:val="21"/>
      <w:lang w:val="en-US"/>
    </w:rPr>
  </w:style>
  <w:style w:type="paragraph" w:customStyle="1" w:styleId="TableHeading1">
    <w:name w:val="Table Heading 1"/>
    <w:basedOn w:val="NoParagraphStyle"/>
    <w:uiPriority w:val="99"/>
    <w:rsid w:val="00E3623B"/>
    <w:pPr>
      <w:suppressAutoHyphens/>
      <w:spacing w:line="210" w:lineRule="atLeast"/>
    </w:pPr>
    <w:rPr>
      <w:rFonts w:ascii="ITC Franklin Gothic Std Book" w:eastAsiaTheme="minorEastAsia" w:hAnsi="ITC Franklin Gothic Std Book" w:cs="ITC Franklin Gothic Std Book"/>
      <w:color w:val="246754"/>
      <w:sz w:val="19"/>
      <w:szCs w:val="19"/>
      <w:lang w:val="en-US"/>
    </w:rPr>
  </w:style>
  <w:style w:type="paragraph" w:customStyle="1" w:styleId="FootnoteQuote">
    <w:name w:val="Footnote Quote"/>
    <w:basedOn w:val="Normal"/>
    <w:uiPriority w:val="99"/>
    <w:rsid w:val="00E3623B"/>
    <w:pPr>
      <w:widowControl w:val="0"/>
      <w:tabs>
        <w:tab w:val="left" w:pos="600"/>
      </w:tabs>
      <w:autoSpaceDE w:val="0"/>
      <w:autoSpaceDN w:val="0"/>
      <w:adjustRightInd w:val="0"/>
      <w:spacing w:before="0" w:after="0" w:line="240" w:lineRule="atLeast"/>
      <w:ind w:left="567"/>
      <w:textAlignment w:val="center"/>
    </w:pPr>
    <w:rPr>
      <w:rFonts w:ascii="ITC Franklin Gothic Std Book" w:eastAsiaTheme="minorEastAsia" w:hAnsi="ITC Franklin Gothic Std Book" w:cs="ITC Franklin Gothic Std Book"/>
      <w:color w:val="000000"/>
      <w:sz w:val="17"/>
      <w:szCs w:val="17"/>
      <w:lang w:val="en-US"/>
    </w:rPr>
  </w:style>
  <w:style w:type="paragraph" w:customStyle="1" w:styleId="Footnote100">
    <w:name w:val="Footnote 100"/>
    <w:basedOn w:val="Normal"/>
    <w:uiPriority w:val="99"/>
    <w:rsid w:val="00E3623B"/>
    <w:pPr>
      <w:widowControl w:val="0"/>
      <w:tabs>
        <w:tab w:val="left" w:pos="482"/>
      </w:tabs>
      <w:autoSpaceDE w:val="0"/>
      <w:autoSpaceDN w:val="0"/>
      <w:adjustRightInd w:val="0"/>
      <w:spacing w:before="0" w:after="100" w:line="230" w:lineRule="atLeast"/>
      <w:ind w:left="482" w:hanging="482"/>
      <w:textAlignment w:val="center"/>
    </w:pPr>
    <w:rPr>
      <w:rFonts w:ascii="ITC Franklin Gothic Std Book" w:eastAsiaTheme="minorEastAsia" w:hAnsi="ITC Franklin Gothic Std Book" w:cs="ITC Franklin Gothic Std Book"/>
      <w:color w:val="000000"/>
      <w:sz w:val="18"/>
      <w:szCs w:val="18"/>
      <w:lang w:val="en-US"/>
    </w:rPr>
  </w:style>
  <w:style w:type="paragraph" w:customStyle="1" w:styleId="TableBodyRight">
    <w:name w:val="Table Body Right"/>
    <w:basedOn w:val="NoParagraphStyle"/>
    <w:uiPriority w:val="99"/>
    <w:rsid w:val="00E3623B"/>
    <w:pPr>
      <w:suppressAutoHyphens/>
      <w:spacing w:line="210" w:lineRule="atLeast"/>
      <w:jc w:val="right"/>
    </w:pPr>
    <w:rPr>
      <w:rFonts w:ascii="ITC Franklin Gothic Std Book" w:eastAsiaTheme="minorEastAsia" w:hAnsi="ITC Franklin Gothic Std Book" w:cs="ITC Franklin Gothic Std Book"/>
      <w:sz w:val="19"/>
      <w:szCs w:val="19"/>
      <w:lang w:val="en-US"/>
    </w:rPr>
  </w:style>
  <w:style w:type="character" w:customStyle="1" w:styleId="Figurenumber">
    <w:name w:val="Figure number"/>
    <w:uiPriority w:val="99"/>
    <w:rsid w:val="00E3623B"/>
    <w:rPr>
      <w:color w:val="246754"/>
    </w:rPr>
  </w:style>
  <w:style w:type="paragraph" w:customStyle="1" w:styleId="Imprint">
    <w:name w:val="Imprint"/>
    <w:basedOn w:val="NoParagraphStyle"/>
    <w:uiPriority w:val="99"/>
    <w:rsid w:val="00FE444E"/>
    <w:pPr>
      <w:suppressAutoHyphens/>
      <w:spacing w:after="60" w:line="240" w:lineRule="atLeast"/>
    </w:pPr>
    <w:rPr>
      <w:rFonts w:ascii="ITC Franklin Gothic Std Book" w:eastAsiaTheme="minorEastAsia" w:hAnsi="ITC Franklin Gothic Std Book" w:cs="ITC Franklin Gothic Std Book"/>
      <w:sz w:val="18"/>
      <w:szCs w:val="18"/>
      <w:lang w:val="en-US"/>
    </w:rPr>
  </w:style>
  <w:style w:type="paragraph" w:styleId="Bibliography">
    <w:name w:val="Bibliography"/>
    <w:basedOn w:val="Normal"/>
    <w:next w:val="Normal"/>
    <w:uiPriority w:val="37"/>
    <w:semiHidden/>
    <w:unhideWhenUsed/>
    <w:rsid w:val="005801E0"/>
  </w:style>
  <w:style w:type="paragraph" w:customStyle="1" w:styleId="Cases">
    <w:name w:val="Cases"/>
    <w:basedOn w:val="NoParagraphStyle"/>
    <w:uiPriority w:val="99"/>
    <w:rsid w:val="005801E0"/>
    <w:pPr>
      <w:suppressAutoHyphens/>
      <w:spacing w:after="110" w:line="320" w:lineRule="atLeast"/>
    </w:pPr>
    <w:rPr>
      <w:rFonts w:ascii="ITC Franklin Gothic Std Book" w:eastAsiaTheme="minorEastAsia" w:hAnsi="ITC Franklin Gothic Std Book" w:cs="ITC Franklin Gothic Std Book"/>
      <w:sz w:val="22"/>
      <w:szCs w:val="22"/>
      <w:lang w:val="en-US"/>
    </w:rPr>
  </w:style>
  <w:style w:type="paragraph" w:customStyle="1" w:styleId="TOC">
    <w:name w:val="TOC"/>
    <w:basedOn w:val="NoParagraphStyle"/>
    <w:uiPriority w:val="99"/>
    <w:rsid w:val="0009038A"/>
    <w:pPr>
      <w:suppressAutoHyphens/>
      <w:spacing w:after="120" w:line="220" w:lineRule="atLeast"/>
    </w:pPr>
    <w:rPr>
      <w:rFonts w:ascii="ITC Franklin Gothic Std Book" w:eastAsiaTheme="minorEastAsia" w:hAnsi="ITC Franklin Gothic Std Book" w:cs="ITC Franklin Gothic Std Book"/>
      <w:sz w:val="19"/>
      <w:szCs w:val="19"/>
      <w:lang w:val="en-US"/>
    </w:rPr>
  </w:style>
  <w:style w:type="paragraph" w:customStyle="1" w:styleId="CalloutText">
    <w:name w:val="Callout Text"/>
    <w:basedOn w:val="Body"/>
    <w:uiPriority w:val="99"/>
    <w:rsid w:val="00FC305D"/>
    <w:pPr>
      <w:spacing w:after="40" w:line="360" w:lineRule="atLeast"/>
      <w:jc w:val="center"/>
    </w:pPr>
    <w:rPr>
      <w:color w:val="FFFFFF"/>
      <w:sz w:val="32"/>
      <w:szCs w:val="32"/>
    </w:rPr>
  </w:style>
  <w:style w:type="paragraph" w:styleId="IntenseQuote">
    <w:name w:val="Intense Quote"/>
    <w:basedOn w:val="Normal"/>
    <w:next w:val="Normal"/>
    <w:link w:val="IntenseQuoteChar"/>
    <w:uiPriority w:val="30"/>
    <w:qFormat/>
    <w:rsid w:val="002039C0"/>
    <w:pPr>
      <w:pBdr>
        <w:top w:val="single" w:sz="4" w:space="10" w:color="auto"/>
        <w:bottom w:val="single" w:sz="4" w:space="10" w:color="auto"/>
      </w:pBdr>
      <w:spacing w:before="360" w:after="360"/>
      <w:ind w:left="864" w:right="864"/>
      <w:jc w:val="center"/>
    </w:pPr>
    <w:rPr>
      <w:b/>
      <w:iCs/>
    </w:rPr>
  </w:style>
  <w:style w:type="character" w:customStyle="1" w:styleId="IntenseQuoteChar">
    <w:name w:val="Intense Quote Char"/>
    <w:basedOn w:val="DefaultParagraphFont"/>
    <w:link w:val="IntenseQuote"/>
    <w:uiPriority w:val="30"/>
    <w:rsid w:val="002039C0"/>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85225944">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30683595">
      <w:bodyDiv w:val="1"/>
      <w:marLeft w:val="0"/>
      <w:marRight w:val="0"/>
      <w:marTop w:val="0"/>
      <w:marBottom w:val="0"/>
      <w:divBdr>
        <w:top w:val="none" w:sz="0" w:space="0" w:color="auto"/>
        <w:left w:val="none" w:sz="0" w:space="0" w:color="auto"/>
        <w:bottom w:val="none" w:sz="0" w:space="0" w:color="auto"/>
        <w:right w:val="none" w:sz="0" w:space="0" w:color="auto"/>
      </w:divBdr>
    </w:div>
    <w:div w:id="150297517">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181167200">
      <w:bodyDiv w:val="1"/>
      <w:marLeft w:val="0"/>
      <w:marRight w:val="0"/>
      <w:marTop w:val="0"/>
      <w:marBottom w:val="0"/>
      <w:divBdr>
        <w:top w:val="none" w:sz="0" w:space="0" w:color="auto"/>
        <w:left w:val="none" w:sz="0" w:space="0" w:color="auto"/>
        <w:bottom w:val="none" w:sz="0" w:space="0" w:color="auto"/>
        <w:right w:val="none" w:sz="0" w:space="0" w:color="auto"/>
      </w:divBdr>
    </w:div>
    <w:div w:id="189538604">
      <w:bodyDiv w:val="1"/>
      <w:marLeft w:val="0"/>
      <w:marRight w:val="0"/>
      <w:marTop w:val="0"/>
      <w:marBottom w:val="0"/>
      <w:divBdr>
        <w:top w:val="none" w:sz="0" w:space="0" w:color="auto"/>
        <w:left w:val="none" w:sz="0" w:space="0" w:color="auto"/>
        <w:bottom w:val="none" w:sz="0" w:space="0" w:color="auto"/>
        <w:right w:val="none" w:sz="0" w:space="0" w:color="auto"/>
      </w:divBdr>
    </w:div>
    <w:div w:id="231277032">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496501361">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73478657">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02387697">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72420961">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899899891">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981691994">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0981320">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84247350">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23511082">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08649815">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482189412">
      <w:bodyDiv w:val="1"/>
      <w:marLeft w:val="0"/>
      <w:marRight w:val="0"/>
      <w:marTop w:val="0"/>
      <w:marBottom w:val="0"/>
      <w:divBdr>
        <w:top w:val="none" w:sz="0" w:space="0" w:color="auto"/>
        <w:left w:val="none" w:sz="0" w:space="0" w:color="auto"/>
        <w:bottom w:val="none" w:sz="0" w:space="0" w:color="auto"/>
        <w:right w:val="none" w:sz="0" w:space="0" w:color="auto"/>
      </w:divBdr>
    </w:div>
    <w:div w:id="1497528882">
      <w:bodyDiv w:val="1"/>
      <w:marLeft w:val="0"/>
      <w:marRight w:val="0"/>
      <w:marTop w:val="0"/>
      <w:marBottom w:val="0"/>
      <w:divBdr>
        <w:top w:val="none" w:sz="0" w:space="0" w:color="auto"/>
        <w:left w:val="none" w:sz="0" w:space="0" w:color="auto"/>
        <w:bottom w:val="none" w:sz="0" w:space="0" w:color="auto"/>
        <w:right w:val="none" w:sz="0" w:space="0" w:color="auto"/>
      </w:divBdr>
    </w:div>
    <w:div w:id="1501889646">
      <w:bodyDiv w:val="1"/>
      <w:marLeft w:val="0"/>
      <w:marRight w:val="0"/>
      <w:marTop w:val="0"/>
      <w:marBottom w:val="0"/>
      <w:divBdr>
        <w:top w:val="none" w:sz="0" w:space="0" w:color="auto"/>
        <w:left w:val="none" w:sz="0" w:space="0" w:color="auto"/>
        <w:bottom w:val="none" w:sz="0" w:space="0" w:color="auto"/>
        <w:right w:val="none" w:sz="0" w:space="0" w:color="auto"/>
      </w:divBdr>
    </w:div>
    <w:div w:id="1526869375">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45701132">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13414776">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 w:id="2102485845">
      <w:bodyDiv w:val="1"/>
      <w:marLeft w:val="0"/>
      <w:marRight w:val="0"/>
      <w:marTop w:val="0"/>
      <w:marBottom w:val="0"/>
      <w:divBdr>
        <w:top w:val="none" w:sz="0" w:space="0" w:color="auto"/>
        <w:left w:val="none" w:sz="0" w:space="0" w:color="auto"/>
        <w:bottom w:val="none" w:sz="0" w:space="0" w:color="auto"/>
        <w:right w:val="none" w:sz="0" w:space="0" w:color="auto"/>
      </w:divBdr>
    </w:div>
    <w:div w:id="21429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AA6B-4FB6-4D66-9967-D2198218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Combined Orders of Imprisonment with a Community Correction Order in Victoria</vt:lpstr>
    </vt:vector>
  </TitlesOfParts>
  <Company/>
  <LinksUpToDate>false</LinksUpToDate>
  <CharactersWithSpaces>43175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Orders of Imprisonment with a Community Correction Order in Victoria</dc:title>
  <dc:subject/>
  <dc:creator/>
  <cp:keywords/>
  <dc:description/>
  <cp:lastModifiedBy/>
  <cp:revision>1</cp:revision>
  <dcterms:created xsi:type="dcterms:W3CDTF">2023-11-09T05:33:00Z</dcterms:created>
  <dcterms:modified xsi:type="dcterms:W3CDTF">2023-11-09T05:34:00Z</dcterms:modified>
</cp:coreProperties>
</file>