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610" w:rsidRDefault="00894610" w:rsidP="00E44ECE">
      <w:pPr>
        <w:pStyle w:val="Title"/>
      </w:pPr>
      <w:r w:rsidRPr="00E44ECE">
        <w:t>Contravention of</w:t>
      </w:r>
      <w:r w:rsidR="001A3A43" w:rsidRPr="00E44ECE">
        <w:t xml:space="preserve"> </w:t>
      </w:r>
      <w:r w:rsidR="00586BCB">
        <w:t>C</w:t>
      </w:r>
      <w:r w:rsidRPr="00E44ECE">
        <w:t xml:space="preserve">ommunity </w:t>
      </w:r>
      <w:r w:rsidR="00586BCB">
        <w:t>C</w:t>
      </w:r>
      <w:r w:rsidRPr="00E44ECE">
        <w:t xml:space="preserve">orrection </w:t>
      </w:r>
      <w:r w:rsidR="00586BCB">
        <w:t>O</w:t>
      </w:r>
      <w:r w:rsidRPr="00E44ECE">
        <w:t>rders (CCOs)</w:t>
      </w:r>
    </w:p>
    <w:p w:rsidR="00586BCB" w:rsidRPr="00586BCB" w:rsidRDefault="00586BCB" w:rsidP="00586BCB">
      <w:pPr>
        <w:rPr>
          <w:rStyle w:val="Strong"/>
        </w:rPr>
      </w:pPr>
      <w:r w:rsidRPr="00586BCB">
        <w:rPr>
          <w:rStyle w:val="Strong"/>
        </w:rPr>
        <w:t>Factsheet</w:t>
      </w:r>
    </w:p>
    <w:p w:rsidR="00894610" w:rsidRDefault="00894610" w:rsidP="00D91C01">
      <w:r>
        <w:t xml:space="preserve">The Sentencing Advisory Council studied </w:t>
      </w:r>
      <w:r w:rsidRPr="00CD2D6E">
        <w:rPr>
          <w:rStyle w:val="Strong"/>
        </w:rPr>
        <w:t>7,645 offenders</w:t>
      </w:r>
      <w:r>
        <w:t xml:space="preserve"> sentenced to a CCO between July 2012 and June 2013. Offenders were tracked until their CCO was finished or until 30 June 2016, whichever came first.</w:t>
      </w:r>
    </w:p>
    <w:p w:rsidR="009A35B7" w:rsidRDefault="009A35B7" w:rsidP="00CC2FCD">
      <w:pPr>
        <w:pStyle w:val="Heading1"/>
        <w:rPr>
          <w:szCs w:val="36"/>
        </w:rPr>
      </w:pPr>
      <w:r>
        <w:t>Who received a CCO</w:t>
      </w:r>
      <w:r w:rsidR="00CC2FCD">
        <w:t xml:space="preserve"> </w:t>
      </w:r>
      <w:r>
        <w:t>and why?</w:t>
      </w:r>
    </w:p>
    <w:p w:rsidR="00894610" w:rsidRDefault="00894610" w:rsidP="00714223">
      <w:pPr>
        <w:pStyle w:val="Heading2"/>
        <w:rPr>
          <w:rFonts w:eastAsiaTheme="minorEastAsia"/>
          <w:szCs w:val="36"/>
        </w:rPr>
      </w:pPr>
      <w:r>
        <w:rPr>
          <w:rFonts w:eastAsiaTheme="minorEastAsia"/>
        </w:rPr>
        <w:t>Magistrates’ Court</w:t>
      </w:r>
    </w:p>
    <w:p w:rsidR="00894610" w:rsidRDefault="00894610" w:rsidP="00714223">
      <w:pPr>
        <w:rPr>
          <w:rFonts w:eastAsiaTheme="minorEastAsia"/>
        </w:rPr>
      </w:pPr>
      <w:r>
        <w:t>7,340 offenders were sentenced to their CCO in the Magistrates’ Court:</w:t>
      </w:r>
    </w:p>
    <w:p w:rsidR="00894610" w:rsidRDefault="00894610" w:rsidP="00714223">
      <w:pPr>
        <w:pStyle w:val="ListParagraph"/>
        <w:numPr>
          <w:ilvl w:val="0"/>
          <w:numId w:val="8"/>
        </w:numPr>
      </w:pPr>
      <w:r>
        <w:t>Their average age was 32 years</w:t>
      </w:r>
    </w:p>
    <w:p w:rsidR="00894610" w:rsidRDefault="00894610" w:rsidP="00714223">
      <w:pPr>
        <w:pStyle w:val="ListParagraph"/>
        <w:numPr>
          <w:ilvl w:val="0"/>
          <w:numId w:val="8"/>
        </w:numPr>
      </w:pPr>
      <w:r>
        <w:t>29% were aged under 25 years</w:t>
      </w:r>
    </w:p>
    <w:p w:rsidR="00894610" w:rsidRDefault="00894610" w:rsidP="00714223">
      <w:pPr>
        <w:pStyle w:val="ListParagraph"/>
        <w:numPr>
          <w:ilvl w:val="0"/>
          <w:numId w:val="8"/>
        </w:numPr>
      </w:pPr>
      <w:r>
        <w:t>86% were men</w:t>
      </w:r>
    </w:p>
    <w:p w:rsidR="00894610" w:rsidRDefault="00894610" w:rsidP="00714223">
      <w:pPr>
        <w:pStyle w:val="ListParagraph"/>
        <w:numPr>
          <w:ilvl w:val="0"/>
          <w:numId w:val="8"/>
        </w:numPr>
      </w:pPr>
      <w:r>
        <w:t>69% had prior convictions</w:t>
      </w:r>
      <w:r w:rsidR="00EF18F0">
        <w:t>.</w:t>
      </w:r>
      <w:bookmarkStart w:id="0" w:name="_GoBack"/>
      <w:bookmarkEnd w:id="0"/>
    </w:p>
    <w:p w:rsidR="006D4495" w:rsidRDefault="006D4495" w:rsidP="006D4495">
      <w:pPr>
        <w:pStyle w:val="Caption"/>
      </w:pPr>
      <w:r>
        <w:t>Percentage of offenders who received a CCO in the Magistrates’ Court, by age group</w:t>
      </w:r>
    </w:p>
    <w:tbl>
      <w:tblPr>
        <w:tblStyle w:val="TableGrid"/>
        <w:tblW w:w="5000" w:type="pct"/>
        <w:tblLook w:val="04A0" w:firstRow="1" w:lastRow="0" w:firstColumn="1" w:lastColumn="0" w:noHBand="0" w:noVBand="1"/>
      </w:tblPr>
      <w:tblGrid>
        <w:gridCol w:w="5366"/>
        <w:gridCol w:w="5396"/>
      </w:tblGrid>
      <w:tr w:rsidR="003E07B1" w:rsidTr="003E07B1">
        <w:tc>
          <w:tcPr>
            <w:tcW w:w="2493" w:type="pct"/>
          </w:tcPr>
          <w:p w:rsidR="003E07B1" w:rsidRDefault="003E07B1" w:rsidP="003E07B1">
            <w:pPr>
              <w:pStyle w:val="TableHeading"/>
            </w:pPr>
            <w:r>
              <w:t>Age group of offenders</w:t>
            </w:r>
          </w:p>
        </w:tc>
        <w:tc>
          <w:tcPr>
            <w:tcW w:w="2507" w:type="pct"/>
          </w:tcPr>
          <w:p w:rsidR="003E07B1" w:rsidRDefault="003E07B1" w:rsidP="003E07B1">
            <w:pPr>
              <w:pStyle w:val="TableHeading"/>
            </w:pPr>
            <w:r>
              <w:t>Percentage sentenced</w:t>
            </w:r>
            <w:r w:rsidR="00F91BB3">
              <w:t xml:space="preserve"> to a CCO</w:t>
            </w:r>
            <w:r>
              <w:t xml:space="preserve"> in the Magistrates’ Court</w:t>
            </w:r>
          </w:p>
        </w:tc>
      </w:tr>
      <w:tr w:rsidR="003E07B1" w:rsidTr="003E07B1">
        <w:tc>
          <w:tcPr>
            <w:tcW w:w="2493" w:type="pct"/>
          </w:tcPr>
          <w:p w:rsidR="003E07B1" w:rsidRDefault="003E07B1" w:rsidP="003E07B1">
            <w:pPr>
              <w:pStyle w:val="TableBody"/>
            </w:pPr>
            <w:r>
              <w:t>Under 25</w:t>
            </w:r>
          </w:p>
        </w:tc>
        <w:tc>
          <w:tcPr>
            <w:tcW w:w="2507" w:type="pct"/>
          </w:tcPr>
          <w:p w:rsidR="003E07B1" w:rsidRDefault="003E07B1" w:rsidP="003E07B1">
            <w:pPr>
              <w:pStyle w:val="TableBody"/>
            </w:pPr>
            <w:r>
              <w:t>29%</w:t>
            </w:r>
          </w:p>
        </w:tc>
      </w:tr>
      <w:tr w:rsidR="003E07B1" w:rsidTr="003E07B1">
        <w:tc>
          <w:tcPr>
            <w:tcW w:w="2493" w:type="pct"/>
          </w:tcPr>
          <w:p w:rsidR="003E07B1" w:rsidRDefault="003E07B1" w:rsidP="003E07B1">
            <w:pPr>
              <w:pStyle w:val="TableBody"/>
            </w:pPr>
            <w:r>
              <w:t>25–34</w:t>
            </w:r>
          </w:p>
        </w:tc>
        <w:tc>
          <w:tcPr>
            <w:tcW w:w="2507" w:type="pct"/>
          </w:tcPr>
          <w:p w:rsidR="003E07B1" w:rsidRDefault="003E07B1" w:rsidP="003E07B1">
            <w:pPr>
              <w:pStyle w:val="TableBody"/>
            </w:pPr>
            <w:r>
              <w:t>35%</w:t>
            </w:r>
          </w:p>
        </w:tc>
      </w:tr>
      <w:tr w:rsidR="003E07B1" w:rsidTr="003E07B1">
        <w:tc>
          <w:tcPr>
            <w:tcW w:w="2493" w:type="pct"/>
          </w:tcPr>
          <w:p w:rsidR="003E07B1" w:rsidRDefault="003E07B1" w:rsidP="003E07B1">
            <w:pPr>
              <w:pStyle w:val="TableBody"/>
            </w:pPr>
            <w:r>
              <w:t>35–44</w:t>
            </w:r>
          </w:p>
        </w:tc>
        <w:tc>
          <w:tcPr>
            <w:tcW w:w="2507" w:type="pct"/>
          </w:tcPr>
          <w:p w:rsidR="003E07B1" w:rsidRDefault="003E07B1" w:rsidP="003E07B1">
            <w:pPr>
              <w:pStyle w:val="TableBody"/>
            </w:pPr>
            <w:r>
              <w:t>23%</w:t>
            </w:r>
          </w:p>
        </w:tc>
      </w:tr>
      <w:tr w:rsidR="003E07B1" w:rsidTr="003E07B1">
        <w:tc>
          <w:tcPr>
            <w:tcW w:w="2493" w:type="pct"/>
          </w:tcPr>
          <w:p w:rsidR="003E07B1" w:rsidRDefault="003E07B1" w:rsidP="003E07B1">
            <w:pPr>
              <w:pStyle w:val="TableBody"/>
            </w:pPr>
            <w:r>
              <w:t>45+</w:t>
            </w:r>
          </w:p>
        </w:tc>
        <w:tc>
          <w:tcPr>
            <w:tcW w:w="2507" w:type="pct"/>
          </w:tcPr>
          <w:p w:rsidR="003E07B1" w:rsidRDefault="003E07B1" w:rsidP="003E07B1">
            <w:pPr>
              <w:pStyle w:val="TableBody"/>
            </w:pPr>
            <w:r>
              <w:t>13%</w:t>
            </w:r>
          </w:p>
        </w:tc>
      </w:tr>
      <w:tr w:rsidR="003E07B1" w:rsidRPr="00F91BB3" w:rsidTr="003E07B1">
        <w:tc>
          <w:tcPr>
            <w:tcW w:w="2493" w:type="pct"/>
          </w:tcPr>
          <w:p w:rsidR="003E07B1" w:rsidRPr="00F91BB3" w:rsidRDefault="003E07B1" w:rsidP="003E07B1">
            <w:pPr>
              <w:pStyle w:val="TableBody"/>
              <w:rPr>
                <w:rStyle w:val="Strong"/>
              </w:rPr>
            </w:pPr>
            <w:r w:rsidRPr="00F91BB3">
              <w:rPr>
                <w:rStyle w:val="Strong"/>
              </w:rPr>
              <w:t>Total number of offenders</w:t>
            </w:r>
          </w:p>
        </w:tc>
        <w:tc>
          <w:tcPr>
            <w:tcW w:w="2507" w:type="pct"/>
          </w:tcPr>
          <w:p w:rsidR="003E07B1" w:rsidRPr="00F91BB3" w:rsidRDefault="003E07B1" w:rsidP="003E07B1">
            <w:pPr>
              <w:pStyle w:val="TableBody"/>
              <w:rPr>
                <w:rStyle w:val="Strong"/>
              </w:rPr>
            </w:pPr>
            <w:r w:rsidRPr="00F91BB3">
              <w:rPr>
                <w:rStyle w:val="Strong"/>
              </w:rPr>
              <w:t>7,340</w:t>
            </w:r>
          </w:p>
        </w:tc>
      </w:tr>
    </w:tbl>
    <w:p w:rsidR="00894610" w:rsidRDefault="00894610" w:rsidP="003F2241">
      <w:pPr>
        <w:pStyle w:val="Heading2"/>
        <w:rPr>
          <w:rFonts w:eastAsiaTheme="minorEastAsia"/>
          <w:szCs w:val="36"/>
        </w:rPr>
      </w:pPr>
      <w:r>
        <w:rPr>
          <w:rFonts w:eastAsiaTheme="minorEastAsia"/>
        </w:rPr>
        <w:t>Higher courts</w:t>
      </w:r>
    </w:p>
    <w:p w:rsidR="00894610" w:rsidRDefault="00894610" w:rsidP="003F2241">
      <w:pPr>
        <w:rPr>
          <w:rFonts w:eastAsiaTheme="minorEastAsia"/>
        </w:rPr>
      </w:pPr>
      <w:r>
        <w:t>305 offenders were sentenced to their CCO in the higher courts:</w:t>
      </w:r>
    </w:p>
    <w:p w:rsidR="00894610" w:rsidRDefault="00894610" w:rsidP="003F2241">
      <w:pPr>
        <w:pStyle w:val="ListParagraph"/>
        <w:numPr>
          <w:ilvl w:val="0"/>
          <w:numId w:val="9"/>
        </w:numPr>
      </w:pPr>
      <w:r>
        <w:t>Their average age was 30 years</w:t>
      </w:r>
    </w:p>
    <w:p w:rsidR="00894610" w:rsidRDefault="00894610" w:rsidP="003F2241">
      <w:pPr>
        <w:pStyle w:val="ListParagraph"/>
        <w:numPr>
          <w:ilvl w:val="0"/>
          <w:numId w:val="9"/>
        </w:numPr>
      </w:pPr>
      <w:r>
        <w:t>46% were aged under 25 years</w:t>
      </w:r>
    </w:p>
    <w:p w:rsidR="00894610" w:rsidRDefault="00894610" w:rsidP="003F2241">
      <w:pPr>
        <w:pStyle w:val="ListParagraph"/>
        <w:numPr>
          <w:ilvl w:val="0"/>
          <w:numId w:val="9"/>
        </w:numPr>
      </w:pPr>
      <w:r>
        <w:t>82% were men</w:t>
      </w:r>
    </w:p>
    <w:p w:rsidR="00894610" w:rsidRDefault="00894610" w:rsidP="003F2241">
      <w:pPr>
        <w:pStyle w:val="ListParagraph"/>
        <w:numPr>
          <w:ilvl w:val="0"/>
          <w:numId w:val="9"/>
        </w:numPr>
      </w:pPr>
      <w:r>
        <w:t>50% had prior convictions</w:t>
      </w:r>
      <w:r w:rsidR="00EF18F0">
        <w:t>.</w:t>
      </w:r>
    </w:p>
    <w:p w:rsidR="00894610" w:rsidRDefault="0023667C" w:rsidP="00C43A76">
      <w:pPr>
        <w:pStyle w:val="Caption"/>
        <w:keepLines/>
      </w:pPr>
      <w:r w:rsidRPr="0023667C">
        <w:lastRenderedPageBreak/>
        <w:t>Percentage</w:t>
      </w:r>
      <w:r>
        <w:t xml:space="preserve"> of offenders who received a CCO in the higher courts, by age group</w:t>
      </w:r>
    </w:p>
    <w:tbl>
      <w:tblPr>
        <w:tblStyle w:val="TableGrid"/>
        <w:tblW w:w="5000" w:type="pct"/>
        <w:tblLook w:val="04A0" w:firstRow="1" w:lastRow="0" w:firstColumn="1" w:lastColumn="0" w:noHBand="0" w:noVBand="1"/>
      </w:tblPr>
      <w:tblGrid>
        <w:gridCol w:w="5366"/>
        <w:gridCol w:w="5396"/>
      </w:tblGrid>
      <w:tr w:rsidR="002859A2" w:rsidTr="003026D8">
        <w:tc>
          <w:tcPr>
            <w:tcW w:w="2493" w:type="pct"/>
          </w:tcPr>
          <w:p w:rsidR="002859A2" w:rsidRDefault="002859A2" w:rsidP="00C43A76">
            <w:pPr>
              <w:pStyle w:val="TableHeading"/>
              <w:keepNext/>
              <w:keepLines/>
            </w:pPr>
            <w:r>
              <w:t>Age group of offenders</w:t>
            </w:r>
          </w:p>
        </w:tc>
        <w:tc>
          <w:tcPr>
            <w:tcW w:w="2507" w:type="pct"/>
          </w:tcPr>
          <w:p w:rsidR="002859A2" w:rsidRDefault="002859A2" w:rsidP="00C43A76">
            <w:pPr>
              <w:pStyle w:val="TableHeading"/>
              <w:keepNext/>
              <w:keepLines/>
            </w:pPr>
            <w:r>
              <w:t>Percentage sentenced to a CCO in the higher courts</w:t>
            </w:r>
          </w:p>
        </w:tc>
      </w:tr>
      <w:tr w:rsidR="002859A2" w:rsidTr="003026D8">
        <w:tc>
          <w:tcPr>
            <w:tcW w:w="2493" w:type="pct"/>
          </w:tcPr>
          <w:p w:rsidR="002859A2" w:rsidRDefault="002859A2" w:rsidP="00C43A76">
            <w:pPr>
              <w:pStyle w:val="TableBody"/>
              <w:keepNext/>
              <w:keepLines/>
            </w:pPr>
            <w:r>
              <w:t>Under 25</w:t>
            </w:r>
          </w:p>
        </w:tc>
        <w:tc>
          <w:tcPr>
            <w:tcW w:w="2507" w:type="pct"/>
          </w:tcPr>
          <w:p w:rsidR="002859A2" w:rsidRDefault="002859A2" w:rsidP="00C43A76">
            <w:pPr>
              <w:pStyle w:val="TableBody"/>
              <w:keepNext/>
              <w:keepLines/>
            </w:pPr>
            <w:r>
              <w:t>46%</w:t>
            </w:r>
          </w:p>
        </w:tc>
      </w:tr>
      <w:tr w:rsidR="002859A2" w:rsidTr="003026D8">
        <w:tc>
          <w:tcPr>
            <w:tcW w:w="2493" w:type="pct"/>
          </w:tcPr>
          <w:p w:rsidR="002859A2" w:rsidRDefault="002859A2" w:rsidP="00C43A76">
            <w:pPr>
              <w:pStyle w:val="TableBody"/>
              <w:keepNext/>
              <w:keepLines/>
            </w:pPr>
            <w:r>
              <w:t>25–34</w:t>
            </w:r>
          </w:p>
        </w:tc>
        <w:tc>
          <w:tcPr>
            <w:tcW w:w="2507" w:type="pct"/>
          </w:tcPr>
          <w:p w:rsidR="002859A2" w:rsidRDefault="002859A2" w:rsidP="00C43A76">
            <w:pPr>
              <w:pStyle w:val="TableBody"/>
              <w:keepNext/>
              <w:keepLines/>
            </w:pPr>
            <w:r>
              <w:t>29%</w:t>
            </w:r>
          </w:p>
        </w:tc>
      </w:tr>
      <w:tr w:rsidR="002859A2" w:rsidTr="003026D8">
        <w:tc>
          <w:tcPr>
            <w:tcW w:w="2493" w:type="pct"/>
          </w:tcPr>
          <w:p w:rsidR="002859A2" w:rsidRDefault="002859A2" w:rsidP="00C43A76">
            <w:pPr>
              <w:pStyle w:val="TableBody"/>
              <w:keepNext/>
              <w:keepLines/>
            </w:pPr>
            <w:r>
              <w:t>35–44</w:t>
            </w:r>
          </w:p>
        </w:tc>
        <w:tc>
          <w:tcPr>
            <w:tcW w:w="2507" w:type="pct"/>
          </w:tcPr>
          <w:p w:rsidR="002859A2" w:rsidRDefault="002859A2" w:rsidP="00C43A76">
            <w:pPr>
              <w:pStyle w:val="TableBody"/>
              <w:keepNext/>
              <w:keepLines/>
            </w:pPr>
            <w:r>
              <w:t>14%</w:t>
            </w:r>
          </w:p>
        </w:tc>
      </w:tr>
      <w:tr w:rsidR="002859A2" w:rsidTr="003026D8">
        <w:tc>
          <w:tcPr>
            <w:tcW w:w="2493" w:type="pct"/>
          </w:tcPr>
          <w:p w:rsidR="002859A2" w:rsidRDefault="002859A2" w:rsidP="00C43A76">
            <w:pPr>
              <w:pStyle w:val="TableBody"/>
              <w:keepNext/>
              <w:keepLines/>
            </w:pPr>
            <w:r>
              <w:t>45+</w:t>
            </w:r>
          </w:p>
        </w:tc>
        <w:tc>
          <w:tcPr>
            <w:tcW w:w="2507" w:type="pct"/>
          </w:tcPr>
          <w:p w:rsidR="002859A2" w:rsidRDefault="002859A2" w:rsidP="00C43A76">
            <w:pPr>
              <w:pStyle w:val="TableBody"/>
              <w:keepNext/>
              <w:keepLines/>
            </w:pPr>
            <w:r>
              <w:t>11%</w:t>
            </w:r>
          </w:p>
        </w:tc>
      </w:tr>
      <w:tr w:rsidR="002859A2" w:rsidRPr="00F91BB3" w:rsidTr="003026D8">
        <w:tc>
          <w:tcPr>
            <w:tcW w:w="2493" w:type="pct"/>
          </w:tcPr>
          <w:p w:rsidR="002859A2" w:rsidRPr="00F91BB3" w:rsidRDefault="002859A2" w:rsidP="00C43A76">
            <w:pPr>
              <w:pStyle w:val="TableBody"/>
              <w:keepNext/>
              <w:keepLines/>
              <w:rPr>
                <w:rStyle w:val="Strong"/>
              </w:rPr>
            </w:pPr>
            <w:r w:rsidRPr="00F91BB3">
              <w:rPr>
                <w:rStyle w:val="Strong"/>
              </w:rPr>
              <w:t>Total number of offenders</w:t>
            </w:r>
          </w:p>
        </w:tc>
        <w:tc>
          <w:tcPr>
            <w:tcW w:w="2507" w:type="pct"/>
          </w:tcPr>
          <w:p w:rsidR="002859A2" w:rsidRPr="00F91BB3" w:rsidRDefault="002859A2" w:rsidP="00C43A76">
            <w:pPr>
              <w:pStyle w:val="TableBody"/>
              <w:keepNext/>
              <w:keepLines/>
              <w:rPr>
                <w:rStyle w:val="Strong"/>
              </w:rPr>
            </w:pPr>
            <w:r>
              <w:rPr>
                <w:rStyle w:val="Strong"/>
              </w:rPr>
              <w:t>305</w:t>
            </w:r>
          </w:p>
        </w:tc>
      </w:tr>
    </w:tbl>
    <w:p w:rsidR="00894610" w:rsidRDefault="00894610" w:rsidP="00E93669">
      <w:pPr>
        <w:pStyle w:val="Heading1"/>
      </w:pPr>
      <w:r>
        <w:t>How many offenders obeyed their CCO?</w:t>
      </w:r>
      <w:r w:rsidR="00E93669">
        <w:t xml:space="preserve"> </w:t>
      </w:r>
      <w:r>
        <w:t>How many committed new offences?</w:t>
      </w:r>
    </w:p>
    <w:p w:rsidR="009A35B7" w:rsidRPr="00BD7D2B" w:rsidRDefault="009A35B7" w:rsidP="00BD7D2B">
      <w:pPr>
        <w:pStyle w:val="ListParagraph"/>
        <w:numPr>
          <w:ilvl w:val="0"/>
          <w:numId w:val="10"/>
        </w:numPr>
        <w:rPr>
          <w:szCs w:val="20"/>
        </w:rPr>
      </w:pPr>
      <w:r>
        <w:t>Of the 7,340 offenders on a CCO imposed in the Magistrates’ Court, 2,620 (36%) committed new offences while on their CCO</w:t>
      </w:r>
    </w:p>
    <w:p w:rsidR="009A35B7" w:rsidRDefault="009A35B7" w:rsidP="00BD7D2B">
      <w:pPr>
        <w:pStyle w:val="ListParagraph"/>
        <w:numPr>
          <w:ilvl w:val="0"/>
          <w:numId w:val="10"/>
        </w:numPr>
      </w:pPr>
      <w:r>
        <w:t>They committed 15,460 new offences, averaging 5.9 offences for each offender</w:t>
      </w:r>
    </w:p>
    <w:p w:rsidR="009A35B7" w:rsidRDefault="009A35B7" w:rsidP="00BD7D2B">
      <w:pPr>
        <w:pStyle w:val="ListParagraph"/>
        <w:numPr>
          <w:ilvl w:val="0"/>
          <w:numId w:val="10"/>
        </w:numPr>
      </w:pPr>
      <w:r>
        <w:t>Most new offences were relatively low level and were heard in the Magistrates’ Court</w:t>
      </w:r>
    </w:p>
    <w:p w:rsidR="009A35B7" w:rsidRDefault="009A35B7" w:rsidP="00BD7D2B">
      <w:pPr>
        <w:pStyle w:val="ListParagraph"/>
        <w:numPr>
          <w:ilvl w:val="0"/>
          <w:numId w:val="10"/>
        </w:numPr>
      </w:pPr>
      <w:r>
        <w:t>The most common new offence was theft (32%).</w:t>
      </w:r>
    </w:p>
    <w:p w:rsidR="0054067F" w:rsidRDefault="0054067F" w:rsidP="0054067F">
      <w:pPr>
        <w:pStyle w:val="Caption"/>
      </w:pPr>
      <w:r w:rsidRPr="0054067F">
        <w:t>Percentage</w:t>
      </w:r>
      <w:r w:rsidR="00943128">
        <w:t xml:space="preserve"> of offenders who contravened their CCO and the type of contravention, CCOs imposed in the Magistrates’ Court</w:t>
      </w:r>
    </w:p>
    <w:tbl>
      <w:tblPr>
        <w:tblStyle w:val="TableGrid"/>
        <w:tblW w:w="5000" w:type="pct"/>
        <w:tblLook w:val="04A0" w:firstRow="1" w:lastRow="0" w:firstColumn="1" w:lastColumn="0" w:noHBand="0" w:noVBand="1"/>
      </w:tblPr>
      <w:tblGrid>
        <w:gridCol w:w="5366"/>
        <w:gridCol w:w="5396"/>
      </w:tblGrid>
      <w:tr w:rsidR="0054067F" w:rsidTr="003026D8">
        <w:tc>
          <w:tcPr>
            <w:tcW w:w="2493" w:type="pct"/>
          </w:tcPr>
          <w:p w:rsidR="0054067F" w:rsidRDefault="004A4089" w:rsidP="003026D8">
            <w:pPr>
              <w:pStyle w:val="TableHeading"/>
            </w:pPr>
            <w:r>
              <w:t>Contravention category</w:t>
            </w:r>
          </w:p>
        </w:tc>
        <w:tc>
          <w:tcPr>
            <w:tcW w:w="2507" w:type="pct"/>
          </w:tcPr>
          <w:p w:rsidR="0054067F" w:rsidRDefault="004A4089" w:rsidP="003026D8">
            <w:pPr>
              <w:pStyle w:val="TableHeading"/>
            </w:pPr>
            <w:r>
              <w:t>Percentage of offenders</w:t>
            </w:r>
          </w:p>
        </w:tc>
      </w:tr>
      <w:tr w:rsidR="0054067F" w:rsidTr="003026D8">
        <w:tc>
          <w:tcPr>
            <w:tcW w:w="2493" w:type="pct"/>
          </w:tcPr>
          <w:p w:rsidR="0054067F" w:rsidRDefault="004A4089" w:rsidP="003026D8">
            <w:pPr>
              <w:pStyle w:val="TableBody"/>
            </w:pPr>
            <w:r>
              <w:t>No contravention</w:t>
            </w:r>
          </w:p>
        </w:tc>
        <w:tc>
          <w:tcPr>
            <w:tcW w:w="2507" w:type="pct"/>
          </w:tcPr>
          <w:p w:rsidR="0054067F" w:rsidRDefault="004A4089" w:rsidP="003026D8">
            <w:pPr>
              <w:pStyle w:val="TableBody"/>
            </w:pPr>
            <w:r>
              <w:t>49%</w:t>
            </w:r>
          </w:p>
        </w:tc>
      </w:tr>
      <w:tr w:rsidR="0054067F" w:rsidTr="003026D8">
        <w:tc>
          <w:tcPr>
            <w:tcW w:w="2493" w:type="pct"/>
          </w:tcPr>
          <w:p w:rsidR="0054067F" w:rsidRDefault="004A4089" w:rsidP="003026D8">
            <w:pPr>
              <w:pStyle w:val="TableBody"/>
            </w:pPr>
            <w:r>
              <w:t>Contravention by non-compliance</w:t>
            </w:r>
          </w:p>
        </w:tc>
        <w:tc>
          <w:tcPr>
            <w:tcW w:w="2507" w:type="pct"/>
          </w:tcPr>
          <w:p w:rsidR="0054067F" w:rsidRDefault="004A4089" w:rsidP="003026D8">
            <w:pPr>
              <w:pStyle w:val="TableBody"/>
            </w:pPr>
            <w:r>
              <w:t>15%</w:t>
            </w:r>
          </w:p>
        </w:tc>
      </w:tr>
      <w:tr w:rsidR="0054067F" w:rsidTr="003026D8">
        <w:tc>
          <w:tcPr>
            <w:tcW w:w="2493" w:type="pct"/>
          </w:tcPr>
          <w:p w:rsidR="0054067F" w:rsidRDefault="004A4089" w:rsidP="003026D8">
            <w:pPr>
              <w:pStyle w:val="TableBody"/>
            </w:pPr>
            <w:r>
              <w:t>Contravention by further offending</w:t>
            </w:r>
          </w:p>
        </w:tc>
        <w:tc>
          <w:tcPr>
            <w:tcW w:w="2507" w:type="pct"/>
          </w:tcPr>
          <w:p w:rsidR="0054067F" w:rsidRDefault="004A4089" w:rsidP="003026D8">
            <w:pPr>
              <w:pStyle w:val="TableBody"/>
            </w:pPr>
            <w:r>
              <w:t>36%</w:t>
            </w:r>
          </w:p>
        </w:tc>
      </w:tr>
    </w:tbl>
    <w:p w:rsidR="009A35B7" w:rsidRPr="00BD7D2B" w:rsidRDefault="009A35B7" w:rsidP="00BD7D2B">
      <w:pPr>
        <w:pStyle w:val="ListParagraph"/>
        <w:numPr>
          <w:ilvl w:val="0"/>
          <w:numId w:val="10"/>
        </w:numPr>
        <w:rPr>
          <w:szCs w:val="20"/>
        </w:rPr>
      </w:pPr>
      <w:r>
        <w:t>Of the 305 offenders on a CCO imposed in the higher courts, 85 (28%) committed new offences while on their CCO</w:t>
      </w:r>
    </w:p>
    <w:p w:rsidR="009A35B7" w:rsidRDefault="009A35B7" w:rsidP="00BD7D2B">
      <w:pPr>
        <w:pStyle w:val="ListParagraph"/>
        <w:numPr>
          <w:ilvl w:val="0"/>
          <w:numId w:val="10"/>
        </w:numPr>
      </w:pPr>
      <w:r>
        <w:t>They committed 481 new offences, averaging 5.7 offences for each offender</w:t>
      </w:r>
    </w:p>
    <w:p w:rsidR="009A35B7" w:rsidRDefault="009A35B7" w:rsidP="00BD7D2B">
      <w:pPr>
        <w:pStyle w:val="ListParagraph"/>
        <w:numPr>
          <w:ilvl w:val="0"/>
          <w:numId w:val="10"/>
        </w:numPr>
      </w:pPr>
      <w:r>
        <w:t>Most new offences were relatively low level and were heard in the Magistrates’ Court</w:t>
      </w:r>
    </w:p>
    <w:p w:rsidR="009A35B7" w:rsidRDefault="009A35B7" w:rsidP="00BD7D2B">
      <w:pPr>
        <w:pStyle w:val="ListParagraph"/>
        <w:numPr>
          <w:ilvl w:val="0"/>
          <w:numId w:val="10"/>
        </w:numPr>
      </w:pPr>
      <w:r>
        <w:t>The most common new offence was theft (31%).</w:t>
      </w:r>
    </w:p>
    <w:p w:rsidR="00C17F1F" w:rsidRDefault="00C17F1F" w:rsidP="00C17F1F">
      <w:pPr>
        <w:pStyle w:val="Caption"/>
      </w:pPr>
      <w:r w:rsidRPr="0054067F">
        <w:t>Percentage</w:t>
      </w:r>
      <w:r>
        <w:t xml:space="preserve"> of offenders who contravened their CCO and the type of contravention, CCOs imposed in the higher courts</w:t>
      </w:r>
    </w:p>
    <w:tbl>
      <w:tblPr>
        <w:tblStyle w:val="TableGrid"/>
        <w:tblW w:w="5000" w:type="pct"/>
        <w:tblLook w:val="04A0" w:firstRow="1" w:lastRow="0" w:firstColumn="1" w:lastColumn="0" w:noHBand="0" w:noVBand="1"/>
      </w:tblPr>
      <w:tblGrid>
        <w:gridCol w:w="5366"/>
        <w:gridCol w:w="5396"/>
      </w:tblGrid>
      <w:tr w:rsidR="00C17F1F" w:rsidTr="003026D8">
        <w:tc>
          <w:tcPr>
            <w:tcW w:w="2493" w:type="pct"/>
          </w:tcPr>
          <w:p w:rsidR="00C17F1F" w:rsidRDefault="00C17F1F" w:rsidP="003026D8">
            <w:pPr>
              <w:pStyle w:val="TableHeading"/>
            </w:pPr>
            <w:r>
              <w:t>Contravention category</w:t>
            </w:r>
          </w:p>
        </w:tc>
        <w:tc>
          <w:tcPr>
            <w:tcW w:w="2507" w:type="pct"/>
          </w:tcPr>
          <w:p w:rsidR="00C17F1F" w:rsidRDefault="00C17F1F" w:rsidP="003026D8">
            <w:pPr>
              <w:pStyle w:val="TableHeading"/>
            </w:pPr>
            <w:r>
              <w:t>Percentage of offenders</w:t>
            </w:r>
          </w:p>
        </w:tc>
      </w:tr>
      <w:tr w:rsidR="00C17F1F" w:rsidTr="003026D8">
        <w:tc>
          <w:tcPr>
            <w:tcW w:w="2493" w:type="pct"/>
          </w:tcPr>
          <w:p w:rsidR="00C17F1F" w:rsidRDefault="00C17F1F" w:rsidP="003026D8">
            <w:pPr>
              <w:pStyle w:val="TableBody"/>
            </w:pPr>
            <w:r>
              <w:t>No contravention</w:t>
            </w:r>
          </w:p>
        </w:tc>
        <w:tc>
          <w:tcPr>
            <w:tcW w:w="2507" w:type="pct"/>
          </w:tcPr>
          <w:p w:rsidR="00C17F1F" w:rsidRDefault="004C255B" w:rsidP="003026D8">
            <w:pPr>
              <w:pStyle w:val="TableBody"/>
            </w:pPr>
            <w:r>
              <w:t>59%</w:t>
            </w:r>
          </w:p>
        </w:tc>
      </w:tr>
      <w:tr w:rsidR="00C17F1F" w:rsidTr="003026D8">
        <w:tc>
          <w:tcPr>
            <w:tcW w:w="2493" w:type="pct"/>
          </w:tcPr>
          <w:p w:rsidR="00C17F1F" w:rsidRDefault="00C17F1F" w:rsidP="003026D8">
            <w:pPr>
              <w:pStyle w:val="TableBody"/>
            </w:pPr>
            <w:r>
              <w:t>Contravention by non-compliance</w:t>
            </w:r>
          </w:p>
        </w:tc>
        <w:tc>
          <w:tcPr>
            <w:tcW w:w="2507" w:type="pct"/>
          </w:tcPr>
          <w:p w:rsidR="00C17F1F" w:rsidRDefault="004C255B" w:rsidP="003026D8">
            <w:pPr>
              <w:pStyle w:val="TableBody"/>
            </w:pPr>
            <w:r>
              <w:t>13%</w:t>
            </w:r>
          </w:p>
        </w:tc>
      </w:tr>
      <w:tr w:rsidR="00C17F1F" w:rsidTr="003026D8">
        <w:tc>
          <w:tcPr>
            <w:tcW w:w="2493" w:type="pct"/>
          </w:tcPr>
          <w:p w:rsidR="00C17F1F" w:rsidRDefault="00C17F1F" w:rsidP="003026D8">
            <w:pPr>
              <w:pStyle w:val="TableBody"/>
            </w:pPr>
            <w:r>
              <w:t>Contravention by further offending</w:t>
            </w:r>
          </w:p>
        </w:tc>
        <w:tc>
          <w:tcPr>
            <w:tcW w:w="2507" w:type="pct"/>
          </w:tcPr>
          <w:p w:rsidR="00C17F1F" w:rsidRDefault="004C255B" w:rsidP="003026D8">
            <w:pPr>
              <w:pStyle w:val="TableBody"/>
            </w:pPr>
            <w:r>
              <w:t>28%</w:t>
            </w:r>
          </w:p>
        </w:tc>
      </w:tr>
    </w:tbl>
    <w:p w:rsidR="00894610" w:rsidRDefault="00894610" w:rsidP="00CC5BF3">
      <w:pPr>
        <w:pStyle w:val="Heading1"/>
        <w:rPr>
          <w:szCs w:val="36"/>
        </w:rPr>
      </w:pPr>
      <w:r>
        <w:lastRenderedPageBreak/>
        <w:t>When did offenders commit their first new offence?</w:t>
      </w:r>
    </w:p>
    <w:p w:rsidR="00CC5BF3" w:rsidRDefault="00CC5BF3" w:rsidP="00CC5BF3">
      <w:pPr>
        <w:rPr>
          <w:szCs w:val="20"/>
        </w:rPr>
      </w:pPr>
      <w:r>
        <w:t>Of the offenders who committed a new offence while on a CCO:</w:t>
      </w:r>
    </w:p>
    <w:p w:rsidR="00CC5BF3" w:rsidRDefault="00CC5BF3" w:rsidP="00CC5BF3">
      <w:pPr>
        <w:pStyle w:val="ListParagraph"/>
        <w:numPr>
          <w:ilvl w:val="0"/>
          <w:numId w:val="11"/>
        </w:numPr>
      </w:pPr>
      <w:r>
        <w:t>4% reoffended in the first week</w:t>
      </w:r>
    </w:p>
    <w:p w:rsidR="00CC5BF3" w:rsidRDefault="00CC5BF3" w:rsidP="00CC5BF3">
      <w:pPr>
        <w:pStyle w:val="ListParagraph"/>
        <w:numPr>
          <w:ilvl w:val="0"/>
          <w:numId w:val="11"/>
        </w:numPr>
      </w:pPr>
      <w:r>
        <w:t>18% reoffended in the first month</w:t>
      </w:r>
    </w:p>
    <w:p w:rsidR="00CC5BF3" w:rsidRDefault="00CC5BF3" w:rsidP="00CC5BF3">
      <w:pPr>
        <w:pStyle w:val="ListParagraph"/>
        <w:numPr>
          <w:ilvl w:val="0"/>
          <w:numId w:val="11"/>
        </w:numPr>
      </w:pPr>
      <w:r>
        <w:t>44% reoffended in the first three months</w:t>
      </w:r>
    </w:p>
    <w:p w:rsidR="00CC5BF3" w:rsidRDefault="00CC5BF3" w:rsidP="00CC5BF3">
      <w:pPr>
        <w:pStyle w:val="ListParagraph"/>
        <w:numPr>
          <w:ilvl w:val="0"/>
          <w:numId w:val="11"/>
        </w:numPr>
      </w:pPr>
      <w:r>
        <w:t>68% reoffended in the first six months.</w:t>
      </w:r>
    </w:p>
    <w:p w:rsidR="00CC5BF3" w:rsidRDefault="00CC5BF3" w:rsidP="00CC5BF3">
      <w:r>
        <w:t>‘The findings show that early intervention is critical. To be effective, support services and programs need to start as soon as possible after offenders receive their CCO, because reoffending is most likely to start within the first few months.’</w:t>
      </w:r>
    </w:p>
    <w:p w:rsidR="00CC5BF3" w:rsidRDefault="00CC5BF3" w:rsidP="00616A1B">
      <w:r>
        <w:t>Arie Freiberg, Chair, Sentencing Advisory Council</w:t>
      </w:r>
    </w:p>
    <w:p w:rsidR="00894610" w:rsidRDefault="00894610" w:rsidP="00616A1B">
      <w:pPr>
        <w:pStyle w:val="Heading2"/>
        <w:rPr>
          <w:szCs w:val="36"/>
        </w:rPr>
      </w:pPr>
      <w:r>
        <w:t>What factors make an offender more likely to commit an offence on their CCO?</w:t>
      </w:r>
    </w:p>
    <w:p w:rsidR="0087374E" w:rsidRDefault="0087374E" w:rsidP="0087374E">
      <w:pPr>
        <w:pStyle w:val="Heading2"/>
      </w:pPr>
      <w:r>
        <w:t>Magistrates’ Court</w:t>
      </w:r>
    </w:p>
    <w:p w:rsidR="0087374E" w:rsidRDefault="0087374E" w:rsidP="0087374E">
      <w:pPr>
        <w:pStyle w:val="Heading3"/>
      </w:pPr>
      <w:r>
        <w:t>Prior convictions</w:t>
      </w:r>
    </w:p>
    <w:p w:rsidR="0087374E" w:rsidRDefault="0087374E" w:rsidP="0087374E">
      <w:r>
        <w:t>During the study period, offenders with prior convictions were nearly three times more likely to contravene their CCO by further offending than offenders without prior convictions.</w:t>
      </w:r>
    </w:p>
    <w:p w:rsidR="0087374E" w:rsidRDefault="0087374E" w:rsidP="0087374E">
      <w:pPr>
        <w:pStyle w:val="Heading3"/>
      </w:pPr>
      <w:r>
        <w:t>Age</w:t>
      </w:r>
    </w:p>
    <w:p w:rsidR="0087374E" w:rsidRDefault="0087374E" w:rsidP="0087374E">
      <w:r>
        <w:t>Offenders aged under 25 years were nearly twice as likely to contravene their CCO by further offending than older offenders.</w:t>
      </w:r>
    </w:p>
    <w:p w:rsidR="0087374E" w:rsidRDefault="0087374E" w:rsidP="0087374E">
      <w:pPr>
        <w:pStyle w:val="Heading3"/>
      </w:pPr>
      <w:r>
        <w:t>Other factors</w:t>
      </w:r>
    </w:p>
    <w:p w:rsidR="0087374E" w:rsidRDefault="0087374E" w:rsidP="0087374E">
      <w:r>
        <w:t>Offenders were more likely to contravene their CCO if it was:</w:t>
      </w:r>
    </w:p>
    <w:p w:rsidR="0087374E" w:rsidRDefault="0087374E" w:rsidP="0087374E">
      <w:pPr>
        <w:pStyle w:val="ListParagraph"/>
        <w:numPr>
          <w:ilvl w:val="0"/>
          <w:numId w:val="12"/>
        </w:numPr>
      </w:pPr>
      <w:r>
        <w:t>longer than 12 months</w:t>
      </w:r>
    </w:p>
    <w:p w:rsidR="0087374E" w:rsidRDefault="0087374E" w:rsidP="0087374E">
      <w:pPr>
        <w:pStyle w:val="ListParagraph"/>
        <w:numPr>
          <w:ilvl w:val="0"/>
          <w:numId w:val="12"/>
        </w:numPr>
      </w:pPr>
      <w:r>
        <w:t>combined with a sentenced of imprisonment.</w:t>
      </w:r>
    </w:p>
    <w:p w:rsidR="00894610" w:rsidRDefault="00894610" w:rsidP="001C699E">
      <w:pPr>
        <w:pStyle w:val="Heading2"/>
        <w:rPr>
          <w:rFonts w:eastAsiaTheme="minorEastAsia"/>
          <w:szCs w:val="36"/>
        </w:rPr>
      </w:pPr>
      <w:r>
        <w:rPr>
          <w:rFonts w:eastAsiaTheme="minorEastAsia"/>
        </w:rPr>
        <w:lastRenderedPageBreak/>
        <w:t>Higher courts</w:t>
      </w:r>
    </w:p>
    <w:p w:rsidR="00894610" w:rsidRDefault="00894610" w:rsidP="001C699E">
      <w:pPr>
        <w:pStyle w:val="Heading3"/>
        <w:rPr>
          <w:rFonts w:eastAsiaTheme="minorEastAsia"/>
        </w:rPr>
      </w:pPr>
      <w:r>
        <w:rPr>
          <w:rFonts w:eastAsiaTheme="minorEastAsia"/>
        </w:rPr>
        <w:t>Prior convictions</w:t>
      </w:r>
    </w:p>
    <w:p w:rsidR="00894610" w:rsidRDefault="00894610" w:rsidP="001C699E">
      <w:pPr>
        <w:rPr>
          <w:rFonts w:eastAsiaTheme="minorEastAsia"/>
        </w:rPr>
      </w:pPr>
      <w:r>
        <w:t>During the study period, offenders with prior convictions were five times more likely to contravene their CCO by further offending than offenders without prior convictions.</w:t>
      </w:r>
    </w:p>
    <w:p w:rsidR="00894610" w:rsidRDefault="00894610" w:rsidP="001C699E">
      <w:pPr>
        <w:pStyle w:val="Heading3"/>
        <w:rPr>
          <w:rFonts w:eastAsiaTheme="minorEastAsia"/>
        </w:rPr>
      </w:pPr>
      <w:r>
        <w:rPr>
          <w:rFonts w:eastAsiaTheme="minorEastAsia"/>
        </w:rPr>
        <w:t>Age</w:t>
      </w:r>
    </w:p>
    <w:p w:rsidR="00894610" w:rsidRDefault="00894610" w:rsidP="001C699E">
      <w:pPr>
        <w:rPr>
          <w:rFonts w:eastAsiaTheme="minorEastAsia"/>
        </w:rPr>
      </w:pPr>
      <w:r>
        <w:t>Offenders aged under 25 years were nearly twice as likely to contravene by further offending than older offenders.</w:t>
      </w:r>
    </w:p>
    <w:p w:rsidR="00894610" w:rsidRDefault="00894610" w:rsidP="001C699E">
      <w:pPr>
        <w:pStyle w:val="Heading3"/>
        <w:rPr>
          <w:rFonts w:eastAsiaTheme="minorEastAsia"/>
        </w:rPr>
      </w:pPr>
      <w:r>
        <w:rPr>
          <w:rFonts w:eastAsiaTheme="minorEastAsia"/>
        </w:rPr>
        <w:t>Other factors</w:t>
      </w:r>
    </w:p>
    <w:p w:rsidR="00894610" w:rsidRDefault="00894610" w:rsidP="001C699E">
      <w:pPr>
        <w:rPr>
          <w:rFonts w:eastAsiaTheme="minorEastAsia"/>
        </w:rPr>
      </w:pPr>
      <w:r>
        <w:t>Offenders were more likely to contravene their CCO if it:</w:t>
      </w:r>
    </w:p>
    <w:p w:rsidR="00894610" w:rsidRDefault="00894610" w:rsidP="001C699E">
      <w:pPr>
        <w:pStyle w:val="ListParagraph"/>
        <w:numPr>
          <w:ilvl w:val="0"/>
          <w:numId w:val="13"/>
        </w:numPr>
      </w:pPr>
      <w:r>
        <w:t>had conditions other than community work (e.g. supervision and treatment) or</w:t>
      </w:r>
    </w:p>
    <w:p w:rsidR="00894610" w:rsidRDefault="00894610" w:rsidP="001C699E">
      <w:pPr>
        <w:pStyle w:val="ListParagraph"/>
        <w:numPr>
          <w:ilvl w:val="0"/>
          <w:numId w:val="13"/>
        </w:numPr>
      </w:pPr>
      <w:r>
        <w:t>was longer than 2 years.</w:t>
      </w:r>
    </w:p>
    <w:p w:rsidR="00DF15E6" w:rsidRDefault="00DF15E6" w:rsidP="00DF15E6">
      <w:pPr>
        <w:pStyle w:val="Heading2"/>
      </w:pPr>
      <w:r>
        <w:t>How many offenders who committed new offences went to prison?</w:t>
      </w:r>
    </w:p>
    <w:p w:rsidR="00DF15E6" w:rsidRDefault="00DF15E6" w:rsidP="00B93AD7">
      <w:r>
        <w:t>Of the 2,620 offenders who contravened by further offending on a CCO imposed in the Magistrates’ Court:</w:t>
      </w:r>
    </w:p>
    <w:p w:rsidR="00DF15E6" w:rsidRDefault="00DF15E6" w:rsidP="00B93AD7">
      <w:pPr>
        <w:pStyle w:val="ListParagraph"/>
        <w:numPr>
          <w:ilvl w:val="0"/>
          <w:numId w:val="14"/>
        </w:numPr>
      </w:pPr>
      <w:r>
        <w:t>35% went to prison</w:t>
      </w:r>
    </w:p>
    <w:p w:rsidR="00DF15E6" w:rsidRDefault="00DF15E6" w:rsidP="00B93AD7">
      <w:pPr>
        <w:pStyle w:val="ListParagraph"/>
        <w:numPr>
          <w:ilvl w:val="0"/>
          <w:numId w:val="14"/>
        </w:numPr>
      </w:pPr>
      <w:r>
        <w:t>27% stayed on a CCO, either as it was or with changes (e.g. stricter conditions).</w:t>
      </w:r>
    </w:p>
    <w:p w:rsidR="00751825" w:rsidRDefault="00751825" w:rsidP="00751825">
      <w:pPr>
        <w:pStyle w:val="Caption"/>
      </w:pPr>
      <w:r>
        <w:t xml:space="preserve">Most severe sentence given to offenders who committed new offences on </w:t>
      </w:r>
      <w:r w:rsidR="008326CE">
        <w:t>a CCO</w:t>
      </w:r>
      <w:r>
        <w:t xml:space="preserve"> imposed in the Magistrates’ Court</w:t>
      </w:r>
    </w:p>
    <w:tbl>
      <w:tblPr>
        <w:tblStyle w:val="TableGrid"/>
        <w:tblW w:w="5000" w:type="pct"/>
        <w:tblLook w:val="04A0" w:firstRow="1" w:lastRow="0" w:firstColumn="1" w:lastColumn="0" w:noHBand="0" w:noVBand="1"/>
      </w:tblPr>
      <w:tblGrid>
        <w:gridCol w:w="5366"/>
        <w:gridCol w:w="5396"/>
      </w:tblGrid>
      <w:tr w:rsidR="00751825" w:rsidTr="003026D8">
        <w:tc>
          <w:tcPr>
            <w:tcW w:w="2493" w:type="pct"/>
          </w:tcPr>
          <w:p w:rsidR="00751825" w:rsidRDefault="00573042" w:rsidP="003026D8">
            <w:pPr>
              <w:pStyle w:val="TableHeading"/>
            </w:pPr>
            <w:r>
              <w:t>Most severe sentence</w:t>
            </w:r>
          </w:p>
        </w:tc>
        <w:tc>
          <w:tcPr>
            <w:tcW w:w="2507" w:type="pct"/>
          </w:tcPr>
          <w:p w:rsidR="00751825" w:rsidRDefault="00573042" w:rsidP="003026D8">
            <w:pPr>
              <w:pStyle w:val="TableHeading"/>
            </w:pPr>
            <w:r>
              <w:t>Percentage of offenders</w:t>
            </w:r>
          </w:p>
        </w:tc>
      </w:tr>
      <w:tr w:rsidR="00751825" w:rsidTr="003026D8">
        <w:tc>
          <w:tcPr>
            <w:tcW w:w="2493" w:type="pct"/>
          </w:tcPr>
          <w:p w:rsidR="00751825" w:rsidRDefault="00573042" w:rsidP="003026D8">
            <w:pPr>
              <w:pStyle w:val="TableBody"/>
            </w:pPr>
            <w:r>
              <w:t>Imprisonment</w:t>
            </w:r>
          </w:p>
        </w:tc>
        <w:tc>
          <w:tcPr>
            <w:tcW w:w="2507" w:type="pct"/>
          </w:tcPr>
          <w:p w:rsidR="00751825" w:rsidRDefault="00573042" w:rsidP="003026D8">
            <w:pPr>
              <w:pStyle w:val="TableBody"/>
            </w:pPr>
            <w:r>
              <w:t>35%</w:t>
            </w:r>
          </w:p>
        </w:tc>
      </w:tr>
      <w:tr w:rsidR="00751825" w:rsidTr="003026D8">
        <w:tc>
          <w:tcPr>
            <w:tcW w:w="2493" w:type="pct"/>
          </w:tcPr>
          <w:p w:rsidR="00751825" w:rsidRDefault="00573042" w:rsidP="003026D8">
            <w:pPr>
              <w:pStyle w:val="TableBody"/>
            </w:pPr>
            <w:r>
              <w:t>Community correction order</w:t>
            </w:r>
          </w:p>
        </w:tc>
        <w:tc>
          <w:tcPr>
            <w:tcW w:w="2507" w:type="pct"/>
          </w:tcPr>
          <w:p w:rsidR="00751825" w:rsidRDefault="00573042" w:rsidP="003026D8">
            <w:pPr>
              <w:pStyle w:val="TableBody"/>
            </w:pPr>
            <w:r>
              <w:t>27%</w:t>
            </w:r>
          </w:p>
        </w:tc>
      </w:tr>
      <w:tr w:rsidR="00751825" w:rsidTr="003026D8">
        <w:tc>
          <w:tcPr>
            <w:tcW w:w="2493" w:type="pct"/>
          </w:tcPr>
          <w:p w:rsidR="00751825" w:rsidRDefault="00573042" w:rsidP="003026D8">
            <w:pPr>
              <w:pStyle w:val="TableBody"/>
            </w:pPr>
            <w:r>
              <w:t>Wholly suspended sentence</w:t>
            </w:r>
          </w:p>
        </w:tc>
        <w:tc>
          <w:tcPr>
            <w:tcW w:w="2507" w:type="pct"/>
          </w:tcPr>
          <w:p w:rsidR="00751825" w:rsidRDefault="00573042" w:rsidP="003026D8">
            <w:pPr>
              <w:pStyle w:val="TableBody"/>
            </w:pPr>
            <w:r>
              <w:t>20%</w:t>
            </w:r>
          </w:p>
        </w:tc>
      </w:tr>
      <w:tr w:rsidR="00573042" w:rsidTr="003026D8">
        <w:tc>
          <w:tcPr>
            <w:tcW w:w="2493" w:type="pct"/>
          </w:tcPr>
          <w:p w:rsidR="00573042" w:rsidRDefault="00573042" w:rsidP="003026D8">
            <w:pPr>
              <w:pStyle w:val="TableBody"/>
            </w:pPr>
            <w:r>
              <w:t>Fine</w:t>
            </w:r>
          </w:p>
        </w:tc>
        <w:tc>
          <w:tcPr>
            <w:tcW w:w="2507" w:type="pct"/>
          </w:tcPr>
          <w:p w:rsidR="00573042" w:rsidRDefault="00573042" w:rsidP="003026D8">
            <w:pPr>
              <w:pStyle w:val="TableBody"/>
            </w:pPr>
            <w:r>
              <w:t>12%</w:t>
            </w:r>
          </w:p>
        </w:tc>
      </w:tr>
      <w:tr w:rsidR="00573042" w:rsidTr="003026D8">
        <w:tc>
          <w:tcPr>
            <w:tcW w:w="2493" w:type="pct"/>
          </w:tcPr>
          <w:p w:rsidR="00573042" w:rsidRDefault="00573042" w:rsidP="003026D8">
            <w:pPr>
              <w:pStyle w:val="TableBody"/>
            </w:pPr>
            <w:r>
              <w:t>Partially suspended sentence</w:t>
            </w:r>
          </w:p>
        </w:tc>
        <w:tc>
          <w:tcPr>
            <w:tcW w:w="2507" w:type="pct"/>
          </w:tcPr>
          <w:p w:rsidR="00573042" w:rsidRDefault="00573042" w:rsidP="003026D8">
            <w:pPr>
              <w:pStyle w:val="TableBody"/>
            </w:pPr>
            <w:r>
              <w:t>3%</w:t>
            </w:r>
          </w:p>
        </w:tc>
      </w:tr>
      <w:tr w:rsidR="00573042" w:rsidTr="003026D8">
        <w:tc>
          <w:tcPr>
            <w:tcW w:w="2493" w:type="pct"/>
          </w:tcPr>
          <w:p w:rsidR="00573042" w:rsidRDefault="00573042" w:rsidP="003026D8">
            <w:pPr>
              <w:pStyle w:val="TableBody"/>
            </w:pPr>
            <w:r>
              <w:t>Adjourned undertaking</w:t>
            </w:r>
          </w:p>
        </w:tc>
        <w:tc>
          <w:tcPr>
            <w:tcW w:w="2507" w:type="pct"/>
          </w:tcPr>
          <w:p w:rsidR="00573042" w:rsidRDefault="00573042" w:rsidP="003026D8">
            <w:pPr>
              <w:pStyle w:val="TableBody"/>
            </w:pPr>
            <w:r>
              <w:t>2%</w:t>
            </w:r>
          </w:p>
        </w:tc>
      </w:tr>
      <w:tr w:rsidR="00573042" w:rsidTr="003026D8">
        <w:tc>
          <w:tcPr>
            <w:tcW w:w="2493" w:type="pct"/>
          </w:tcPr>
          <w:p w:rsidR="00573042" w:rsidRDefault="00573042" w:rsidP="003026D8">
            <w:pPr>
              <w:pStyle w:val="TableBody"/>
            </w:pPr>
            <w:r>
              <w:t>Proven and dismissed</w:t>
            </w:r>
          </w:p>
        </w:tc>
        <w:tc>
          <w:tcPr>
            <w:tcW w:w="2507" w:type="pct"/>
          </w:tcPr>
          <w:p w:rsidR="00573042" w:rsidRDefault="00573042" w:rsidP="003026D8">
            <w:pPr>
              <w:pStyle w:val="TableBody"/>
            </w:pPr>
            <w:r>
              <w:t>0%</w:t>
            </w:r>
          </w:p>
        </w:tc>
      </w:tr>
      <w:tr w:rsidR="000343A9" w:rsidTr="003026D8">
        <w:tc>
          <w:tcPr>
            <w:tcW w:w="2493" w:type="pct"/>
          </w:tcPr>
          <w:p w:rsidR="000343A9" w:rsidRPr="000343A9" w:rsidRDefault="000343A9" w:rsidP="00931A38">
            <w:pPr>
              <w:pStyle w:val="TableBody"/>
              <w:rPr>
                <w:rStyle w:val="Strong"/>
              </w:rPr>
            </w:pPr>
            <w:r w:rsidRPr="000343A9">
              <w:rPr>
                <w:rStyle w:val="Strong"/>
              </w:rPr>
              <w:t xml:space="preserve">Total number of offenders </w:t>
            </w:r>
            <w:r w:rsidR="00931A38">
              <w:rPr>
                <w:rStyle w:val="Strong"/>
              </w:rPr>
              <w:t>(</w:t>
            </w:r>
            <w:r w:rsidRPr="000343A9">
              <w:rPr>
                <w:rStyle w:val="Strong"/>
              </w:rPr>
              <w:t>further offending</w:t>
            </w:r>
            <w:r w:rsidR="00931A38">
              <w:rPr>
                <w:rStyle w:val="Strong"/>
              </w:rPr>
              <w:t>)</w:t>
            </w:r>
          </w:p>
        </w:tc>
        <w:tc>
          <w:tcPr>
            <w:tcW w:w="2507" w:type="pct"/>
          </w:tcPr>
          <w:p w:rsidR="000343A9" w:rsidRPr="000343A9" w:rsidRDefault="000343A9" w:rsidP="003026D8">
            <w:pPr>
              <w:pStyle w:val="TableBody"/>
              <w:rPr>
                <w:rStyle w:val="Strong"/>
              </w:rPr>
            </w:pPr>
            <w:r w:rsidRPr="000343A9">
              <w:rPr>
                <w:rStyle w:val="Strong"/>
              </w:rPr>
              <w:t>2,620</w:t>
            </w:r>
          </w:p>
        </w:tc>
      </w:tr>
    </w:tbl>
    <w:p w:rsidR="00894610" w:rsidRDefault="00894610" w:rsidP="00905A8C">
      <w:pPr>
        <w:rPr>
          <w:szCs w:val="20"/>
        </w:rPr>
      </w:pPr>
      <w:r>
        <w:t>Of the 85 offenders who contravened by further offending on a CCO imposed in the higher courts:</w:t>
      </w:r>
    </w:p>
    <w:p w:rsidR="00894610" w:rsidRDefault="00894610" w:rsidP="00905A8C">
      <w:pPr>
        <w:pStyle w:val="ListParagraph"/>
        <w:numPr>
          <w:ilvl w:val="0"/>
          <w:numId w:val="15"/>
        </w:numPr>
      </w:pPr>
      <w:r>
        <w:t>49% went to prison</w:t>
      </w:r>
    </w:p>
    <w:p w:rsidR="00894610" w:rsidRDefault="00894610" w:rsidP="00905A8C">
      <w:pPr>
        <w:pStyle w:val="ListParagraph"/>
        <w:numPr>
          <w:ilvl w:val="0"/>
          <w:numId w:val="15"/>
        </w:numPr>
      </w:pPr>
      <w:r>
        <w:t>40% stayed on a CCO, either as it was or with changes (e.g. stricter conditions).</w:t>
      </w:r>
    </w:p>
    <w:p w:rsidR="00905A8C" w:rsidRDefault="00905A8C" w:rsidP="00905A8C">
      <w:pPr>
        <w:pStyle w:val="Caption"/>
      </w:pPr>
      <w:r>
        <w:lastRenderedPageBreak/>
        <w:t xml:space="preserve">Most severe sentence given to offenders who committed new offences on a CCO imposed in </w:t>
      </w:r>
      <w:r w:rsidRPr="00905A8C">
        <w:t>the</w:t>
      </w:r>
      <w:r>
        <w:t xml:space="preserve"> higher courts</w:t>
      </w:r>
    </w:p>
    <w:tbl>
      <w:tblPr>
        <w:tblStyle w:val="TableGrid"/>
        <w:tblW w:w="5000" w:type="pct"/>
        <w:tblLook w:val="04A0" w:firstRow="1" w:lastRow="0" w:firstColumn="1" w:lastColumn="0" w:noHBand="0" w:noVBand="1"/>
      </w:tblPr>
      <w:tblGrid>
        <w:gridCol w:w="5366"/>
        <w:gridCol w:w="5396"/>
      </w:tblGrid>
      <w:tr w:rsidR="00905A8C" w:rsidTr="003026D8">
        <w:tc>
          <w:tcPr>
            <w:tcW w:w="2493" w:type="pct"/>
          </w:tcPr>
          <w:p w:rsidR="00905A8C" w:rsidRDefault="00905A8C" w:rsidP="003026D8">
            <w:pPr>
              <w:pStyle w:val="TableHeading"/>
            </w:pPr>
            <w:r>
              <w:t>Most severe sentence</w:t>
            </w:r>
          </w:p>
        </w:tc>
        <w:tc>
          <w:tcPr>
            <w:tcW w:w="2507" w:type="pct"/>
          </w:tcPr>
          <w:p w:rsidR="00905A8C" w:rsidRDefault="00905A8C" w:rsidP="003026D8">
            <w:pPr>
              <w:pStyle w:val="TableHeading"/>
            </w:pPr>
            <w:r>
              <w:t>Percentage of offenders</w:t>
            </w:r>
          </w:p>
        </w:tc>
      </w:tr>
      <w:tr w:rsidR="00905A8C" w:rsidTr="003026D8">
        <w:tc>
          <w:tcPr>
            <w:tcW w:w="2493" w:type="pct"/>
          </w:tcPr>
          <w:p w:rsidR="00905A8C" w:rsidRDefault="00905A8C" w:rsidP="003026D8">
            <w:pPr>
              <w:pStyle w:val="TableBody"/>
            </w:pPr>
            <w:r>
              <w:t>Imprisonment</w:t>
            </w:r>
          </w:p>
        </w:tc>
        <w:tc>
          <w:tcPr>
            <w:tcW w:w="2507" w:type="pct"/>
          </w:tcPr>
          <w:p w:rsidR="00905A8C" w:rsidRDefault="00C53CA8" w:rsidP="003026D8">
            <w:pPr>
              <w:pStyle w:val="TableBody"/>
            </w:pPr>
            <w:r>
              <w:t>49%</w:t>
            </w:r>
          </w:p>
        </w:tc>
      </w:tr>
      <w:tr w:rsidR="00905A8C" w:rsidTr="003026D8">
        <w:tc>
          <w:tcPr>
            <w:tcW w:w="2493" w:type="pct"/>
          </w:tcPr>
          <w:p w:rsidR="00905A8C" w:rsidRDefault="00905A8C" w:rsidP="003026D8">
            <w:pPr>
              <w:pStyle w:val="TableBody"/>
            </w:pPr>
            <w:r>
              <w:t>Community correction order</w:t>
            </w:r>
          </w:p>
        </w:tc>
        <w:tc>
          <w:tcPr>
            <w:tcW w:w="2507" w:type="pct"/>
          </w:tcPr>
          <w:p w:rsidR="00905A8C" w:rsidRDefault="00C53CA8" w:rsidP="003026D8">
            <w:pPr>
              <w:pStyle w:val="TableBody"/>
            </w:pPr>
            <w:r>
              <w:t>40%</w:t>
            </w:r>
          </w:p>
        </w:tc>
      </w:tr>
      <w:tr w:rsidR="00905A8C" w:rsidTr="003026D8">
        <w:tc>
          <w:tcPr>
            <w:tcW w:w="2493" w:type="pct"/>
          </w:tcPr>
          <w:p w:rsidR="00905A8C" w:rsidRDefault="00905A8C" w:rsidP="003026D8">
            <w:pPr>
              <w:pStyle w:val="TableBody"/>
            </w:pPr>
            <w:r>
              <w:t>Wholly suspended sentence</w:t>
            </w:r>
          </w:p>
        </w:tc>
        <w:tc>
          <w:tcPr>
            <w:tcW w:w="2507" w:type="pct"/>
          </w:tcPr>
          <w:p w:rsidR="00905A8C" w:rsidRDefault="00C53CA8" w:rsidP="003026D8">
            <w:pPr>
              <w:pStyle w:val="TableBody"/>
            </w:pPr>
            <w:r>
              <w:t>7%</w:t>
            </w:r>
          </w:p>
        </w:tc>
      </w:tr>
      <w:tr w:rsidR="00905A8C" w:rsidTr="003026D8">
        <w:tc>
          <w:tcPr>
            <w:tcW w:w="2493" w:type="pct"/>
          </w:tcPr>
          <w:p w:rsidR="00905A8C" w:rsidRDefault="00C53CA8" w:rsidP="003026D8">
            <w:pPr>
              <w:pStyle w:val="TableBody"/>
            </w:pPr>
            <w:r>
              <w:t>Other</w:t>
            </w:r>
          </w:p>
        </w:tc>
        <w:tc>
          <w:tcPr>
            <w:tcW w:w="2507" w:type="pct"/>
          </w:tcPr>
          <w:p w:rsidR="00905A8C" w:rsidRDefault="00C53CA8" w:rsidP="003026D8">
            <w:pPr>
              <w:pStyle w:val="TableBody"/>
            </w:pPr>
            <w:r>
              <w:t>3%</w:t>
            </w:r>
          </w:p>
        </w:tc>
      </w:tr>
      <w:tr w:rsidR="00905A8C" w:rsidTr="003026D8">
        <w:tc>
          <w:tcPr>
            <w:tcW w:w="2493" w:type="pct"/>
          </w:tcPr>
          <w:p w:rsidR="00905A8C" w:rsidRDefault="00905A8C" w:rsidP="003026D8">
            <w:pPr>
              <w:pStyle w:val="TableBody"/>
            </w:pPr>
            <w:r>
              <w:t>Proven and dismissed</w:t>
            </w:r>
          </w:p>
        </w:tc>
        <w:tc>
          <w:tcPr>
            <w:tcW w:w="2507" w:type="pct"/>
          </w:tcPr>
          <w:p w:rsidR="00905A8C" w:rsidRDefault="00905A8C" w:rsidP="003026D8">
            <w:pPr>
              <w:pStyle w:val="TableBody"/>
            </w:pPr>
            <w:r>
              <w:t>0%</w:t>
            </w:r>
          </w:p>
        </w:tc>
      </w:tr>
      <w:tr w:rsidR="001D6181" w:rsidRPr="000343A9" w:rsidTr="003026D8">
        <w:tc>
          <w:tcPr>
            <w:tcW w:w="2493" w:type="pct"/>
          </w:tcPr>
          <w:p w:rsidR="001D6181" w:rsidRPr="000343A9" w:rsidRDefault="001D6181" w:rsidP="00931A38">
            <w:pPr>
              <w:pStyle w:val="TableBody"/>
              <w:rPr>
                <w:rStyle w:val="Strong"/>
              </w:rPr>
            </w:pPr>
            <w:r w:rsidRPr="000343A9">
              <w:rPr>
                <w:rStyle w:val="Strong"/>
              </w:rPr>
              <w:t xml:space="preserve">Total number of offenders </w:t>
            </w:r>
            <w:r w:rsidR="00931A38">
              <w:rPr>
                <w:rStyle w:val="Strong"/>
              </w:rPr>
              <w:t>(further offending)</w:t>
            </w:r>
          </w:p>
        </w:tc>
        <w:tc>
          <w:tcPr>
            <w:tcW w:w="2507" w:type="pct"/>
          </w:tcPr>
          <w:p w:rsidR="001D6181" w:rsidRPr="000343A9" w:rsidRDefault="00037A55" w:rsidP="003026D8">
            <w:pPr>
              <w:pStyle w:val="TableBody"/>
              <w:rPr>
                <w:rStyle w:val="Strong"/>
              </w:rPr>
            </w:pPr>
            <w:r>
              <w:rPr>
                <w:rStyle w:val="Strong"/>
              </w:rPr>
              <w:t>85</w:t>
            </w:r>
          </w:p>
        </w:tc>
      </w:tr>
    </w:tbl>
    <w:p w:rsidR="009A35B7" w:rsidRDefault="009A35B7" w:rsidP="00294BDE">
      <w:pPr>
        <w:pStyle w:val="Heading2"/>
        <w:rPr>
          <w:szCs w:val="36"/>
        </w:rPr>
      </w:pPr>
      <w:r>
        <w:t>What happened to offenders who contravened their CCO by non-compliance?</w:t>
      </w:r>
    </w:p>
    <w:p w:rsidR="00894610" w:rsidRDefault="00894610" w:rsidP="00294BDE">
      <w:pPr>
        <w:rPr>
          <w:szCs w:val="20"/>
        </w:rPr>
      </w:pPr>
      <w:r>
        <w:t>Of the 1,122 offenders who contravened a CCO imposed in the Magistrates’ Court by non-compliance with another condition (e.g. unpaid community work or reporting) 46% stayed on a CCO, either as it was or with changes (e.g. stricter conditions).</w:t>
      </w:r>
    </w:p>
    <w:p w:rsidR="0033653D" w:rsidRDefault="0033653D" w:rsidP="0033653D">
      <w:pPr>
        <w:pStyle w:val="Caption"/>
      </w:pPr>
      <w:r>
        <w:t>Most severe sentence given to offenders who contravened</w:t>
      </w:r>
      <w:r w:rsidR="00BB457F">
        <w:t xml:space="preserve"> by non-compliance on</w:t>
      </w:r>
      <w:r>
        <w:t xml:space="preserve"> a CCO imposed in the Magistrates’ Court</w:t>
      </w:r>
    </w:p>
    <w:tbl>
      <w:tblPr>
        <w:tblStyle w:val="TableGrid"/>
        <w:tblW w:w="5000" w:type="pct"/>
        <w:tblLook w:val="04A0" w:firstRow="1" w:lastRow="0" w:firstColumn="1" w:lastColumn="0" w:noHBand="0" w:noVBand="1"/>
      </w:tblPr>
      <w:tblGrid>
        <w:gridCol w:w="5366"/>
        <w:gridCol w:w="5396"/>
      </w:tblGrid>
      <w:tr w:rsidR="0033653D" w:rsidTr="003026D8">
        <w:tc>
          <w:tcPr>
            <w:tcW w:w="2493" w:type="pct"/>
          </w:tcPr>
          <w:p w:rsidR="0033653D" w:rsidRDefault="0033653D" w:rsidP="003026D8">
            <w:pPr>
              <w:pStyle w:val="TableHeading"/>
            </w:pPr>
            <w:r>
              <w:t>Most severe sentence</w:t>
            </w:r>
          </w:p>
        </w:tc>
        <w:tc>
          <w:tcPr>
            <w:tcW w:w="2507" w:type="pct"/>
          </w:tcPr>
          <w:p w:rsidR="0033653D" w:rsidRDefault="0033653D" w:rsidP="003026D8">
            <w:pPr>
              <w:pStyle w:val="TableHeading"/>
            </w:pPr>
            <w:r>
              <w:t>Percentage of offenders</w:t>
            </w:r>
          </w:p>
        </w:tc>
      </w:tr>
      <w:tr w:rsidR="0033653D" w:rsidTr="003026D8">
        <w:tc>
          <w:tcPr>
            <w:tcW w:w="2493" w:type="pct"/>
          </w:tcPr>
          <w:p w:rsidR="0033653D" w:rsidRDefault="00BB7C16" w:rsidP="003026D8">
            <w:pPr>
              <w:pStyle w:val="TableBody"/>
            </w:pPr>
            <w:r>
              <w:t>Community correction order</w:t>
            </w:r>
          </w:p>
        </w:tc>
        <w:tc>
          <w:tcPr>
            <w:tcW w:w="2507" w:type="pct"/>
          </w:tcPr>
          <w:p w:rsidR="0033653D" w:rsidRDefault="00BB7C16" w:rsidP="003026D8">
            <w:pPr>
              <w:pStyle w:val="TableBody"/>
            </w:pPr>
            <w:r>
              <w:t>46%</w:t>
            </w:r>
          </w:p>
        </w:tc>
      </w:tr>
      <w:tr w:rsidR="0033653D" w:rsidTr="003026D8">
        <w:tc>
          <w:tcPr>
            <w:tcW w:w="2493" w:type="pct"/>
          </w:tcPr>
          <w:p w:rsidR="0033653D" w:rsidRDefault="00BB7C16" w:rsidP="003026D8">
            <w:pPr>
              <w:pStyle w:val="TableBody"/>
            </w:pPr>
            <w:r>
              <w:t>Fine</w:t>
            </w:r>
          </w:p>
        </w:tc>
        <w:tc>
          <w:tcPr>
            <w:tcW w:w="2507" w:type="pct"/>
          </w:tcPr>
          <w:p w:rsidR="0033653D" w:rsidRDefault="00BB7C16" w:rsidP="003026D8">
            <w:pPr>
              <w:pStyle w:val="TableBody"/>
            </w:pPr>
            <w:r>
              <w:t>19%</w:t>
            </w:r>
          </w:p>
        </w:tc>
      </w:tr>
      <w:tr w:rsidR="0033653D" w:rsidTr="003026D8">
        <w:tc>
          <w:tcPr>
            <w:tcW w:w="2493" w:type="pct"/>
          </w:tcPr>
          <w:p w:rsidR="0033653D" w:rsidRDefault="0033653D" w:rsidP="003026D8">
            <w:pPr>
              <w:pStyle w:val="TableBody"/>
            </w:pPr>
            <w:r>
              <w:t>Wholly suspended sentence</w:t>
            </w:r>
          </w:p>
        </w:tc>
        <w:tc>
          <w:tcPr>
            <w:tcW w:w="2507" w:type="pct"/>
          </w:tcPr>
          <w:p w:rsidR="0033653D" w:rsidRDefault="00BB7C16" w:rsidP="003026D8">
            <w:pPr>
              <w:pStyle w:val="TableBody"/>
            </w:pPr>
            <w:r>
              <w:t>18%</w:t>
            </w:r>
          </w:p>
        </w:tc>
      </w:tr>
      <w:tr w:rsidR="0033653D" w:rsidTr="003026D8">
        <w:tc>
          <w:tcPr>
            <w:tcW w:w="2493" w:type="pct"/>
          </w:tcPr>
          <w:p w:rsidR="0033653D" w:rsidRDefault="00BB7C16" w:rsidP="003026D8">
            <w:pPr>
              <w:pStyle w:val="TableBody"/>
            </w:pPr>
            <w:r>
              <w:t>Imprisonment</w:t>
            </w:r>
          </w:p>
        </w:tc>
        <w:tc>
          <w:tcPr>
            <w:tcW w:w="2507" w:type="pct"/>
          </w:tcPr>
          <w:p w:rsidR="0033653D" w:rsidRDefault="00BB7C16" w:rsidP="003026D8">
            <w:pPr>
              <w:pStyle w:val="TableBody"/>
            </w:pPr>
            <w:r>
              <w:t>7%</w:t>
            </w:r>
          </w:p>
        </w:tc>
      </w:tr>
      <w:tr w:rsidR="0033653D" w:rsidTr="003026D8">
        <w:tc>
          <w:tcPr>
            <w:tcW w:w="2493" w:type="pct"/>
          </w:tcPr>
          <w:p w:rsidR="0033653D" w:rsidRDefault="00BB7C16" w:rsidP="003026D8">
            <w:pPr>
              <w:pStyle w:val="TableBody"/>
            </w:pPr>
            <w:r>
              <w:t>Proven and dismissed</w:t>
            </w:r>
          </w:p>
        </w:tc>
        <w:tc>
          <w:tcPr>
            <w:tcW w:w="2507" w:type="pct"/>
          </w:tcPr>
          <w:p w:rsidR="0033653D" w:rsidRDefault="00BB7C16" w:rsidP="003026D8">
            <w:pPr>
              <w:pStyle w:val="TableBody"/>
            </w:pPr>
            <w:r>
              <w:t>7%</w:t>
            </w:r>
          </w:p>
        </w:tc>
      </w:tr>
      <w:tr w:rsidR="0033653D" w:rsidTr="003026D8">
        <w:tc>
          <w:tcPr>
            <w:tcW w:w="2493" w:type="pct"/>
          </w:tcPr>
          <w:p w:rsidR="0033653D" w:rsidRDefault="0033653D" w:rsidP="003026D8">
            <w:pPr>
              <w:pStyle w:val="TableBody"/>
            </w:pPr>
            <w:r>
              <w:t>Adjourned undertaking</w:t>
            </w:r>
          </w:p>
        </w:tc>
        <w:tc>
          <w:tcPr>
            <w:tcW w:w="2507" w:type="pct"/>
          </w:tcPr>
          <w:p w:rsidR="0033653D" w:rsidRDefault="0033653D" w:rsidP="003026D8">
            <w:pPr>
              <w:pStyle w:val="TableBody"/>
            </w:pPr>
            <w:r>
              <w:t>2%</w:t>
            </w:r>
          </w:p>
        </w:tc>
      </w:tr>
      <w:tr w:rsidR="0033653D" w:rsidTr="003026D8">
        <w:tc>
          <w:tcPr>
            <w:tcW w:w="2493" w:type="pct"/>
          </w:tcPr>
          <w:p w:rsidR="0033653D" w:rsidRDefault="00BB7C16" w:rsidP="003026D8">
            <w:pPr>
              <w:pStyle w:val="TableBody"/>
            </w:pPr>
            <w:r>
              <w:t>Partially suspended sentence</w:t>
            </w:r>
          </w:p>
        </w:tc>
        <w:tc>
          <w:tcPr>
            <w:tcW w:w="2507" w:type="pct"/>
          </w:tcPr>
          <w:p w:rsidR="0033653D" w:rsidRDefault="0033653D" w:rsidP="003026D8">
            <w:pPr>
              <w:pStyle w:val="TableBody"/>
            </w:pPr>
            <w:r>
              <w:t>0%</w:t>
            </w:r>
          </w:p>
        </w:tc>
      </w:tr>
      <w:tr w:rsidR="0033653D" w:rsidTr="003026D8">
        <w:tc>
          <w:tcPr>
            <w:tcW w:w="2493" w:type="pct"/>
          </w:tcPr>
          <w:p w:rsidR="0033653D" w:rsidRPr="000343A9" w:rsidRDefault="0033653D" w:rsidP="000C1E9B">
            <w:pPr>
              <w:pStyle w:val="TableBody"/>
              <w:rPr>
                <w:rStyle w:val="Strong"/>
              </w:rPr>
            </w:pPr>
            <w:r w:rsidRPr="000343A9">
              <w:rPr>
                <w:rStyle w:val="Strong"/>
              </w:rPr>
              <w:t xml:space="preserve">Total number of offenders </w:t>
            </w:r>
            <w:r>
              <w:rPr>
                <w:rStyle w:val="Strong"/>
              </w:rPr>
              <w:t>(</w:t>
            </w:r>
            <w:r w:rsidR="000C1E9B">
              <w:rPr>
                <w:rStyle w:val="Strong"/>
              </w:rPr>
              <w:t>non-compliance</w:t>
            </w:r>
            <w:r>
              <w:rPr>
                <w:rStyle w:val="Strong"/>
              </w:rPr>
              <w:t>)</w:t>
            </w:r>
          </w:p>
        </w:tc>
        <w:tc>
          <w:tcPr>
            <w:tcW w:w="2507" w:type="pct"/>
          </w:tcPr>
          <w:p w:rsidR="0033653D" w:rsidRPr="000343A9" w:rsidRDefault="000C1E9B" w:rsidP="003026D8">
            <w:pPr>
              <w:pStyle w:val="TableBody"/>
              <w:rPr>
                <w:rStyle w:val="Strong"/>
              </w:rPr>
            </w:pPr>
            <w:r>
              <w:rPr>
                <w:rStyle w:val="Strong"/>
              </w:rPr>
              <w:t>1,122</w:t>
            </w:r>
          </w:p>
        </w:tc>
      </w:tr>
    </w:tbl>
    <w:p w:rsidR="00894610" w:rsidRPr="00CD2D6E" w:rsidRDefault="00894610" w:rsidP="00294BDE">
      <w:pPr>
        <w:rPr>
          <w:szCs w:val="20"/>
        </w:rPr>
      </w:pPr>
      <w:r>
        <w:t xml:space="preserve">Of the 39 offenders who contravened a CCO imposed in the higher courts by non-compliance with another condition (e.g. unpaid community work or reporting) 63% stayed on a CCO, </w:t>
      </w:r>
      <w:r w:rsidRPr="00CD2D6E">
        <w:t>either as it was or with changes (e.g. stricter conditions).</w:t>
      </w:r>
    </w:p>
    <w:p w:rsidR="00403256" w:rsidRDefault="00403256" w:rsidP="00403256">
      <w:pPr>
        <w:pStyle w:val="Caption"/>
      </w:pPr>
      <w:r>
        <w:t>Most severe sentence given to offenders who contravened by non-compliance on a CCO imposed in the higher courts</w:t>
      </w:r>
    </w:p>
    <w:tbl>
      <w:tblPr>
        <w:tblStyle w:val="TableGrid"/>
        <w:tblW w:w="5000" w:type="pct"/>
        <w:tblLook w:val="04A0" w:firstRow="1" w:lastRow="0" w:firstColumn="1" w:lastColumn="0" w:noHBand="0" w:noVBand="1"/>
      </w:tblPr>
      <w:tblGrid>
        <w:gridCol w:w="5366"/>
        <w:gridCol w:w="5396"/>
      </w:tblGrid>
      <w:tr w:rsidR="00403256" w:rsidTr="003026D8">
        <w:tc>
          <w:tcPr>
            <w:tcW w:w="2493" w:type="pct"/>
          </w:tcPr>
          <w:p w:rsidR="00403256" w:rsidRDefault="00403256" w:rsidP="003026D8">
            <w:pPr>
              <w:pStyle w:val="TableHeading"/>
            </w:pPr>
            <w:r>
              <w:t>Most severe sentence</w:t>
            </w:r>
          </w:p>
        </w:tc>
        <w:tc>
          <w:tcPr>
            <w:tcW w:w="2507" w:type="pct"/>
          </w:tcPr>
          <w:p w:rsidR="00403256" w:rsidRDefault="00403256" w:rsidP="003026D8">
            <w:pPr>
              <w:pStyle w:val="TableHeading"/>
            </w:pPr>
            <w:r>
              <w:t>Percentage of offenders</w:t>
            </w:r>
          </w:p>
        </w:tc>
      </w:tr>
      <w:tr w:rsidR="00403256" w:rsidTr="003026D8">
        <w:tc>
          <w:tcPr>
            <w:tcW w:w="2493" w:type="pct"/>
          </w:tcPr>
          <w:p w:rsidR="00403256" w:rsidRDefault="00403256" w:rsidP="003026D8">
            <w:pPr>
              <w:pStyle w:val="TableBody"/>
            </w:pPr>
            <w:r>
              <w:t>Community correction order</w:t>
            </w:r>
          </w:p>
        </w:tc>
        <w:tc>
          <w:tcPr>
            <w:tcW w:w="2507" w:type="pct"/>
          </w:tcPr>
          <w:p w:rsidR="00403256" w:rsidRDefault="00497555" w:rsidP="003026D8">
            <w:pPr>
              <w:pStyle w:val="TableBody"/>
            </w:pPr>
            <w:r>
              <w:t>63%</w:t>
            </w:r>
          </w:p>
        </w:tc>
      </w:tr>
      <w:tr w:rsidR="00403256" w:rsidTr="003026D8">
        <w:tc>
          <w:tcPr>
            <w:tcW w:w="2493" w:type="pct"/>
          </w:tcPr>
          <w:p w:rsidR="00403256" w:rsidRDefault="00497555" w:rsidP="003026D8">
            <w:pPr>
              <w:pStyle w:val="TableBody"/>
            </w:pPr>
            <w:r>
              <w:t>Proven and dismissed</w:t>
            </w:r>
          </w:p>
        </w:tc>
        <w:tc>
          <w:tcPr>
            <w:tcW w:w="2507" w:type="pct"/>
          </w:tcPr>
          <w:p w:rsidR="00403256" w:rsidRDefault="00497555" w:rsidP="003026D8">
            <w:pPr>
              <w:pStyle w:val="TableBody"/>
            </w:pPr>
            <w:r>
              <w:t>23%</w:t>
            </w:r>
          </w:p>
        </w:tc>
      </w:tr>
      <w:tr w:rsidR="00403256" w:rsidTr="003026D8">
        <w:tc>
          <w:tcPr>
            <w:tcW w:w="2493" w:type="pct"/>
          </w:tcPr>
          <w:p w:rsidR="00403256" w:rsidRDefault="00403256" w:rsidP="003026D8">
            <w:pPr>
              <w:pStyle w:val="TableBody"/>
            </w:pPr>
            <w:r>
              <w:t>Imprisonment</w:t>
            </w:r>
          </w:p>
        </w:tc>
        <w:tc>
          <w:tcPr>
            <w:tcW w:w="2507" w:type="pct"/>
          </w:tcPr>
          <w:p w:rsidR="00403256" w:rsidRDefault="00497555" w:rsidP="003026D8">
            <w:pPr>
              <w:pStyle w:val="TableBody"/>
            </w:pPr>
            <w:r>
              <w:t>10%</w:t>
            </w:r>
          </w:p>
        </w:tc>
      </w:tr>
      <w:tr w:rsidR="00403256" w:rsidTr="003026D8">
        <w:tc>
          <w:tcPr>
            <w:tcW w:w="2493" w:type="pct"/>
          </w:tcPr>
          <w:p w:rsidR="00403256" w:rsidRDefault="00497555" w:rsidP="003026D8">
            <w:pPr>
              <w:pStyle w:val="TableBody"/>
            </w:pPr>
            <w:r>
              <w:t>Wholly suspended sentence</w:t>
            </w:r>
          </w:p>
        </w:tc>
        <w:tc>
          <w:tcPr>
            <w:tcW w:w="2507" w:type="pct"/>
          </w:tcPr>
          <w:p w:rsidR="00403256" w:rsidRDefault="00497555" w:rsidP="003026D8">
            <w:pPr>
              <w:pStyle w:val="TableBody"/>
            </w:pPr>
            <w:r>
              <w:t>5%</w:t>
            </w:r>
          </w:p>
        </w:tc>
      </w:tr>
      <w:tr w:rsidR="00403256" w:rsidTr="003026D8">
        <w:tc>
          <w:tcPr>
            <w:tcW w:w="2493" w:type="pct"/>
          </w:tcPr>
          <w:p w:rsidR="00403256" w:rsidRDefault="00497555" w:rsidP="003026D8">
            <w:pPr>
              <w:pStyle w:val="TableBody"/>
            </w:pPr>
            <w:r>
              <w:t>Other</w:t>
            </w:r>
          </w:p>
        </w:tc>
        <w:tc>
          <w:tcPr>
            <w:tcW w:w="2507" w:type="pct"/>
          </w:tcPr>
          <w:p w:rsidR="00403256" w:rsidRDefault="00403256" w:rsidP="003026D8">
            <w:pPr>
              <w:pStyle w:val="TableBody"/>
            </w:pPr>
            <w:r>
              <w:t>0%</w:t>
            </w:r>
          </w:p>
        </w:tc>
      </w:tr>
      <w:tr w:rsidR="00403256" w:rsidTr="003026D8">
        <w:tc>
          <w:tcPr>
            <w:tcW w:w="2493" w:type="pct"/>
          </w:tcPr>
          <w:p w:rsidR="00403256" w:rsidRPr="000343A9" w:rsidRDefault="00403256" w:rsidP="003026D8">
            <w:pPr>
              <w:pStyle w:val="TableBody"/>
              <w:rPr>
                <w:rStyle w:val="Strong"/>
              </w:rPr>
            </w:pPr>
            <w:r w:rsidRPr="000343A9">
              <w:rPr>
                <w:rStyle w:val="Strong"/>
              </w:rPr>
              <w:t xml:space="preserve">Total number of offenders </w:t>
            </w:r>
            <w:r>
              <w:rPr>
                <w:rStyle w:val="Strong"/>
              </w:rPr>
              <w:t>(non-compliance)</w:t>
            </w:r>
          </w:p>
        </w:tc>
        <w:tc>
          <w:tcPr>
            <w:tcW w:w="2507" w:type="pct"/>
          </w:tcPr>
          <w:p w:rsidR="00403256" w:rsidRPr="008A1CAB" w:rsidRDefault="00497555" w:rsidP="003026D8">
            <w:pPr>
              <w:pStyle w:val="TableBody"/>
              <w:rPr>
                <w:rStyle w:val="Strong"/>
                <w:b w:val="0"/>
              </w:rPr>
            </w:pPr>
            <w:r>
              <w:rPr>
                <w:rStyle w:val="Strong"/>
              </w:rPr>
              <w:t>39</w:t>
            </w:r>
          </w:p>
        </w:tc>
      </w:tr>
    </w:tbl>
    <w:p w:rsidR="00894610" w:rsidRPr="00A03A42" w:rsidRDefault="00894610" w:rsidP="008C2E29"/>
    <w:sectPr w:rsidR="00894610" w:rsidRPr="00A03A42">
      <w:headerReference w:type="default" r:id="rId8"/>
      <w:footerReference w:type="default" r:id="rId9"/>
      <w:pgSz w:w="11906" w:h="16838"/>
      <w:pgMar w:top="567" w:right="567" w:bottom="567"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2E3" w:rsidRDefault="000722E3">
      <w:pPr>
        <w:spacing w:after="0" w:line="240" w:lineRule="auto"/>
      </w:pPr>
      <w:r>
        <w:separator/>
      </w:r>
    </w:p>
  </w:endnote>
  <w:endnote w:type="continuationSeparator" w:id="0">
    <w:p w:rsidR="000722E3" w:rsidRDefault="00072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Regular">
    <w:panose1 w:val="00000000000000000000"/>
    <w:charset w:val="00"/>
    <w:family w:val="auto"/>
    <w:notTrueType/>
    <w:pitch w:val="default"/>
    <w:sig w:usb0="00000003" w:usb1="00000000" w:usb2="00000000" w:usb3="00000000" w:csb0="00000001" w:csb1="00000000"/>
  </w:font>
  <w:font w:name="ITC Franklin Gothic Book">
    <w:panose1 w:val="000B0500000000000000"/>
    <w:charset w:val="00"/>
    <w:family w:val="swiss"/>
    <w:notTrueType/>
    <w:pitch w:val="variable"/>
    <w:sig w:usb0="00000003" w:usb1="00000000" w:usb2="00000000" w:usb3="00000000" w:csb0="00000001" w:csb1="00000000"/>
  </w:font>
  <w:font w:name="Gill Sans Std">
    <w:panose1 w:val="00000000000000000000"/>
    <w:charset w:val="00"/>
    <w:family w:val="swiss"/>
    <w:notTrueType/>
    <w:pitch w:val="variable"/>
    <w:sig w:usb0="00000003" w:usb1="00000000" w:usb2="00000000" w:usb3="00000000" w:csb0="00000001" w:csb1="00000000"/>
  </w:font>
  <w:font w:name="Gill Sans Std Light">
    <w:panose1 w:val="020B0302020104020203"/>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A4" w:rsidRDefault="006A24A4" w:rsidP="006A24A4">
    <w:pPr>
      <w:pStyle w:val="Footer"/>
      <w:ind w:left="4513" w:hanging="4513"/>
      <w:jc w:val="center"/>
    </w:pPr>
    <w:r>
      <w:fldChar w:fldCharType="begin"/>
    </w:r>
    <w:r>
      <w:instrText xml:space="preserve"> PAGE   \* MERGEFORMAT </w:instrText>
    </w:r>
    <w:r>
      <w:fldChar w:fldCharType="separate"/>
    </w:r>
    <w:r w:rsidR="00EF18F0">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2E3" w:rsidRDefault="000722E3">
      <w:pPr>
        <w:spacing w:after="0" w:line="240" w:lineRule="auto"/>
      </w:pPr>
      <w:r>
        <w:separator/>
      </w:r>
    </w:p>
  </w:footnote>
  <w:footnote w:type="continuationSeparator" w:id="0">
    <w:p w:rsidR="000722E3" w:rsidRDefault="00072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14" w:rsidRPr="001E3774" w:rsidRDefault="00684810" w:rsidP="00C0646D">
    <w:pPr>
      <w:spacing w:after="360"/>
      <w:rPr>
        <w:sz w:val="20"/>
      </w:rPr>
    </w:pPr>
    <w:r>
      <w:rPr>
        <w:sz w:val="20"/>
      </w:rPr>
      <w:t xml:space="preserve">Contravention of Community Correction Orders Factsheet </w:t>
    </w:r>
    <w:r w:rsidR="0070601D">
      <w:rPr>
        <w:sz w:val="20"/>
      </w:rPr>
      <w:t xml:space="preserve">● </w:t>
    </w:r>
    <w:r>
      <w:rPr>
        <w:sz w:val="20"/>
      </w:rPr>
      <w:t xml:space="preserve">July 2017 </w:t>
    </w:r>
    <w:r w:rsidR="001E3774">
      <w:rPr>
        <w:sz w:val="20"/>
      </w:rPr>
      <w:t xml:space="preserve">● Sentencing Advisory Council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242D"/>
    <w:multiLevelType w:val="hybridMultilevel"/>
    <w:tmpl w:val="F294D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FF77F5"/>
    <w:multiLevelType w:val="hybridMultilevel"/>
    <w:tmpl w:val="825222A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6BA1EF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C5A31AD"/>
    <w:multiLevelType w:val="hybridMultilevel"/>
    <w:tmpl w:val="EA9E383E"/>
    <w:lvl w:ilvl="0" w:tplc="B6348BB6">
      <w:start w:val="1"/>
      <w:numFmt w:val="bullet"/>
      <w:lvlText w:val=""/>
      <w:lvlJc w:val="left"/>
      <w:pPr>
        <w:ind w:left="1296" w:hanging="360"/>
      </w:pPr>
      <w:rPr>
        <w:rFonts w:ascii="Symbol" w:hAnsi="Symbol" w:hint="default"/>
      </w:rPr>
    </w:lvl>
    <w:lvl w:ilvl="1" w:tplc="0C090005">
      <w:start w:val="1"/>
      <w:numFmt w:val="bullet"/>
      <w:lvlText w:val=""/>
      <w:lvlJc w:val="left"/>
      <w:pPr>
        <w:ind w:left="2016" w:hanging="360"/>
      </w:pPr>
      <w:rPr>
        <w:rFonts w:ascii="Wingdings" w:hAnsi="Wingdings"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4" w15:restartNumberingAfterBreak="0">
    <w:nsid w:val="2FBD2207"/>
    <w:multiLevelType w:val="hybridMultilevel"/>
    <w:tmpl w:val="B6E87812"/>
    <w:lvl w:ilvl="0" w:tplc="B6348BB6">
      <w:start w:val="1"/>
      <w:numFmt w:val="bullet"/>
      <w:pStyle w:val="Bullets"/>
      <w:lvlText w:val=""/>
      <w:lvlJc w:val="left"/>
      <w:pPr>
        <w:ind w:left="1296" w:hanging="360"/>
      </w:pPr>
      <w:rPr>
        <w:rFonts w:ascii="Symbol" w:hAnsi="Symbol" w:hint="default"/>
      </w:rPr>
    </w:lvl>
    <w:lvl w:ilvl="1" w:tplc="0C090003">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5" w15:restartNumberingAfterBreak="0">
    <w:nsid w:val="3D8555C3"/>
    <w:multiLevelType w:val="hybridMultilevel"/>
    <w:tmpl w:val="CB143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6B4F7A"/>
    <w:multiLevelType w:val="hybridMultilevel"/>
    <w:tmpl w:val="8B1E9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110FA2"/>
    <w:multiLevelType w:val="hybridMultilevel"/>
    <w:tmpl w:val="EF36A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724048"/>
    <w:multiLevelType w:val="multilevel"/>
    <w:tmpl w:val="16FABB18"/>
    <w:lvl w:ilvl="0">
      <w:start w:val="1"/>
      <w:numFmt w:val="decimal"/>
      <w:pStyle w:val="Heading1Numbered"/>
      <w:lvlText w:val="%1"/>
      <w:lvlJc w:val="left"/>
      <w:pPr>
        <w:ind w:left="432" w:hanging="432"/>
      </w:pPr>
      <w:rPr>
        <w:rFonts w:hint="default"/>
      </w:rPr>
    </w:lvl>
    <w:lvl w:ilvl="1">
      <w:start w:val="1"/>
      <w:numFmt w:val="decimal"/>
      <w:pStyle w:val="Numbered"/>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5AA2336E"/>
    <w:multiLevelType w:val="hybridMultilevel"/>
    <w:tmpl w:val="6C2C3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122FBB"/>
    <w:multiLevelType w:val="hybridMultilevel"/>
    <w:tmpl w:val="93EC6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5425FB"/>
    <w:multiLevelType w:val="hybridMultilevel"/>
    <w:tmpl w:val="97B21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4A2EDA"/>
    <w:multiLevelType w:val="hybridMultilevel"/>
    <w:tmpl w:val="188AE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332253"/>
    <w:multiLevelType w:val="hybridMultilevel"/>
    <w:tmpl w:val="0660F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1"/>
  </w:num>
  <w:num w:numId="9">
    <w:abstractNumId w:val="10"/>
  </w:num>
  <w:num w:numId="10">
    <w:abstractNumId w:val="7"/>
  </w:num>
  <w:num w:numId="11">
    <w:abstractNumId w:val="12"/>
  </w:num>
  <w:num w:numId="12">
    <w:abstractNumId w:val="6"/>
  </w:num>
  <w:num w:numId="13">
    <w:abstractNumId w:val="9"/>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0"/>
  <w:embedSystemFonts/>
  <w:bordersDoNotSurroundHeader/>
  <w:bordersDoNotSurroundFooter/>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610"/>
    <w:rsid w:val="00007C8C"/>
    <w:rsid w:val="00014E52"/>
    <w:rsid w:val="00014F2C"/>
    <w:rsid w:val="000343A9"/>
    <w:rsid w:val="00034AE6"/>
    <w:rsid w:val="00035413"/>
    <w:rsid w:val="00037A55"/>
    <w:rsid w:val="00050EE9"/>
    <w:rsid w:val="0005406C"/>
    <w:rsid w:val="00057C77"/>
    <w:rsid w:val="00066A46"/>
    <w:rsid w:val="000722E3"/>
    <w:rsid w:val="00075ECD"/>
    <w:rsid w:val="000802AD"/>
    <w:rsid w:val="000B634A"/>
    <w:rsid w:val="000C1E9B"/>
    <w:rsid w:val="000C5A4C"/>
    <w:rsid w:val="000F454E"/>
    <w:rsid w:val="00131244"/>
    <w:rsid w:val="00135C30"/>
    <w:rsid w:val="001463DE"/>
    <w:rsid w:val="00150C14"/>
    <w:rsid w:val="00150DBB"/>
    <w:rsid w:val="00152192"/>
    <w:rsid w:val="00173049"/>
    <w:rsid w:val="00191E69"/>
    <w:rsid w:val="001A0831"/>
    <w:rsid w:val="001A3A43"/>
    <w:rsid w:val="001A72C5"/>
    <w:rsid w:val="001B255C"/>
    <w:rsid w:val="001C699E"/>
    <w:rsid w:val="001D3B29"/>
    <w:rsid w:val="001D6181"/>
    <w:rsid w:val="001D65BC"/>
    <w:rsid w:val="001E3774"/>
    <w:rsid w:val="001E4E27"/>
    <w:rsid w:val="001F387E"/>
    <w:rsid w:val="001F769C"/>
    <w:rsid w:val="00217FD7"/>
    <w:rsid w:val="00236601"/>
    <w:rsid w:val="0023667C"/>
    <w:rsid w:val="00237CDC"/>
    <w:rsid w:val="0025199A"/>
    <w:rsid w:val="00263161"/>
    <w:rsid w:val="00266788"/>
    <w:rsid w:val="00283226"/>
    <w:rsid w:val="002859A2"/>
    <w:rsid w:val="00287374"/>
    <w:rsid w:val="002940A2"/>
    <w:rsid w:val="00294202"/>
    <w:rsid w:val="00294BDE"/>
    <w:rsid w:val="002A466E"/>
    <w:rsid w:val="002B1984"/>
    <w:rsid w:val="002C2130"/>
    <w:rsid w:val="002D322E"/>
    <w:rsid w:val="002D3764"/>
    <w:rsid w:val="002E564C"/>
    <w:rsid w:val="002F7907"/>
    <w:rsid w:val="00307BF1"/>
    <w:rsid w:val="00315675"/>
    <w:rsid w:val="003220B1"/>
    <w:rsid w:val="003316F3"/>
    <w:rsid w:val="003330BE"/>
    <w:rsid w:val="00334D30"/>
    <w:rsid w:val="0033653D"/>
    <w:rsid w:val="00347C2A"/>
    <w:rsid w:val="00365FDF"/>
    <w:rsid w:val="00370D1B"/>
    <w:rsid w:val="003948B9"/>
    <w:rsid w:val="00395F6D"/>
    <w:rsid w:val="003B1BD7"/>
    <w:rsid w:val="003B442C"/>
    <w:rsid w:val="003C3218"/>
    <w:rsid w:val="003D5C43"/>
    <w:rsid w:val="003E07B1"/>
    <w:rsid w:val="003F2241"/>
    <w:rsid w:val="00403256"/>
    <w:rsid w:val="004055B5"/>
    <w:rsid w:val="00415FFD"/>
    <w:rsid w:val="0042101E"/>
    <w:rsid w:val="00423332"/>
    <w:rsid w:val="00433B52"/>
    <w:rsid w:val="00457D97"/>
    <w:rsid w:val="004665B1"/>
    <w:rsid w:val="00480D98"/>
    <w:rsid w:val="00487F5F"/>
    <w:rsid w:val="00495415"/>
    <w:rsid w:val="00497555"/>
    <w:rsid w:val="004A4089"/>
    <w:rsid w:val="004B068E"/>
    <w:rsid w:val="004B12EE"/>
    <w:rsid w:val="004C255B"/>
    <w:rsid w:val="004D055D"/>
    <w:rsid w:val="004D3805"/>
    <w:rsid w:val="004D5EE2"/>
    <w:rsid w:val="004D7804"/>
    <w:rsid w:val="004E6367"/>
    <w:rsid w:val="005033AB"/>
    <w:rsid w:val="00526D86"/>
    <w:rsid w:val="0054067F"/>
    <w:rsid w:val="00542BCC"/>
    <w:rsid w:val="005564F5"/>
    <w:rsid w:val="0056002A"/>
    <w:rsid w:val="00573042"/>
    <w:rsid w:val="00586BCB"/>
    <w:rsid w:val="005A1A70"/>
    <w:rsid w:val="005A2DD8"/>
    <w:rsid w:val="005A3FCE"/>
    <w:rsid w:val="005A5FC3"/>
    <w:rsid w:val="005B7138"/>
    <w:rsid w:val="005C16F8"/>
    <w:rsid w:val="005C7673"/>
    <w:rsid w:val="005D7FEE"/>
    <w:rsid w:val="005E1829"/>
    <w:rsid w:val="005E444F"/>
    <w:rsid w:val="00600D96"/>
    <w:rsid w:val="00616A1B"/>
    <w:rsid w:val="00632D14"/>
    <w:rsid w:val="00633044"/>
    <w:rsid w:val="0063308C"/>
    <w:rsid w:val="00636B72"/>
    <w:rsid w:val="00637285"/>
    <w:rsid w:val="00654B4A"/>
    <w:rsid w:val="00656F56"/>
    <w:rsid w:val="00672D86"/>
    <w:rsid w:val="00684810"/>
    <w:rsid w:val="006A24A4"/>
    <w:rsid w:val="006B72F4"/>
    <w:rsid w:val="006D202C"/>
    <w:rsid w:val="006D4495"/>
    <w:rsid w:val="006E77B6"/>
    <w:rsid w:val="006F6A5C"/>
    <w:rsid w:val="00703380"/>
    <w:rsid w:val="0070601D"/>
    <w:rsid w:val="0071116E"/>
    <w:rsid w:val="00714223"/>
    <w:rsid w:val="00720DFC"/>
    <w:rsid w:val="00721731"/>
    <w:rsid w:val="00735DF1"/>
    <w:rsid w:val="00742CAD"/>
    <w:rsid w:val="00744633"/>
    <w:rsid w:val="007455E8"/>
    <w:rsid w:val="00750C7D"/>
    <w:rsid w:val="00751825"/>
    <w:rsid w:val="00764EE8"/>
    <w:rsid w:val="007715AB"/>
    <w:rsid w:val="00771DA7"/>
    <w:rsid w:val="00786CC9"/>
    <w:rsid w:val="00790C4F"/>
    <w:rsid w:val="0079735B"/>
    <w:rsid w:val="007B298F"/>
    <w:rsid w:val="007B7B5A"/>
    <w:rsid w:val="007D1915"/>
    <w:rsid w:val="007E570C"/>
    <w:rsid w:val="007F25B8"/>
    <w:rsid w:val="007F788C"/>
    <w:rsid w:val="00814C4B"/>
    <w:rsid w:val="00831665"/>
    <w:rsid w:val="00831DDA"/>
    <w:rsid w:val="008326CE"/>
    <w:rsid w:val="00854A59"/>
    <w:rsid w:val="00860690"/>
    <w:rsid w:val="0087374E"/>
    <w:rsid w:val="00875A2F"/>
    <w:rsid w:val="00894610"/>
    <w:rsid w:val="00896433"/>
    <w:rsid w:val="0089673C"/>
    <w:rsid w:val="008A1CAB"/>
    <w:rsid w:val="008A365A"/>
    <w:rsid w:val="008B2E75"/>
    <w:rsid w:val="008C0CC7"/>
    <w:rsid w:val="008C2E29"/>
    <w:rsid w:val="008C52BC"/>
    <w:rsid w:val="008E470B"/>
    <w:rsid w:val="008F0875"/>
    <w:rsid w:val="00905A8C"/>
    <w:rsid w:val="00906460"/>
    <w:rsid w:val="00931A38"/>
    <w:rsid w:val="00943128"/>
    <w:rsid w:val="009503C4"/>
    <w:rsid w:val="00951DEC"/>
    <w:rsid w:val="009603FA"/>
    <w:rsid w:val="00962ED1"/>
    <w:rsid w:val="00963820"/>
    <w:rsid w:val="00983D8C"/>
    <w:rsid w:val="009939F2"/>
    <w:rsid w:val="009967EC"/>
    <w:rsid w:val="009A35B7"/>
    <w:rsid w:val="009B171E"/>
    <w:rsid w:val="009C21E2"/>
    <w:rsid w:val="009C32E2"/>
    <w:rsid w:val="009D0FD7"/>
    <w:rsid w:val="009D1FE4"/>
    <w:rsid w:val="009E5334"/>
    <w:rsid w:val="009F489E"/>
    <w:rsid w:val="00A03A42"/>
    <w:rsid w:val="00A042E9"/>
    <w:rsid w:val="00A051EB"/>
    <w:rsid w:val="00A16780"/>
    <w:rsid w:val="00A646B6"/>
    <w:rsid w:val="00A679FC"/>
    <w:rsid w:val="00A73E41"/>
    <w:rsid w:val="00A94AEB"/>
    <w:rsid w:val="00A96DDD"/>
    <w:rsid w:val="00AC09D3"/>
    <w:rsid w:val="00AC54F2"/>
    <w:rsid w:val="00AE0DB0"/>
    <w:rsid w:val="00AE163C"/>
    <w:rsid w:val="00AE239B"/>
    <w:rsid w:val="00AE709F"/>
    <w:rsid w:val="00AE75F2"/>
    <w:rsid w:val="00B052EE"/>
    <w:rsid w:val="00B060F0"/>
    <w:rsid w:val="00B07B3F"/>
    <w:rsid w:val="00B83836"/>
    <w:rsid w:val="00B84113"/>
    <w:rsid w:val="00B93AD7"/>
    <w:rsid w:val="00BB426A"/>
    <w:rsid w:val="00BB457F"/>
    <w:rsid w:val="00BB7C16"/>
    <w:rsid w:val="00BD7D2B"/>
    <w:rsid w:val="00BE6044"/>
    <w:rsid w:val="00C0128D"/>
    <w:rsid w:val="00C0646D"/>
    <w:rsid w:val="00C17F1F"/>
    <w:rsid w:val="00C22333"/>
    <w:rsid w:val="00C279BA"/>
    <w:rsid w:val="00C43A76"/>
    <w:rsid w:val="00C53CA8"/>
    <w:rsid w:val="00C54DC6"/>
    <w:rsid w:val="00C643FA"/>
    <w:rsid w:val="00C71FD8"/>
    <w:rsid w:val="00C821A8"/>
    <w:rsid w:val="00C90739"/>
    <w:rsid w:val="00CA4604"/>
    <w:rsid w:val="00CC2FCD"/>
    <w:rsid w:val="00CC48DF"/>
    <w:rsid w:val="00CC5BF3"/>
    <w:rsid w:val="00CD2D6E"/>
    <w:rsid w:val="00CD484B"/>
    <w:rsid w:val="00CE02E1"/>
    <w:rsid w:val="00CE2625"/>
    <w:rsid w:val="00CE2DDE"/>
    <w:rsid w:val="00CE666D"/>
    <w:rsid w:val="00CE750F"/>
    <w:rsid w:val="00CF0E8D"/>
    <w:rsid w:val="00D02489"/>
    <w:rsid w:val="00D10620"/>
    <w:rsid w:val="00D22FF4"/>
    <w:rsid w:val="00D307AF"/>
    <w:rsid w:val="00D31FD8"/>
    <w:rsid w:val="00D53537"/>
    <w:rsid w:val="00D603F8"/>
    <w:rsid w:val="00D8626C"/>
    <w:rsid w:val="00D91C01"/>
    <w:rsid w:val="00D9381D"/>
    <w:rsid w:val="00DB57AC"/>
    <w:rsid w:val="00DC0AE0"/>
    <w:rsid w:val="00DC4EB8"/>
    <w:rsid w:val="00DF15E6"/>
    <w:rsid w:val="00DF5EED"/>
    <w:rsid w:val="00E01884"/>
    <w:rsid w:val="00E07D69"/>
    <w:rsid w:val="00E3033C"/>
    <w:rsid w:val="00E44ECE"/>
    <w:rsid w:val="00E458E1"/>
    <w:rsid w:val="00E53ABC"/>
    <w:rsid w:val="00E55E25"/>
    <w:rsid w:val="00E705AE"/>
    <w:rsid w:val="00E736B3"/>
    <w:rsid w:val="00E90DBD"/>
    <w:rsid w:val="00E93669"/>
    <w:rsid w:val="00EA4146"/>
    <w:rsid w:val="00EA5225"/>
    <w:rsid w:val="00EA52C4"/>
    <w:rsid w:val="00ED7DF3"/>
    <w:rsid w:val="00EE2658"/>
    <w:rsid w:val="00EF18F0"/>
    <w:rsid w:val="00EF6DA6"/>
    <w:rsid w:val="00EF7419"/>
    <w:rsid w:val="00F12469"/>
    <w:rsid w:val="00F27342"/>
    <w:rsid w:val="00F37743"/>
    <w:rsid w:val="00F4090A"/>
    <w:rsid w:val="00F42F27"/>
    <w:rsid w:val="00F51C5A"/>
    <w:rsid w:val="00F54D6A"/>
    <w:rsid w:val="00F62D45"/>
    <w:rsid w:val="00F72229"/>
    <w:rsid w:val="00F77CB3"/>
    <w:rsid w:val="00F825AD"/>
    <w:rsid w:val="00F91BB3"/>
    <w:rsid w:val="00F91FF2"/>
    <w:rsid w:val="00F93D7F"/>
    <w:rsid w:val="00FA491F"/>
    <w:rsid w:val="00FC1272"/>
    <w:rsid w:val="00FC15FB"/>
    <w:rsid w:val="00FC23CF"/>
    <w:rsid w:val="00FE3F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BF6CC040-95B2-43EC-8E84-4888F3C2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24"/>
        <w:szCs w:val="24"/>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D6E"/>
    <w:pPr>
      <w:suppressAutoHyphens/>
      <w:spacing w:before="120" w:after="120" w:line="360" w:lineRule="auto"/>
    </w:pPr>
  </w:style>
  <w:style w:type="paragraph" w:styleId="Heading1">
    <w:name w:val="heading 1"/>
    <w:basedOn w:val="Normal"/>
    <w:next w:val="Normal"/>
    <w:link w:val="Heading1Char"/>
    <w:uiPriority w:val="99"/>
    <w:qFormat/>
    <w:rsid w:val="00CC2FCD"/>
    <w:pPr>
      <w:keepNext/>
      <w:spacing w:before="240" w:after="60" w:line="240" w:lineRule="auto"/>
      <w:outlineLvl w:val="0"/>
    </w:pPr>
    <w:rPr>
      <w:b/>
      <w:bCs/>
      <w:kern w:val="32"/>
      <w:sz w:val="40"/>
      <w:szCs w:val="32"/>
    </w:rPr>
  </w:style>
  <w:style w:type="paragraph" w:styleId="Heading2">
    <w:name w:val="heading 2"/>
    <w:basedOn w:val="Normal"/>
    <w:next w:val="Normal"/>
    <w:link w:val="Heading2Char"/>
    <w:uiPriority w:val="99"/>
    <w:unhideWhenUsed/>
    <w:qFormat/>
    <w:rsid w:val="00173049"/>
    <w:pPr>
      <w:keepNext/>
      <w:spacing w:before="240" w:line="240" w:lineRule="auto"/>
      <w:outlineLvl w:val="1"/>
    </w:pPr>
    <w:rPr>
      <w:b/>
      <w:bCs/>
      <w:iCs/>
      <w:sz w:val="32"/>
      <w:szCs w:val="28"/>
    </w:rPr>
  </w:style>
  <w:style w:type="paragraph" w:styleId="Heading3">
    <w:name w:val="heading 3"/>
    <w:basedOn w:val="Normal"/>
    <w:next w:val="Normal"/>
    <w:link w:val="Heading3Char"/>
    <w:uiPriority w:val="9"/>
    <w:unhideWhenUsed/>
    <w:qFormat/>
    <w:rsid w:val="00C0128D"/>
    <w:pPr>
      <w:keepNext/>
      <w:spacing w:before="240" w:after="60" w:line="240" w:lineRule="auto"/>
      <w:outlineLvl w:val="2"/>
    </w:pPr>
    <w:rPr>
      <w:b/>
      <w:bCs/>
      <w:sz w:val="26"/>
      <w:szCs w:val="26"/>
    </w:rPr>
  </w:style>
  <w:style w:type="paragraph" w:styleId="Heading4">
    <w:name w:val="heading 4"/>
    <w:basedOn w:val="Normal"/>
    <w:next w:val="Normal"/>
    <w:link w:val="Heading4Char"/>
    <w:uiPriority w:val="9"/>
    <w:unhideWhenUsed/>
    <w:qFormat/>
    <w:rsid w:val="00150DBB"/>
    <w:pPr>
      <w:keepNext/>
      <w:spacing w:before="240" w:after="60"/>
      <w:outlineLvl w:val="3"/>
    </w:pPr>
    <w:rPr>
      <w:rFonts w:ascii="Calibri" w:hAnsi="Calibri"/>
      <w:b/>
      <w:bCs/>
      <w:i/>
      <w:sz w:val="28"/>
      <w:szCs w:val="28"/>
    </w:rPr>
  </w:style>
  <w:style w:type="paragraph" w:styleId="Heading5">
    <w:name w:val="heading 5"/>
    <w:basedOn w:val="Normal"/>
    <w:next w:val="Normal"/>
    <w:link w:val="Heading5Char"/>
    <w:uiPriority w:val="9"/>
    <w:semiHidden/>
    <w:unhideWhenUsed/>
    <w:qFormat/>
    <w:rsid w:val="00703380"/>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03380"/>
    <w:pPr>
      <w:numPr>
        <w:ilvl w:val="5"/>
        <w:numId w:val="4"/>
      </w:numPr>
      <w:spacing w:before="240" w:after="60"/>
      <w:outlineLvl w:val="5"/>
    </w:pPr>
    <w:rPr>
      <w:rFonts w:ascii="Calibri" w:hAnsi="Calibri"/>
      <w:b/>
      <w:bCs/>
      <w:sz w:val="22"/>
    </w:rPr>
  </w:style>
  <w:style w:type="paragraph" w:styleId="Heading7">
    <w:name w:val="heading 7"/>
    <w:basedOn w:val="Normal"/>
    <w:next w:val="Normal"/>
    <w:link w:val="Heading7Char"/>
    <w:uiPriority w:val="9"/>
    <w:semiHidden/>
    <w:unhideWhenUsed/>
    <w:qFormat/>
    <w:rsid w:val="00703380"/>
    <w:pPr>
      <w:numPr>
        <w:ilvl w:val="6"/>
        <w:numId w:val="4"/>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703380"/>
    <w:pPr>
      <w:numPr>
        <w:ilvl w:val="7"/>
        <w:numId w:val="4"/>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703380"/>
    <w:pPr>
      <w:numPr>
        <w:ilvl w:val="8"/>
        <w:numId w:val="4"/>
      </w:numPr>
      <w:spacing w:before="240" w:after="60"/>
      <w:outlineLvl w:val="8"/>
    </w:pPr>
    <w:rPr>
      <w:rFonts w:ascii="Calibri Light" w:hAnsi="Calibri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Helvetica Regular" w:hAnsi="Helvetica Regular" w:cs="Helvetica Regular"/>
      <w:color w:val="000000"/>
      <w:lang w:val="en-GB"/>
    </w:rPr>
  </w:style>
  <w:style w:type="paragraph" w:customStyle="1" w:styleId="SectionTitleTitlePage">
    <w:name w:val="Section Title (Title Page)"/>
    <w:basedOn w:val="NoParagraphStyle"/>
    <w:uiPriority w:val="99"/>
    <w:pPr>
      <w:pageBreakBefore/>
      <w:suppressAutoHyphens/>
      <w:spacing w:after="520" w:line="680" w:lineRule="atLeast"/>
    </w:pPr>
    <w:rPr>
      <w:rFonts w:ascii="ITC Franklin Gothic Book" w:hAnsi="ITC Franklin Gothic Book" w:cs="ITC Franklin Gothic Book"/>
      <w:color w:val="246754"/>
      <w:sz w:val="60"/>
      <w:szCs w:val="60"/>
      <w:lang w:val="en-US"/>
    </w:rPr>
  </w:style>
  <w:style w:type="paragraph" w:customStyle="1" w:styleId="AnchorGeneralStyles">
    <w:name w:val="Anchor (General Styles)"/>
    <w:basedOn w:val="NoParagraphStyle"/>
    <w:uiPriority w:val="99"/>
    <w:pPr>
      <w:suppressAutoHyphens/>
      <w:spacing w:line="130" w:lineRule="atLeast"/>
    </w:pPr>
    <w:rPr>
      <w:rFonts w:ascii="Gill Sans Std" w:hAnsi="Gill Sans Std" w:cs="Gill Sans Std"/>
      <w:sz w:val="13"/>
      <w:szCs w:val="13"/>
    </w:rPr>
  </w:style>
  <w:style w:type="paragraph" w:customStyle="1" w:styleId="BodynumberedGeneralStyles">
    <w:name w:val="Body numbered (General Styles)"/>
    <w:basedOn w:val="NoParagraphStyle"/>
    <w:uiPriority w:val="99"/>
    <w:pPr>
      <w:tabs>
        <w:tab w:val="left" w:pos="907"/>
      </w:tabs>
      <w:suppressAutoHyphens/>
      <w:spacing w:after="113" w:line="260" w:lineRule="atLeast"/>
      <w:ind w:left="737" w:hanging="737"/>
    </w:pPr>
    <w:rPr>
      <w:rFonts w:ascii="Gill Sans Std Light" w:hAnsi="Gill Sans Std Light" w:cs="Gill Sans Std Light"/>
      <w:sz w:val="21"/>
      <w:szCs w:val="21"/>
      <w:lang w:val="en-US"/>
    </w:rPr>
  </w:style>
  <w:style w:type="paragraph" w:customStyle="1" w:styleId="Body11Pre-bulletBodyParas">
    <w:name w:val="Body 1.1 Pre-bullet (Body Paras)"/>
    <w:basedOn w:val="BodynumberedGeneralStyles"/>
    <w:uiPriority w:val="99"/>
    <w:pPr>
      <w:spacing w:after="57" w:line="270" w:lineRule="atLeast"/>
      <w:ind w:left="454" w:hanging="454"/>
    </w:pPr>
  </w:style>
  <w:style w:type="paragraph" w:customStyle="1" w:styleId="BodyGeneralStyles">
    <w:name w:val="Body (General Styles)"/>
    <w:basedOn w:val="NoParagraphStyle"/>
    <w:uiPriority w:val="99"/>
    <w:pPr>
      <w:suppressAutoHyphens/>
      <w:spacing w:after="135" w:line="270" w:lineRule="atLeast"/>
    </w:pPr>
    <w:rPr>
      <w:rFonts w:ascii="Gill Sans Std Light" w:hAnsi="Gill Sans Std Light" w:cs="Gill Sans Std Light"/>
      <w:sz w:val="21"/>
      <w:szCs w:val="21"/>
      <w:lang w:val="en-US"/>
    </w:rPr>
  </w:style>
  <w:style w:type="paragraph" w:customStyle="1" w:styleId="BulletindentGeneralStyles">
    <w:name w:val="Bullet indent (General Styles)"/>
    <w:basedOn w:val="BodyGeneralStyles"/>
    <w:uiPriority w:val="99"/>
    <w:pPr>
      <w:tabs>
        <w:tab w:val="left" w:pos="907"/>
      </w:tabs>
      <w:spacing w:after="57"/>
      <w:ind w:left="850" w:hanging="227"/>
    </w:pPr>
  </w:style>
  <w:style w:type="paragraph" w:customStyle="1" w:styleId="BulletindentlastGeneralStyles">
    <w:name w:val="Bullet indent last (General Styles)"/>
    <w:basedOn w:val="BulletindentGeneralStyles"/>
    <w:uiPriority w:val="99"/>
    <w:pPr>
      <w:spacing w:after="135"/>
    </w:pPr>
  </w:style>
  <w:style w:type="paragraph" w:customStyle="1" w:styleId="Body11BodyParas">
    <w:name w:val="Body 1.1 (Body Paras)"/>
    <w:basedOn w:val="BodynumberedGeneralStyles"/>
    <w:uiPriority w:val="99"/>
    <w:pPr>
      <w:spacing w:after="130" w:line="270" w:lineRule="atLeast"/>
      <w:ind w:left="510" w:hanging="510"/>
    </w:pPr>
  </w:style>
  <w:style w:type="paragraph" w:customStyle="1" w:styleId="Heading1GeneralStyles">
    <w:name w:val="Heading 1 (General Styles)"/>
    <w:basedOn w:val="NoParagraphStyle"/>
    <w:uiPriority w:val="99"/>
    <w:pPr>
      <w:suppressAutoHyphens/>
      <w:spacing w:before="270" w:after="135" w:line="400" w:lineRule="atLeast"/>
    </w:pPr>
    <w:rPr>
      <w:rFonts w:ascii="ITC Franklin Gothic Book" w:hAnsi="ITC Franklin Gothic Book" w:cs="ITC Franklin Gothic Book"/>
      <w:color w:val="55565A"/>
      <w:sz w:val="36"/>
      <w:szCs w:val="36"/>
      <w:lang w:val="en-US"/>
    </w:rPr>
  </w:style>
  <w:style w:type="paragraph" w:customStyle="1" w:styleId="Body21Pre-bulletBodyParas">
    <w:name w:val="Body 2.1 Pre-bullet (Body Paras)"/>
    <w:basedOn w:val="Body11BodyParas"/>
    <w:uiPriority w:val="99"/>
    <w:pPr>
      <w:spacing w:after="57"/>
    </w:pPr>
  </w:style>
  <w:style w:type="paragraph" w:customStyle="1" w:styleId="Body21BodyParas">
    <w:name w:val="Body 2.1 (Body Paras)"/>
    <w:basedOn w:val="Body11BodyParas"/>
    <w:uiPriority w:val="99"/>
  </w:style>
  <w:style w:type="paragraph" w:customStyle="1" w:styleId="Heading2GeneralStyles">
    <w:name w:val="Heading 2 (General Styles)"/>
    <w:basedOn w:val="NoParagraphStyle"/>
    <w:uiPriority w:val="99"/>
    <w:pPr>
      <w:suppressAutoHyphens/>
      <w:spacing w:before="260" w:after="130" w:line="320" w:lineRule="atLeast"/>
    </w:pPr>
    <w:rPr>
      <w:rFonts w:ascii="ITC Franklin Gothic Book" w:hAnsi="ITC Franklin Gothic Book" w:cs="ITC Franklin Gothic Book"/>
      <w:color w:val="246754"/>
      <w:sz w:val="28"/>
      <w:szCs w:val="28"/>
      <w:lang w:val="en-US"/>
    </w:rPr>
  </w:style>
  <w:style w:type="paragraph" w:customStyle="1" w:styleId="QuoteGeneralStyles">
    <w:name w:val="Quote (General Styles)"/>
    <w:basedOn w:val="BodyGeneralStyles"/>
    <w:uiPriority w:val="99"/>
    <w:pPr>
      <w:ind w:left="794" w:right="57"/>
    </w:pPr>
    <w:rPr>
      <w:sz w:val="19"/>
      <w:szCs w:val="19"/>
    </w:rPr>
  </w:style>
  <w:style w:type="paragraph" w:customStyle="1" w:styleId="Heading3GeneralStyles">
    <w:name w:val="Heading 3 (General Styles)"/>
    <w:basedOn w:val="NoParagraphStyle"/>
    <w:uiPriority w:val="99"/>
    <w:pPr>
      <w:suppressAutoHyphens/>
      <w:spacing w:before="170" w:after="57" w:line="290" w:lineRule="atLeast"/>
    </w:pPr>
    <w:rPr>
      <w:rFonts w:ascii="ITC Franklin Gothic Book" w:hAnsi="ITC Franklin Gothic Book" w:cs="ITC Franklin Gothic Book"/>
      <w:color w:val="55565A"/>
      <w:sz w:val="25"/>
      <w:szCs w:val="25"/>
      <w:lang w:val="en-US"/>
    </w:rPr>
  </w:style>
  <w:style w:type="paragraph" w:customStyle="1" w:styleId="FigureTableTitleFiguresTable">
    <w:name w:val="Figure / Table Title (Figures / Table)"/>
    <w:basedOn w:val="BodyGeneralStyles"/>
    <w:uiPriority w:val="99"/>
    <w:pPr>
      <w:tabs>
        <w:tab w:val="left" w:pos="907"/>
      </w:tabs>
      <w:spacing w:before="113" w:line="200" w:lineRule="atLeast"/>
    </w:pPr>
    <w:rPr>
      <w:rFonts w:ascii="Franklin Gothic Medium" w:hAnsi="Franklin Gothic Medium" w:cs="Franklin Gothic Medium"/>
      <w:sz w:val="16"/>
      <w:szCs w:val="16"/>
    </w:rPr>
  </w:style>
  <w:style w:type="paragraph" w:customStyle="1" w:styleId="Body31BodyParas">
    <w:name w:val="Body 3.1 (Body Paras)"/>
    <w:basedOn w:val="Body11BodyParas"/>
    <w:uiPriority w:val="99"/>
  </w:style>
  <w:style w:type="paragraph" w:customStyle="1" w:styleId="Footnote1-99Footnote">
    <w:name w:val="Footnote 1-99 (Footnote)"/>
    <w:basedOn w:val="NoParagraphStyle"/>
    <w:uiPriority w:val="99"/>
    <w:pPr>
      <w:tabs>
        <w:tab w:val="left" w:pos="255"/>
      </w:tabs>
      <w:suppressAutoHyphens/>
      <w:spacing w:after="113" w:line="180" w:lineRule="atLeast"/>
      <w:ind w:left="255" w:hanging="255"/>
    </w:pPr>
    <w:rPr>
      <w:rFonts w:ascii="Gill Sans Std Light" w:hAnsi="Gill Sans Std Light" w:cs="Gill Sans Std Light"/>
      <w:sz w:val="15"/>
      <w:szCs w:val="15"/>
      <w:lang w:val="en-US"/>
    </w:rPr>
  </w:style>
  <w:style w:type="paragraph" w:customStyle="1" w:styleId="Body31Pre-bulletBodyParas">
    <w:name w:val="Body 3.1 Pre-bullet (Body Paras)"/>
    <w:basedOn w:val="Body11BodyParas"/>
    <w:uiPriority w:val="99"/>
    <w:pPr>
      <w:spacing w:after="58"/>
    </w:pPr>
  </w:style>
  <w:style w:type="paragraph" w:customStyle="1" w:styleId="BodyindentGeneralStyles">
    <w:name w:val="Body indent (General Styles)"/>
    <w:basedOn w:val="BodyGeneralStyles"/>
    <w:uiPriority w:val="99"/>
    <w:pPr>
      <w:ind w:left="510"/>
    </w:pPr>
  </w:style>
  <w:style w:type="paragraph" w:customStyle="1" w:styleId="Body41Pre-BulletBodyParas">
    <w:name w:val="Body 4.1 Pre-Bullet (Body Paras)"/>
    <w:basedOn w:val="Body11BodyParas"/>
    <w:uiPriority w:val="99"/>
    <w:pPr>
      <w:spacing w:after="58"/>
    </w:pPr>
  </w:style>
  <w:style w:type="paragraph" w:customStyle="1" w:styleId="Body41BodyParas">
    <w:name w:val="Body 4.1 (Body Paras)"/>
    <w:basedOn w:val="Body11BodyParas"/>
    <w:uiPriority w:val="99"/>
  </w:style>
  <w:style w:type="paragraph" w:customStyle="1" w:styleId="Body51Pre-bulletBodyParas">
    <w:name w:val="Body 5.1 Pre-bullet (Body Paras)"/>
    <w:basedOn w:val="Body11BodyParas"/>
    <w:uiPriority w:val="99"/>
    <w:pPr>
      <w:spacing w:after="58"/>
    </w:pPr>
  </w:style>
  <w:style w:type="paragraph" w:customStyle="1" w:styleId="Body51BodyParas">
    <w:name w:val="Body 5.1 (Body Paras)"/>
    <w:basedOn w:val="Body11BodyParas"/>
    <w:uiPriority w:val="99"/>
  </w:style>
  <w:style w:type="paragraph" w:customStyle="1" w:styleId="Body61Pre-bulletBodyParas">
    <w:name w:val="Body 6.1 Pre-bullet (Body Paras)"/>
    <w:basedOn w:val="Body11BodyParas"/>
    <w:uiPriority w:val="99"/>
    <w:pPr>
      <w:spacing w:after="58"/>
    </w:pPr>
  </w:style>
  <w:style w:type="paragraph" w:customStyle="1" w:styleId="Body61BodyParas">
    <w:name w:val="Body 6.1 (Body Paras)"/>
    <w:basedOn w:val="Body11BodyParas"/>
    <w:uiPriority w:val="99"/>
  </w:style>
  <w:style w:type="paragraph" w:customStyle="1" w:styleId="Body71BodyParas">
    <w:name w:val="Body 7.1 (Body Paras)"/>
    <w:basedOn w:val="Body11BodyParas"/>
    <w:uiPriority w:val="99"/>
  </w:style>
  <w:style w:type="paragraph" w:customStyle="1" w:styleId="Body71Pre-bulletBodyParas">
    <w:name w:val="Body 7.1 Pre-bullet (Body Paras)"/>
    <w:basedOn w:val="Body11BodyParas"/>
    <w:uiPriority w:val="99"/>
    <w:pPr>
      <w:spacing w:after="58"/>
    </w:pPr>
  </w:style>
  <w:style w:type="paragraph" w:customStyle="1" w:styleId="GlossaryEntryGeneralStyles">
    <w:name w:val="Glossary Entry (General Styles)"/>
    <w:basedOn w:val="NoParagraphStyle"/>
    <w:uiPriority w:val="99"/>
    <w:pPr>
      <w:suppressAutoHyphens/>
      <w:spacing w:line="230" w:lineRule="atLeast"/>
    </w:pPr>
    <w:rPr>
      <w:rFonts w:ascii="ITC Franklin Gothic Book" w:hAnsi="ITC Franklin Gothic Book" w:cs="ITC Franklin Gothic Book"/>
      <w:color w:val="246754"/>
      <w:sz w:val="20"/>
      <w:szCs w:val="20"/>
      <w:lang w:val="en-US"/>
    </w:rPr>
  </w:style>
  <w:style w:type="paragraph" w:customStyle="1" w:styleId="BodyPre-bulletGeneralStyles">
    <w:name w:val="Body Pre-bullet (General Styles)"/>
    <w:basedOn w:val="NoParagraphStyle"/>
    <w:uiPriority w:val="99"/>
    <w:pPr>
      <w:suppressAutoHyphens/>
      <w:spacing w:after="57" w:line="270" w:lineRule="atLeast"/>
    </w:pPr>
    <w:rPr>
      <w:rFonts w:ascii="Gill Sans Std Light" w:hAnsi="Gill Sans Std Light" w:cs="Gill Sans Std Light"/>
      <w:sz w:val="21"/>
      <w:szCs w:val="21"/>
      <w:lang w:val="en-US"/>
    </w:rPr>
  </w:style>
  <w:style w:type="paragraph" w:customStyle="1" w:styleId="BulletGeneralStyles">
    <w:name w:val="Bullet (General Styles)"/>
    <w:basedOn w:val="BodyGeneralStyles"/>
    <w:uiPriority w:val="99"/>
    <w:pPr>
      <w:tabs>
        <w:tab w:val="left" w:pos="907"/>
      </w:tabs>
      <w:spacing w:after="57"/>
      <w:ind w:left="360" w:hanging="170"/>
    </w:pPr>
  </w:style>
  <w:style w:type="paragraph" w:customStyle="1" w:styleId="TableHeadingLeftFiguresTable">
    <w:name w:val="Table Heading Left (Figures / Table)"/>
    <w:basedOn w:val="BodyGeneralStyles"/>
    <w:uiPriority w:val="99"/>
    <w:pPr>
      <w:spacing w:line="240" w:lineRule="atLeast"/>
    </w:pPr>
    <w:rPr>
      <w:rFonts w:ascii="ITC Franklin Gothic Book" w:hAnsi="ITC Franklin Gothic Book" w:cs="ITC Franklin Gothic Book"/>
      <w:color w:val="246754"/>
      <w:sz w:val="18"/>
      <w:szCs w:val="18"/>
    </w:rPr>
  </w:style>
  <w:style w:type="paragraph" w:customStyle="1" w:styleId="TableBodyLeftFiguresTable">
    <w:name w:val="Table Body Left (Figures / Table)"/>
    <w:basedOn w:val="NoParagraphStyle"/>
    <w:uiPriority w:val="99"/>
    <w:pPr>
      <w:suppressAutoHyphens/>
      <w:spacing w:after="135" w:line="240" w:lineRule="atLeast"/>
    </w:pPr>
    <w:rPr>
      <w:rFonts w:ascii="ITC Franklin Gothic Book" w:hAnsi="ITC Franklin Gothic Book" w:cs="ITC Franklin Gothic Book"/>
      <w:sz w:val="18"/>
      <w:szCs w:val="18"/>
      <w:lang w:val="en-US"/>
    </w:rPr>
  </w:style>
  <w:style w:type="paragraph" w:customStyle="1" w:styleId="TableBodyRightFiguresTable">
    <w:name w:val="Table Body Right (Figures / Table)"/>
    <w:basedOn w:val="BodyGeneralStyles"/>
    <w:uiPriority w:val="99"/>
    <w:pPr>
      <w:spacing w:line="240" w:lineRule="atLeast"/>
      <w:jc w:val="right"/>
    </w:pPr>
    <w:rPr>
      <w:rFonts w:ascii="ITC Franklin Gothic Book" w:hAnsi="ITC Franklin Gothic Book" w:cs="ITC Franklin Gothic Book"/>
      <w:sz w:val="18"/>
      <w:szCs w:val="18"/>
    </w:rPr>
  </w:style>
  <w:style w:type="paragraph" w:customStyle="1" w:styleId="TableBodyPre-bulletFiguresTable">
    <w:name w:val="Table Body Pre-bullet (Figures / Table)"/>
    <w:basedOn w:val="NoParagraphStyle"/>
    <w:uiPriority w:val="99"/>
    <w:pPr>
      <w:suppressAutoHyphens/>
      <w:spacing w:after="60" w:line="240" w:lineRule="atLeast"/>
    </w:pPr>
    <w:rPr>
      <w:rFonts w:ascii="ITC Franklin Gothic Book" w:hAnsi="ITC Franklin Gothic Book" w:cs="ITC Franklin Gothic Book"/>
      <w:sz w:val="18"/>
      <w:szCs w:val="18"/>
      <w:lang w:val="en-US"/>
    </w:rPr>
  </w:style>
  <w:style w:type="paragraph" w:customStyle="1" w:styleId="TableBulletFiguresTable">
    <w:name w:val="Table Bullet (Figures / Table)"/>
    <w:basedOn w:val="NoParagraphStyle"/>
    <w:uiPriority w:val="99"/>
    <w:pPr>
      <w:suppressAutoHyphens/>
      <w:spacing w:after="40" w:line="240" w:lineRule="atLeast"/>
      <w:ind w:left="198" w:hanging="198"/>
    </w:pPr>
    <w:rPr>
      <w:rFonts w:ascii="ITC Franklin Gothic Book" w:hAnsi="ITC Franklin Gothic Book" w:cs="ITC Franklin Gothic Book"/>
      <w:sz w:val="18"/>
      <w:szCs w:val="18"/>
      <w:lang w:val="en-US"/>
    </w:rPr>
  </w:style>
  <w:style w:type="paragraph" w:customStyle="1" w:styleId="TableHeadingRightFiguresTable">
    <w:name w:val="Table Heading Right (Figures / Table)"/>
    <w:basedOn w:val="BodyGeneralStyles"/>
    <w:uiPriority w:val="99"/>
    <w:pPr>
      <w:spacing w:line="240" w:lineRule="atLeast"/>
      <w:jc w:val="right"/>
    </w:pPr>
    <w:rPr>
      <w:rFonts w:ascii="ITC Franklin Gothic Book" w:hAnsi="ITC Franklin Gothic Book" w:cs="ITC Franklin Gothic Book"/>
      <w:color w:val="246754"/>
      <w:sz w:val="18"/>
      <w:szCs w:val="18"/>
    </w:rPr>
  </w:style>
  <w:style w:type="paragraph" w:customStyle="1" w:styleId="Footnote100-999Footnote">
    <w:name w:val="Footnote 100-999 (Footnote)"/>
    <w:basedOn w:val="NoParagraphStyle"/>
    <w:uiPriority w:val="99"/>
    <w:pPr>
      <w:tabs>
        <w:tab w:val="left" w:pos="369"/>
      </w:tabs>
      <w:suppressAutoHyphens/>
      <w:spacing w:after="113" w:line="180" w:lineRule="atLeast"/>
      <w:ind w:left="369" w:hanging="369"/>
    </w:pPr>
    <w:rPr>
      <w:rFonts w:ascii="Gill Sans Std Light" w:hAnsi="Gill Sans Std Light" w:cs="Gill Sans Std Light"/>
      <w:sz w:val="15"/>
      <w:szCs w:val="15"/>
      <w:lang w:val="en-US"/>
    </w:rPr>
  </w:style>
  <w:style w:type="character" w:customStyle="1" w:styleId="LightItalic">
    <w:name w:val="Light Italic"/>
    <w:uiPriority w:val="99"/>
    <w:rPr>
      <w:rFonts w:ascii="Gill Sans Std Light" w:hAnsi="Gill Sans Std Light" w:cs="Gill Sans Std Light"/>
      <w:i/>
      <w:iCs/>
      <w:lang w:val="en-AU"/>
    </w:rPr>
  </w:style>
  <w:style w:type="character" w:customStyle="1" w:styleId="Superscript">
    <w:name w:val="Superscript"/>
    <w:uiPriority w:val="99"/>
    <w:rPr>
      <w:vertAlign w:val="superscript"/>
    </w:rPr>
  </w:style>
  <w:style w:type="paragraph" w:styleId="TOC1">
    <w:name w:val="toc 1"/>
    <w:basedOn w:val="Normal"/>
    <w:next w:val="Normal"/>
    <w:autoRedefine/>
    <w:uiPriority w:val="39"/>
    <w:unhideWhenUsed/>
    <w:rsid w:val="00CE666D"/>
  </w:style>
  <w:style w:type="paragraph" w:customStyle="1" w:styleId="TitleTitlePage">
    <w:name w:val="Title (Title Page)"/>
    <w:basedOn w:val="Normal"/>
    <w:uiPriority w:val="99"/>
    <w:rsid w:val="00AE75F2"/>
    <w:pPr>
      <w:widowControl w:val="0"/>
      <w:autoSpaceDE w:val="0"/>
      <w:autoSpaceDN w:val="0"/>
      <w:adjustRightInd w:val="0"/>
      <w:spacing w:after="0" w:line="680" w:lineRule="atLeast"/>
      <w:textAlignment w:val="center"/>
    </w:pPr>
    <w:rPr>
      <w:rFonts w:ascii="ITC Franklin Gothic Book" w:hAnsi="ITC Franklin Gothic Book" w:cs="ITC Franklin Gothic Book"/>
      <w:color w:val="55565A"/>
      <w:sz w:val="60"/>
      <w:szCs w:val="60"/>
      <w:lang w:val="en-US"/>
    </w:rPr>
  </w:style>
  <w:style w:type="paragraph" w:customStyle="1" w:styleId="SubtitleTitlePage">
    <w:name w:val="Subtitle (Title Page)"/>
    <w:basedOn w:val="TitleTitlePage"/>
    <w:uiPriority w:val="99"/>
    <w:rsid w:val="00AE75F2"/>
    <w:pPr>
      <w:spacing w:after="540"/>
    </w:pPr>
    <w:rPr>
      <w:color w:val="246754"/>
    </w:rPr>
  </w:style>
  <w:style w:type="paragraph" w:customStyle="1" w:styleId="ContributorsheaderImprintandContributors">
    <w:name w:val="Contributors header (Imprint and Contributors)"/>
    <w:basedOn w:val="Normal"/>
    <w:uiPriority w:val="99"/>
    <w:rsid w:val="00AE75F2"/>
    <w:pPr>
      <w:widowControl w:val="0"/>
      <w:autoSpaceDE w:val="0"/>
      <w:autoSpaceDN w:val="0"/>
      <w:adjustRightInd w:val="0"/>
      <w:spacing w:before="270" w:after="0" w:line="270" w:lineRule="atLeast"/>
    </w:pPr>
    <w:rPr>
      <w:rFonts w:ascii="ITC Franklin Gothic Book" w:hAnsi="ITC Franklin Gothic Book" w:cs="ITC Franklin Gothic Book"/>
      <w:color w:val="246754"/>
      <w:sz w:val="21"/>
      <w:szCs w:val="21"/>
      <w:lang w:val="en-US"/>
    </w:rPr>
  </w:style>
  <w:style w:type="paragraph" w:customStyle="1" w:styleId="ContributorslistImprintandContributors">
    <w:name w:val="Contributors list (Imprint and Contributors)"/>
    <w:basedOn w:val="Normal"/>
    <w:uiPriority w:val="99"/>
    <w:rsid w:val="00AE75F2"/>
    <w:pPr>
      <w:widowControl w:val="0"/>
      <w:autoSpaceDE w:val="0"/>
      <w:autoSpaceDN w:val="0"/>
      <w:adjustRightInd w:val="0"/>
      <w:spacing w:after="0" w:line="270" w:lineRule="atLeast"/>
    </w:pPr>
    <w:rPr>
      <w:rFonts w:ascii="Gill Sans Std Light" w:hAnsi="Gill Sans Std Light" w:cs="Gill Sans Std Light"/>
      <w:color w:val="000000"/>
      <w:sz w:val="21"/>
      <w:szCs w:val="21"/>
      <w:lang w:val="en-US"/>
    </w:rPr>
  </w:style>
  <w:style w:type="paragraph" w:styleId="Header">
    <w:name w:val="header"/>
    <w:basedOn w:val="Normal"/>
    <w:link w:val="HeaderChar"/>
    <w:uiPriority w:val="99"/>
    <w:unhideWhenUsed/>
    <w:rsid w:val="00632D14"/>
    <w:pPr>
      <w:tabs>
        <w:tab w:val="center" w:pos="4513"/>
        <w:tab w:val="right" w:pos="9026"/>
      </w:tabs>
    </w:pPr>
  </w:style>
  <w:style w:type="character" w:customStyle="1" w:styleId="HeaderChar">
    <w:name w:val="Header Char"/>
    <w:basedOn w:val="DefaultParagraphFont"/>
    <w:link w:val="Header"/>
    <w:uiPriority w:val="99"/>
    <w:rsid w:val="00632D14"/>
  </w:style>
  <w:style w:type="paragraph" w:styleId="Footer">
    <w:name w:val="footer"/>
    <w:basedOn w:val="Normal"/>
    <w:link w:val="FooterChar"/>
    <w:uiPriority w:val="99"/>
    <w:unhideWhenUsed/>
    <w:rsid w:val="00632D14"/>
    <w:pPr>
      <w:tabs>
        <w:tab w:val="center" w:pos="4513"/>
        <w:tab w:val="right" w:pos="9026"/>
      </w:tabs>
    </w:pPr>
  </w:style>
  <w:style w:type="character" w:customStyle="1" w:styleId="FooterChar">
    <w:name w:val="Footer Char"/>
    <w:basedOn w:val="DefaultParagraphFont"/>
    <w:link w:val="Footer"/>
    <w:uiPriority w:val="99"/>
    <w:rsid w:val="00632D14"/>
  </w:style>
  <w:style w:type="character" w:styleId="Hyperlink">
    <w:name w:val="Hyperlink"/>
    <w:uiPriority w:val="99"/>
    <w:unhideWhenUsed/>
    <w:rsid w:val="00CE666D"/>
    <w:rPr>
      <w:color w:val="0563C1"/>
      <w:u w:val="single"/>
    </w:rPr>
  </w:style>
  <w:style w:type="paragraph" w:customStyle="1" w:styleId="ImprintImprintandContributors">
    <w:name w:val="Imprint (Imprint and Contributors)"/>
    <w:basedOn w:val="Normal"/>
    <w:uiPriority w:val="99"/>
    <w:rsid w:val="00B83836"/>
    <w:pPr>
      <w:widowControl w:val="0"/>
      <w:autoSpaceDE w:val="0"/>
      <w:autoSpaceDN w:val="0"/>
      <w:adjustRightInd w:val="0"/>
      <w:spacing w:line="240" w:lineRule="atLeast"/>
    </w:pPr>
    <w:rPr>
      <w:rFonts w:ascii="Gill Sans Std Light" w:hAnsi="Gill Sans Std Light" w:cs="Gill Sans Std Light"/>
      <w:color w:val="000000"/>
      <w:sz w:val="18"/>
      <w:szCs w:val="18"/>
      <w:lang w:val="en-US"/>
    </w:rPr>
  </w:style>
  <w:style w:type="paragraph" w:customStyle="1" w:styleId="Subtitle2TitlePage">
    <w:name w:val="Subtitle 2 (Title Page)"/>
    <w:basedOn w:val="NoParagraphStyle"/>
    <w:uiPriority w:val="99"/>
    <w:rsid w:val="005B7138"/>
    <w:pPr>
      <w:suppressAutoHyphens/>
      <w:spacing w:line="400" w:lineRule="atLeast"/>
    </w:pPr>
    <w:rPr>
      <w:rFonts w:ascii="ITC Franklin Gothic Book" w:hAnsi="ITC Franklin Gothic Book" w:cs="ITC Franklin Gothic Book"/>
      <w:color w:val="55565A"/>
      <w:sz w:val="36"/>
      <w:szCs w:val="36"/>
      <w:lang w:val="en-US"/>
    </w:rPr>
  </w:style>
  <w:style w:type="character" w:customStyle="1" w:styleId="Heading1Char">
    <w:name w:val="Heading 1 Char"/>
    <w:link w:val="Heading1"/>
    <w:uiPriority w:val="99"/>
    <w:rsid w:val="00CC2FCD"/>
    <w:rPr>
      <w:b/>
      <w:bCs/>
      <w:kern w:val="32"/>
      <w:sz w:val="40"/>
      <w:szCs w:val="32"/>
    </w:rPr>
  </w:style>
  <w:style w:type="paragraph" w:styleId="Title">
    <w:name w:val="Title"/>
    <w:basedOn w:val="Normal"/>
    <w:next w:val="Normal"/>
    <w:link w:val="TitleChar"/>
    <w:uiPriority w:val="99"/>
    <w:qFormat/>
    <w:rsid w:val="00D53537"/>
    <w:pPr>
      <w:spacing w:after="240" w:line="240" w:lineRule="auto"/>
      <w:outlineLvl w:val="0"/>
    </w:pPr>
    <w:rPr>
      <w:b/>
      <w:bCs/>
      <w:kern w:val="28"/>
      <w:sz w:val="48"/>
      <w:szCs w:val="32"/>
    </w:rPr>
  </w:style>
  <w:style w:type="character" w:customStyle="1" w:styleId="TitleChar">
    <w:name w:val="Title Char"/>
    <w:link w:val="Title"/>
    <w:uiPriority w:val="99"/>
    <w:rsid w:val="00D53537"/>
    <w:rPr>
      <w:b/>
      <w:bCs/>
      <w:kern w:val="28"/>
      <w:sz w:val="48"/>
      <w:szCs w:val="32"/>
    </w:rPr>
  </w:style>
  <w:style w:type="character" w:styleId="Strong">
    <w:name w:val="Strong"/>
    <w:uiPriority w:val="22"/>
    <w:qFormat/>
    <w:rsid w:val="002B1984"/>
    <w:rPr>
      <w:b/>
      <w:bCs/>
    </w:rPr>
  </w:style>
  <w:style w:type="character" w:customStyle="1" w:styleId="Heading2Char">
    <w:name w:val="Heading 2 Char"/>
    <w:link w:val="Heading2"/>
    <w:uiPriority w:val="99"/>
    <w:rsid w:val="00173049"/>
    <w:rPr>
      <w:b/>
      <w:bCs/>
      <w:iCs/>
      <w:sz w:val="32"/>
      <w:szCs w:val="28"/>
    </w:rPr>
  </w:style>
  <w:style w:type="character" w:styleId="Emphasis">
    <w:name w:val="Emphasis"/>
    <w:uiPriority w:val="20"/>
    <w:qFormat/>
    <w:rsid w:val="009E5334"/>
    <w:rPr>
      <w:i/>
      <w:iCs/>
    </w:rPr>
  </w:style>
  <w:style w:type="paragraph" w:customStyle="1" w:styleId="Numbered">
    <w:name w:val="Numbered"/>
    <w:basedOn w:val="NormalIndent"/>
    <w:link w:val="NumberedChar"/>
    <w:qFormat/>
    <w:rsid w:val="00307BF1"/>
    <w:pPr>
      <w:numPr>
        <w:ilvl w:val="1"/>
        <w:numId w:val="4"/>
      </w:numPr>
      <w:tabs>
        <w:tab w:val="left" w:pos="851"/>
      </w:tabs>
      <w:ind w:left="851" w:hanging="851"/>
    </w:pPr>
  </w:style>
  <w:style w:type="character" w:customStyle="1" w:styleId="Heading3Char">
    <w:name w:val="Heading 3 Char"/>
    <w:link w:val="Heading3"/>
    <w:uiPriority w:val="9"/>
    <w:rsid w:val="00C0128D"/>
    <w:rPr>
      <w:rFonts w:ascii="Verdana" w:eastAsia="Times New Roman" w:hAnsi="Verdana" w:cs="Times New Roman"/>
      <w:b/>
      <w:bCs/>
      <w:sz w:val="26"/>
      <w:szCs w:val="26"/>
    </w:rPr>
  </w:style>
  <w:style w:type="paragraph" w:styleId="NormalIndent">
    <w:name w:val="Normal Indent"/>
    <w:basedOn w:val="Normal"/>
    <w:link w:val="NormalIndentChar"/>
    <w:uiPriority w:val="99"/>
    <w:semiHidden/>
    <w:unhideWhenUsed/>
    <w:rsid w:val="005E444F"/>
    <w:pPr>
      <w:ind w:left="720"/>
    </w:pPr>
  </w:style>
  <w:style w:type="character" w:customStyle="1" w:styleId="NormalIndentChar">
    <w:name w:val="Normal Indent Char"/>
    <w:link w:val="NormalIndent"/>
    <w:uiPriority w:val="99"/>
    <w:semiHidden/>
    <w:rsid w:val="005E444F"/>
    <w:rPr>
      <w:rFonts w:ascii="Verdana" w:hAnsi="Verdana"/>
      <w:sz w:val="24"/>
      <w:szCs w:val="22"/>
    </w:rPr>
  </w:style>
  <w:style w:type="character" w:customStyle="1" w:styleId="NumberedChar">
    <w:name w:val="Numbered Char"/>
    <w:link w:val="Numbered"/>
    <w:rsid w:val="00307BF1"/>
    <w:rPr>
      <w:rFonts w:ascii="Verdana" w:hAnsi="Verdana"/>
      <w:sz w:val="24"/>
      <w:szCs w:val="22"/>
    </w:rPr>
  </w:style>
  <w:style w:type="character" w:customStyle="1" w:styleId="Heading4Char">
    <w:name w:val="Heading 4 Char"/>
    <w:link w:val="Heading4"/>
    <w:uiPriority w:val="9"/>
    <w:rsid w:val="00150DBB"/>
    <w:rPr>
      <w:b/>
      <w:bCs/>
      <w:i/>
      <w:sz w:val="28"/>
      <w:szCs w:val="28"/>
    </w:rPr>
  </w:style>
  <w:style w:type="character" w:customStyle="1" w:styleId="Heading5Char">
    <w:name w:val="Heading 5 Char"/>
    <w:link w:val="Heading5"/>
    <w:uiPriority w:val="9"/>
    <w:semiHidden/>
    <w:rsid w:val="00703380"/>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03380"/>
    <w:rPr>
      <w:rFonts w:ascii="Calibri" w:eastAsia="Times New Roman" w:hAnsi="Calibri" w:cs="Times New Roman"/>
      <w:b/>
      <w:bCs/>
      <w:sz w:val="22"/>
      <w:szCs w:val="22"/>
    </w:rPr>
  </w:style>
  <w:style w:type="character" w:customStyle="1" w:styleId="Heading7Char">
    <w:name w:val="Heading 7 Char"/>
    <w:link w:val="Heading7"/>
    <w:uiPriority w:val="9"/>
    <w:semiHidden/>
    <w:rsid w:val="00703380"/>
    <w:rPr>
      <w:rFonts w:ascii="Calibri" w:eastAsia="Times New Roman" w:hAnsi="Calibri" w:cs="Times New Roman"/>
      <w:sz w:val="24"/>
      <w:szCs w:val="24"/>
    </w:rPr>
  </w:style>
  <w:style w:type="character" w:customStyle="1" w:styleId="Heading8Char">
    <w:name w:val="Heading 8 Char"/>
    <w:link w:val="Heading8"/>
    <w:uiPriority w:val="9"/>
    <w:semiHidden/>
    <w:rsid w:val="00703380"/>
    <w:rPr>
      <w:rFonts w:ascii="Calibri" w:eastAsia="Times New Roman" w:hAnsi="Calibri" w:cs="Times New Roman"/>
      <w:i/>
      <w:iCs/>
      <w:sz w:val="24"/>
      <w:szCs w:val="24"/>
    </w:rPr>
  </w:style>
  <w:style w:type="character" w:customStyle="1" w:styleId="Heading9Char">
    <w:name w:val="Heading 9 Char"/>
    <w:link w:val="Heading9"/>
    <w:uiPriority w:val="9"/>
    <w:semiHidden/>
    <w:rsid w:val="00703380"/>
    <w:rPr>
      <w:rFonts w:ascii="Calibri Light" w:eastAsia="Times New Roman" w:hAnsi="Calibri Light" w:cs="Times New Roman"/>
      <w:sz w:val="22"/>
      <w:szCs w:val="22"/>
    </w:rPr>
  </w:style>
  <w:style w:type="paragraph" w:customStyle="1" w:styleId="Heading1Numbered">
    <w:name w:val="Heading 1 Numbered"/>
    <w:next w:val="Numbered"/>
    <w:link w:val="Heading1NumberedChar"/>
    <w:qFormat/>
    <w:rsid w:val="00E736B3"/>
    <w:pPr>
      <w:pageBreakBefore/>
      <w:numPr>
        <w:numId w:val="4"/>
      </w:numPr>
      <w:tabs>
        <w:tab w:val="left" w:pos="851"/>
      </w:tabs>
      <w:suppressAutoHyphens/>
      <w:spacing w:after="120"/>
      <w:ind w:left="851" w:hanging="851"/>
    </w:pPr>
    <w:rPr>
      <w:b/>
      <w:bCs/>
      <w:kern w:val="32"/>
      <w:sz w:val="48"/>
      <w:szCs w:val="32"/>
    </w:rPr>
  </w:style>
  <w:style w:type="paragraph" w:customStyle="1" w:styleId="Bullets">
    <w:name w:val="Bullets"/>
    <w:basedOn w:val="Normal"/>
    <w:qFormat/>
    <w:rsid w:val="00951DEC"/>
    <w:pPr>
      <w:numPr>
        <w:numId w:val="6"/>
      </w:numPr>
      <w:spacing w:before="60" w:after="60"/>
      <w:ind w:left="1293" w:hanging="357"/>
    </w:pPr>
  </w:style>
  <w:style w:type="character" w:customStyle="1" w:styleId="Heading1NumberedChar">
    <w:name w:val="Heading 1 Numbered Char"/>
    <w:link w:val="Heading1Numbered"/>
    <w:rsid w:val="00E736B3"/>
    <w:rPr>
      <w:rFonts w:ascii="Verdana" w:hAnsi="Verdana"/>
      <w:b/>
      <w:bCs/>
      <w:kern w:val="32"/>
      <w:sz w:val="48"/>
      <w:szCs w:val="32"/>
    </w:rPr>
  </w:style>
  <w:style w:type="paragraph" w:styleId="NoSpacing">
    <w:name w:val="No Spacing"/>
    <w:uiPriority w:val="1"/>
    <w:qFormat/>
    <w:rsid w:val="00951DEC"/>
  </w:style>
  <w:style w:type="paragraph" w:styleId="Quote">
    <w:name w:val="Quote"/>
    <w:basedOn w:val="Normal"/>
    <w:next w:val="Normal"/>
    <w:link w:val="QuoteChar"/>
    <w:uiPriority w:val="29"/>
    <w:qFormat/>
    <w:rsid w:val="00415FFD"/>
    <w:pPr>
      <w:spacing w:before="200"/>
      <w:ind w:left="1134"/>
    </w:pPr>
    <w:rPr>
      <w:iCs/>
      <w:sz w:val="22"/>
    </w:rPr>
  </w:style>
  <w:style w:type="character" w:customStyle="1" w:styleId="QuoteChar">
    <w:name w:val="Quote Char"/>
    <w:link w:val="Quote"/>
    <w:uiPriority w:val="29"/>
    <w:rsid w:val="00415FFD"/>
    <w:rPr>
      <w:rFonts w:ascii="Verdana" w:hAnsi="Verdana"/>
      <w:iCs/>
      <w:sz w:val="22"/>
      <w:szCs w:val="22"/>
    </w:rPr>
  </w:style>
  <w:style w:type="paragraph" w:customStyle="1" w:styleId="Footnote">
    <w:name w:val="Footnote"/>
    <w:qFormat/>
    <w:rsid w:val="00480D98"/>
    <w:pPr>
      <w:tabs>
        <w:tab w:val="left" w:pos="454"/>
      </w:tabs>
      <w:suppressAutoHyphens/>
      <w:ind w:left="454" w:hanging="454"/>
    </w:pPr>
    <w:rPr>
      <w:rFonts w:cs="Gill Sans Std Light"/>
      <w:color w:val="000000"/>
      <w:szCs w:val="15"/>
      <w:lang w:val="en-US"/>
    </w:rPr>
  </w:style>
  <w:style w:type="paragraph" w:styleId="Caption">
    <w:name w:val="caption"/>
    <w:basedOn w:val="Normal"/>
    <w:next w:val="Normal"/>
    <w:uiPriority w:val="35"/>
    <w:unhideWhenUsed/>
    <w:qFormat/>
    <w:rsid w:val="00D10620"/>
    <w:pPr>
      <w:keepNext/>
      <w:spacing w:line="240" w:lineRule="auto"/>
    </w:pPr>
    <w:rPr>
      <w:b/>
      <w:bCs/>
      <w:sz w:val="20"/>
      <w:szCs w:val="20"/>
    </w:rPr>
  </w:style>
  <w:style w:type="paragraph" w:customStyle="1" w:styleId="TableHeading">
    <w:name w:val="Table Heading"/>
    <w:qFormat/>
    <w:rsid w:val="003E07B1"/>
    <w:pPr>
      <w:suppressAutoHyphens/>
    </w:pPr>
    <w:rPr>
      <w:rFonts w:cs="ITC Franklin Gothic Book"/>
      <w:b/>
      <w:sz w:val="20"/>
      <w:szCs w:val="18"/>
      <w:lang w:val="en-US"/>
    </w:rPr>
  </w:style>
  <w:style w:type="paragraph" w:customStyle="1" w:styleId="TableBody">
    <w:name w:val="Table Body"/>
    <w:qFormat/>
    <w:rsid w:val="003E07B1"/>
    <w:pPr>
      <w:suppressAutoHyphens/>
    </w:pPr>
    <w:rPr>
      <w:rFonts w:cs="ITC Franklin Gothic Book"/>
      <w:color w:val="000000"/>
      <w:sz w:val="20"/>
      <w:szCs w:val="18"/>
      <w:lang w:val="en-US"/>
    </w:rPr>
  </w:style>
  <w:style w:type="paragraph" w:customStyle="1" w:styleId="Grid">
    <w:name w:val="Grid"/>
    <w:basedOn w:val="BodyGeneralStyles"/>
    <w:rsid w:val="00B052EE"/>
    <w:pPr>
      <w:spacing w:after="0" w:line="240" w:lineRule="auto"/>
    </w:pPr>
    <w:rPr>
      <w:sz w:val="16"/>
      <w:szCs w:val="16"/>
    </w:rPr>
  </w:style>
  <w:style w:type="table" w:styleId="TableGrid1">
    <w:name w:val="Table Grid 1"/>
    <w:uiPriority w:val="99"/>
    <w:semiHidden/>
    <w:unhideWhenUsed/>
    <w:rsid w:val="00263161"/>
    <w:pPr>
      <w:suppressAutoHyphens/>
      <w:spacing w:before="120" w:after="120"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rPr>
      <w:cantSplit/>
    </w:trPr>
    <w:tcPr>
      <w:shd w:val="clear" w:color="auto" w:fill="auto"/>
      <w:tcMar>
        <w:top w:w="57" w:type="dxa"/>
        <w:left w:w="57" w:type="dxa"/>
        <w:bottom w:w="57" w:type="dxa"/>
        <w:right w:w="57" w:type="dxa"/>
      </w:tcMar>
    </w:tcPr>
  </w:style>
  <w:style w:type="table" w:styleId="TableGrid">
    <w:name w:val="Table Grid"/>
    <w:basedOn w:val="TableNormal"/>
    <w:uiPriority w:val="39"/>
    <w:rsid w:val="00EF7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EF741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ontributorssubheaderImprintandContributors">
    <w:name w:val="Contributors subheader (Imprint and Contributors)"/>
    <w:basedOn w:val="NoParagraphStyle"/>
    <w:uiPriority w:val="99"/>
    <w:rsid w:val="005C16F8"/>
    <w:pPr>
      <w:suppressAutoHyphens/>
      <w:spacing w:before="270" w:line="270" w:lineRule="atLeast"/>
    </w:pPr>
    <w:rPr>
      <w:rFonts w:ascii="ITC Franklin Gothic Book" w:hAnsi="ITC Franklin Gothic Book" w:cs="ITC Franklin Gothic Book"/>
      <w:color w:val="55565A"/>
      <w:sz w:val="21"/>
      <w:szCs w:val="21"/>
      <w:lang w:val="en-US"/>
    </w:rPr>
  </w:style>
  <w:style w:type="paragraph" w:customStyle="1" w:styleId="Body11PrebulletBodyParas">
    <w:name w:val="Body 1.1 Prebullet (Body Paras)"/>
    <w:basedOn w:val="BodynumberedGeneralStyles"/>
    <w:uiPriority w:val="99"/>
    <w:rsid w:val="005C16F8"/>
    <w:pPr>
      <w:spacing w:after="57" w:line="270" w:lineRule="atLeast"/>
      <w:ind w:left="510" w:hanging="510"/>
    </w:pPr>
  </w:style>
  <w:style w:type="paragraph" w:customStyle="1" w:styleId="Body21BodyParas0">
    <w:name w:val="Body 2.1+ (Body Paras)"/>
    <w:basedOn w:val="BodynumberedGeneralStyles"/>
    <w:uiPriority w:val="99"/>
    <w:rsid w:val="005C16F8"/>
    <w:pPr>
      <w:spacing w:after="130" w:line="270" w:lineRule="atLeast"/>
      <w:ind w:left="510" w:hanging="510"/>
    </w:pPr>
  </w:style>
  <w:style w:type="paragraph" w:customStyle="1" w:styleId="Body21PrebulletBodyParas">
    <w:name w:val="Body 2.1 Prebullet (Body Paras)"/>
    <w:basedOn w:val="BodynumberedGeneralStyles"/>
    <w:uiPriority w:val="99"/>
    <w:rsid w:val="005C16F8"/>
    <w:pPr>
      <w:spacing w:after="57" w:line="270" w:lineRule="atLeast"/>
      <w:ind w:left="510" w:hanging="510"/>
    </w:pPr>
  </w:style>
  <w:style w:type="paragraph" w:customStyle="1" w:styleId="Body31BodyParas0">
    <w:name w:val="Body 3.1+ (Body Paras)"/>
    <w:basedOn w:val="BodynumberedGeneralStyles"/>
    <w:uiPriority w:val="99"/>
    <w:rsid w:val="005C16F8"/>
    <w:pPr>
      <w:spacing w:after="130" w:line="270" w:lineRule="atLeast"/>
      <w:ind w:left="510" w:hanging="510"/>
    </w:pPr>
  </w:style>
  <w:style w:type="paragraph" w:customStyle="1" w:styleId="Body31PrebulletBodyParas">
    <w:name w:val="Body 3.1 Prebullet (Body Paras)"/>
    <w:basedOn w:val="BodynumberedGeneralStyles"/>
    <w:uiPriority w:val="99"/>
    <w:rsid w:val="005C16F8"/>
    <w:pPr>
      <w:spacing w:after="57" w:line="270" w:lineRule="atLeast"/>
      <w:ind w:left="510" w:hanging="510"/>
    </w:pPr>
  </w:style>
  <w:style w:type="paragraph" w:customStyle="1" w:styleId="Body41PrebulletBodyParas">
    <w:name w:val="Body 4.1 Prebullet (Body Paras)"/>
    <w:basedOn w:val="BodynumberedGeneralStyles"/>
    <w:uiPriority w:val="99"/>
    <w:rsid w:val="005C16F8"/>
    <w:pPr>
      <w:spacing w:after="57" w:line="270" w:lineRule="atLeast"/>
      <w:ind w:left="510" w:hanging="510"/>
    </w:pPr>
  </w:style>
  <w:style w:type="paragraph" w:customStyle="1" w:styleId="SubbulletindentGeneralStyles">
    <w:name w:val="Subbullet indent (General Styles)"/>
    <w:basedOn w:val="BodyGeneralStyles"/>
    <w:uiPriority w:val="99"/>
    <w:rsid w:val="005C16F8"/>
    <w:pPr>
      <w:tabs>
        <w:tab w:val="left" w:pos="907"/>
      </w:tabs>
      <w:spacing w:after="57"/>
      <w:ind w:left="1191" w:hanging="198"/>
    </w:pPr>
  </w:style>
  <w:style w:type="paragraph" w:customStyle="1" w:styleId="SubbulletindentlastGeneralStyles">
    <w:name w:val="Subbullet indent last (General Styles)"/>
    <w:basedOn w:val="BodyGeneralStyles"/>
    <w:uiPriority w:val="99"/>
    <w:rsid w:val="005C16F8"/>
    <w:pPr>
      <w:tabs>
        <w:tab w:val="left" w:pos="907"/>
      </w:tabs>
      <w:ind w:left="1191" w:hanging="198"/>
    </w:pPr>
  </w:style>
  <w:style w:type="paragraph" w:customStyle="1" w:styleId="Body41BodyParas0">
    <w:name w:val="Body 4.1+ (Body Paras)"/>
    <w:basedOn w:val="BodynumberedGeneralStyles"/>
    <w:uiPriority w:val="99"/>
    <w:rsid w:val="005C16F8"/>
    <w:pPr>
      <w:spacing w:after="130" w:line="270" w:lineRule="atLeast"/>
      <w:ind w:left="510" w:hanging="510"/>
    </w:pPr>
  </w:style>
  <w:style w:type="character" w:customStyle="1" w:styleId="Coloured">
    <w:name w:val="Coloured"/>
    <w:uiPriority w:val="99"/>
    <w:rsid w:val="005C16F8"/>
    <w:rPr>
      <w:color w:val="80B0E5"/>
    </w:rPr>
  </w:style>
  <w:style w:type="character" w:customStyle="1" w:styleId="Figure">
    <w:name w:val="Figure"/>
    <w:uiPriority w:val="99"/>
    <w:rsid w:val="005C16F8"/>
    <w:rPr>
      <w:rFonts w:ascii="ITC Franklin Gothic Book" w:hAnsi="ITC Franklin Gothic Book" w:cs="ITC Franklin Gothic Book"/>
      <w:color w:val="80B0E5"/>
    </w:rPr>
  </w:style>
  <w:style w:type="character" w:customStyle="1" w:styleId="DemiItalic">
    <w:name w:val="Demi Italic"/>
    <w:uiPriority w:val="99"/>
    <w:rsid w:val="005C16F8"/>
    <w:rPr>
      <w:i/>
      <w:iCs/>
      <w:lang w:val="en-AU"/>
    </w:rPr>
  </w:style>
  <w:style w:type="paragraph" w:styleId="TOCHeading">
    <w:name w:val="TOC Heading"/>
    <w:basedOn w:val="Heading1"/>
    <w:next w:val="Normal"/>
    <w:uiPriority w:val="39"/>
    <w:unhideWhenUsed/>
    <w:qFormat/>
    <w:rsid w:val="00AE709F"/>
    <w:pPr>
      <w:keepLines/>
      <w:spacing w:after="0" w:line="259" w:lineRule="auto"/>
      <w:outlineLvl w:val="9"/>
    </w:pPr>
    <w:rPr>
      <w:rFonts w:ascii="Calibri Light" w:hAnsi="Calibri Light"/>
      <w:b w:val="0"/>
      <w:bCs w:val="0"/>
      <w:color w:val="2E74B5"/>
      <w:kern w:val="0"/>
      <w:sz w:val="32"/>
      <w:lang w:val="en-US" w:eastAsia="en-US"/>
    </w:rPr>
  </w:style>
  <w:style w:type="paragraph" w:styleId="TOC2">
    <w:name w:val="toc 2"/>
    <w:basedOn w:val="Normal"/>
    <w:next w:val="Normal"/>
    <w:autoRedefine/>
    <w:uiPriority w:val="39"/>
    <w:unhideWhenUsed/>
    <w:rsid w:val="00AE709F"/>
    <w:pPr>
      <w:spacing w:after="100"/>
      <w:ind w:left="220"/>
    </w:pPr>
    <w:rPr>
      <w:rFonts w:ascii="Calibri" w:hAnsi="Calibri"/>
      <w:sz w:val="22"/>
      <w:lang w:val="en-US" w:eastAsia="en-US"/>
    </w:rPr>
  </w:style>
  <w:style w:type="paragraph" w:styleId="TOC3">
    <w:name w:val="toc 3"/>
    <w:basedOn w:val="Normal"/>
    <w:next w:val="Normal"/>
    <w:autoRedefine/>
    <w:uiPriority w:val="39"/>
    <w:unhideWhenUsed/>
    <w:rsid w:val="00AE709F"/>
    <w:pPr>
      <w:spacing w:after="100"/>
      <w:ind w:left="440"/>
    </w:pPr>
    <w:rPr>
      <w:rFonts w:ascii="Calibri" w:hAnsi="Calibri"/>
      <w:sz w:val="22"/>
      <w:lang w:val="en-US" w:eastAsia="en-US"/>
    </w:rPr>
  </w:style>
  <w:style w:type="paragraph" w:customStyle="1" w:styleId="CallOutHeading">
    <w:name w:val="Call Out Heading"/>
    <w:basedOn w:val="Normal"/>
    <w:uiPriority w:val="99"/>
    <w:rsid w:val="00894610"/>
    <w:pPr>
      <w:widowControl w:val="0"/>
      <w:autoSpaceDE w:val="0"/>
      <w:autoSpaceDN w:val="0"/>
      <w:adjustRightInd w:val="0"/>
      <w:spacing w:line="400" w:lineRule="atLeast"/>
      <w:jc w:val="center"/>
    </w:pPr>
    <w:rPr>
      <w:rFonts w:ascii="ITC Franklin Gothic Book" w:eastAsiaTheme="minorEastAsia" w:hAnsi="ITC Franklin Gothic Book" w:cs="ITC Franklin Gothic Book"/>
      <w:color w:val="AA0000"/>
      <w:sz w:val="36"/>
      <w:szCs w:val="36"/>
      <w:lang w:val="en-GB"/>
    </w:rPr>
  </w:style>
  <w:style w:type="paragraph" w:customStyle="1" w:styleId="Body">
    <w:name w:val="Body"/>
    <w:basedOn w:val="Normal"/>
    <w:uiPriority w:val="99"/>
    <w:rsid w:val="00894610"/>
    <w:pPr>
      <w:widowControl w:val="0"/>
      <w:autoSpaceDE w:val="0"/>
      <w:autoSpaceDN w:val="0"/>
      <w:adjustRightInd w:val="0"/>
      <w:spacing w:after="0" w:line="280" w:lineRule="atLeast"/>
      <w:textAlignment w:val="center"/>
    </w:pPr>
    <w:rPr>
      <w:rFonts w:ascii="ITC Franklin Gothic Book" w:eastAsiaTheme="minorEastAsia" w:hAnsi="ITC Franklin Gothic Book" w:cs="ITC Franklin Gothic Book"/>
      <w:color w:val="000000"/>
      <w:sz w:val="20"/>
      <w:szCs w:val="20"/>
      <w:lang w:val="en-GB"/>
    </w:rPr>
  </w:style>
  <w:style w:type="paragraph" w:customStyle="1" w:styleId="Bullet">
    <w:name w:val="Bullet"/>
    <w:basedOn w:val="Normal"/>
    <w:uiPriority w:val="99"/>
    <w:rsid w:val="00894610"/>
    <w:pPr>
      <w:widowControl w:val="0"/>
      <w:tabs>
        <w:tab w:val="left" w:pos="360"/>
      </w:tabs>
      <w:autoSpaceDE w:val="0"/>
      <w:autoSpaceDN w:val="0"/>
      <w:adjustRightInd w:val="0"/>
      <w:spacing w:after="0" w:line="280" w:lineRule="atLeast"/>
      <w:ind w:left="240" w:hanging="240"/>
      <w:textAlignment w:val="center"/>
    </w:pPr>
    <w:rPr>
      <w:rFonts w:ascii="ITC Franklin Gothic Book" w:eastAsiaTheme="minorEastAsia" w:hAnsi="ITC Franklin Gothic Book" w:cs="ITC Franklin Gothic Book"/>
      <w:color w:val="000000"/>
      <w:sz w:val="20"/>
      <w:szCs w:val="20"/>
      <w:lang w:val="en-GB"/>
    </w:rPr>
  </w:style>
  <w:style w:type="paragraph" w:customStyle="1" w:styleId="BodyLarge2">
    <w:name w:val="Body Large 2"/>
    <w:basedOn w:val="NoParagraphStyle"/>
    <w:uiPriority w:val="99"/>
    <w:rsid w:val="00894610"/>
    <w:pPr>
      <w:suppressAutoHyphens/>
      <w:spacing w:line="320" w:lineRule="atLeast"/>
    </w:pPr>
    <w:rPr>
      <w:rFonts w:ascii="ITC Franklin Gothic Book" w:eastAsiaTheme="minorEastAsia" w:hAnsi="ITC Franklin Gothic Book" w:cs="ITC Franklin Gothic Book"/>
    </w:rPr>
  </w:style>
  <w:style w:type="paragraph" w:customStyle="1" w:styleId="Anchor">
    <w:name w:val="Anchor"/>
    <w:basedOn w:val="Body"/>
    <w:uiPriority w:val="99"/>
    <w:rsid w:val="00894610"/>
    <w:pPr>
      <w:spacing w:line="120" w:lineRule="atLeast"/>
      <w:textAlignment w:val="auto"/>
    </w:pPr>
    <w:rPr>
      <w:sz w:val="12"/>
      <w:szCs w:val="12"/>
    </w:rPr>
  </w:style>
  <w:style w:type="paragraph" w:customStyle="1" w:styleId="BodyLarge">
    <w:name w:val="Body Large"/>
    <w:basedOn w:val="Normal"/>
    <w:uiPriority w:val="99"/>
    <w:rsid w:val="00894610"/>
    <w:pPr>
      <w:widowControl w:val="0"/>
      <w:autoSpaceDE w:val="0"/>
      <w:autoSpaceDN w:val="0"/>
      <w:adjustRightInd w:val="0"/>
      <w:spacing w:after="0" w:line="320" w:lineRule="atLeast"/>
      <w:textAlignment w:val="center"/>
    </w:pPr>
    <w:rPr>
      <w:rFonts w:ascii="ITC Franklin Gothic Book" w:eastAsiaTheme="minorEastAsia" w:hAnsi="ITC Franklin Gothic Book" w:cs="ITC Franklin Gothic Book"/>
      <w:color w:val="000000"/>
      <w:sz w:val="28"/>
      <w:szCs w:val="28"/>
      <w:lang w:val="en-GB"/>
    </w:rPr>
  </w:style>
  <w:style w:type="character" w:customStyle="1" w:styleId="RedBold">
    <w:name w:val="Red Bold"/>
    <w:uiPriority w:val="99"/>
    <w:rsid w:val="00894610"/>
    <w:rPr>
      <w:color w:val="AA0000"/>
    </w:rPr>
  </w:style>
  <w:style w:type="paragraph" w:styleId="ListParagraph">
    <w:name w:val="List Paragraph"/>
    <w:basedOn w:val="Normal"/>
    <w:uiPriority w:val="34"/>
    <w:qFormat/>
    <w:rsid w:val="00714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4533">
      <w:bodyDiv w:val="1"/>
      <w:marLeft w:val="0"/>
      <w:marRight w:val="0"/>
      <w:marTop w:val="0"/>
      <w:marBottom w:val="0"/>
      <w:divBdr>
        <w:top w:val="none" w:sz="0" w:space="0" w:color="auto"/>
        <w:left w:val="none" w:sz="0" w:space="0" w:color="auto"/>
        <w:bottom w:val="none" w:sz="0" w:space="0" w:color="auto"/>
        <w:right w:val="none" w:sz="0" w:space="0" w:color="auto"/>
      </w:divBdr>
    </w:div>
    <w:div w:id="128521370">
      <w:bodyDiv w:val="1"/>
      <w:marLeft w:val="0"/>
      <w:marRight w:val="0"/>
      <w:marTop w:val="0"/>
      <w:marBottom w:val="0"/>
      <w:divBdr>
        <w:top w:val="none" w:sz="0" w:space="0" w:color="auto"/>
        <w:left w:val="none" w:sz="0" w:space="0" w:color="auto"/>
        <w:bottom w:val="none" w:sz="0" w:space="0" w:color="auto"/>
        <w:right w:val="none" w:sz="0" w:space="0" w:color="auto"/>
      </w:divBdr>
    </w:div>
    <w:div w:id="177546379">
      <w:bodyDiv w:val="1"/>
      <w:marLeft w:val="0"/>
      <w:marRight w:val="0"/>
      <w:marTop w:val="0"/>
      <w:marBottom w:val="0"/>
      <w:divBdr>
        <w:top w:val="none" w:sz="0" w:space="0" w:color="auto"/>
        <w:left w:val="none" w:sz="0" w:space="0" w:color="auto"/>
        <w:bottom w:val="none" w:sz="0" w:space="0" w:color="auto"/>
        <w:right w:val="none" w:sz="0" w:space="0" w:color="auto"/>
      </w:divBdr>
    </w:div>
    <w:div w:id="280891220">
      <w:bodyDiv w:val="1"/>
      <w:marLeft w:val="0"/>
      <w:marRight w:val="0"/>
      <w:marTop w:val="0"/>
      <w:marBottom w:val="0"/>
      <w:divBdr>
        <w:top w:val="none" w:sz="0" w:space="0" w:color="auto"/>
        <w:left w:val="none" w:sz="0" w:space="0" w:color="auto"/>
        <w:bottom w:val="none" w:sz="0" w:space="0" w:color="auto"/>
        <w:right w:val="none" w:sz="0" w:space="0" w:color="auto"/>
      </w:divBdr>
    </w:div>
    <w:div w:id="291373497">
      <w:bodyDiv w:val="1"/>
      <w:marLeft w:val="0"/>
      <w:marRight w:val="0"/>
      <w:marTop w:val="0"/>
      <w:marBottom w:val="0"/>
      <w:divBdr>
        <w:top w:val="none" w:sz="0" w:space="0" w:color="auto"/>
        <w:left w:val="none" w:sz="0" w:space="0" w:color="auto"/>
        <w:bottom w:val="none" w:sz="0" w:space="0" w:color="auto"/>
        <w:right w:val="none" w:sz="0" w:space="0" w:color="auto"/>
      </w:divBdr>
    </w:div>
    <w:div w:id="531576144">
      <w:bodyDiv w:val="1"/>
      <w:marLeft w:val="0"/>
      <w:marRight w:val="0"/>
      <w:marTop w:val="0"/>
      <w:marBottom w:val="0"/>
      <w:divBdr>
        <w:top w:val="none" w:sz="0" w:space="0" w:color="auto"/>
        <w:left w:val="none" w:sz="0" w:space="0" w:color="auto"/>
        <w:bottom w:val="none" w:sz="0" w:space="0" w:color="auto"/>
        <w:right w:val="none" w:sz="0" w:space="0" w:color="auto"/>
      </w:divBdr>
    </w:div>
    <w:div w:id="659776344">
      <w:bodyDiv w:val="1"/>
      <w:marLeft w:val="0"/>
      <w:marRight w:val="0"/>
      <w:marTop w:val="0"/>
      <w:marBottom w:val="0"/>
      <w:divBdr>
        <w:top w:val="none" w:sz="0" w:space="0" w:color="auto"/>
        <w:left w:val="none" w:sz="0" w:space="0" w:color="auto"/>
        <w:bottom w:val="none" w:sz="0" w:space="0" w:color="auto"/>
        <w:right w:val="none" w:sz="0" w:space="0" w:color="auto"/>
      </w:divBdr>
    </w:div>
    <w:div w:id="690691012">
      <w:bodyDiv w:val="1"/>
      <w:marLeft w:val="0"/>
      <w:marRight w:val="0"/>
      <w:marTop w:val="0"/>
      <w:marBottom w:val="0"/>
      <w:divBdr>
        <w:top w:val="none" w:sz="0" w:space="0" w:color="auto"/>
        <w:left w:val="none" w:sz="0" w:space="0" w:color="auto"/>
        <w:bottom w:val="none" w:sz="0" w:space="0" w:color="auto"/>
        <w:right w:val="none" w:sz="0" w:space="0" w:color="auto"/>
      </w:divBdr>
    </w:div>
    <w:div w:id="723337115">
      <w:bodyDiv w:val="1"/>
      <w:marLeft w:val="0"/>
      <w:marRight w:val="0"/>
      <w:marTop w:val="0"/>
      <w:marBottom w:val="0"/>
      <w:divBdr>
        <w:top w:val="none" w:sz="0" w:space="0" w:color="auto"/>
        <w:left w:val="none" w:sz="0" w:space="0" w:color="auto"/>
        <w:bottom w:val="none" w:sz="0" w:space="0" w:color="auto"/>
        <w:right w:val="none" w:sz="0" w:space="0" w:color="auto"/>
      </w:divBdr>
    </w:div>
    <w:div w:id="907346135">
      <w:bodyDiv w:val="1"/>
      <w:marLeft w:val="0"/>
      <w:marRight w:val="0"/>
      <w:marTop w:val="0"/>
      <w:marBottom w:val="0"/>
      <w:divBdr>
        <w:top w:val="none" w:sz="0" w:space="0" w:color="auto"/>
        <w:left w:val="none" w:sz="0" w:space="0" w:color="auto"/>
        <w:bottom w:val="none" w:sz="0" w:space="0" w:color="auto"/>
        <w:right w:val="none" w:sz="0" w:space="0" w:color="auto"/>
      </w:divBdr>
    </w:div>
    <w:div w:id="1098914772">
      <w:bodyDiv w:val="1"/>
      <w:marLeft w:val="0"/>
      <w:marRight w:val="0"/>
      <w:marTop w:val="0"/>
      <w:marBottom w:val="0"/>
      <w:divBdr>
        <w:top w:val="none" w:sz="0" w:space="0" w:color="auto"/>
        <w:left w:val="none" w:sz="0" w:space="0" w:color="auto"/>
        <w:bottom w:val="none" w:sz="0" w:space="0" w:color="auto"/>
        <w:right w:val="none" w:sz="0" w:space="0" w:color="auto"/>
      </w:divBdr>
    </w:div>
    <w:div w:id="1109351299">
      <w:bodyDiv w:val="1"/>
      <w:marLeft w:val="0"/>
      <w:marRight w:val="0"/>
      <w:marTop w:val="0"/>
      <w:marBottom w:val="0"/>
      <w:divBdr>
        <w:top w:val="none" w:sz="0" w:space="0" w:color="auto"/>
        <w:left w:val="none" w:sz="0" w:space="0" w:color="auto"/>
        <w:bottom w:val="none" w:sz="0" w:space="0" w:color="auto"/>
        <w:right w:val="none" w:sz="0" w:space="0" w:color="auto"/>
      </w:divBdr>
    </w:div>
    <w:div w:id="1141773390">
      <w:bodyDiv w:val="1"/>
      <w:marLeft w:val="0"/>
      <w:marRight w:val="0"/>
      <w:marTop w:val="0"/>
      <w:marBottom w:val="0"/>
      <w:divBdr>
        <w:top w:val="none" w:sz="0" w:space="0" w:color="auto"/>
        <w:left w:val="none" w:sz="0" w:space="0" w:color="auto"/>
        <w:bottom w:val="none" w:sz="0" w:space="0" w:color="auto"/>
        <w:right w:val="none" w:sz="0" w:space="0" w:color="auto"/>
      </w:divBdr>
    </w:div>
    <w:div w:id="1302928550">
      <w:bodyDiv w:val="1"/>
      <w:marLeft w:val="0"/>
      <w:marRight w:val="0"/>
      <w:marTop w:val="0"/>
      <w:marBottom w:val="0"/>
      <w:divBdr>
        <w:top w:val="none" w:sz="0" w:space="0" w:color="auto"/>
        <w:left w:val="none" w:sz="0" w:space="0" w:color="auto"/>
        <w:bottom w:val="none" w:sz="0" w:space="0" w:color="auto"/>
        <w:right w:val="none" w:sz="0" w:space="0" w:color="auto"/>
      </w:divBdr>
    </w:div>
    <w:div w:id="1356343449">
      <w:bodyDiv w:val="1"/>
      <w:marLeft w:val="0"/>
      <w:marRight w:val="0"/>
      <w:marTop w:val="0"/>
      <w:marBottom w:val="0"/>
      <w:divBdr>
        <w:top w:val="none" w:sz="0" w:space="0" w:color="auto"/>
        <w:left w:val="none" w:sz="0" w:space="0" w:color="auto"/>
        <w:bottom w:val="none" w:sz="0" w:space="0" w:color="auto"/>
        <w:right w:val="none" w:sz="0" w:space="0" w:color="auto"/>
      </w:divBdr>
    </w:div>
    <w:div w:id="1404529834">
      <w:bodyDiv w:val="1"/>
      <w:marLeft w:val="0"/>
      <w:marRight w:val="0"/>
      <w:marTop w:val="0"/>
      <w:marBottom w:val="0"/>
      <w:divBdr>
        <w:top w:val="none" w:sz="0" w:space="0" w:color="auto"/>
        <w:left w:val="none" w:sz="0" w:space="0" w:color="auto"/>
        <w:bottom w:val="none" w:sz="0" w:space="0" w:color="auto"/>
        <w:right w:val="none" w:sz="0" w:space="0" w:color="auto"/>
      </w:divBdr>
    </w:div>
    <w:div w:id="1424456694">
      <w:bodyDiv w:val="1"/>
      <w:marLeft w:val="0"/>
      <w:marRight w:val="0"/>
      <w:marTop w:val="0"/>
      <w:marBottom w:val="0"/>
      <w:divBdr>
        <w:top w:val="none" w:sz="0" w:space="0" w:color="auto"/>
        <w:left w:val="none" w:sz="0" w:space="0" w:color="auto"/>
        <w:bottom w:val="none" w:sz="0" w:space="0" w:color="auto"/>
        <w:right w:val="none" w:sz="0" w:space="0" w:color="auto"/>
      </w:divBdr>
    </w:div>
    <w:div w:id="1571498080">
      <w:bodyDiv w:val="1"/>
      <w:marLeft w:val="0"/>
      <w:marRight w:val="0"/>
      <w:marTop w:val="0"/>
      <w:marBottom w:val="0"/>
      <w:divBdr>
        <w:top w:val="none" w:sz="0" w:space="0" w:color="auto"/>
        <w:left w:val="none" w:sz="0" w:space="0" w:color="auto"/>
        <w:bottom w:val="none" w:sz="0" w:space="0" w:color="auto"/>
        <w:right w:val="none" w:sz="0" w:space="0" w:color="auto"/>
      </w:divBdr>
    </w:div>
    <w:div w:id="1653097632">
      <w:bodyDiv w:val="1"/>
      <w:marLeft w:val="0"/>
      <w:marRight w:val="0"/>
      <w:marTop w:val="0"/>
      <w:marBottom w:val="0"/>
      <w:divBdr>
        <w:top w:val="none" w:sz="0" w:space="0" w:color="auto"/>
        <w:left w:val="none" w:sz="0" w:space="0" w:color="auto"/>
        <w:bottom w:val="none" w:sz="0" w:space="0" w:color="auto"/>
        <w:right w:val="none" w:sz="0" w:space="0" w:color="auto"/>
      </w:divBdr>
    </w:div>
    <w:div w:id="1746874891">
      <w:bodyDiv w:val="1"/>
      <w:marLeft w:val="0"/>
      <w:marRight w:val="0"/>
      <w:marTop w:val="0"/>
      <w:marBottom w:val="0"/>
      <w:divBdr>
        <w:top w:val="none" w:sz="0" w:space="0" w:color="auto"/>
        <w:left w:val="none" w:sz="0" w:space="0" w:color="auto"/>
        <w:bottom w:val="none" w:sz="0" w:space="0" w:color="auto"/>
        <w:right w:val="none" w:sz="0" w:space="0" w:color="auto"/>
      </w:divBdr>
    </w:div>
    <w:div w:id="1833913169">
      <w:bodyDiv w:val="1"/>
      <w:marLeft w:val="0"/>
      <w:marRight w:val="0"/>
      <w:marTop w:val="0"/>
      <w:marBottom w:val="0"/>
      <w:divBdr>
        <w:top w:val="none" w:sz="0" w:space="0" w:color="auto"/>
        <w:left w:val="none" w:sz="0" w:space="0" w:color="auto"/>
        <w:bottom w:val="none" w:sz="0" w:space="0" w:color="auto"/>
        <w:right w:val="none" w:sz="0" w:space="0" w:color="auto"/>
      </w:divBdr>
    </w:div>
    <w:div w:id="1835608701">
      <w:bodyDiv w:val="1"/>
      <w:marLeft w:val="0"/>
      <w:marRight w:val="0"/>
      <w:marTop w:val="0"/>
      <w:marBottom w:val="0"/>
      <w:divBdr>
        <w:top w:val="none" w:sz="0" w:space="0" w:color="auto"/>
        <w:left w:val="none" w:sz="0" w:space="0" w:color="auto"/>
        <w:bottom w:val="none" w:sz="0" w:space="0" w:color="auto"/>
        <w:right w:val="none" w:sz="0" w:space="0" w:color="auto"/>
      </w:divBdr>
    </w:div>
    <w:div w:id="1842696966">
      <w:bodyDiv w:val="1"/>
      <w:marLeft w:val="0"/>
      <w:marRight w:val="0"/>
      <w:marTop w:val="0"/>
      <w:marBottom w:val="0"/>
      <w:divBdr>
        <w:top w:val="none" w:sz="0" w:space="0" w:color="auto"/>
        <w:left w:val="none" w:sz="0" w:space="0" w:color="auto"/>
        <w:bottom w:val="none" w:sz="0" w:space="0" w:color="auto"/>
        <w:right w:val="none" w:sz="0" w:space="0" w:color="auto"/>
      </w:divBdr>
    </w:div>
    <w:div w:id="1864712179">
      <w:bodyDiv w:val="1"/>
      <w:marLeft w:val="0"/>
      <w:marRight w:val="0"/>
      <w:marTop w:val="0"/>
      <w:marBottom w:val="0"/>
      <w:divBdr>
        <w:top w:val="none" w:sz="0" w:space="0" w:color="auto"/>
        <w:left w:val="none" w:sz="0" w:space="0" w:color="auto"/>
        <w:bottom w:val="none" w:sz="0" w:space="0" w:color="auto"/>
        <w:right w:val="none" w:sz="0" w:space="0" w:color="auto"/>
      </w:divBdr>
    </w:div>
    <w:div w:id="1873303877">
      <w:bodyDiv w:val="1"/>
      <w:marLeft w:val="0"/>
      <w:marRight w:val="0"/>
      <w:marTop w:val="0"/>
      <w:marBottom w:val="0"/>
      <w:divBdr>
        <w:top w:val="none" w:sz="0" w:space="0" w:color="auto"/>
        <w:left w:val="none" w:sz="0" w:space="0" w:color="auto"/>
        <w:bottom w:val="none" w:sz="0" w:space="0" w:color="auto"/>
        <w:right w:val="none" w:sz="0" w:space="0" w:color="auto"/>
      </w:divBdr>
    </w:div>
    <w:div w:id="193805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C-Publishing\Documents\Custom%20Office%20Templates\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9BCF8-C4E9-475E-A924-D9B71954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Template.dotx</Template>
  <TotalTime>48</TotalTime>
  <Pages>5</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Contravention of Community Correction Orders Factsheet</vt:lpstr>
    </vt:vector>
  </TitlesOfParts>
  <Company>Sentencing Advisory Council</Company>
  <LinksUpToDate>false</LinksUpToDate>
  <CharactersWithSpaces>6406</CharactersWithSpaces>
  <SharedDoc>false</SharedDoc>
  <HLinks>
    <vt:vector size="48" baseType="variant">
      <vt:variant>
        <vt:i4>1572912</vt:i4>
      </vt:variant>
      <vt:variant>
        <vt:i4>44</vt:i4>
      </vt:variant>
      <vt:variant>
        <vt:i4>0</vt:i4>
      </vt:variant>
      <vt:variant>
        <vt:i4>5</vt:i4>
      </vt:variant>
      <vt:variant>
        <vt:lpwstr/>
      </vt:variant>
      <vt:variant>
        <vt:lpwstr>_Toc415058465</vt:lpwstr>
      </vt:variant>
      <vt:variant>
        <vt:i4>1572912</vt:i4>
      </vt:variant>
      <vt:variant>
        <vt:i4>38</vt:i4>
      </vt:variant>
      <vt:variant>
        <vt:i4>0</vt:i4>
      </vt:variant>
      <vt:variant>
        <vt:i4>5</vt:i4>
      </vt:variant>
      <vt:variant>
        <vt:lpwstr/>
      </vt:variant>
      <vt:variant>
        <vt:lpwstr>_Toc415058464</vt:lpwstr>
      </vt:variant>
      <vt:variant>
        <vt:i4>1572912</vt:i4>
      </vt:variant>
      <vt:variant>
        <vt:i4>32</vt:i4>
      </vt:variant>
      <vt:variant>
        <vt:i4>0</vt:i4>
      </vt:variant>
      <vt:variant>
        <vt:i4>5</vt:i4>
      </vt:variant>
      <vt:variant>
        <vt:lpwstr/>
      </vt:variant>
      <vt:variant>
        <vt:lpwstr>_Toc415058463</vt:lpwstr>
      </vt:variant>
      <vt:variant>
        <vt:i4>1572912</vt:i4>
      </vt:variant>
      <vt:variant>
        <vt:i4>26</vt:i4>
      </vt:variant>
      <vt:variant>
        <vt:i4>0</vt:i4>
      </vt:variant>
      <vt:variant>
        <vt:i4>5</vt:i4>
      </vt:variant>
      <vt:variant>
        <vt:lpwstr/>
      </vt:variant>
      <vt:variant>
        <vt:lpwstr>_Toc415058462</vt:lpwstr>
      </vt:variant>
      <vt:variant>
        <vt:i4>1572912</vt:i4>
      </vt:variant>
      <vt:variant>
        <vt:i4>20</vt:i4>
      </vt:variant>
      <vt:variant>
        <vt:i4>0</vt:i4>
      </vt:variant>
      <vt:variant>
        <vt:i4>5</vt:i4>
      </vt:variant>
      <vt:variant>
        <vt:lpwstr/>
      </vt:variant>
      <vt:variant>
        <vt:lpwstr>_Toc415058461</vt:lpwstr>
      </vt:variant>
      <vt:variant>
        <vt:i4>1572912</vt:i4>
      </vt:variant>
      <vt:variant>
        <vt:i4>14</vt:i4>
      </vt:variant>
      <vt:variant>
        <vt:i4>0</vt:i4>
      </vt:variant>
      <vt:variant>
        <vt:i4>5</vt:i4>
      </vt:variant>
      <vt:variant>
        <vt:lpwstr/>
      </vt:variant>
      <vt:variant>
        <vt:lpwstr>_Toc415058460</vt:lpwstr>
      </vt:variant>
      <vt:variant>
        <vt:i4>1769520</vt:i4>
      </vt:variant>
      <vt:variant>
        <vt:i4>8</vt:i4>
      </vt:variant>
      <vt:variant>
        <vt:i4>0</vt:i4>
      </vt:variant>
      <vt:variant>
        <vt:i4>5</vt:i4>
      </vt:variant>
      <vt:variant>
        <vt:lpwstr/>
      </vt:variant>
      <vt:variant>
        <vt:lpwstr>_Toc415058459</vt:lpwstr>
      </vt:variant>
      <vt:variant>
        <vt:i4>1769520</vt:i4>
      </vt:variant>
      <vt:variant>
        <vt:i4>2</vt:i4>
      </vt:variant>
      <vt:variant>
        <vt:i4>0</vt:i4>
      </vt:variant>
      <vt:variant>
        <vt:i4>5</vt:i4>
      </vt:variant>
      <vt:variant>
        <vt:lpwstr/>
      </vt:variant>
      <vt:variant>
        <vt:lpwstr>_Toc415058458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Contravention of Community Correction Orders Factsheet</dc:title>
  <dc:subject/>
  <dc:creator>Sentencing Advisory Council</dc:creator>
  <cp:keywords/>
  <dc:description/>
  <cp:lastModifiedBy>SAC-Publishing</cp:lastModifiedBy>
  <cp:revision>64</cp:revision>
  <dcterms:created xsi:type="dcterms:W3CDTF">2017-07-13T00:26:00Z</dcterms:created>
  <dcterms:modified xsi:type="dcterms:W3CDTF">2017-07-14T00:47:00Z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-344614904</vt:i4>
  </property>
</Properties>
</file>