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FB" w:rsidRPr="005266FB" w:rsidRDefault="005266FB" w:rsidP="005266FB">
      <w:pPr>
        <w:pStyle w:val="Title"/>
      </w:pPr>
      <w:r>
        <w:t>Sentence Appeals in Victoria: Higher Courts</w:t>
      </w:r>
    </w:p>
    <w:p w:rsidR="005266FB" w:rsidRDefault="005266FB" w:rsidP="00DF13A1">
      <w:pPr>
        <w:pStyle w:val="Heading1"/>
      </w:pPr>
      <w:r>
        <w:t>What Did the Sentencing Advisory Council Study?</w:t>
      </w:r>
    </w:p>
    <w:p w:rsidR="005266FB" w:rsidRDefault="005266FB" w:rsidP="00EA2B8E">
      <w:r>
        <w:t>The Sentencing Advisory Council studied the outcomes of appeals that were finalised by 31 December 2016 from cases originally sentenced in the County and Supreme Courts in Victoria in 2013–14.</w:t>
      </w:r>
    </w:p>
    <w:p w:rsidR="00EA2B8E" w:rsidRDefault="00EA2B8E" w:rsidP="00EA2B8E">
      <w:pPr>
        <w:ind w:left="720"/>
      </w:pPr>
      <w:r>
        <w:t>Number of cases sentenced in 201</w:t>
      </w:r>
      <w:r w:rsidR="00DF7329">
        <w:t>3</w:t>
      </w:r>
      <w:r>
        <w:t>–1</w:t>
      </w:r>
      <w:r w:rsidR="00DF7329">
        <w:t>4</w:t>
      </w:r>
      <w:bookmarkStart w:id="0" w:name="_GoBack"/>
      <w:bookmarkEnd w:id="0"/>
      <w:r>
        <w:t xml:space="preserve">: </w:t>
      </w:r>
      <w:r w:rsidRPr="00932456">
        <w:rPr>
          <w:rStyle w:val="Strong"/>
        </w:rPr>
        <w:t>1,910</w:t>
      </w:r>
      <w:r>
        <w:t xml:space="preserve">. Number of cases appealed by 31 December 2016: </w:t>
      </w:r>
      <w:r w:rsidRPr="00932456">
        <w:rPr>
          <w:rStyle w:val="Strong"/>
        </w:rPr>
        <w:t>230</w:t>
      </w:r>
    </w:p>
    <w:p w:rsidR="008C5259" w:rsidRDefault="008C5259" w:rsidP="008C5259">
      <w:pPr>
        <w:keepNext/>
        <w:ind w:left="720"/>
      </w:pPr>
      <w:r>
        <w:t xml:space="preserve">Number of Crown appeals: </w:t>
      </w:r>
      <w:r w:rsidRPr="00443601">
        <w:rPr>
          <w:rStyle w:val="Strong"/>
        </w:rPr>
        <w:t>23</w:t>
      </w:r>
      <w:r w:rsidRPr="00B05B80">
        <w:t>:</w:t>
      </w:r>
    </w:p>
    <w:p w:rsidR="008C5259" w:rsidRDefault="008C5259" w:rsidP="008C5259">
      <w:pPr>
        <w:pStyle w:val="Bullets"/>
        <w:ind w:left="1437"/>
      </w:pPr>
      <w:r>
        <w:t xml:space="preserve">Dismissed: </w:t>
      </w:r>
      <w:r w:rsidR="00C809CD">
        <w:rPr>
          <w:rStyle w:val="Strong"/>
        </w:rPr>
        <w:t>7</w:t>
      </w:r>
    </w:p>
    <w:p w:rsidR="008C5259" w:rsidRDefault="008C5259" w:rsidP="008C5259">
      <w:pPr>
        <w:pStyle w:val="Bullets"/>
        <w:ind w:left="1437"/>
      </w:pPr>
      <w:r>
        <w:t xml:space="preserve">Allowed: </w:t>
      </w:r>
      <w:r w:rsidRPr="00443601">
        <w:rPr>
          <w:rStyle w:val="Strong"/>
        </w:rPr>
        <w:t>16</w:t>
      </w:r>
    </w:p>
    <w:p w:rsidR="00EA2B8E" w:rsidRDefault="00EA2B8E" w:rsidP="00EA2B8E">
      <w:pPr>
        <w:ind w:left="720"/>
      </w:pPr>
      <w:r>
        <w:t xml:space="preserve">Number of offender appeals: </w:t>
      </w:r>
      <w:r w:rsidRPr="00932456">
        <w:rPr>
          <w:rStyle w:val="Strong"/>
        </w:rPr>
        <w:t>209</w:t>
      </w:r>
      <w:r>
        <w:t>:</w:t>
      </w:r>
    </w:p>
    <w:p w:rsidR="00EA2B8E" w:rsidRDefault="00EA2B8E" w:rsidP="00EA2B8E">
      <w:pPr>
        <w:pStyle w:val="Bullets"/>
        <w:ind w:left="1437"/>
      </w:pPr>
      <w:r>
        <w:t xml:space="preserve">Conviction only: </w:t>
      </w:r>
      <w:r w:rsidRPr="00443601">
        <w:rPr>
          <w:rStyle w:val="Strong"/>
        </w:rPr>
        <w:t>49</w:t>
      </w:r>
    </w:p>
    <w:p w:rsidR="00EA2B8E" w:rsidRDefault="00EA2B8E" w:rsidP="00EA2B8E">
      <w:pPr>
        <w:pStyle w:val="Bullets"/>
        <w:ind w:left="1437"/>
      </w:pPr>
      <w:r>
        <w:t xml:space="preserve">Conviction and sentence: </w:t>
      </w:r>
      <w:r w:rsidRPr="00443601">
        <w:rPr>
          <w:rStyle w:val="Strong"/>
        </w:rPr>
        <w:t>24</w:t>
      </w:r>
      <w:r>
        <w:t>; b</w:t>
      </w:r>
      <w:r w:rsidRPr="00CC4A04">
        <w:t>ecomes</w:t>
      </w:r>
      <w:r>
        <w:t xml:space="preserve"> sentence appeal only: </w:t>
      </w:r>
      <w:r w:rsidRPr="00443601">
        <w:rPr>
          <w:rStyle w:val="Strong"/>
        </w:rPr>
        <w:t>17</w:t>
      </w:r>
    </w:p>
    <w:p w:rsidR="00EA2B8E" w:rsidRDefault="00EA2B8E" w:rsidP="00EA2B8E">
      <w:pPr>
        <w:pStyle w:val="Bullets"/>
        <w:ind w:left="1437"/>
      </w:pPr>
      <w:r>
        <w:t xml:space="preserve">Sentence only: </w:t>
      </w:r>
      <w:r w:rsidRPr="00443601">
        <w:rPr>
          <w:rStyle w:val="Strong"/>
        </w:rPr>
        <w:t>136</w:t>
      </w:r>
    </w:p>
    <w:p w:rsidR="00EA2B8E" w:rsidRDefault="00EA2B8E" w:rsidP="00EA2B8E">
      <w:pPr>
        <w:ind w:left="720"/>
      </w:pPr>
      <w:r>
        <w:t>For sentence appeals only:</w:t>
      </w:r>
    </w:p>
    <w:p w:rsidR="00EA2B8E" w:rsidRDefault="00EA2B8E" w:rsidP="00EA2B8E">
      <w:pPr>
        <w:pStyle w:val="Bullets"/>
        <w:ind w:left="1437"/>
      </w:pPr>
      <w:r>
        <w:t xml:space="preserve">Leave refused: </w:t>
      </w:r>
      <w:r w:rsidRPr="00443601">
        <w:rPr>
          <w:rStyle w:val="Strong"/>
        </w:rPr>
        <w:t>73</w:t>
      </w:r>
    </w:p>
    <w:p w:rsidR="00EA2B8E" w:rsidRDefault="00EA2B8E" w:rsidP="00EA2B8E">
      <w:pPr>
        <w:pStyle w:val="Bullets"/>
        <w:ind w:left="1437"/>
      </w:pPr>
      <w:r w:rsidRPr="00B474D4">
        <w:t>Other</w:t>
      </w:r>
      <w:r>
        <w:t xml:space="preserve">: </w:t>
      </w:r>
      <w:r w:rsidRPr="00443601">
        <w:rPr>
          <w:rStyle w:val="Strong"/>
        </w:rPr>
        <w:t>3</w:t>
      </w:r>
    </w:p>
    <w:p w:rsidR="00EA2B8E" w:rsidRPr="00B05B80" w:rsidRDefault="00EA2B8E" w:rsidP="00EA2B8E">
      <w:pPr>
        <w:pStyle w:val="Bullets"/>
        <w:ind w:left="1437"/>
      </w:pPr>
      <w:r>
        <w:t xml:space="preserve">Leave granted: </w:t>
      </w:r>
      <w:r w:rsidRPr="00443601">
        <w:rPr>
          <w:rStyle w:val="Strong"/>
        </w:rPr>
        <w:t>77</w:t>
      </w:r>
    </w:p>
    <w:p w:rsidR="00EA2B8E" w:rsidRDefault="00EA2B8E" w:rsidP="00EA2B8E">
      <w:pPr>
        <w:ind w:left="720"/>
      </w:pPr>
      <w:r>
        <w:t>Where leave granted:</w:t>
      </w:r>
    </w:p>
    <w:p w:rsidR="00EA2B8E" w:rsidRDefault="00EA2B8E" w:rsidP="00EA2B8E">
      <w:pPr>
        <w:pStyle w:val="Bullets"/>
        <w:ind w:left="1437"/>
      </w:pPr>
      <w:r>
        <w:t xml:space="preserve">Abandoned: </w:t>
      </w:r>
      <w:r w:rsidRPr="00443601">
        <w:rPr>
          <w:rStyle w:val="Strong"/>
        </w:rPr>
        <w:t>3</w:t>
      </w:r>
    </w:p>
    <w:p w:rsidR="00EA2B8E" w:rsidRDefault="00EA2B8E" w:rsidP="00EA2B8E">
      <w:pPr>
        <w:pStyle w:val="Bullets"/>
        <w:ind w:left="1437"/>
      </w:pPr>
      <w:r>
        <w:t xml:space="preserve">Allowed: </w:t>
      </w:r>
      <w:r w:rsidRPr="00443601">
        <w:rPr>
          <w:rStyle w:val="Strong"/>
        </w:rPr>
        <w:t>44</w:t>
      </w:r>
    </w:p>
    <w:p w:rsidR="00EA2B8E" w:rsidRPr="00517D1E" w:rsidRDefault="00EA2B8E" w:rsidP="00EA2B8E">
      <w:pPr>
        <w:pStyle w:val="Bullets"/>
        <w:ind w:left="1437"/>
        <w:rPr>
          <w:rStyle w:val="Strong"/>
          <w:b w:val="0"/>
          <w:bCs w:val="0"/>
        </w:rPr>
      </w:pPr>
      <w:r>
        <w:t xml:space="preserve">Dismissed: </w:t>
      </w:r>
      <w:r w:rsidR="003A250D">
        <w:rPr>
          <w:rStyle w:val="Strong"/>
        </w:rPr>
        <w:t>30</w:t>
      </w:r>
    </w:p>
    <w:p w:rsidR="005266FB" w:rsidRDefault="005266FB" w:rsidP="00204ECE">
      <w:pPr>
        <w:pStyle w:val="Heading1"/>
        <w:pageBreakBefore/>
      </w:pPr>
      <w:r>
        <w:lastRenderedPageBreak/>
        <w:t>Number of Sentences Appealed</w:t>
      </w:r>
    </w:p>
    <w:p w:rsidR="000D7A46" w:rsidRDefault="000D7A46" w:rsidP="000D7A46">
      <w:r>
        <w:t>Of the 1,910 sentences imposed during 2013–14, 97% were either unchallenged or unsuccessfully appealed.</w:t>
      </w:r>
    </w:p>
    <w:p w:rsidR="000D7A46" w:rsidRDefault="000D7A46" w:rsidP="000D7A46">
      <w:r>
        <w:t>In the remaining cases, offenders were successful in appealing their sentence in 44 of 153 cases (29%), and the Crown was successful in 16 of 23 cases (70%).</w:t>
      </w:r>
    </w:p>
    <w:p w:rsidR="000D7A46" w:rsidRDefault="000D7A46" w:rsidP="000D7A46">
      <w:r>
        <w:t>One appeal is counted twice because both the offender and the Crown appealed the sentence.</w:t>
      </w:r>
    </w:p>
    <w:tbl>
      <w:tblPr>
        <w:tblStyle w:val="Table"/>
        <w:tblW w:w="2434" w:type="pct"/>
        <w:tblLook w:val="04A0" w:firstRow="1" w:lastRow="0" w:firstColumn="1" w:lastColumn="0" w:noHBand="0" w:noVBand="1"/>
      </w:tblPr>
      <w:tblGrid>
        <w:gridCol w:w="3680"/>
        <w:gridCol w:w="1559"/>
      </w:tblGrid>
      <w:tr w:rsidR="00A350C2" w:rsidTr="00622ABA">
        <w:tc>
          <w:tcPr>
            <w:tcW w:w="3512" w:type="pct"/>
          </w:tcPr>
          <w:p w:rsidR="00A350C2" w:rsidRDefault="00AE4854" w:rsidP="00196D85">
            <w:pPr>
              <w:pStyle w:val="TableHeading"/>
            </w:pPr>
            <w:r>
              <w:t>Outcome</w:t>
            </w:r>
          </w:p>
        </w:tc>
        <w:tc>
          <w:tcPr>
            <w:tcW w:w="1488" w:type="pct"/>
          </w:tcPr>
          <w:p w:rsidR="00A350C2" w:rsidRDefault="00376331" w:rsidP="00196D85">
            <w:pPr>
              <w:pStyle w:val="TableHeading"/>
            </w:pPr>
            <w:r>
              <w:t>Number</w:t>
            </w:r>
          </w:p>
        </w:tc>
      </w:tr>
      <w:tr w:rsidR="00A350C2" w:rsidTr="00622ABA">
        <w:tc>
          <w:tcPr>
            <w:tcW w:w="3512" w:type="pct"/>
          </w:tcPr>
          <w:p w:rsidR="00A350C2" w:rsidRDefault="00A350C2" w:rsidP="00196D85">
            <w:pPr>
              <w:pStyle w:val="TableBody"/>
            </w:pPr>
            <w:r>
              <w:t>Sentence unchallenged</w:t>
            </w:r>
          </w:p>
        </w:tc>
        <w:tc>
          <w:tcPr>
            <w:tcW w:w="1488" w:type="pct"/>
          </w:tcPr>
          <w:p w:rsidR="00A350C2" w:rsidRDefault="00A350C2" w:rsidP="00196D85">
            <w:pPr>
              <w:pStyle w:val="TableBody"/>
            </w:pPr>
            <w:r>
              <w:t>1,735</w:t>
            </w:r>
          </w:p>
        </w:tc>
      </w:tr>
      <w:tr w:rsidR="00A350C2" w:rsidTr="00622ABA">
        <w:tc>
          <w:tcPr>
            <w:tcW w:w="3512" w:type="pct"/>
          </w:tcPr>
          <w:p w:rsidR="00A350C2" w:rsidRDefault="00A350C2" w:rsidP="00196D85">
            <w:pPr>
              <w:pStyle w:val="TableBody"/>
            </w:pPr>
            <w:r>
              <w:t>Unsuccessful offender appeals</w:t>
            </w:r>
          </w:p>
        </w:tc>
        <w:tc>
          <w:tcPr>
            <w:tcW w:w="1488" w:type="pct"/>
          </w:tcPr>
          <w:p w:rsidR="00A350C2" w:rsidRDefault="00A350C2" w:rsidP="00196D85">
            <w:pPr>
              <w:pStyle w:val="TableBody"/>
            </w:pPr>
            <w:r>
              <w:t>109</w:t>
            </w:r>
          </w:p>
        </w:tc>
      </w:tr>
      <w:tr w:rsidR="00A350C2" w:rsidTr="00622ABA">
        <w:tc>
          <w:tcPr>
            <w:tcW w:w="3512" w:type="pct"/>
          </w:tcPr>
          <w:p w:rsidR="00A350C2" w:rsidRDefault="00A350C2" w:rsidP="00196D85">
            <w:pPr>
              <w:pStyle w:val="TableBody"/>
            </w:pPr>
            <w:r>
              <w:t>Successful offender appeals</w:t>
            </w:r>
          </w:p>
        </w:tc>
        <w:tc>
          <w:tcPr>
            <w:tcW w:w="1488" w:type="pct"/>
          </w:tcPr>
          <w:p w:rsidR="00A350C2" w:rsidRDefault="00A350C2" w:rsidP="00196D85">
            <w:pPr>
              <w:pStyle w:val="TableBody"/>
            </w:pPr>
            <w:r>
              <w:t>44</w:t>
            </w:r>
          </w:p>
        </w:tc>
      </w:tr>
      <w:tr w:rsidR="00A350C2" w:rsidTr="00622ABA">
        <w:tc>
          <w:tcPr>
            <w:tcW w:w="3512" w:type="pct"/>
          </w:tcPr>
          <w:p w:rsidR="00A350C2" w:rsidRDefault="00A350C2" w:rsidP="00196D85">
            <w:pPr>
              <w:pStyle w:val="TableBody"/>
            </w:pPr>
            <w:r>
              <w:t>Successful Crown appeals</w:t>
            </w:r>
          </w:p>
        </w:tc>
        <w:tc>
          <w:tcPr>
            <w:tcW w:w="1488" w:type="pct"/>
          </w:tcPr>
          <w:p w:rsidR="00A350C2" w:rsidRDefault="00A350C2" w:rsidP="00196D85">
            <w:pPr>
              <w:pStyle w:val="TableBody"/>
            </w:pPr>
            <w:r>
              <w:t>16</w:t>
            </w:r>
          </w:p>
        </w:tc>
      </w:tr>
      <w:tr w:rsidR="00A350C2" w:rsidTr="00622ABA">
        <w:tc>
          <w:tcPr>
            <w:tcW w:w="3512" w:type="pct"/>
          </w:tcPr>
          <w:p w:rsidR="00A350C2" w:rsidRDefault="00A350C2" w:rsidP="00196D85">
            <w:pPr>
              <w:pStyle w:val="TableBody"/>
            </w:pPr>
            <w:r>
              <w:t>Unsuccessful Crown appeals</w:t>
            </w:r>
          </w:p>
        </w:tc>
        <w:tc>
          <w:tcPr>
            <w:tcW w:w="1488" w:type="pct"/>
          </w:tcPr>
          <w:p w:rsidR="00A350C2" w:rsidRDefault="00A350C2" w:rsidP="00196D85">
            <w:pPr>
              <w:pStyle w:val="TableBody"/>
            </w:pPr>
            <w:r>
              <w:t>7</w:t>
            </w:r>
          </w:p>
        </w:tc>
      </w:tr>
    </w:tbl>
    <w:p w:rsidR="005266FB" w:rsidRDefault="005266FB" w:rsidP="00C05A17">
      <w:pPr>
        <w:pStyle w:val="Heading1"/>
      </w:pPr>
      <w:r>
        <w:t>Features of Sentence Appeals</w:t>
      </w:r>
    </w:p>
    <w:p w:rsidR="00E924CB" w:rsidRDefault="00E924CB" w:rsidP="00AE543E">
      <w:pPr>
        <w:pStyle w:val="Heading2"/>
      </w:pPr>
      <w:r>
        <w:t>Types of sentences appealed (offender and Crown)</w:t>
      </w:r>
    </w:p>
    <w:tbl>
      <w:tblPr>
        <w:tblStyle w:val="Table"/>
        <w:tblW w:w="2434" w:type="pct"/>
        <w:tblLook w:val="04A0" w:firstRow="1" w:lastRow="0" w:firstColumn="1" w:lastColumn="0" w:noHBand="0" w:noVBand="1"/>
      </w:tblPr>
      <w:tblGrid>
        <w:gridCol w:w="3680"/>
        <w:gridCol w:w="1559"/>
      </w:tblGrid>
      <w:tr w:rsidR="00122761" w:rsidTr="00A353D5">
        <w:tc>
          <w:tcPr>
            <w:tcW w:w="3512" w:type="pct"/>
          </w:tcPr>
          <w:p w:rsidR="00122761" w:rsidRDefault="00122761" w:rsidP="00A353D5">
            <w:pPr>
              <w:pStyle w:val="TableHeading"/>
            </w:pPr>
            <w:r>
              <w:t>Sentence type</w:t>
            </w:r>
          </w:p>
        </w:tc>
        <w:tc>
          <w:tcPr>
            <w:tcW w:w="1488" w:type="pct"/>
          </w:tcPr>
          <w:p w:rsidR="00122761" w:rsidRDefault="00122761" w:rsidP="00A353D5">
            <w:pPr>
              <w:pStyle w:val="TableHeading"/>
            </w:pPr>
            <w:r>
              <w:t>Percentage</w:t>
            </w:r>
          </w:p>
        </w:tc>
      </w:tr>
      <w:tr w:rsidR="00122761" w:rsidTr="00A353D5">
        <w:tc>
          <w:tcPr>
            <w:tcW w:w="3512" w:type="pct"/>
          </w:tcPr>
          <w:p w:rsidR="00122761" w:rsidRDefault="00122761" w:rsidP="00A353D5">
            <w:pPr>
              <w:pStyle w:val="TableBody"/>
            </w:pPr>
            <w:r>
              <w:t>Imprisonment</w:t>
            </w:r>
          </w:p>
        </w:tc>
        <w:tc>
          <w:tcPr>
            <w:tcW w:w="1488" w:type="pct"/>
          </w:tcPr>
          <w:p w:rsidR="00122761" w:rsidRDefault="00122761" w:rsidP="00A353D5">
            <w:pPr>
              <w:pStyle w:val="TableBody"/>
            </w:pPr>
            <w:r>
              <w:t>96%</w:t>
            </w:r>
          </w:p>
        </w:tc>
      </w:tr>
      <w:tr w:rsidR="00122761" w:rsidTr="00A353D5">
        <w:tc>
          <w:tcPr>
            <w:tcW w:w="3512" w:type="pct"/>
          </w:tcPr>
          <w:p w:rsidR="00122761" w:rsidRDefault="00122761" w:rsidP="00A353D5">
            <w:pPr>
              <w:pStyle w:val="TableBody"/>
            </w:pPr>
            <w:r>
              <w:t>Other sentence</w:t>
            </w:r>
          </w:p>
        </w:tc>
        <w:tc>
          <w:tcPr>
            <w:tcW w:w="1488" w:type="pct"/>
          </w:tcPr>
          <w:p w:rsidR="00122761" w:rsidRDefault="00122761" w:rsidP="00A353D5">
            <w:pPr>
              <w:pStyle w:val="TableBody"/>
            </w:pPr>
            <w:r>
              <w:t>4%</w:t>
            </w:r>
          </w:p>
        </w:tc>
      </w:tr>
    </w:tbl>
    <w:p w:rsidR="005266FB" w:rsidRDefault="005266FB" w:rsidP="00AE543E">
      <w:pPr>
        <w:pStyle w:val="Heading2"/>
      </w:pPr>
      <w:r>
        <w:t xml:space="preserve">Average proportional decrease in length of imprisonment sentence after successful </w:t>
      </w:r>
      <w:r>
        <w:rPr>
          <w:i/>
        </w:rPr>
        <w:t>offender</w:t>
      </w:r>
      <w:r>
        <w:t xml:space="preserve"> appeal</w:t>
      </w:r>
    </w:p>
    <w:tbl>
      <w:tblPr>
        <w:tblStyle w:val="Table"/>
        <w:tblW w:w="2434" w:type="pct"/>
        <w:tblLook w:val="04A0" w:firstRow="1" w:lastRow="0" w:firstColumn="1" w:lastColumn="0" w:noHBand="0" w:noVBand="1"/>
      </w:tblPr>
      <w:tblGrid>
        <w:gridCol w:w="3680"/>
        <w:gridCol w:w="1559"/>
      </w:tblGrid>
      <w:tr w:rsidR="00311C7E" w:rsidTr="00A353D5">
        <w:tc>
          <w:tcPr>
            <w:tcW w:w="3512" w:type="pct"/>
          </w:tcPr>
          <w:p w:rsidR="00311C7E" w:rsidRDefault="00311C7E" w:rsidP="00311C7E">
            <w:pPr>
              <w:pStyle w:val="TableHeading"/>
            </w:pPr>
            <w:r>
              <w:t>Sentence</w:t>
            </w:r>
          </w:p>
        </w:tc>
        <w:tc>
          <w:tcPr>
            <w:tcW w:w="1488" w:type="pct"/>
          </w:tcPr>
          <w:p w:rsidR="00311C7E" w:rsidRDefault="00311C7E" w:rsidP="00A353D5">
            <w:pPr>
              <w:pStyle w:val="TableHeading"/>
            </w:pPr>
            <w:r>
              <w:t>Percentage</w:t>
            </w:r>
          </w:p>
        </w:tc>
      </w:tr>
      <w:tr w:rsidR="00311C7E" w:rsidTr="00A353D5">
        <w:tc>
          <w:tcPr>
            <w:tcW w:w="3512" w:type="pct"/>
          </w:tcPr>
          <w:p w:rsidR="00311C7E" w:rsidRDefault="00311C7E" w:rsidP="00A353D5">
            <w:pPr>
              <w:pStyle w:val="TableBody"/>
            </w:pPr>
            <w:r>
              <w:t>Total effective sentence</w:t>
            </w:r>
          </w:p>
        </w:tc>
        <w:tc>
          <w:tcPr>
            <w:tcW w:w="1488" w:type="pct"/>
          </w:tcPr>
          <w:p w:rsidR="00311C7E" w:rsidRDefault="00311C7E" w:rsidP="00A353D5">
            <w:pPr>
              <w:pStyle w:val="TableBody"/>
            </w:pPr>
            <w:r>
              <w:t>20%</w:t>
            </w:r>
          </w:p>
        </w:tc>
      </w:tr>
      <w:tr w:rsidR="00311C7E" w:rsidTr="00A353D5">
        <w:tc>
          <w:tcPr>
            <w:tcW w:w="3512" w:type="pct"/>
          </w:tcPr>
          <w:p w:rsidR="00311C7E" w:rsidRDefault="00311C7E" w:rsidP="00A353D5">
            <w:pPr>
              <w:pStyle w:val="TableBody"/>
            </w:pPr>
            <w:r>
              <w:t>Non-parole period</w:t>
            </w:r>
          </w:p>
        </w:tc>
        <w:tc>
          <w:tcPr>
            <w:tcW w:w="1488" w:type="pct"/>
          </w:tcPr>
          <w:p w:rsidR="00311C7E" w:rsidRDefault="00311C7E" w:rsidP="00A353D5">
            <w:pPr>
              <w:pStyle w:val="TableBody"/>
            </w:pPr>
            <w:r>
              <w:t>25%</w:t>
            </w:r>
          </w:p>
        </w:tc>
      </w:tr>
    </w:tbl>
    <w:p w:rsidR="00CD2196" w:rsidRDefault="00CD2196" w:rsidP="00AE543E">
      <w:pPr>
        <w:pStyle w:val="Heading2"/>
      </w:pPr>
      <w:r>
        <w:t xml:space="preserve">Average proportional increase in length of imprisonment sentence after successful </w:t>
      </w:r>
      <w:r>
        <w:rPr>
          <w:i/>
        </w:rPr>
        <w:t>Crown</w:t>
      </w:r>
      <w:r>
        <w:t xml:space="preserve"> appeal</w:t>
      </w:r>
    </w:p>
    <w:tbl>
      <w:tblPr>
        <w:tblStyle w:val="Table"/>
        <w:tblW w:w="2434" w:type="pct"/>
        <w:tblLook w:val="04A0" w:firstRow="1" w:lastRow="0" w:firstColumn="1" w:lastColumn="0" w:noHBand="0" w:noVBand="1"/>
      </w:tblPr>
      <w:tblGrid>
        <w:gridCol w:w="3680"/>
        <w:gridCol w:w="1559"/>
      </w:tblGrid>
      <w:tr w:rsidR="003A1271" w:rsidTr="00A353D5">
        <w:tc>
          <w:tcPr>
            <w:tcW w:w="3512" w:type="pct"/>
          </w:tcPr>
          <w:p w:rsidR="003A1271" w:rsidRDefault="003A1271" w:rsidP="00A353D5">
            <w:pPr>
              <w:pStyle w:val="TableHeading"/>
            </w:pPr>
            <w:r>
              <w:t>Sentence</w:t>
            </w:r>
          </w:p>
        </w:tc>
        <w:tc>
          <w:tcPr>
            <w:tcW w:w="1488" w:type="pct"/>
          </w:tcPr>
          <w:p w:rsidR="003A1271" w:rsidRDefault="003A1271" w:rsidP="00A353D5">
            <w:pPr>
              <w:pStyle w:val="TableHeading"/>
            </w:pPr>
            <w:r>
              <w:t>Percentage</w:t>
            </w:r>
          </w:p>
        </w:tc>
      </w:tr>
      <w:tr w:rsidR="003A1271" w:rsidTr="00A353D5">
        <w:tc>
          <w:tcPr>
            <w:tcW w:w="3512" w:type="pct"/>
          </w:tcPr>
          <w:p w:rsidR="003A1271" w:rsidRDefault="003A1271" w:rsidP="00A353D5">
            <w:pPr>
              <w:pStyle w:val="TableBody"/>
            </w:pPr>
            <w:r>
              <w:t>Total effective sentence</w:t>
            </w:r>
          </w:p>
        </w:tc>
        <w:tc>
          <w:tcPr>
            <w:tcW w:w="1488" w:type="pct"/>
          </w:tcPr>
          <w:p w:rsidR="003A1271" w:rsidRDefault="003A1271" w:rsidP="00A353D5">
            <w:pPr>
              <w:pStyle w:val="TableBody"/>
            </w:pPr>
            <w:r>
              <w:t>70%</w:t>
            </w:r>
          </w:p>
        </w:tc>
      </w:tr>
      <w:tr w:rsidR="003A1271" w:rsidTr="00A353D5">
        <w:tc>
          <w:tcPr>
            <w:tcW w:w="3512" w:type="pct"/>
          </w:tcPr>
          <w:p w:rsidR="003A1271" w:rsidRDefault="003A1271" w:rsidP="00A353D5">
            <w:pPr>
              <w:pStyle w:val="TableBody"/>
            </w:pPr>
            <w:r>
              <w:t>Non-parole period</w:t>
            </w:r>
          </w:p>
        </w:tc>
        <w:tc>
          <w:tcPr>
            <w:tcW w:w="1488" w:type="pct"/>
          </w:tcPr>
          <w:p w:rsidR="003A1271" w:rsidRDefault="003A1271" w:rsidP="00A353D5">
            <w:pPr>
              <w:pStyle w:val="TableBody"/>
            </w:pPr>
            <w:r>
              <w:t>64%</w:t>
            </w:r>
          </w:p>
        </w:tc>
      </w:tr>
    </w:tbl>
    <w:p w:rsidR="005266FB" w:rsidRPr="00BC2A02" w:rsidRDefault="005266FB" w:rsidP="0003580A">
      <w:pPr>
        <w:spacing w:before="240"/>
        <w:rPr>
          <w:szCs w:val="28"/>
        </w:rPr>
      </w:pPr>
      <w:r>
        <w:t>The full report is available for down</w:t>
      </w:r>
      <w:r w:rsidR="001E50B6">
        <w:t xml:space="preserve">load from the Council’s website at </w:t>
      </w:r>
      <w:r w:rsidRPr="005266FB">
        <w:t>www.sentencingcouncil.vic.gov.au</w:t>
      </w:r>
    </w:p>
    <w:sectPr w:rsidR="005266FB" w:rsidRPr="00BC2A02">
      <w:headerReference w:type="default" r:id="rId8"/>
      <w:footerReference w:type="default" r:id="rId9"/>
      <w:pgSz w:w="11906" w:h="16838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1B" w:rsidRDefault="003D121B">
      <w:pPr>
        <w:spacing w:after="0" w:line="240" w:lineRule="auto"/>
      </w:pPr>
      <w:r>
        <w:separator/>
      </w:r>
    </w:p>
  </w:endnote>
  <w:endnote w:type="continuationSeparator" w:id="0">
    <w:p w:rsidR="003D121B" w:rsidRDefault="003D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Franklin Gothic 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Std"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A4" w:rsidRDefault="006A24A4" w:rsidP="006A24A4">
    <w:pPr>
      <w:pStyle w:val="Footer"/>
      <w:ind w:left="4513" w:hanging="45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32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1B" w:rsidRDefault="003D121B">
      <w:pPr>
        <w:spacing w:after="0" w:line="240" w:lineRule="auto"/>
      </w:pPr>
      <w:r>
        <w:separator/>
      </w:r>
    </w:p>
  </w:footnote>
  <w:footnote w:type="continuationSeparator" w:id="0">
    <w:p w:rsidR="003D121B" w:rsidRDefault="003D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14" w:rsidRPr="001E3774" w:rsidRDefault="00C75A0F" w:rsidP="00C0646D">
    <w:pPr>
      <w:spacing w:after="360"/>
      <w:rPr>
        <w:sz w:val="20"/>
      </w:rPr>
    </w:pPr>
    <w:r w:rsidRPr="00C75A0F">
      <w:rPr>
        <w:sz w:val="20"/>
        <w:szCs w:val="20"/>
      </w:rPr>
      <w:t>Sentence Appeals in Victoria: Higher Courts</w:t>
    </w:r>
    <w:r>
      <w:rPr>
        <w:sz w:val="20"/>
      </w:rPr>
      <w:t xml:space="preserve"> </w:t>
    </w:r>
    <w:r w:rsidR="0070601D">
      <w:rPr>
        <w:sz w:val="20"/>
      </w:rPr>
      <w:t xml:space="preserve">● </w:t>
    </w:r>
    <w:r>
      <w:rPr>
        <w:sz w:val="20"/>
      </w:rPr>
      <w:t xml:space="preserve">August 2018 </w:t>
    </w:r>
    <w:r w:rsidR="001E3774">
      <w:rPr>
        <w:sz w:val="20"/>
      </w:rPr>
      <w:t xml:space="preserve">● Sentencing Advisory Council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77F5"/>
    <w:multiLevelType w:val="hybridMultilevel"/>
    <w:tmpl w:val="825222A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BA1EF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5A31AD"/>
    <w:multiLevelType w:val="hybridMultilevel"/>
    <w:tmpl w:val="EA9E383E"/>
    <w:lvl w:ilvl="0" w:tplc="B6348BB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2FBD2207"/>
    <w:multiLevelType w:val="hybridMultilevel"/>
    <w:tmpl w:val="B6E87812"/>
    <w:lvl w:ilvl="0" w:tplc="B6348BB6">
      <w:start w:val="1"/>
      <w:numFmt w:val="bullet"/>
      <w:pStyle w:val="Bullets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9724048"/>
    <w:multiLevelType w:val="multilevel"/>
    <w:tmpl w:val="16FABB18"/>
    <w:lvl w:ilvl="0">
      <w:start w:val="1"/>
      <w:numFmt w:val="decimal"/>
      <w:pStyle w:val="Heading1Numbered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F332253"/>
    <w:multiLevelType w:val="hybridMultilevel"/>
    <w:tmpl w:val="0660F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FB"/>
    <w:rsid w:val="00007C8C"/>
    <w:rsid w:val="00014E52"/>
    <w:rsid w:val="00014F2C"/>
    <w:rsid w:val="00034AE6"/>
    <w:rsid w:val="00035413"/>
    <w:rsid w:val="0003580A"/>
    <w:rsid w:val="00041687"/>
    <w:rsid w:val="00050EE9"/>
    <w:rsid w:val="00057C77"/>
    <w:rsid w:val="00066A46"/>
    <w:rsid w:val="00075ECD"/>
    <w:rsid w:val="000802AD"/>
    <w:rsid w:val="000B634A"/>
    <w:rsid w:val="000C5A4C"/>
    <w:rsid w:val="000D7A46"/>
    <w:rsid w:val="000F454E"/>
    <w:rsid w:val="00122761"/>
    <w:rsid w:val="00131244"/>
    <w:rsid w:val="00135C30"/>
    <w:rsid w:val="001463DE"/>
    <w:rsid w:val="00150C14"/>
    <w:rsid w:val="00150DBB"/>
    <w:rsid w:val="00152192"/>
    <w:rsid w:val="00173049"/>
    <w:rsid w:val="00175A75"/>
    <w:rsid w:val="00191E69"/>
    <w:rsid w:val="00196D85"/>
    <w:rsid w:val="001A0831"/>
    <w:rsid w:val="001A72C5"/>
    <w:rsid w:val="001B255C"/>
    <w:rsid w:val="001D3B29"/>
    <w:rsid w:val="001E3774"/>
    <w:rsid w:val="001E4E27"/>
    <w:rsid w:val="001E50B6"/>
    <w:rsid w:val="00204ECE"/>
    <w:rsid w:val="00217FD7"/>
    <w:rsid w:val="00236601"/>
    <w:rsid w:val="00237CDC"/>
    <w:rsid w:val="0025199A"/>
    <w:rsid w:val="00263161"/>
    <w:rsid w:val="00266788"/>
    <w:rsid w:val="002667F1"/>
    <w:rsid w:val="002703FA"/>
    <w:rsid w:val="00283226"/>
    <w:rsid w:val="00287374"/>
    <w:rsid w:val="002940A2"/>
    <w:rsid w:val="00294202"/>
    <w:rsid w:val="002A466E"/>
    <w:rsid w:val="002B1984"/>
    <w:rsid w:val="002C2130"/>
    <w:rsid w:val="002D322E"/>
    <w:rsid w:val="002D3764"/>
    <w:rsid w:val="002E564C"/>
    <w:rsid w:val="002F7907"/>
    <w:rsid w:val="00307BF1"/>
    <w:rsid w:val="00311C7E"/>
    <w:rsid w:val="00315675"/>
    <w:rsid w:val="003220B1"/>
    <w:rsid w:val="003316F3"/>
    <w:rsid w:val="003330BE"/>
    <w:rsid w:val="00334D30"/>
    <w:rsid w:val="00347C2A"/>
    <w:rsid w:val="00365FDF"/>
    <w:rsid w:val="00370D1B"/>
    <w:rsid w:val="00376331"/>
    <w:rsid w:val="003948B9"/>
    <w:rsid w:val="00395F6D"/>
    <w:rsid w:val="003A1271"/>
    <w:rsid w:val="003A250D"/>
    <w:rsid w:val="003B1BD7"/>
    <w:rsid w:val="003B442C"/>
    <w:rsid w:val="003C3218"/>
    <w:rsid w:val="003D121B"/>
    <w:rsid w:val="003D5C43"/>
    <w:rsid w:val="004055B5"/>
    <w:rsid w:val="00415FFD"/>
    <w:rsid w:val="0042101E"/>
    <w:rsid w:val="00423332"/>
    <w:rsid w:val="00433B52"/>
    <w:rsid w:val="00457D97"/>
    <w:rsid w:val="004665B1"/>
    <w:rsid w:val="00480D98"/>
    <w:rsid w:val="00487F5F"/>
    <w:rsid w:val="00495415"/>
    <w:rsid w:val="004A7257"/>
    <w:rsid w:val="004B068E"/>
    <w:rsid w:val="004B12EE"/>
    <w:rsid w:val="004D055D"/>
    <w:rsid w:val="004D5EE2"/>
    <w:rsid w:val="004D7804"/>
    <w:rsid w:val="004E6367"/>
    <w:rsid w:val="005033AB"/>
    <w:rsid w:val="00517D1E"/>
    <w:rsid w:val="005266FB"/>
    <w:rsid w:val="00526D86"/>
    <w:rsid w:val="00542BCC"/>
    <w:rsid w:val="0056002A"/>
    <w:rsid w:val="005A1A70"/>
    <w:rsid w:val="005A2DD8"/>
    <w:rsid w:val="005A3FCE"/>
    <w:rsid w:val="005A5FC3"/>
    <w:rsid w:val="005B7138"/>
    <w:rsid w:val="005C16F8"/>
    <w:rsid w:val="005C7673"/>
    <w:rsid w:val="005D7FEE"/>
    <w:rsid w:val="005E1829"/>
    <w:rsid w:val="005E444F"/>
    <w:rsid w:val="00600D96"/>
    <w:rsid w:val="00622ABA"/>
    <w:rsid w:val="00632D14"/>
    <w:rsid w:val="00633044"/>
    <w:rsid w:val="0063308C"/>
    <w:rsid w:val="00636B72"/>
    <w:rsid w:val="00637285"/>
    <w:rsid w:val="00654B4A"/>
    <w:rsid w:val="00672D86"/>
    <w:rsid w:val="006A24A4"/>
    <w:rsid w:val="006B72F4"/>
    <w:rsid w:val="006D202C"/>
    <w:rsid w:val="006E77B6"/>
    <w:rsid w:val="006F6A5C"/>
    <w:rsid w:val="00703380"/>
    <w:rsid w:val="0070601D"/>
    <w:rsid w:val="0071116E"/>
    <w:rsid w:val="00720DFC"/>
    <w:rsid w:val="00721731"/>
    <w:rsid w:val="00721DE4"/>
    <w:rsid w:val="00735DF1"/>
    <w:rsid w:val="00742CAD"/>
    <w:rsid w:val="00744633"/>
    <w:rsid w:val="007455E8"/>
    <w:rsid w:val="00750C7D"/>
    <w:rsid w:val="00764EE8"/>
    <w:rsid w:val="007715AB"/>
    <w:rsid w:val="00771DA7"/>
    <w:rsid w:val="00786CC9"/>
    <w:rsid w:val="00790C4F"/>
    <w:rsid w:val="0079735B"/>
    <w:rsid w:val="007B298F"/>
    <w:rsid w:val="007B7B5A"/>
    <w:rsid w:val="007D1915"/>
    <w:rsid w:val="007E570C"/>
    <w:rsid w:val="007F25B8"/>
    <w:rsid w:val="007F788C"/>
    <w:rsid w:val="00814C4B"/>
    <w:rsid w:val="00831665"/>
    <w:rsid w:val="00831DDA"/>
    <w:rsid w:val="00854A59"/>
    <w:rsid w:val="00860690"/>
    <w:rsid w:val="00875A2F"/>
    <w:rsid w:val="00896433"/>
    <w:rsid w:val="0089673C"/>
    <w:rsid w:val="008A365A"/>
    <w:rsid w:val="008B2E75"/>
    <w:rsid w:val="008C0CC7"/>
    <w:rsid w:val="008C5259"/>
    <w:rsid w:val="008C52BC"/>
    <w:rsid w:val="008E470B"/>
    <w:rsid w:val="008F0875"/>
    <w:rsid w:val="009503C4"/>
    <w:rsid w:val="00951DEC"/>
    <w:rsid w:val="009603FA"/>
    <w:rsid w:val="00962ED1"/>
    <w:rsid w:val="00963820"/>
    <w:rsid w:val="00983D8C"/>
    <w:rsid w:val="009939F2"/>
    <w:rsid w:val="009967EC"/>
    <w:rsid w:val="009B171E"/>
    <w:rsid w:val="009C21E2"/>
    <w:rsid w:val="009C32E2"/>
    <w:rsid w:val="009D0FD7"/>
    <w:rsid w:val="009D1FE4"/>
    <w:rsid w:val="009E5334"/>
    <w:rsid w:val="009F489E"/>
    <w:rsid w:val="00A03A42"/>
    <w:rsid w:val="00A042E9"/>
    <w:rsid w:val="00A051EB"/>
    <w:rsid w:val="00A16780"/>
    <w:rsid w:val="00A350C2"/>
    <w:rsid w:val="00A679FC"/>
    <w:rsid w:val="00A73E41"/>
    <w:rsid w:val="00A813A8"/>
    <w:rsid w:val="00A94AEB"/>
    <w:rsid w:val="00A96DDD"/>
    <w:rsid w:val="00AC09D3"/>
    <w:rsid w:val="00AC54F2"/>
    <w:rsid w:val="00AE0DB0"/>
    <w:rsid w:val="00AE163C"/>
    <w:rsid w:val="00AE239B"/>
    <w:rsid w:val="00AE4854"/>
    <w:rsid w:val="00AE543E"/>
    <w:rsid w:val="00AE709F"/>
    <w:rsid w:val="00AE75F2"/>
    <w:rsid w:val="00B052EE"/>
    <w:rsid w:val="00B060F0"/>
    <w:rsid w:val="00B07B3F"/>
    <w:rsid w:val="00B55D2F"/>
    <w:rsid w:val="00B83836"/>
    <w:rsid w:val="00B84113"/>
    <w:rsid w:val="00BB426A"/>
    <w:rsid w:val="00BC1780"/>
    <w:rsid w:val="00BC2A02"/>
    <w:rsid w:val="00BF59DC"/>
    <w:rsid w:val="00C0128D"/>
    <w:rsid w:val="00C05A17"/>
    <w:rsid w:val="00C0646D"/>
    <w:rsid w:val="00C22333"/>
    <w:rsid w:val="00C279BA"/>
    <w:rsid w:val="00C54DC6"/>
    <w:rsid w:val="00C643FA"/>
    <w:rsid w:val="00C71FD8"/>
    <w:rsid w:val="00C75A0F"/>
    <w:rsid w:val="00C809CD"/>
    <w:rsid w:val="00C821A8"/>
    <w:rsid w:val="00C90739"/>
    <w:rsid w:val="00CA4604"/>
    <w:rsid w:val="00CC48DF"/>
    <w:rsid w:val="00CD2196"/>
    <w:rsid w:val="00CD484B"/>
    <w:rsid w:val="00CE02E1"/>
    <w:rsid w:val="00CE2625"/>
    <w:rsid w:val="00CE2DDE"/>
    <w:rsid w:val="00CE666D"/>
    <w:rsid w:val="00CE750F"/>
    <w:rsid w:val="00CF0E8D"/>
    <w:rsid w:val="00D02489"/>
    <w:rsid w:val="00D10620"/>
    <w:rsid w:val="00D22FF4"/>
    <w:rsid w:val="00D307AF"/>
    <w:rsid w:val="00D31FD8"/>
    <w:rsid w:val="00D53537"/>
    <w:rsid w:val="00D603F8"/>
    <w:rsid w:val="00D8626C"/>
    <w:rsid w:val="00D9381D"/>
    <w:rsid w:val="00DB57AC"/>
    <w:rsid w:val="00DC0AE0"/>
    <w:rsid w:val="00DC4EB8"/>
    <w:rsid w:val="00DF13A1"/>
    <w:rsid w:val="00DF5EED"/>
    <w:rsid w:val="00DF7329"/>
    <w:rsid w:val="00E07D69"/>
    <w:rsid w:val="00E3033C"/>
    <w:rsid w:val="00E458E1"/>
    <w:rsid w:val="00E53ABC"/>
    <w:rsid w:val="00E705AE"/>
    <w:rsid w:val="00E736B3"/>
    <w:rsid w:val="00E90DBD"/>
    <w:rsid w:val="00E924CB"/>
    <w:rsid w:val="00EA2B8E"/>
    <w:rsid w:val="00EA4146"/>
    <w:rsid w:val="00EA5225"/>
    <w:rsid w:val="00EA52C4"/>
    <w:rsid w:val="00ED7DF3"/>
    <w:rsid w:val="00EE2658"/>
    <w:rsid w:val="00EF55F1"/>
    <w:rsid w:val="00EF6DA6"/>
    <w:rsid w:val="00EF7419"/>
    <w:rsid w:val="00F10487"/>
    <w:rsid w:val="00F12469"/>
    <w:rsid w:val="00F27342"/>
    <w:rsid w:val="00F42F27"/>
    <w:rsid w:val="00F54D6A"/>
    <w:rsid w:val="00F56A1A"/>
    <w:rsid w:val="00F62D45"/>
    <w:rsid w:val="00F72229"/>
    <w:rsid w:val="00F77CB3"/>
    <w:rsid w:val="00F91FF2"/>
    <w:rsid w:val="00F93D7F"/>
    <w:rsid w:val="00FA491F"/>
    <w:rsid w:val="00FC1272"/>
    <w:rsid w:val="00FC15FB"/>
    <w:rsid w:val="00FC23CF"/>
    <w:rsid w:val="00FC3CCF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83C4C5F-D3D1-4575-9A66-3F58E43F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4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A75"/>
    <w:pPr>
      <w:suppressAutoHyphens/>
      <w:spacing w:before="120" w:after="120" w:line="36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3A1"/>
    <w:pPr>
      <w:keepNext/>
      <w:spacing w:before="240" w:after="60" w:line="240" w:lineRule="auto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E543E"/>
    <w:pPr>
      <w:keepNext/>
      <w:spacing w:before="240" w:line="240" w:lineRule="auto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28D"/>
    <w:pPr>
      <w:keepNext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DBB"/>
    <w:pPr>
      <w:keepNext/>
      <w:spacing w:before="240" w:after="60"/>
      <w:outlineLvl w:val="3"/>
    </w:pPr>
    <w:rPr>
      <w:rFonts w:ascii="Calibri" w:hAnsi="Calibri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380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380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380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380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380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 Regular" w:hAnsi="Helvetica Regular" w:cs="Helvetica Regular"/>
      <w:color w:val="000000"/>
      <w:szCs w:val="24"/>
      <w:lang w:val="en-GB"/>
    </w:rPr>
  </w:style>
  <w:style w:type="paragraph" w:customStyle="1" w:styleId="SectionTitleTitlePage">
    <w:name w:val="Section Title (Title Page)"/>
    <w:basedOn w:val="NoParagraphStyle"/>
    <w:uiPriority w:val="99"/>
    <w:pPr>
      <w:pageBreakBefore/>
      <w:suppressAutoHyphens/>
      <w:spacing w:after="520" w:line="680" w:lineRule="atLeast"/>
    </w:pPr>
    <w:rPr>
      <w:rFonts w:ascii="ITC Franklin Gothic Book" w:hAnsi="ITC Franklin Gothic Book" w:cs="ITC Franklin Gothic Book"/>
      <w:color w:val="246754"/>
      <w:sz w:val="60"/>
      <w:szCs w:val="60"/>
      <w:lang w:val="en-US"/>
    </w:rPr>
  </w:style>
  <w:style w:type="paragraph" w:customStyle="1" w:styleId="AnchorGeneralStyles">
    <w:name w:val="Anchor (General Styles)"/>
    <w:basedOn w:val="NoParagraphStyle"/>
    <w:uiPriority w:val="99"/>
    <w:pPr>
      <w:suppressAutoHyphens/>
      <w:spacing w:line="130" w:lineRule="atLeast"/>
    </w:pPr>
    <w:rPr>
      <w:rFonts w:ascii="Gill Sans Std" w:hAnsi="Gill Sans Std" w:cs="Gill Sans Std"/>
      <w:sz w:val="13"/>
      <w:szCs w:val="13"/>
    </w:rPr>
  </w:style>
  <w:style w:type="paragraph" w:customStyle="1" w:styleId="BodynumberedGeneralStyles">
    <w:name w:val="Body numbered (General Styles)"/>
    <w:basedOn w:val="NoParagraphStyle"/>
    <w:uiPriority w:val="99"/>
    <w:pPr>
      <w:tabs>
        <w:tab w:val="left" w:pos="907"/>
      </w:tabs>
      <w:suppressAutoHyphens/>
      <w:spacing w:after="113" w:line="260" w:lineRule="atLeast"/>
      <w:ind w:left="737" w:hanging="737"/>
    </w:pPr>
    <w:rPr>
      <w:rFonts w:ascii="Gill Sans Std Light" w:hAnsi="Gill Sans Std Light" w:cs="Gill Sans Std Light"/>
      <w:sz w:val="21"/>
      <w:szCs w:val="21"/>
      <w:lang w:val="en-US"/>
    </w:rPr>
  </w:style>
  <w:style w:type="paragraph" w:customStyle="1" w:styleId="Body11Pre-bulletBodyParas">
    <w:name w:val="Body 1.1 Pre-bullet (Body Paras)"/>
    <w:basedOn w:val="BodynumberedGeneralStyles"/>
    <w:uiPriority w:val="99"/>
    <w:pPr>
      <w:spacing w:after="57" w:line="270" w:lineRule="atLeast"/>
      <w:ind w:left="454" w:hanging="454"/>
    </w:pPr>
  </w:style>
  <w:style w:type="paragraph" w:customStyle="1" w:styleId="BodyGeneralStyles">
    <w:name w:val="Body (General Styles)"/>
    <w:basedOn w:val="NoParagraphStyle"/>
    <w:uiPriority w:val="99"/>
    <w:pPr>
      <w:suppressAutoHyphens/>
      <w:spacing w:after="135" w:line="270" w:lineRule="atLeast"/>
    </w:pPr>
    <w:rPr>
      <w:rFonts w:ascii="Gill Sans Std Light" w:hAnsi="Gill Sans Std Light" w:cs="Gill Sans Std Light"/>
      <w:sz w:val="21"/>
      <w:szCs w:val="21"/>
      <w:lang w:val="en-US"/>
    </w:rPr>
  </w:style>
  <w:style w:type="paragraph" w:customStyle="1" w:styleId="BulletindentGeneralStyles">
    <w:name w:val="Bullet indent (General Styles)"/>
    <w:basedOn w:val="BodyGeneralStyles"/>
    <w:uiPriority w:val="99"/>
    <w:pPr>
      <w:tabs>
        <w:tab w:val="left" w:pos="907"/>
      </w:tabs>
      <w:spacing w:after="57"/>
      <w:ind w:left="850" w:hanging="227"/>
    </w:pPr>
  </w:style>
  <w:style w:type="paragraph" w:customStyle="1" w:styleId="BulletindentlastGeneralStyles">
    <w:name w:val="Bullet indent last (General Styles)"/>
    <w:basedOn w:val="BulletindentGeneralStyles"/>
    <w:uiPriority w:val="99"/>
    <w:pPr>
      <w:spacing w:after="135"/>
    </w:pPr>
  </w:style>
  <w:style w:type="paragraph" w:customStyle="1" w:styleId="Body11BodyParas">
    <w:name w:val="Body 1.1 (Body Paras)"/>
    <w:basedOn w:val="BodynumberedGeneralStyles"/>
    <w:uiPriority w:val="99"/>
    <w:pPr>
      <w:spacing w:after="130" w:line="270" w:lineRule="atLeast"/>
      <w:ind w:left="510" w:hanging="510"/>
    </w:pPr>
  </w:style>
  <w:style w:type="paragraph" w:customStyle="1" w:styleId="Heading1GeneralStyles">
    <w:name w:val="Heading 1 (General Styles)"/>
    <w:basedOn w:val="NoParagraphStyle"/>
    <w:uiPriority w:val="99"/>
    <w:pPr>
      <w:suppressAutoHyphens/>
      <w:spacing w:before="270" w:after="135" w:line="400" w:lineRule="atLeast"/>
    </w:pPr>
    <w:rPr>
      <w:rFonts w:ascii="ITC Franklin Gothic Book" w:hAnsi="ITC Franklin Gothic Book" w:cs="ITC Franklin Gothic Book"/>
      <w:color w:val="55565A"/>
      <w:sz w:val="36"/>
      <w:szCs w:val="36"/>
      <w:lang w:val="en-US"/>
    </w:rPr>
  </w:style>
  <w:style w:type="paragraph" w:customStyle="1" w:styleId="Body21Pre-bulletBodyParas">
    <w:name w:val="Body 2.1 Pre-bullet (Body Paras)"/>
    <w:basedOn w:val="Body11BodyParas"/>
    <w:uiPriority w:val="99"/>
    <w:pPr>
      <w:spacing w:after="57"/>
    </w:pPr>
  </w:style>
  <w:style w:type="paragraph" w:customStyle="1" w:styleId="Body21BodyParas">
    <w:name w:val="Body 2.1 (Body Paras)"/>
    <w:basedOn w:val="Body11BodyParas"/>
    <w:uiPriority w:val="99"/>
  </w:style>
  <w:style w:type="paragraph" w:customStyle="1" w:styleId="Heading2GeneralStyles">
    <w:name w:val="Heading 2 (General Styles)"/>
    <w:basedOn w:val="NoParagraphStyle"/>
    <w:uiPriority w:val="99"/>
    <w:pPr>
      <w:suppressAutoHyphens/>
      <w:spacing w:before="260" w:after="130" w:line="320" w:lineRule="atLeast"/>
    </w:pPr>
    <w:rPr>
      <w:rFonts w:ascii="ITC Franklin Gothic Book" w:hAnsi="ITC Franklin Gothic Book" w:cs="ITC Franklin Gothic Book"/>
      <w:color w:val="246754"/>
      <w:sz w:val="28"/>
      <w:szCs w:val="28"/>
      <w:lang w:val="en-US"/>
    </w:rPr>
  </w:style>
  <w:style w:type="paragraph" w:customStyle="1" w:styleId="QuoteGeneralStyles">
    <w:name w:val="Quote (General Styles)"/>
    <w:basedOn w:val="BodyGeneralStyles"/>
    <w:uiPriority w:val="99"/>
    <w:pPr>
      <w:ind w:left="794" w:right="57"/>
    </w:pPr>
    <w:rPr>
      <w:sz w:val="19"/>
      <w:szCs w:val="19"/>
    </w:rPr>
  </w:style>
  <w:style w:type="paragraph" w:customStyle="1" w:styleId="Heading3GeneralStyles">
    <w:name w:val="Heading 3 (General Styles)"/>
    <w:basedOn w:val="NoParagraphStyle"/>
    <w:uiPriority w:val="99"/>
    <w:pPr>
      <w:suppressAutoHyphens/>
      <w:spacing w:before="170" w:after="57" w:line="290" w:lineRule="atLeast"/>
    </w:pPr>
    <w:rPr>
      <w:rFonts w:ascii="ITC Franklin Gothic Book" w:hAnsi="ITC Franklin Gothic Book" w:cs="ITC Franklin Gothic Book"/>
      <w:color w:val="55565A"/>
      <w:sz w:val="25"/>
      <w:szCs w:val="25"/>
      <w:lang w:val="en-US"/>
    </w:rPr>
  </w:style>
  <w:style w:type="paragraph" w:customStyle="1" w:styleId="FigureTableTitleFiguresTable">
    <w:name w:val="Figure / Table Title (Figures / Table)"/>
    <w:basedOn w:val="BodyGeneralStyles"/>
    <w:uiPriority w:val="99"/>
    <w:pPr>
      <w:tabs>
        <w:tab w:val="left" w:pos="907"/>
      </w:tabs>
      <w:spacing w:before="113" w:line="200" w:lineRule="atLeast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Body31BodyParas">
    <w:name w:val="Body 3.1 (Body Paras)"/>
    <w:basedOn w:val="Body11BodyParas"/>
    <w:uiPriority w:val="99"/>
  </w:style>
  <w:style w:type="paragraph" w:customStyle="1" w:styleId="Footnote1-99Footnote">
    <w:name w:val="Footnote 1-99 (Footnote)"/>
    <w:basedOn w:val="NoParagraphStyle"/>
    <w:uiPriority w:val="99"/>
    <w:pPr>
      <w:tabs>
        <w:tab w:val="left" w:pos="255"/>
      </w:tabs>
      <w:suppressAutoHyphens/>
      <w:spacing w:after="113" w:line="180" w:lineRule="atLeast"/>
      <w:ind w:left="255" w:hanging="255"/>
    </w:pPr>
    <w:rPr>
      <w:rFonts w:ascii="Gill Sans Std Light" w:hAnsi="Gill Sans Std Light" w:cs="Gill Sans Std Light"/>
      <w:sz w:val="15"/>
      <w:szCs w:val="15"/>
      <w:lang w:val="en-US"/>
    </w:rPr>
  </w:style>
  <w:style w:type="paragraph" w:customStyle="1" w:styleId="Body31Pre-bulletBodyParas">
    <w:name w:val="Body 3.1 Pre-bullet (Body Paras)"/>
    <w:basedOn w:val="Body11BodyParas"/>
    <w:uiPriority w:val="99"/>
    <w:pPr>
      <w:spacing w:after="58"/>
    </w:pPr>
  </w:style>
  <w:style w:type="paragraph" w:customStyle="1" w:styleId="BodyindentGeneralStyles">
    <w:name w:val="Body indent (General Styles)"/>
    <w:basedOn w:val="BodyGeneralStyles"/>
    <w:uiPriority w:val="99"/>
    <w:pPr>
      <w:ind w:left="510"/>
    </w:pPr>
  </w:style>
  <w:style w:type="paragraph" w:customStyle="1" w:styleId="Body41Pre-BulletBodyParas">
    <w:name w:val="Body 4.1 Pre-Bullet (Body Paras)"/>
    <w:basedOn w:val="Body11BodyParas"/>
    <w:uiPriority w:val="99"/>
    <w:pPr>
      <w:spacing w:after="58"/>
    </w:pPr>
  </w:style>
  <w:style w:type="paragraph" w:customStyle="1" w:styleId="Body41BodyParas">
    <w:name w:val="Body 4.1 (Body Paras)"/>
    <w:basedOn w:val="Body11BodyParas"/>
    <w:uiPriority w:val="99"/>
  </w:style>
  <w:style w:type="paragraph" w:customStyle="1" w:styleId="Body51Pre-bulletBodyParas">
    <w:name w:val="Body 5.1 Pre-bullet (Body Paras)"/>
    <w:basedOn w:val="Body11BodyParas"/>
    <w:uiPriority w:val="99"/>
    <w:pPr>
      <w:spacing w:after="58"/>
    </w:pPr>
  </w:style>
  <w:style w:type="paragraph" w:customStyle="1" w:styleId="Body51BodyParas">
    <w:name w:val="Body 5.1 (Body Paras)"/>
    <w:basedOn w:val="Body11BodyParas"/>
    <w:uiPriority w:val="99"/>
  </w:style>
  <w:style w:type="paragraph" w:customStyle="1" w:styleId="Body61Pre-bulletBodyParas">
    <w:name w:val="Body 6.1 Pre-bullet (Body Paras)"/>
    <w:basedOn w:val="Body11BodyParas"/>
    <w:uiPriority w:val="99"/>
    <w:pPr>
      <w:spacing w:after="58"/>
    </w:pPr>
  </w:style>
  <w:style w:type="paragraph" w:customStyle="1" w:styleId="Body61BodyParas">
    <w:name w:val="Body 6.1 (Body Paras)"/>
    <w:basedOn w:val="Body11BodyParas"/>
    <w:uiPriority w:val="99"/>
  </w:style>
  <w:style w:type="paragraph" w:customStyle="1" w:styleId="Body71BodyParas">
    <w:name w:val="Body 7.1 (Body Paras)"/>
    <w:basedOn w:val="Body11BodyParas"/>
    <w:uiPriority w:val="99"/>
  </w:style>
  <w:style w:type="paragraph" w:customStyle="1" w:styleId="Body71Pre-bulletBodyParas">
    <w:name w:val="Body 7.1 Pre-bullet (Body Paras)"/>
    <w:basedOn w:val="Body11BodyParas"/>
    <w:uiPriority w:val="99"/>
    <w:pPr>
      <w:spacing w:after="58"/>
    </w:pPr>
  </w:style>
  <w:style w:type="paragraph" w:customStyle="1" w:styleId="GlossaryEntryGeneralStyles">
    <w:name w:val="Glossary Entry (General Styles)"/>
    <w:basedOn w:val="NoParagraphStyle"/>
    <w:uiPriority w:val="99"/>
    <w:pPr>
      <w:suppressAutoHyphens/>
      <w:spacing w:line="230" w:lineRule="atLeast"/>
    </w:pPr>
    <w:rPr>
      <w:rFonts w:ascii="ITC Franklin Gothic Book" w:hAnsi="ITC Franklin Gothic Book" w:cs="ITC Franklin Gothic Book"/>
      <w:color w:val="246754"/>
      <w:sz w:val="20"/>
      <w:szCs w:val="20"/>
      <w:lang w:val="en-US"/>
    </w:rPr>
  </w:style>
  <w:style w:type="paragraph" w:customStyle="1" w:styleId="BodyPre-bulletGeneralStyles">
    <w:name w:val="Body Pre-bullet (General Styles)"/>
    <w:basedOn w:val="NoParagraphStyle"/>
    <w:uiPriority w:val="99"/>
    <w:pPr>
      <w:suppressAutoHyphens/>
      <w:spacing w:after="57" w:line="270" w:lineRule="atLeast"/>
    </w:pPr>
    <w:rPr>
      <w:rFonts w:ascii="Gill Sans Std Light" w:hAnsi="Gill Sans Std Light" w:cs="Gill Sans Std Light"/>
      <w:sz w:val="21"/>
      <w:szCs w:val="21"/>
      <w:lang w:val="en-US"/>
    </w:rPr>
  </w:style>
  <w:style w:type="paragraph" w:customStyle="1" w:styleId="BulletGeneralStyles">
    <w:name w:val="Bullet (General Styles)"/>
    <w:basedOn w:val="BodyGeneralStyles"/>
    <w:uiPriority w:val="99"/>
    <w:pPr>
      <w:tabs>
        <w:tab w:val="left" w:pos="907"/>
      </w:tabs>
      <w:spacing w:after="57"/>
      <w:ind w:left="360" w:hanging="170"/>
    </w:pPr>
  </w:style>
  <w:style w:type="paragraph" w:customStyle="1" w:styleId="TableHeadingLeftFiguresTable">
    <w:name w:val="Table Heading Left (Figures / Table)"/>
    <w:basedOn w:val="BodyGeneralStyles"/>
    <w:uiPriority w:val="99"/>
    <w:pPr>
      <w:spacing w:line="240" w:lineRule="atLeast"/>
    </w:pPr>
    <w:rPr>
      <w:rFonts w:ascii="ITC Franklin Gothic Book" w:hAnsi="ITC Franklin Gothic Book" w:cs="ITC Franklin Gothic Book"/>
      <w:color w:val="246754"/>
      <w:sz w:val="18"/>
      <w:szCs w:val="18"/>
    </w:rPr>
  </w:style>
  <w:style w:type="paragraph" w:customStyle="1" w:styleId="TableBodyLeftFiguresTable">
    <w:name w:val="Table Body Left (Figures / Table)"/>
    <w:basedOn w:val="NoParagraphStyle"/>
    <w:uiPriority w:val="99"/>
    <w:pPr>
      <w:suppressAutoHyphens/>
      <w:spacing w:after="135" w:line="240" w:lineRule="atLeast"/>
    </w:pPr>
    <w:rPr>
      <w:rFonts w:ascii="ITC Franklin Gothic Book" w:hAnsi="ITC Franklin Gothic Book" w:cs="ITC Franklin Gothic Book"/>
      <w:sz w:val="18"/>
      <w:szCs w:val="18"/>
      <w:lang w:val="en-US"/>
    </w:rPr>
  </w:style>
  <w:style w:type="paragraph" w:customStyle="1" w:styleId="TableBodyRightFiguresTable">
    <w:name w:val="Table Body Right (Figures / Table)"/>
    <w:basedOn w:val="BodyGeneralStyles"/>
    <w:uiPriority w:val="99"/>
    <w:pPr>
      <w:spacing w:line="240" w:lineRule="atLeast"/>
      <w:jc w:val="right"/>
    </w:pPr>
    <w:rPr>
      <w:rFonts w:ascii="ITC Franklin Gothic Book" w:hAnsi="ITC Franklin Gothic Book" w:cs="ITC Franklin Gothic Book"/>
      <w:sz w:val="18"/>
      <w:szCs w:val="18"/>
    </w:rPr>
  </w:style>
  <w:style w:type="paragraph" w:customStyle="1" w:styleId="TableBodyPre-bulletFiguresTable">
    <w:name w:val="Table Body Pre-bullet (Figures / Table)"/>
    <w:basedOn w:val="NoParagraphStyle"/>
    <w:uiPriority w:val="99"/>
    <w:pPr>
      <w:suppressAutoHyphens/>
      <w:spacing w:after="60" w:line="240" w:lineRule="atLeast"/>
    </w:pPr>
    <w:rPr>
      <w:rFonts w:ascii="ITC Franklin Gothic Book" w:hAnsi="ITC Franklin Gothic Book" w:cs="ITC Franklin Gothic Book"/>
      <w:sz w:val="18"/>
      <w:szCs w:val="18"/>
      <w:lang w:val="en-US"/>
    </w:rPr>
  </w:style>
  <w:style w:type="paragraph" w:customStyle="1" w:styleId="TableBulletFiguresTable">
    <w:name w:val="Table Bullet (Figures / Table)"/>
    <w:basedOn w:val="NoParagraphStyle"/>
    <w:uiPriority w:val="99"/>
    <w:pPr>
      <w:suppressAutoHyphens/>
      <w:spacing w:after="40" w:line="240" w:lineRule="atLeast"/>
      <w:ind w:left="198" w:hanging="198"/>
    </w:pPr>
    <w:rPr>
      <w:rFonts w:ascii="ITC Franklin Gothic Book" w:hAnsi="ITC Franklin Gothic Book" w:cs="ITC Franklin Gothic Book"/>
      <w:sz w:val="18"/>
      <w:szCs w:val="18"/>
      <w:lang w:val="en-US"/>
    </w:rPr>
  </w:style>
  <w:style w:type="paragraph" w:customStyle="1" w:styleId="TableHeadingRightFiguresTable">
    <w:name w:val="Table Heading Right (Figures / Table)"/>
    <w:basedOn w:val="BodyGeneralStyles"/>
    <w:uiPriority w:val="99"/>
    <w:pPr>
      <w:spacing w:line="240" w:lineRule="atLeast"/>
      <w:jc w:val="right"/>
    </w:pPr>
    <w:rPr>
      <w:rFonts w:ascii="ITC Franklin Gothic Book" w:hAnsi="ITC Franklin Gothic Book" w:cs="ITC Franklin Gothic Book"/>
      <w:color w:val="246754"/>
      <w:sz w:val="18"/>
      <w:szCs w:val="18"/>
    </w:rPr>
  </w:style>
  <w:style w:type="paragraph" w:customStyle="1" w:styleId="Footnote100-999Footnote">
    <w:name w:val="Footnote 100-999 (Footnote)"/>
    <w:basedOn w:val="NoParagraphStyle"/>
    <w:uiPriority w:val="99"/>
    <w:pPr>
      <w:tabs>
        <w:tab w:val="left" w:pos="369"/>
      </w:tabs>
      <w:suppressAutoHyphens/>
      <w:spacing w:after="113" w:line="180" w:lineRule="atLeast"/>
      <w:ind w:left="369" w:hanging="369"/>
    </w:pPr>
    <w:rPr>
      <w:rFonts w:ascii="Gill Sans Std Light" w:hAnsi="Gill Sans Std Light" w:cs="Gill Sans Std Light"/>
      <w:sz w:val="15"/>
      <w:szCs w:val="15"/>
      <w:lang w:val="en-US"/>
    </w:rPr>
  </w:style>
  <w:style w:type="character" w:customStyle="1" w:styleId="LightItalic">
    <w:name w:val="Light Italic"/>
    <w:uiPriority w:val="99"/>
    <w:rPr>
      <w:rFonts w:ascii="Gill Sans Std Light" w:hAnsi="Gill Sans Std Light" w:cs="Gill Sans Std Light"/>
      <w:i/>
      <w:iCs/>
      <w:lang w:val="en-AU"/>
    </w:rPr>
  </w:style>
  <w:style w:type="character" w:customStyle="1" w:styleId="Superscript">
    <w:name w:val="Superscript"/>
    <w:uiPriority w:val="9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CE666D"/>
  </w:style>
  <w:style w:type="paragraph" w:customStyle="1" w:styleId="TitleTitlePage">
    <w:name w:val="Title (Title Page)"/>
    <w:basedOn w:val="Normal"/>
    <w:uiPriority w:val="99"/>
    <w:rsid w:val="00AE75F2"/>
    <w:pPr>
      <w:widowControl w:val="0"/>
      <w:autoSpaceDE w:val="0"/>
      <w:autoSpaceDN w:val="0"/>
      <w:adjustRightInd w:val="0"/>
      <w:spacing w:after="0" w:line="680" w:lineRule="atLeast"/>
      <w:textAlignment w:val="center"/>
    </w:pPr>
    <w:rPr>
      <w:rFonts w:ascii="ITC Franklin Gothic Book" w:hAnsi="ITC Franklin Gothic Book" w:cs="ITC Franklin Gothic Book"/>
      <w:color w:val="55565A"/>
      <w:sz w:val="60"/>
      <w:szCs w:val="60"/>
      <w:lang w:val="en-US"/>
    </w:rPr>
  </w:style>
  <w:style w:type="paragraph" w:customStyle="1" w:styleId="SubtitleTitlePage">
    <w:name w:val="Subtitle (Title Page)"/>
    <w:basedOn w:val="TitleTitlePage"/>
    <w:uiPriority w:val="99"/>
    <w:rsid w:val="00AE75F2"/>
    <w:pPr>
      <w:spacing w:after="540"/>
    </w:pPr>
    <w:rPr>
      <w:color w:val="246754"/>
    </w:rPr>
  </w:style>
  <w:style w:type="paragraph" w:customStyle="1" w:styleId="ContributorsheaderImprintandContributors">
    <w:name w:val="Contributors header (Imprint and Contributors)"/>
    <w:basedOn w:val="Normal"/>
    <w:uiPriority w:val="99"/>
    <w:rsid w:val="00AE75F2"/>
    <w:pPr>
      <w:widowControl w:val="0"/>
      <w:autoSpaceDE w:val="0"/>
      <w:autoSpaceDN w:val="0"/>
      <w:adjustRightInd w:val="0"/>
      <w:spacing w:before="270" w:after="0" w:line="270" w:lineRule="atLeast"/>
    </w:pPr>
    <w:rPr>
      <w:rFonts w:ascii="ITC Franklin Gothic Book" w:hAnsi="ITC Franklin Gothic Book" w:cs="ITC Franklin Gothic Book"/>
      <w:color w:val="246754"/>
      <w:sz w:val="21"/>
      <w:szCs w:val="21"/>
      <w:lang w:val="en-US"/>
    </w:rPr>
  </w:style>
  <w:style w:type="paragraph" w:customStyle="1" w:styleId="ContributorslistImprintandContributors">
    <w:name w:val="Contributors list (Imprint and Contributors)"/>
    <w:basedOn w:val="Normal"/>
    <w:uiPriority w:val="99"/>
    <w:rsid w:val="00AE75F2"/>
    <w:pPr>
      <w:widowControl w:val="0"/>
      <w:autoSpaceDE w:val="0"/>
      <w:autoSpaceDN w:val="0"/>
      <w:adjustRightInd w:val="0"/>
      <w:spacing w:after="0" w:line="270" w:lineRule="atLeast"/>
    </w:pPr>
    <w:rPr>
      <w:rFonts w:ascii="Gill Sans Std Light" w:hAnsi="Gill Sans Std Light" w:cs="Gill Sans Std Light"/>
      <w:color w:val="000000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D14"/>
  </w:style>
  <w:style w:type="paragraph" w:styleId="Footer">
    <w:name w:val="footer"/>
    <w:basedOn w:val="Normal"/>
    <w:link w:val="FooterChar"/>
    <w:uiPriority w:val="99"/>
    <w:unhideWhenUsed/>
    <w:rsid w:val="00632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D14"/>
  </w:style>
  <w:style w:type="character" w:styleId="Hyperlink">
    <w:name w:val="Hyperlink"/>
    <w:uiPriority w:val="99"/>
    <w:unhideWhenUsed/>
    <w:rsid w:val="00CE666D"/>
    <w:rPr>
      <w:color w:val="0563C1"/>
      <w:u w:val="single"/>
    </w:rPr>
  </w:style>
  <w:style w:type="paragraph" w:customStyle="1" w:styleId="ImprintImprintandContributors">
    <w:name w:val="Imprint (Imprint and Contributors)"/>
    <w:basedOn w:val="Normal"/>
    <w:uiPriority w:val="99"/>
    <w:rsid w:val="00B83836"/>
    <w:pPr>
      <w:widowControl w:val="0"/>
      <w:autoSpaceDE w:val="0"/>
      <w:autoSpaceDN w:val="0"/>
      <w:adjustRightInd w:val="0"/>
      <w:spacing w:line="240" w:lineRule="atLeast"/>
    </w:pPr>
    <w:rPr>
      <w:rFonts w:ascii="Gill Sans Std Light" w:hAnsi="Gill Sans Std Light" w:cs="Gill Sans Std Light"/>
      <w:color w:val="000000"/>
      <w:sz w:val="18"/>
      <w:szCs w:val="18"/>
      <w:lang w:val="en-US"/>
    </w:rPr>
  </w:style>
  <w:style w:type="paragraph" w:customStyle="1" w:styleId="Subtitle2TitlePage">
    <w:name w:val="Subtitle 2 (Title Page)"/>
    <w:basedOn w:val="NoParagraphStyle"/>
    <w:uiPriority w:val="99"/>
    <w:rsid w:val="005B7138"/>
    <w:pPr>
      <w:suppressAutoHyphens/>
      <w:spacing w:line="400" w:lineRule="atLeast"/>
    </w:pPr>
    <w:rPr>
      <w:rFonts w:ascii="ITC Franklin Gothic Book" w:hAnsi="ITC Franklin Gothic Book" w:cs="ITC Franklin Gothic Book"/>
      <w:color w:val="55565A"/>
      <w:sz w:val="36"/>
      <w:szCs w:val="36"/>
      <w:lang w:val="en-US"/>
    </w:rPr>
  </w:style>
  <w:style w:type="character" w:customStyle="1" w:styleId="Heading1Char">
    <w:name w:val="Heading 1 Char"/>
    <w:link w:val="Heading1"/>
    <w:uiPriority w:val="99"/>
    <w:rsid w:val="00DF13A1"/>
    <w:rPr>
      <w:b/>
      <w:bCs/>
      <w:kern w:val="32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53537"/>
    <w:pPr>
      <w:spacing w:after="240" w:line="240" w:lineRule="auto"/>
      <w:outlineLvl w:val="0"/>
    </w:pPr>
    <w:rPr>
      <w:b/>
      <w:bCs/>
      <w:kern w:val="28"/>
      <w:sz w:val="48"/>
      <w:szCs w:val="32"/>
    </w:rPr>
  </w:style>
  <w:style w:type="character" w:customStyle="1" w:styleId="TitleChar">
    <w:name w:val="Title Char"/>
    <w:link w:val="Title"/>
    <w:uiPriority w:val="10"/>
    <w:rsid w:val="00D53537"/>
    <w:rPr>
      <w:b/>
      <w:bCs/>
      <w:kern w:val="28"/>
      <w:sz w:val="48"/>
      <w:szCs w:val="32"/>
    </w:rPr>
  </w:style>
  <w:style w:type="character" w:styleId="Strong">
    <w:name w:val="Strong"/>
    <w:uiPriority w:val="22"/>
    <w:qFormat/>
    <w:rsid w:val="002B1984"/>
    <w:rPr>
      <w:b/>
      <w:bCs/>
    </w:rPr>
  </w:style>
  <w:style w:type="character" w:customStyle="1" w:styleId="Heading2Char">
    <w:name w:val="Heading 2 Char"/>
    <w:link w:val="Heading2"/>
    <w:uiPriority w:val="99"/>
    <w:rsid w:val="00AE543E"/>
    <w:rPr>
      <w:b/>
      <w:bCs/>
      <w:iCs/>
      <w:sz w:val="28"/>
      <w:szCs w:val="28"/>
    </w:rPr>
  </w:style>
  <w:style w:type="character" w:styleId="Emphasis">
    <w:name w:val="Emphasis"/>
    <w:uiPriority w:val="20"/>
    <w:qFormat/>
    <w:rsid w:val="009E5334"/>
    <w:rPr>
      <w:i/>
      <w:iCs/>
    </w:rPr>
  </w:style>
  <w:style w:type="paragraph" w:customStyle="1" w:styleId="Numbered">
    <w:name w:val="Numbered"/>
    <w:basedOn w:val="NormalIndent"/>
    <w:link w:val="NumberedChar"/>
    <w:qFormat/>
    <w:rsid w:val="00307BF1"/>
    <w:pPr>
      <w:numPr>
        <w:ilvl w:val="1"/>
        <w:numId w:val="4"/>
      </w:numPr>
      <w:tabs>
        <w:tab w:val="left" w:pos="851"/>
      </w:tabs>
      <w:ind w:left="851" w:hanging="851"/>
    </w:pPr>
  </w:style>
  <w:style w:type="character" w:customStyle="1" w:styleId="Heading3Char">
    <w:name w:val="Heading 3 Char"/>
    <w:link w:val="Heading3"/>
    <w:uiPriority w:val="9"/>
    <w:rsid w:val="00C0128D"/>
    <w:rPr>
      <w:rFonts w:ascii="Verdana" w:eastAsia="Times New Roman" w:hAnsi="Verdana" w:cs="Times New Roman"/>
      <w:b/>
      <w:bCs/>
      <w:sz w:val="26"/>
      <w:szCs w:val="26"/>
    </w:rPr>
  </w:style>
  <w:style w:type="paragraph" w:styleId="NormalIndent">
    <w:name w:val="Normal Indent"/>
    <w:basedOn w:val="Normal"/>
    <w:link w:val="NormalIndentChar"/>
    <w:uiPriority w:val="99"/>
    <w:semiHidden/>
    <w:unhideWhenUsed/>
    <w:rsid w:val="005E444F"/>
    <w:pPr>
      <w:ind w:left="720"/>
    </w:pPr>
  </w:style>
  <w:style w:type="character" w:customStyle="1" w:styleId="NormalIndentChar">
    <w:name w:val="Normal Indent Char"/>
    <w:link w:val="NormalIndent"/>
    <w:uiPriority w:val="99"/>
    <w:semiHidden/>
    <w:rsid w:val="005E444F"/>
    <w:rPr>
      <w:rFonts w:ascii="Verdana" w:hAnsi="Verdana"/>
      <w:sz w:val="24"/>
      <w:szCs w:val="22"/>
    </w:rPr>
  </w:style>
  <w:style w:type="character" w:customStyle="1" w:styleId="NumberedChar">
    <w:name w:val="Numbered Char"/>
    <w:link w:val="Numbered"/>
    <w:rsid w:val="00307BF1"/>
    <w:rPr>
      <w:rFonts w:ascii="Verdana" w:hAnsi="Verdana"/>
      <w:sz w:val="24"/>
      <w:szCs w:val="22"/>
    </w:rPr>
  </w:style>
  <w:style w:type="character" w:customStyle="1" w:styleId="Heading4Char">
    <w:name w:val="Heading 4 Char"/>
    <w:link w:val="Heading4"/>
    <w:uiPriority w:val="9"/>
    <w:rsid w:val="00150DBB"/>
    <w:rPr>
      <w:b/>
      <w:bCs/>
      <w:i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033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338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0338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338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3380"/>
    <w:rPr>
      <w:rFonts w:ascii="Calibri Light" w:eastAsia="Times New Roman" w:hAnsi="Calibri Light" w:cs="Times New Roman"/>
      <w:sz w:val="22"/>
      <w:szCs w:val="22"/>
    </w:rPr>
  </w:style>
  <w:style w:type="paragraph" w:customStyle="1" w:styleId="Heading1Numbered">
    <w:name w:val="Heading 1 Numbered"/>
    <w:next w:val="Numbered"/>
    <w:link w:val="Heading1NumberedChar"/>
    <w:qFormat/>
    <w:rsid w:val="00E736B3"/>
    <w:pPr>
      <w:pageBreakBefore/>
      <w:numPr>
        <w:numId w:val="4"/>
      </w:numPr>
      <w:tabs>
        <w:tab w:val="left" w:pos="851"/>
      </w:tabs>
      <w:suppressAutoHyphens/>
      <w:spacing w:after="120"/>
      <w:ind w:left="851" w:hanging="851"/>
    </w:pPr>
    <w:rPr>
      <w:b/>
      <w:bCs/>
      <w:kern w:val="32"/>
      <w:sz w:val="48"/>
      <w:szCs w:val="32"/>
    </w:rPr>
  </w:style>
  <w:style w:type="paragraph" w:customStyle="1" w:styleId="Bullets">
    <w:name w:val="Bullets"/>
    <w:basedOn w:val="Normal"/>
    <w:qFormat/>
    <w:rsid w:val="00951DEC"/>
    <w:pPr>
      <w:numPr>
        <w:numId w:val="6"/>
      </w:numPr>
      <w:spacing w:before="60" w:after="60"/>
      <w:ind w:left="1293" w:hanging="357"/>
    </w:pPr>
  </w:style>
  <w:style w:type="character" w:customStyle="1" w:styleId="Heading1NumberedChar">
    <w:name w:val="Heading 1 Numbered Char"/>
    <w:link w:val="Heading1Numbered"/>
    <w:rsid w:val="00E736B3"/>
    <w:rPr>
      <w:rFonts w:ascii="Verdana" w:hAnsi="Verdana"/>
      <w:b/>
      <w:bCs/>
      <w:kern w:val="32"/>
      <w:sz w:val="48"/>
      <w:szCs w:val="32"/>
    </w:rPr>
  </w:style>
  <w:style w:type="paragraph" w:styleId="NoSpacing">
    <w:name w:val="No Spacing"/>
    <w:uiPriority w:val="1"/>
    <w:qFormat/>
    <w:rsid w:val="00951DEC"/>
  </w:style>
  <w:style w:type="paragraph" w:styleId="Quote">
    <w:name w:val="Quote"/>
    <w:basedOn w:val="Normal"/>
    <w:next w:val="Normal"/>
    <w:link w:val="QuoteChar"/>
    <w:uiPriority w:val="29"/>
    <w:qFormat/>
    <w:rsid w:val="00415FFD"/>
    <w:pPr>
      <w:spacing w:before="200"/>
      <w:ind w:left="1134"/>
    </w:pPr>
    <w:rPr>
      <w:iCs/>
      <w:sz w:val="22"/>
    </w:rPr>
  </w:style>
  <w:style w:type="character" w:customStyle="1" w:styleId="QuoteChar">
    <w:name w:val="Quote Char"/>
    <w:link w:val="Quote"/>
    <w:uiPriority w:val="29"/>
    <w:rsid w:val="00415FFD"/>
    <w:rPr>
      <w:rFonts w:ascii="Verdana" w:hAnsi="Verdana"/>
      <w:iCs/>
      <w:sz w:val="22"/>
      <w:szCs w:val="22"/>
    </w:rPr>
  </w:style>
  <w:style w:type="paragraph" w:customStyle="1" w:styleId="Footnote">
    <w:name w:val="Footnote"/>
    <w:qFormat/>
    <w:rsid w:val="00480D98"/>
    <w:pPr>
      <w:tabs>
        <w:tab w:val="left" w:pos="454"/>
      </w:tabs>
      <w:suppressAutoHyphens/>
      <w:ind w:left="454" w:hanging="454"/>
    </w:pPr>
    <w:rPr>
      <w:rFonts w:cs="Gill Sans Std Light"/>
      <w:color w:val="000000"/>
      <w:szCs w:val="15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10620"/>
    <w:pPr>
      <w:keepNext/>
      <w:spacing w:line="240" w:lineRule="auto"/>
    </w:pPr>
    <w:rPr>
      <w:b/>
      <w:bCs/>
      <w:sz w:val="20"/>
      <w:szCs w:val="20"/>
    </w:rPr>
  </w:style>
  <w:style w:type="paragraph" w:customStyle="1" w:styleId="TableHeading">
    <w:name w:val="Table Heading"/>
    <w:qFormat/>
    <w:rsid w:val="00F56A1A"/>
    <w:pPr>
      <w:suppressAutoHyphens/>
    </w:pPr>
    <w:rPr>
      <w:rFonts w:cs="ITC Franklin Gothic Book"/>
      <w:b/>
      <w:sz w:val="20"/>
      <w:szCs w:val="18"/>
      <w:lang w:val="en-US"/>
    </w:rPr>
  </w:style>
  <w:style w:type="paragraph" w:customStyle="1" w:styleId="TableBody">
    <w:name w:val="Table Body"/>
    <w:qFormat/>
    <w:rsid w:val="00F56A1A"/>
    <w:pPr>
      <w:suppressAutoHyphens/>
    </w:pPr>
    <w:rPr>
      <w:rFonts w:cs="ITC Franklin Gothic Book"/>
      <w:color w:val="000000"/>
      <w:sz w:val="20"/>
      <w:szCs w:val="18"/>
      <w:lang w:val="en-US"/>
    </w:rPr>
  </w:style>
  <w:style w:type="paragraph" w:customStyle="1" w:styleId="Grid">
    <w:name w:val="Grid"/>
    <w:basedOn w:val="BodyGeneralStyles"/>
    <w:rsid w:val="00B052EE"/>
    <w:pPr>
      <w:spacing w:after="0" w:line="240" w:lineRule="auto"/>
    </w:pPr>
    <w:rPr>
      <w:sz w:val="16"/>
      <w:szCs w:val="16"/>
    </w:rPr>
  </w:style>
  <w:style w:type="table" w:styleId="TableGrid1">
    <w:name w:val="Table Grid 1"/>
    <w:uiPriority w:val="99"/>
    <w:semiHidden/>
    <w:unhideWhenUsed/>
    <w:rsid w:val="00263161"/>
    <w:pPr>
      <w:suppressAutoHyphens/>
      <w:spacing w:before="120" w:after="120"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</w:style>
  <w:style w:type="table" w:styleId="TableGrid">
    <w:name w:val="Table Grid"/>
    <w:basedOn w:val="TableNormal"/>
    <w:uiPriority w:val="39"/>
    <w:rsid w:val="00EF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EF741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ntributorssubheaderImprintandContributors">
    <w:name w:val="Contributors subheader (Imprint and Contributors)"/>
    <w:basedOn w:val="NoParagraphStyle"/>
    <w:uiPriority w:val="99"/>
    <w:rsid w:val="005C16F8"/>
    <w:pPr>
      <w:suppressAutoHyphens/>
      <w:spacing w:before="270" w:line="270" w:lineRule="atLeast"/>
    </w:pPr>
    <w:rPr>
      <w:rFonts w:ascii="ITC Franklin Gothic Book" w:hAnsi="ITC Franklin Gothic Book" w:cs="ITC Franklin Gothic Book"/>
      <w:color w:val="55565A"/>
      <w:sz w:val="21"/>
      <w:szCs w:val="21"/>
      <w:lang w:val="en-US"/>
    </w:rPr>
  </w:style>
  <w:style w:type="paragraph" w:customStyle="1" w:styleId="Body11PrebulletBodyParas">
    <w:name w:val="Body 1.1 Prebullet (Body Paras)"/>
    <w:basedOn w:val="BodynumberedGeneralStyles"/>
    <w:uiPriority w:val="99"/>
    <w:rsid w:val="005C16F8"/>
    <w:pPr>
      <w:spacing w:after="57" w:line="270" w:lineRule="atLeast"/>
      <w:ind w:left="510" w:hanging="510"/>
    </w:pPr>
  </w:style>
  <w:style w:type="paragraph" w:customStyle="1" w:styleId="Body21BodyParas0">
    <w:name w:val="Body 2.1+ (Body Paras)"/>
    <w:basedOn w:val="BodynumberedGeneralStyles"/>
    <w:uiPriority w:val="99"/>
    <w:rsid w:val="005C16F8"/>
    <w:pPr>
      <w:spacing w:after="130" w:line="270" w:lineRule="atLeast"/>
      <w:ind w:left="510" w:hanging="510"/>
    </w:pPr>
  </w:style>
  <w:style w:type="paragraph" w:customStyle="1" w:styleId="Body21PrebulletBodyParas">
    <w:name w:val="Body 2.1 Prebullet (Body Paras)"/>
    <w:basedOn w:val="BodynumberedGeneralStyles"/>
    <w:uiPriority w:val="99"/>
    <w:rsid w:val="005C16F8"/>
    <w:pPr>
      <w:spacing w:after="57" w:line="270" w:lineRule="atLeast"/>
      <w:ind w:left="510" w:hanging="510"/>
    </w:pPr>
  </w:style>
  <w:style w:type="paragraph" w:customStyle="1" w:styleId="Body31BodyParas0">
    <w:name w:val="Body 3.1+ (Body Paras)"/>
    <w:basedOn w:val="BodynumberedGeneralStyles"/>
    <w:uiPriority w:val="99"/>
    <w:rsid w:val="005C16F8"/>
    <w:pPr>
      <w:spacing w:after="130" w:line="270" w:lineRule="atLeast"/>
      <w:ind w:left="510" w:hanging="510"/>
    </w:pPr>
  </w:style>
  <w:style w:type="paragraph" w:customStyle="1" w:styleId="Body31PrebulletBodyParas">
    <w:name w:val="Body 3.1 Prebullet (Body Paras)"/>
    <w:basedOn w:val="BodynumberedGeneralStyles"/>
    <w:uiPriority w:val="99"/>
    <w:rsid w:val="005C16F8"/>
    <w:pPr>
      <w:spacing w:after="57" w:line="270" w:lineRule="atLeast"/>
      <w:ind w:left="510" w:hanging="510"/>
    </w:pPr>
  </w:style>
  <w:style w:type="paragraph" w:customStyle="1" w:styleId="Body41PrebulletBodyParas">
    <w:name w:val="Body 4.1 Prebullet (Body Paras)"/>
    <w:basedOn w:val="BodynumberedGeneralStyles"/>
    <w:uiPriority w:val="99"/>
    <w:rsid w:val="005C16F8"/>
    <w:pPr>
      <w:spacing w:after="57" w:line="270" w:lineRule="atLeast"/>
      <w:ind w:left="510" w:hanging="510"/>
    </w:pPr>
  </w:style>
  <w:style w:type="paragraph" w:customStyle="1" w:styleId="SubbulletindentGeneralStyles">
    <w:name w:val="Subbullet indent (General Styles)"/>
    <w:basedOn w:val="BodyGeneralStyles"/>
    <w:uiPriority w:val="99"/>
    <w:rsid w:val="005C16F8"/>
    <w:pPr>
      <w:tabs>
        <w:tab w:val="left" w:pos="907"/>
      </w:tabs>
      <w:spacing w:after="57"/>
      <w:ind w:left="1191" w:hanging="198"/>
    </w:pPr>
  </w:style>
  <w:style w:type="paragraph" w:customStyle="1" w:styleId="SubbulletindentlastGeneralStyles">
    <w:name w:val="Subbullet indent last (General Styles)"/>
    <w:basedOn w:val="BodyGeneralStyles"/>
    <w:uiPriority w:val="99"/>
    <w:rsid w:val="005C16F8"/>
    <w:pPr>
      <w:tabs>
        <w:tab w:val="left" w:pos="907"/>
      </w:tabs>
      <w:ind w:left="1191" w:hanging="198"/>
    </w:pPr>
  </w:style>
  <w:style w:type="paragraph" w:customStyle="1" w:styleId="Body41BodyParas0">
    <w:name w:val="Body 4.1+ (Body Paras)"/>
    <w:basedOn w:val="BodynumberedGeneralStyles"/>
    <w:uiPriority w:val="99"/>
    <w:rsid w:val="005C16F8"/>
    <w:pPr>
      <w:spacing w:after="130" w:line="270" w:lineRule="atLeast"/>
      <w:ind w:left="510" w:hanging="510"/>
    </w:pPr>
  </w:style>
  <w:style w:type="character" w:customStyle="1" w:styleId="Coloured">
    <w:name w:val="Coloured"/>
    <w:uiPriority w:val="99"/>
    <w:rsid w:val="005C16F8"/>
    <w:rPr>
      <w:color w:val="80B0E5"/>
    </w:rPr>
  </w:style>
  <w:style w:type="character" w:customStyle="1" w:styleId="Figure">
    <w:name w:val="Figure"/>
    <w:uiPriority w:val="99"/>
    <w:rsid w:val="005C16F8"/>
    <w:rPr>
      <w:rFonts w:ascii="ITC Franklin Gothic Book" w:hAnsi="ITC Franklin Gothic Book" w:cs="ITC Franklin Gothic Book"/>
      <w:color w:val="80B0E5"/>
    </w:rPr>
  </w:style>
  <w:style w:type="character" w:customStyle="1" w:styleId="DemiItalic">
    <w:name w:val="Demi Italic"/>
    <w:uiPriority w:val="99"/>
    <w:rsid w:val="005C16F8"/>
    <w:rPr>
      <w:i/>
      <w:iCs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AE709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E709F"/>
    <w:pPr>
      <w:spacing w:after="100"/>
      <w:ind w:left="220"/>
    </w:pPr>
    <w:rPr>
      <w:rFonts w:ascii="Calibri" w:hAnsi="Calibri"/>
      <w:sz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E709F"/>
    <w:pPr>
      <w:spacing w:after="100"/>
      <w:ind w:left="440"/>
    </w:pPr>
    <w:rPr>
      <w:rFonts w:ascii="Calibri" w:hAnsi="Calibri"/>
      <w:sz w:val="22"/>
      <w:lang w:val="en-US" w:eastAsia="en-US"/>
    </w:rPr>
  </w:style>
  <w:style w:type="paragraph" w:customStyle="1" w:styleId="BodyBoldGeneralStyles">
    <w:name w:val="Body Bold (General Styles)"/>
    <w:basedOn w:val="Normal"/>
    <w:uiPriority w:val="99"/>
    <w:rsid w:val="005266FB"/>
    <w:pPr>
      <w:widowControl w:val="0"/>
      <w:autoSpaceDE w:val="0"/>
      <w:autoSpaceDN w:val="0"/>
      <w:adjustRightInd w:val="0"/>
      <w:spacing w:before="0" w:after="135" w:line="320" w:lineRule="atLeast"/>
    </w:pPr>
    <w:rPr>
      <w:rFonts w:ascii="ITC Franklin Gothic Book" w:eastAsiaTheme="minorEastAsia" w:hAnsi="ITC Franklin Gothic Book" w:cs="ITC Franklin Gothic Book"/>
      <w:color w:val="000000"/>
      <w:lang w:val="en-US"/>
    </w:rPr>
  </w:style>
  <w:style w:type="paragraph" w:customStyle="1" w:styleId="FactsheetTitleGeneralStyles">
    <w:name w:val="Factsheet Title (General Styles)"/>
    <w:basedOn w:val="Normal"/>
    <w:uiPriority w:val="99"/>
    <w:rsid w:val="005266FB"/>
    <w:pPr>
      <w:pageBreakBefore/>
      <w:widowControl w:val="0"/>
      <w:autoSpaceDE w:val="0"/>
      <w:autoSpaceDN w:val="0"/>
      <w:adjustRightInd w:val="0"/>
      <w:spacing w:before="0" w:after="520" w:line="640" w:lineRule="atLeast"/>
    </w:pPr>
    <w:rPr>
      <w:rFonts w:ascii="ITC Franklin Gothic Book" w:eastAsiaTheme="minorEastAsia" w:hAnsi="ITC Franklin Gothic Book" w:cs="ITC Franklin Gothic Book"/>
      <w:color w:val="00665F"/>
      <w:sz w:val="60"/>
      <w:szCs w:val="6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C-Publishing\Documents\Custom%20Office%20Templates\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936A-F2BC-4F40-AEBF-4183DB21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Template.dotx</Template>
  <TotalTime>20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Sentence Appeals in Victoria: Higher Courts</vt:lpstr>
    </vt:vector>
  </TitlesOfParts>
  <Company>Sentencing Advisory Council</Company>
  <LinksUpToDate>false</LinksUpToDate>
  <CharactersWithSpaces>1837</CharactersWithSpaces>
  <SharedDoc>false</SharedDoc>
  <HLinks>
    <vt:vector size="48" baseType="variant"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_Toc415058465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_Toc415058464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_Toc415058463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_Toc415058462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_Toc415058461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_Toc415058460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_Toc415058459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_Toc415058458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Appeals in Victoria: Higher Courts</dc:title>
  <dc:subject/>
  <dc:creator>Sentencing Advisory Council</dc:creator>
  <cp:keywords/>
  <dc:description/>
  <cp:lastModifiedBy>SAC-Publishing</cp:lastModifiedBy>
  <cp:revision>36</cp:revision>
  <dcterms:created xsi:type="dcterms:W3CDTF">2018-07-23T02:00:00Z</dcterms:created>
  <dcterms:modified xsi:type="dcterms:W3CDTF">2018-08-16T00:33:00Z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-344614904</vt:i4>
  </property>
</Properties>
</file>