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8A46" w14:textId="3CDDED24" w:rsidR="00DA5A9C" w:rsidRDefault="00DA5A9C" w:rsidP="003429E3">
      <w:pPr>
        <w:pStyle w:val="Title"/>
      </w:pPr>
      <w:r w:rsidRPr="003429E3">
        <w:t>Serious Offending by People Serving a Community Correction Order: 2018–19</w:t>
      </w:r>
    </w:p>
    <w:p w14:paraId="28DF5C44" w14:textId="7A51A3CE" w:rsidR="00210D5D" w:rsidRPr="007E1FB1" w:rsidRDefault="00210D5D" w:rsidP="007E1FB1">
      <w:pPr>
        <w:pStyle w:val="Heading1"/>
      </w:pPr>
      <w:bookmarkStart w:id="0" w:name="_Toc43722734"/>
      <w:r w:rsidRPr="007E1FB1">
        <w:t>Contents</w:t>
      </w:r>
      <w:bookmarkEnd w:id="0"/>
    </w:p>
    <w:p w14:paraId="76C88CFD" w14:textId="3B442551" w:rsidR="00A60316" w:rsidRDefault="00A60316">
      <w:pPr>
        <w:pStyle w:val="TOC1"/>
        <w:tabs>
          <w:tab w:val="right" w:leader="dot" w:pos="9016"/>
        </w:tabs>
        <w:rPr>
          <w:rFonts w:asciiTheme="minorHAnsi" w:eastAsiaTheme="minorEastAsia" w:hAnsiTheme="minorHAnsi" w:cstheme="minorBidi"/>
          <w:noProof/>
          <w:szCs w:val="22"/>
        </w:rPr>
      </w:pPr>
      <w:r>
        <w:fldChar w:fldCharType="begin"/>
      </w:r>
      <w:r>
        <w:instrText xml:space="preserve"> TOC \p " " \h \z \t "Heading 1,1" </w:instrText>
      </w:r>
      <w:r>
        <w:fldChar w:fldCharType="separate"/>
      </w:r>
      <w:hyperlink w:anchor="_Toc43722735" w:history="1">
        <w:r w:rsidRPr="002D5503">
          <w:rPr>
            <w:rStyle w:val="Hyperlink"/>
            <w:noProof/>
          </w:rPr>
          <w:t>1. The Council’s reporting requirements and the focus of this report</w:t>
        </w:r>
        <w:r>
          <w:rPr>
            <w:noProof/>
            <w:webHidden/>
          </w:rPr>
          <w:t xml:space="preserve"> </w:t>
        </w:r>
        <w:r>
          <w:rPr>
            <w:noProof/>
            <w:webHidden/>
          </w:rPr>
          <w:fldChar w:fldCharType="begin"/>
        </w:r>
        <w:r>
          <w:rPr>
            <w:noProof/>
            <w:webHidden/>
          </w:rPr>
          <w:instrText xml:space="preserve"> PAGEREF _Toc43722735 \h </w:instrText>
        </w:r>
        <w:r>
          <w:rPr>
            <w:noProof/>
            <w:webHidden/>
          </w:rPr>
        </w:r>
        <w:r>
          <w:rPr>
            <w:noProof/>
            <w:webHidden/>
          </w:rPr>
          <w:fldChar w:fldCharType="separate"/>
        </w:r>
        <w:r>
          <w:rPr>
            <w:noProof/>
            <w:webHidden/>
          </w:rPr>
          <w:t>2</w:t>
        </w:r>
        <w:r>
          <w:rPr>
            <w:noProof/>
            <w:webHidden/>
          </w:rPr>
          <w:fldChar w:fldCharType="end"/>
        </w:r>
      </w:hyperlink>
    </w:p>
    <w:p w14:paraId="06D5AA78" w14:textId="4DBD58CC" w:rsidR="00A60316" w:rsidRDefault="007F66A5">
      <w:pPr>
        <w:pStyle w:val="TOC1"/>
        <w:tabs>
          <w:tab w:val="right" w:leader="dot" w:pos="9016"/>
        </w:tabs>
        <w:rPr>
          <w:rFonts w:asciiTheme="minorHAnsi" w:eastAsiaTheme="minorEastAsia" w:hAnsiTheme="minorHAnsi" w:cstheme="minorBidi"/>
          <w:noProof/>
          <w:szCs w:val="22"/>
        </w:rPr>
      </w:pPr>
      <w:hyperlink w:anchor="_Toc43722736" w:history="1">
        <w:r w:rsidR="00A60316" w:rsidRPr="002D5503">
          <w:rPr>
            <w:rStyle w:val="Hyperlink"/>
            <w:noProof/>
          </w:rPr>
          <w:t>2. Community correction orders in Victoria</w:t>
        </w:r>
        <w:r w:rsidR="00A60316">
          <w:rPr>
            <w:noProof/>
            <w:webHidden/>
          </w:rPr>
          <w:t xml:space="preserve"> </w:t>
        </w:r>
        <w:r w:rsidR="00A60316">
          <w:rPr>
            <w:noProof/>
            <w:webHidden/>
          </w:rPr>
          <w:fldChar w:fldCharType="begin"/>
        </w:r>
        <w:r w:rsidR="00A60316">
          <w:rPr>
            <w:noProof/>
            <w:webHidden/>
          </w:rPr>
          <w:instrText xml:space="preserve"> PAGEREF _Toc43722736 \h </w:instrText>
        </w:r>
        <w:r w:rsidR="00A60316">
          <w:rPr>
            <w:noProof/>
            <w:webHidden/>
          </w:rPr>
        </w:r>
        <w:r w:rsidR="00A60316">
          <w:rPr>
            <w:noProof/>
            <w:webHidden/>
          </w:rPr>
          <w:fldChar w:fldCharType="separate"/>
        </w:r>
        <w:r w:rsidR="00A60316">
          <w:rPr>
            <w:noProof/>
            <w:webHidden/>
          </w:rPr>
          <w:t>3</w:t>
        </w:r>
        <w:r w:rsidR="00A60316">
          <w:rPr>
            <w:noProof/>
            <w:webHidden/>
          </w:rPr>
          <w:fldChar w:fldCharType="end"/>
        </w:r>
      </w:hyperlink>
    </w:p>
    <w:p w14:paraId="4DF96814" w14:textId="714E8167" w:rsidR="00A60316" w:rsidRDefault="007F66A5">
      <w:pPr>
        <w:pStyle w:val="TOC1"/>
        <w:tabs>
          <w:tab w:val="right" w:leader="dot" w:pos="9016"/>
        </w:tabs>
        <w:rPr>
          <w:rFonts w:asciiTheme="minorHAnsi" w:eastAsiaTheme="minorEastAsia" w:hAnsiTheme="minorHAnsi" w:cstheme="minorBidi"/>
          <w:noProof/>
          <w:szCs w:val="22"/>
        </w:rPr>
      </w:pPr>
      <w:hyperlink w:anchor="_Toc43722737" w:history="1">
        <w:r w:rsidR="00A60316" w:rsidRPr="002D5503">
          <w:rPr>
            <w:rStyle w:val="Hyperlink"/>
            <w:noProof/>
          </w:rPr>
          <w:t>3. Serious offences</w:t>
        </w:r>
        <w:r w:rsidR="00A60316">
          <w:rPr>
            <w:noProof/>
            <w:webHidden/>
          </w:rPr>
          <w:t xml:space="preserve"> </w:t>
        </w:r>
        <w:r w:rsidR="00A60316">
          <w:rPr>
            <w:noProof/>
            <w:webHidden/>
          </w:rPr>
          <w:fldChar w:fldCharType="begin"/>
        </w:r>
        <w:r w:rsidR="00A60316">
          <w:rPr>
            <w:noProof/>
            <w:webHidden/>
          </w:rPr>
          <w:instrText xml:space="preserve"> PAGEREF _Toc43722737 \h </w:instrText>
        </w:r>
        <w:r w:rsidR="00A60316">
          <w:rPr>
            <w:noProof/>
            <w:webHidden/>
          </w:rPr>
        </w:r>
        <w:r w:rsidR="00A60316">
          <w:rPr>
            <w:noProof/>
            <w:webHidden/>
          </w:rPr>
          <w:fldChar w:fldCharType="separate"/>
        </w:r>
        <w:r w:rsidR="00A60316">
          <w:rPr>
            <w:noProof/>
            <w:webHidden/>
          </w:rPr>
          <w:t>7</w:t>
        </w:r>
        <w:r w:rsidR="00A60316">
          <w:rPr>
            <w:noProof/>
            <w:webHidden/>
          </w:rPr>
          <w:fldChar w:fldCharType="end"/>
        </w:r>
      </w:hyperlink>
    </w:p>
    <w:p w14:paraId="741AA0BA" w14:textId="6C171427" w:rsidR="00A60316" w:rsidRDefault="007F66A5">
      <w:pPr>
        <w:pStyle w:val="TOC1"/>
        <w:tabs>
          <w:tab w:val="right" w:leader="dot" w:pos="9016"/>
        </w:tabs>
        <w:rPr>
          <w:rFonts w:asciiTheme="minorHAnsi" w:eastAsiaTheme="minorEastAsia" w:hAnsiTheme="minorHAnsi" w:cstheme="minorBidi"/>
          <w:noProof/>
          <w:szCs w:val="22"/>
        </w:rPr>
      </w:pPr>
      <w:hyperlink w:anchor="_Toc43722738" w:history="1">
        <w:r w:rsidR="00A60316" w:rsidRPr="002D5503">
          <w:rPr>
            <w:rStyle w:val="Hyperlink"/>
            <w:noProof/>
          </w:rPr>
          <w:t>4. Meaning of the term convicted</w:t>
        </w:r>
        <w:r w:rsidR="00A60316">
          <w:rPr>
            <w:noProof/>
            <w:webHidden/>
          </w:rPr>
          <w:t xml:space="preserve"> </w:t>
        </w:r>
        <w:r w:rsidR="00A60316">
          <w:rPr>
            <w:noProof/>
            <w:webHidden/>
          </w:rPr>
          <w:fldChar w:fldCharType="begin"/>
        </w:r>
        <w:r w:rsidR="00A60316">
          <w:rPr>
            <w:noProof/>
            <w:webHidden/>
          </w:rPr>
          <w:instrText xml:space="preserve"> PAGEREF _Toc43722738 \h </w:instrText>
        </w:r>
        <w:r w:rsidR="00A60316">
          <w:rPr>
            <w:noProof/>
            <w:webHidden/>
          </w:rPr>
        </w:r>
        <w:r w:rsidR="00A60316">
          <w:rPr>
            <w:noProof/>
            <w:webHidden/>
          </w:rPr>
          <w:fldChar w:fldCharType="separate"/>
        </w:r>
        <w:r w:rsidR="00A60316">
          <w:rPr>
            <w:noProof/>
            <w:webHidden/>
          </w:rPr>
          <w:t>8</w:t>
        </w:r>
        <w:r w:rsidR="00A60316">
          <w:rPr>
            <w:noProof/>
            <w:webHidden/>
          </w:rPr>
          <w:fldChar w:fldCharType="end"/>
        </w:r>
      </w:hyperlink>
    </w:p>
    <w:p w14:paraId="3C94FB21" w14:textId="55E7F94E" w:rsidR="00A60316" w:rsidRDefault="007F66A5">
      <w:pPr>
        <w:pStyle w:val="TOC1"/>
        <w:tabs>
          <w:tab w:val="right" w:leader="dot" w:pos="9016"/>
        </w:tabs>
        <w:rPr>
          <w:rFonts w:asciiTheme="minorHAnsi" w:eastAsiaTheme="minorEastAsia" w:hAnsiTheme="minorHAnsi" w:cstheme="minorBidi"/>
          <w:noProof/>
          <w:szCs w:val="22"/>
        </w:rPr>
      </w:pPr>
      <w:hyperlink w:anchor="_Toc43722739" w:history="1">
        <w:r w:rsidR="00A60316" w:rsidRPr="002D5503">
          <w:rPr>
            <w:rStyle w:val="Hyperlink"/>
            <w:noProof/>
          </w:rPr>
          <w:t>5. Reference period</w:t>
        </w:r>
        <w:r w:rsidR="00A60316">
          <w:rPr>
            <w:noProof/>
            <w:webHidden/>
          </w:rPr>
          <w:t xml:space="preserve"> </w:t>
        </w:r>
        <w:r w:rsidR="00A60316">
          <w:rPr>
            <w:noProof/>
            <w:webHidden/>
          </w:rPr>
          <w:fldChar w:fldCharType="begin"/>
        </w:r>
        <w:r w:rsidR="00A60316">
          <w:rPr>
            <w:noProof/>
            <w:webHidden/>
          </w:rPr>
          <w:instrText xml:space="preserve"> PAGEREF _Toc43722739 \h </w:instrText>
        </w:r>
        <w:r w:rsidR="00A60316">
          <w:rPr>
            <w:noProof/>
            <w:webHidden/>
          </w:rPr>
        </w:r>
        <w:r w:rsidR="00A60316">
          <w:rPr>
            <w:noProof/>
            <w:webHidden/>
          </w:rPr>
          <w:fldChar w:fldCharType="separate"/>
        </w:r>
        <w:r w:rsidR="00A60316">
          <w:rPr>
            <w:noProof/>
            <w:webHidden/>
          </w:rPr>
          <w:t>9</w:t>
        </w:r>
        <w:r w:rsidR="00A60316">
          <w:rPr>
            <w:noProof/>
            <w:webHidden/>
          </w:rPr>
          <w:fldChar w:fldCharType="end"/>
        </w:r>
      </w:hyperlink>
    </w:p>
    <w:p w14:paraId="3A72E8B2" w14:textId="5A06BE6C" w:rsidR="00A60316" w:rsidRDefault="007F66A5">
      <w:pPr>
        <w:pStyle w:val="TOC1"/>
        <w:tabs>
          <w:tab w:val="right" w:leader="dot" w:pos="9016"/>
        </w:tabs>
        <w:rPr>
          <w:rFonts w:asciiTheme="minorHAnsi" w:eastAsiaTheme="minorEastAsia" w:hAnsiTheme="minorHAnsi" w:cstheme="minorBidi"/>
          <w:noProof/>
          <w:szCs w:val="22"/>
        </w:rPr>
      </w:pPr>
      <w:hyperlink w:anchor="_Toc43722740" w:history="1">
        <w:r w:rsidR="00A60316" w:rsidRPr="002D5503">
          <w:rPr>
            <w:rStyle w:val="Hyperlink"/>
            <w:noProof/>
          </w:rPr>
          <w:t>6. Methodology</w:t>
        </w:r>
        <w:r w:rsidR="00A60316">
          <w:rPr>
            <w:noProof/>
            <w:webHidden/>
          </w:rPr>
          <w:t xml:space="preserve"> </w:t>
        </w:r>
        <w:r w:rsidR="00A60316">
          <w:rPr>
            <w:noProof/>
            <w:webHidden/>
          </w:rPr>
          <w:fldChar w:fldCharType="begin"/>
        </w:r>
        <w:r w:rsidR="00A60316">
          <w:rPr>
            <w:noProof/>
            <w:webHidden/>
          </w:rPr>
          <w:instrText xml:space="preserve"> PAGEREF _Toc43722740 \h </w:instrText>
        </w:r>
        <w:r w:rsidR="00A60316">
          <w:rPr>
            <w:noProof/>
            <w:webHidden/>
          </w:rPr>
        </w:r>
        <w:r w:rsidR="00A60316">
          <w:rPr>
            <w:noProof/>
            <w:webHidden/>
          </w:rPr>
          <w:fldChar w:fldCharType="separate"/>
        </w:r>
        <w:r w:rsidR="00A60316">
          <w:rPr>
            <w:noProof/>
            <w:webHidden/>
          </w:rPr>
          <w:t>9</w:t>
        </w:r>
        <w:r w:rsidR="00A60316">
          <w:rPr>
            <w:noProof/>
            <w:webHidden/>
          </w:rPr>
          <w:fldChar w:fldCharType="end"/>
        </w:r>
      </w:hyperlink>
    </w:p>
    <w:p w14:paraId="6555C7FB" w14:textId="23B0ED74" w:rsidR="00A60316" w:rsidRDefault="007F66A5">
      <w:pPr>
        <w:pStyle w:val="TOC1"/>
        <w:tabs>
          <w:tab w:val="right" w:leader="dot" w:pos="9016"/>
        </w:tabs>
        <w:rPr>
          <w:rFonts w:asciiTheme="minorHAnsi" w:eastAsiaTheme="minorEastAsia" w:hAnsiTheme="minorHAnsi" w:cstheme="minorBidi"/>
          <w:noProof/>
          <w:szCs w:val="22"/>
        </w:rPr>
      </w:pPr>
      <w:hyperlink w:anchor="_Toc43722741" w:history="1">
        <w:r w:rsidR="00A60316" w:rsidRPr="002D5503">
          <w:rPr>
            <w:rStyle w:val="Hyperlink"/>
            <w:noProof/>
          </w:rPr>
          <w:t>7. All people serving a community correction order</w:t>
        </w:r>
        <w:r w:rsidR="00A60316">
          <w:rPr>
            <w:noProof/>
            <w:webHidden/>
          </w:rPr>
          <w:t xml:space="preserve"> </w:t>
        </w:r>
        <w:r w:rsidR="00A60316">
          <w:rPr>
            <w:noProof/>
            <w:webHidden/>
          </w:rPr>
          <w:fldChar w:fldCharType="begin"/>
        </w:r>
        <w:r w:rsidR="00A60316">
          <w:rPr>
            <w:noProof/>
            <w:webHidden/>
          </w:rPr>
          <w:instrText xml:space="preserve"> PAGEREF _Toc43722741 \h </w:instrText>
        </w:r>
        <w:r w:rsidR="00A60316">
          <w:rPr>
            <w:noProof/>
            <w:webHidden/>
          </w:rPr>
        </w:r>
        <w:r w:rsidR="00A60316">
          <w:rPr>
            <w:noProof/>
            <w:webHidden/>
          </w:rPr>
          <w:fldChar w:fldCharType="separate"/>
        </w:r>
        <w:r w:rsidR="00A60316">
          <w:rPr>
            <w:noProof/>
            <w:webHidden/>
          </w:rPr>
          <w:t>11</w:t>
        </w:r>
        <w:r w:rsidR="00A60316">
          <w:rPr>
            <w:noProof/>
            <w:webHidden/>
          </w:rPr>
          <w:fldChar w:fldCharType="end"/>
        </w:r>
      </w:hyperlink>
    </w:p>
    <w:p w14:paraId="26E5E7CA" w14:textId="501462D6" w:rsidR="00A60316" w:rsidRDefault="007F66A5">
      <w:pPr>
        <w:pStyle w:val="TOC1"/>
        <w:tabs>
          <w:tab w:val="right" w:leader="dot" w:pos="9016"/>
        </w:tabs>
        <w:rPr>
          <w:rFonts w:asciiTheme="minorHAnsi" w:eastAsiaTheme="minorEastAsia" w:hAnsiTheme="minorHAnsi" w:cstheme="minorBidi"/>
          <w:noProof/>
          <w:szCs w:val="22"/>
        </w:rPr>
      </w:pPr>
      <w:hyperlink w:anchor="_Toc43722742" w:history="1">
        <w:r w:rsidR="00A60316" w:rsidRPr="002D5503">
          <w:rPr>
            <w:rStyle w:val="Hyperlink"/>
            <w:noProof/>
          </w:rPr>
          <w:t>8. People sentenced for a serious offence committed while serving a community correction order</w:t>
        </w:r>
        <w:r w:rsidR="00A60316">
          <w:rPr>
            <w:noProof/>
            <w:webHidden/>
          </w:rPr>
          <w:t xml:space="preserve"> </w:t>
        </w:r>
        <w:r w:rsidR="00A60316">
          <w:rPr>
            <w:noProof/>
            <w:webHidden/>
          </w:rPr>
          <w:fldChar w:fldCharType="begin"/>
        </w:r>
        <w:r w:rsidR="00A60316">
          <w:rPr>
            <w:noProof/>
            <w:webHidden/>
          </w:rPr>
          <w:instrText xml:space="preserve"> PAGEREF _Toc43722742 \h </w:instrText>
        </w:r>
        <w:r w:rsidR="00A60316">
          <w:rPr>
            <w:noProof/>
            <w:webHidden/>
          </w:rPr>
        </w:r>
        <w:r w:rsidR="00A60316">
          <w:rPr>
            <w:noProof/>
            <w:webHidden/>
          </w:rPr>
          <w:fldChar w:fldCharType="separate"/>
        </w:r>
        <w:r w:rsidR="00A60316">
          <w:rPr>
            <w:noProof/>
            <w:webHidden/>
          </w:rPr>
          <w:t>13</w:t>
        </w:r>
        <w:r w:rsidR="00A60316">
          <w:rPr>
            <w:noProof/>
            <w:webHidden/>
          </w:rPr>
          <w:fldChar w:fldCharType="end"/>
        </w:r>
      </w:hyperlink>
    </w:p>
    <w:p w14:paraId="5CF9F0AB" w14:textId="6DF87637" w:rsidR="00A60316" w:rsidRDefault="007F66A5">
      <w:pPr>
        <w:pStyle w:val="TOC1"/>
        <w:tabs>
          <w:tab w:val="right" w:leader="dot" w:pos="9016"/>
        </w:tabs>
        <w:rPr>
          <w:rFonts w:asciiTheme="minorHAnsi" w:eastAsiaTheme="minorEastAsia" w:hAnsiTheme="minorHAnsi" w:cstheme="minorBidi"/>
          <w:noProof/>
          <w:szCs w:val="22"/>
        </w:rPr>
      </w:pPr>
      <w:hyperlink w:anchor="_Toc43722743" w:history="1">
        <w:r w:rsidR="00A60316" w:rsidRPr="002D5503">
          <w:rPr>
            <w:rStyle w:val="Hyperlink"/>
            <w:noProof/>
          </w:rPr>
          <w:t>9. Types of serious offences committed while serving a community correction order</w:t>
        </w:r>
        <w:r w:rsidR="00A60316">
          <w:rPr>
            <w:noProof/>
            <w:webHidden/>
          </w:rPr>
          <w:t xml:space="preserve"> </w:t>
        </w:r>
        <w:r w:rsidR="00A60316">
          <w:rPr>
            <w:noProof/>
            <w:webHidden/>
          </w:rPr>
          <w:fldChar w:fldCharType="begin"/>
        </w:r>
        <w:r w:rsidR="00A60316">
          <w:rPr>
            <w:noProof/>
            <w:webHidden/>
          </w:rPr>
          <w:instrText xml:space="preserve"> PAGEREF _Toc43722743 \h </w:instrText>
        </w:r>
        <w:r w:rsidR="00A60316">
          <w:rPr>
            <w:noProof/>
            <w:webHidden/>
          </w:rPr>
        </w:r>
        <w:r w:rsidR="00A60316">
          <w:rPr>
            <w:noProof/>
            <w:webHidden/>
          </w:rPr>
          <w:fldChar w:fldCharType="separate"/>
        </w:r>
        <w:r w:rsidR="00A60316">
          <w:rPr>
            <w:noProof/>
            <w:webHidden/>
          </w:rPr>
          <w:t>15</w:t>
        </w:r>
        <w:r w:rsidR="00A60316">
          <w:rPr>
            <w:noProof/>
            <w:webHidden/>
          </w:rPr>
          <w:fldChar w:fldCharType="end"/>
        </w:r>
      </w:hyperlink>
    </w:p>
    <w:p w14:paraId="7B92CA7A" w14:textId="12F2BAD7" w:rsidR="00A60316" w:rsidRDefault="007F66A5">
      <w:pPr>
        <w:pStyle w:val="TOC1"/>
        <w:tabs>
          <w:tab w:val="right" w:leader="dot" w:pos="9016"/>
        </w:tabs>
        <w:rPr>
          <w:rFonts w:asciiTheme="minorHAnsi" w:eastAsiaTheme="minorEastAsia" w:hAnsiTheme="minorHAnsi" w:cstheme="minorBidi"/>
          <w:noProof/>
          <w:szCs w:val="22"/>
        </w:rPr>
      </w:pPr>
      <w:hyperlink w:anchor="_Toc43722744" w:history="1">
        <w:r w:rsidR="00A60316" w:rsidRPr="002D5503">
          <w:rPr>
            <w:rStyle w:val="Hyperlink"/>
            <w:noProof/>
          </w:rPr>
          <w:t>10. Gender and age of people committing a serious offence while serving a community correction order</w:t>
        </w:r>
        <w:r w:rsidR="00A60316">
          <w:rPr>
            <w:noProof/>
            <w:webHidden/>
          </w:rPr>
          <w:t xml:space="preserve"> </w:t>
        </w:r>
        <w:r w:rsidR="00A60316">
          <w:rPr>
            <w:noProof/>
            <w:webHidden/>
          </w:rPr>
          <w:fldChar w:fldCharType="begin"/>
        </w:r>
        <w:r w:rsidR="00A60316">
          <w:rPr>
            <w:noProof/>
            <w:webHidden/>
          </w:rPr>
          <w:instrText xml:space="preserve"> PAGEREF _Toc43722744 \h </w:instrText>
        </w:r>
        <w:r w:rsidR="00A60316">
          <w:rPr>
            <w:noProof/>
            <w:webHidden/>
          </w:rPr>
        </w:r>
        <w:r w:rsidR="00A60316">
          <w:rPr>
            <w:noProof/>
            <w:webHidden/>
          </w:rPr>
          <w:fldChar w:fldCharType="separate"/>
        </w:r>
        <w:r w:rsidR="00A60316">
          <w:rPr>
            <w:noProof/>
            <w:webHidden/>
          </w:rPr>
          <w:t>18</w:t>
        </w:r>
        <w:r w:rsidR="00A60316">
          <w:rPr>
            <w:noProof/>
            <w:webHidden/>
          </w:rPr>
          <w:fldChar w:fldCharType="end"/>
        </w:r>
      </w:hyperlink>
    </w:p>
    <w:p w14:paraId="496E9BE9" w14:textId="00E1DCEC" w:rsidR="00A60316" w:rsidRDefault="007F66A5">
      <w:pPr>
        <w:pStyle w:val="TOC1"/>
        <w:tabs>
          <w:tab w:val="right" w:leader="dot" w:pos="9016"/>
        </w:tabs>
        <w:rPr>
          <w:rFonts w:asciiTheme="minorHAnsi" w:eastAsiaTheme="minorEastAsia" w:hAnsiTheme="minorHAnsi" w:cstheme="minorBidi"/>
          <w:noProof/>
          <w:szCs w:val="22"/>
        </w:rPr>
      </w:pPr>
      <w:hyperlink w:anchor="_Toc43722745" w:history="1">
        <w:r w:rsidR="00A60316" w:rsidRPr="002D5503">
          <w:rPr>
            <w:rStyle w:val="Hyperlink"/>
            <w:noProof/>
          </w:rPr>
          <w:t>11. Community correction orders combined with imprisonment</w:t>
        </w:r>
        <w:r w:rsidR="00A60316">
          <w:rPr>
            <w:noProof/>
            <w:webHidden/>
          </w:rPr>
          <w:t xml:space="preserve"> </w:t>
        </w:r>
        <w:r w:rsidR="00A60316">
          <w:rPr>
            <w:noProof/>
            <w:webHidden/>
          </w:rPr>
          <w:fldChar w:fldCharType="begin"/>
        </w:r>
        <w:r w:rsidR="00A60316">
          <w:rPr>
            <w:noProof/>
            <w:webHidden/>
          </w:rPr>
          <w:instrText xml:space="preserve"> PAGEREF _Toc43722745 \h </w:instrText>
        </w:r>
        <w:r w:rsidR="00A60316">
          <w:rPr>
            <w:noProof/>
            <w:webHidden/>
          </w:rPr>
        </w:r>
        <w:r w:rsidR="00A60316">
          <w:rPr>
            <w:noProof/>
            <w:webHidden/>
          </w:rPr>
          <w:fldChar w:fldCharType="separate"/>
        </w:r>
        <w:r w:rsidR="00A60316">
          <w:rPr>
            <w:noProof/>
            <w:webHidden/>
          </w:rPr>
          <w:t>19</w:t>
        </w:r>
        <w:r w:rsidR="00A60316">
          <w:rPr>
            <w:noProof/>
            <w:webHidden/>
          </w:rPr>
          <w:fldChar w:fldCharType="end"/>
        </w:r>
      </w:hyperlink>
    </w:p>
    <w:p w14:paraId="33602192" w14:textId="232C94F7" w:rsidR="00A60316" w:rsidRDefault="007F66A5">
      <w:pPr>
        <w:pStyle w:val="TOC1"/>
        <w:tabs>
          <w:tab w:val="right" w:leader="dot" w:pos="9016"/>
        </w:tabs>
        <w:rPr>
          <w:rFonts w:asciiTheme="minorHAnsi" w:eastAsiaTheme="minorEastAsia" w:hAnsiTheme="minorHAnsi" w:cstheme="minorBidi"/>
          <w:noProof/>
          <w:szCs w:val="22"/>
        </w:rPr>
      </w:pPr>
      <w:hyperlink w:anchor="_Toc43722746" w:history="1">
        <w:r w:rsidR="00A60316" w:rsidRPr="002D5503">
          <w:rPr>
            <w:rStyle w:val="Hyperlink"/>
            <w:noProof/>
          </w:rPr>
          <w:t>12. Time to first serious offence</w:t>
        </w:r>
        <w:r w:rsidR="00A60316">
          <w:rPr>
            <w:noProof/>
            <w:webHidden/>
          </w:rPr>
          <w:t xml:space="preserve"> </w:t>
        </w:r>
        <w:r w:rsidR="00A60316">
          <w:rPr>
            <w:noProof/>
            <w:webHidden/>
          </w:rPr>
          <w:fldChar w:fldCharType="begin"/>
        </w:r>
        <w:r w:rsidR="00A60316">
          <w:rPr>
            <w:noProof/>
            <w:webHidden/>
          </w:rPr>
          <w:instrText xml:space="preserve"> PAGEREF _Toc43722746 \h </w:instrText>
        </w:r>
        <w:r w:rsidR="00A60316">
          <w:rPr>
            <w:noProof/>
            <w:webHidden/>
          </w:rPr>
        </w:r>
        <w:r w:rsidR="00A60316">
          <w:rPr>
            <w:noProof/>
            <w:webHidden/>
          </w:rPr>
          <w:fldChar w:fldCharType="separate"/>
        </w:r>
        <w:r w:rsidR="00A60316">
          <w:rPr>
            <w:noProof/>
            <w:webHidden/>
          </w:rPr>
          <w:t>20</w:t>
        </w:r>
        <w:r w:rsidR="00A60316">
          <w:rPr>
            <w:noProof/>
            <w:webHidden/>
          </w:rPr>
          <w:fldChar w:fldCharType="end"/>
        </w:r>
      </w:hyperlink>
    </w:p>
    <w:p w14:paraId="09F4B569" w14:textId="0C5B7124" w:rsidR="00A60316" w:rsidRDefault="007F66A5">
      <w:pPr>
        <w:pStyle w:val="TOC1"/>
        <w:tabs>
          <w:tab w:val="right" w:leader="dot" w:pos="9016"/>
        </w:tabs>
        <w:rPr>
          <w:rFonts w:asciiTheme="minorHAnsi" w:eastAsiaTheme="minorEastAsia" w:hAnsiTheme="minorHAnsi" w:cstheme="minorBidi"/>
          <w:noProof/>
          <w:szCs w:val="22"/>
        </w:rPr>
      </w:pPr>
      <w:hyperlink w:anchor="_Toc43722747" w:history="1">
        <w:r w:rsidR="00A60316" w:rsidRPr="002D5503">
          <w:rPr>
            <w:rStyle w:val="Hyperlink"/>
            <w:noProof/>
          </w:rPr>
          <w:t>13. Summary</w:t>
        </w:r>
        <w:r w:rsidR="00A60316">
          <w:rPr>
            <w:noProof/>
            <w:webHidden/>
          </w:rPr>
          <w:t xml:space="preserve"> </w:t>
        </w:r>
        <w:r w:rsidR="00A60316">
          <w:rPr>
            <w:noProof/>
            <w:webHidden/>
          </w:rPr>
          <w:fldChar w:fldCharType="begin"/>
        </w:r>
        <w:r w:rsidR="00A60316">
          <w:rPr>
            <w:noProof/>
            <w:webHidden/>
          </w:rPr>
          <w:instrText xml:space="preserve"> PAGEREF _Toc43722747 \h </w:instrText>
        </w:r>
        <w:r w:rsidR="00A60316">
          <w:rPr>
            <w:noProof/>
            <w:webHidden/>
          </w:rPr>
        </w:r>
        <w:r w:rsidR="00A60316">
          <w:rPr>
            <w:noProof/>
            <w:webHidden/>
          </w:rPr>
          <w:fldChar w:fldCharType="separate"/>
        </w:r>
        <w:r w:rsidR="00A60316">
          <w:rPr>
            <w:noProof/>
            <w:webHidden/>
          </w:rPr>
          <w:t>21</w:t>
        </w:r>
        <w:r w:rsidR="00A60316">
          <w:rPr>
            <w:noProof/>
            <w:webHidden/>
          </w:rPr>
          <w:fldChar w:fldCharType="end"/>
        </w:r>
      </w:hyperlink>
    </w:p>
    <w:p w14:paraId="0BE028AE" w14:textId="2D16701D" w:rsidR="00A60316" w:rsidRDefault="007F66A5">
      <w:pPr>
        <w:pStyle w:val="TOC1"/>
        <w:tabs>
          <w:tab w:val="right" w:leader="dot" w:pos="9016"/>
        </w:tabs>
        <w:rPr>
          <w:rFonts w:asciiTheme="minorHAnsi" w:eastAsiaTheme="minorEastAsia" w:hAnsiTheme="minorHAnsi" w:cstheme="minorBidi"/>
          <w:noProof/>
          <w:szCs w:val="22"/>
        </w:rPr>
      </w:pPr>
      <w:hyperlink w:anchor="_Toc43722748" w:history="1">
        <w:r w:rsidR="00A60316" w:rsidRPr="002D5503">
          <w:rPr>
            <w:rStyle w:val="Hyperlink"/>
            <w:noProof/>
          </w:rPr>
          <w:t>Appendix: Serious offences committed while serving a community correction order</w:t>
        </w:r>
        <w:r w:rsidR="00A60316">
          <w:rPr>
            <w:noProof/>
            <w:webHidden/>
          </w:rPr>
          <w:t xml:space="preserve"> </w:t>
        </w:r>
        <w:r w:rsidR="00A60316">
          <w:rPr>
            <w:noProof/>
            <w:webHidden/>
          </w:rPr>
          <w:fldChar w:fldCharType="begin"/>
        </w:r>
        <w:r w:rsidR="00A60316">
          <w:rPr>
            <w:noProof/>
            <w:webHidden/>
          </w:rPr>
          <w:instrText xml:space="preserve"> PAGEREF _Toc43722748 \h </w:instrText>
        </w:r>
        <w:r w:rsidR="00A60316">
          <w:rPr>
            <w:noProof/>
            <w:webHidden/>
          </w:rPr>
        </w:r>
        <w:r w:rsidR="00A60316">
          <w:rPr>
            <w:noProof/>
            <w:webHidden/>
          </w:rPr>
          <w:fldChar w:fldCharType="separate"/>
        </w:r>
        <w:r w:rsidR="00A60316">
          <w:rPr>
            <w:noProof/>
            <w:webHidden/>
          </w:rPr>
          <w:t>23</w:t>
        </w:r>
        <w:r w:rsidR="00A60316">
          <w:rPr>
            <w:noProof/>
            <w:webHidden/>
          </w:rPr>
          <w:fldChar w:fldCharType="end"/>
        </w:r>
      </w:hyperlink>
    </w:p>
    <w:p w14:paraId="31856325" w14:textId="0FE826DF" w:rsidR="00A60316" w:rsidRDefault="007F66A5">
      <w:pPr>
        <w:pStyle w:val="TOC1"/>
        <w:tabs>
          <w:tab w:val="right" w:leader="dot" w:pos="9016"/>
        </w:tabs>
        <w:rPr>
          <w:rFonts w:asciiTheme="minorHAnsi" w:eastAsiaTheme="minorEastAsia" w:hAnsiTheme="minorHAnsi" w:cstheme="minorBidi"/>
          <w:noProof/>
          <w:szCs w:val="22"/>
        </w:rPr>
      </w:pPr>
      <w:hyperlink w:anchor="_Toc43722749" w:history="1">
        <w:r w:rsidR="00A60316" w:rsidRPr="002D5503">
          <w:rPr>
            <w:rStyle w:val="Hyperlink"/>
            <w:noProof/>
          </w:rPr>
          <w:t>References</w:t>
        </w:r>
        <w:r w:rsidR="00A60316">
          <w:rPr>
            <w:noProof/>
            <w:webHidden/>
          </w:rPr>
          <w:t xml:space="preserve"> </w:t>
        </w:r>
        <w:r w:rsidR="00A60316">
          <w:rPr>
            <w:noProof/>
            <w:webHidden/>
          </w:rPr>
          <w:fldChar w:fldCharType="begin"/>
        </w:r>
        <w:r w:rsidR="00A60316">
          <w:rPr>
            <w:noProof/>
            <w:webHidden/>
          </w:rPr>
          <w:instrText xml:space="preserve"> PAGEREF _Toc43722749 \h </w:instrText>
        </w:r>
        <w:r w:rsidR="00A60316">
          <w:rPr>
            <w:noProof/>
            <w:webHidden/>
          </w:rPr>
        </w:r>
        <w:r w:rsidR="00A60316">
          <w:rPr>
            <w:noProof/>
            <w:webHidden/>
          </w:rPr>
          <w:fldChar w:fldCharType="separate"/>
        </w:r>
        <w:r w:rsidR="00A60316">
          <w:rPr>
            <w:noProof/>
            <w:webHidden/>
          </w:rPr>
          <w:t>25</w:t>
        </w:r>
        <w:r w:rsidR="00A60316">
          <w:rPr>
            <w:noProof/>
            <w:webHidden/>
          </w:rPr>
          <w:fldChar w:fldCharType="end"/>
        </w:r>
      </w:hyperlink>
    </w:p>
    <w:p w14:paraId="290615E4" w14:textId="775B50BB" w:rsidR="00210D5D" w:rsidRPr="00210D5D" w:rsidRDefault="00A60316" w:rsidP="00210D5D">
      <w:r>
        <w:fldChar w:fldCharType="end"/>
      </w:r>
    </w:p>
    <w:p w14:paraId="27DEF2D1" w14:textId="77777777" w:rsidR="00F00A00" w:rsidRPr="007E1FB1" w:rsidRDefault="00F00A00" w:rsidP="00A8371B">
      <w:pPr>
        <w:pStyle w:val="Heading1"/>
        <w:pageBreakBefore/>
      </w:pPr>
      <w:bookmarkStart w:id="1" w:name="_Toc43722735"/>
      <w:r w:rsidRPr="007E1FB1">
        <w:lastRenderedPageBreak/>
        <w:t>1. The Council’s reporting requirements and the focus of this report</w:t>
      </w:r>
      <w:bookmarkEnd w:id="1"/>
    </w:p>
    <w:p w14:paraId="2F1611A5" w14:textId="77777777" w:rsidR="00F00A00" w:rsidRDefault="00F00A00" w:rsidP="00680963">
      <w:r>
        <w:t xml:space="preserve">This report addresses a requirement in the </w:t>
      </w:r>
      <w:r w:rsidRPr="00A14C65">
        <w:rPr>
          <w:rStyle w:val="Emphasis"/>
        </w:rPr>
        <w:t>Corrections Act 1986</w:t>
      </w:r>
      <w:r>
        <w:t xml:space="preserve"> (Vic) that:</w:t>
      </w:r>
    </w:p>
    <w:p w14:paraId="7CAFB8FC" w14:textId="77777777" w:rsidR="00F00A00" w:rsidRPr="00680963" w:rsidRDefault="00F00A00" w:rsidP="003F2250">
      <w:pPr>
        <w:pStyle w:val="Quote"/>
      </w:pPr>
      <w:r w:rsidRPr="00680963">
        <w:t>[f]or each financial year commencing on or after 1 July 2016, the Sentencing Advisory Council must report for that year the number of persons convicted during that year of a serious offence committed while subject to a community correction order.</w:t>
      </w:r>
      <w:r w:rsidRPr="00680963">
        <w:footnoteReference w:id="1"/>
      </w:r>
    </w:p>
    <w:p w14:paraId="7C5897C6" w14:textId="77777777" w:rsidR="00F00A00" w:rsidRDefault="00F00A00" w:rsidP="003F2250">
      <w:r>
        <w:t xml:space="preserve">In this report, the Council identifies the number of people sentenced in 2018–19 for a serious offence that was committed while the person was serving a community correction order (CCO). It updates </w:t>
      </w:r>
      <w:r w:rsidRPr="00A14C65">
        <w:rPr>
          <w:rStyle w:val="Emphasis"/>
        </w:rPr>
        <w:t>Serious Offending by People Serving a Community Correction Order: 2017–18</w:t>
      </w:r>
      <w:r>
        <w:t xml:space="preserve">. </w:t>
      </w:r>
    </w:p>
    <w:p w14:paraId="6DC38D6C" w14:textId="77777777" w:rsidR="00F00A00" w:rsidRDefault="00F00A00" w:rsidP="003F2250">
      <w:r>
        <w:t>This is the Council’s third report on serious offending by people serving a CCO.</w:t>
      </w:r>
      <w:r>
        <w:rPr>
          <w:rStyle w:val="Superscript"/>
        </w:rPr>
        <w:footnoteReference w:id="2"/>
      </w:r>
      <w:r>
        <w:t xml:space="preserve"> ‘The Council has also published monitoring reports on CCOs as well as other reports on how courts use CCOs.</w:t>
      </w:r>
      <w:r>
        <w:rPr>
          <w:rStyle w:val="Superscript"/>
        </w:rPr>
        <w:footnoteReference w:id="3"/>
      </w:r>
    </w:p>
    <w:p w14:paraId="02156A3D" w14:textId="77777777" w:rsidR="00F00A00" w:rsidRDefault="00F00A00" w:rsidP="00680963">
      <w:r>
        <w:t>This report examines some important issues relating to people sentenced for a serious offence while serving a CCO, including:</w:t>
      </w:r>
    </w:p>
    <w:p w14:paraId="0A995F56" w14:textId="77777777" w:rsidR="00F00A00" w:rsidRDefault="00F00A00" w:rsidP="005628E0">
      <w:pPr>
        <w:pStyle w:val="Bullets"/>
      </w:pPr>
      <w:r>
        <w:t>the prevalence of different types of serious offences committed by people while serving a CCO;</w:t>
      </w:r>
    </w:p>
    <w:p w14:paraId="38EB0A10" w14:textId="77777777" w:rsidR="00F00A00" w:rsidRDefault="00F00A00" w:rsidP="005628E0">
      <w:pPr>
        <w:pStyle w:val="Bullets"/>
      </w:pPr>
      <w:r>
        <w:t>the total number of people sentenced in 2018–19 for committing a serious offence; and</w:t>
      </w:r>
    </w:p>
    <w:p w14:paraId="2BEDCB8A" w14:textId="77777777" w:rsidR="00F00A00" w:rsidRDefault="00F00A00" w:rsidP="00C47CBE">
      <w:pPr>
        <w:pStyle w:val="Bullets"/>
      </w:pPr>
      <w:r>
        <w:t>the time between when people commenced a CCO and when they committed a serious offence.</w:t>
      </w:r>
    </w:p>
    <w:p w14:paraId="5CA63F7A" w14:textId="77777777" w:rsidR="00F00A00" w:rsidRPr="007E1FB1" w:rsidRDefault="00F00A00" w:rsidP="007E1FB1">
      <w:pPr>
        <w:pStyle w:val="Heading1"/>
      </w:pPr>
      <w:bookmarkStart w:id="2" w:name="_Toc43722736"/>
      <w:r w:rsidRPr="007E1FB1">
        <w:lastRenderedPageBreak/>
        <w:t>2. Community correction orders in Victoria</w:t>
      </w:r>
      <w:bookmarkEnd w:id="2"/>
    </w:p>
    <w:p w14:paraId="70DE1D0F" w14:textId="77777777" w:rsidR="00F00A00" w:rsidRDefault="00F00A00" w:rsidP="003F2250">
      <w:r>
        <w:t>The CCO is a non-custodial sentence available in the higher courts (the Supreme and County Courts) and the Magistrates’ Court in Victoria. It is not available in the Children’s Court.</w:t>
      </w:r>
    </w:p>
    <w:p w14:paraId="140DBE50" w14:textId="77777777" w:rsidR="00F00A00" w:rsidRDefault="00F00A00" w:rsidP="003F2250">
      <w:r>
        <w:t>The purpose of the CCO is to ‘provide a community-based sentence that may be used for a wide range of offending behaviours while having regard to and addressing the circumstances of the offender’.</w:t>
      </w:r>
      <w:r>
        <w:rPr>
          <w:rStyle w:val="Superscript"/>
        </w:rPr>
        <w:footnoteReference w:id="4"/>
      </w:r>
    </w:p>
    <w:p w14:paraId="6E4AD242" w14:textId="77777777" w:rsidR="00F00A00" w:rsidRDefault="00F00A00" w:rsidP="00680963">
      <w:r>
        <w:t>A court may only impose a CCO if:</w:t>
      </w:r>
    </w:p>
    <w:p w14:paraId="47712DF4" w14:textId="77777777" w:rsidR="00F00A00" w:rsidRDefault="00F00A00" w:rsidP="005628E0">
      <w:pPr>
        <w:pStyle w:val="Bullets"/>
      </w:pPr>
      <w:r>
        <w:t>the offender has been convicted or found guilty of an offence punishable by more than five penalty units; and</w:t>
      </w:r>
    </w:p>
    <w:p w14:paraId="5BFCCCC5" w14:textId="77777777" w:rsidR="00F00A00" w:rsidRDefault="00F00A00" w:rsidP="005628E0">
      <w:pPr>
        <w:pStyle w:val="Bullets"/>
      </w:pPr>
      <w:r>
        <w:t>the court has received a pre-sentence report (if required) and has had regard to any recommendations, information or matters identified in the pre-sentence report; and</w:t>
      </w:r>
    </w:p>
    <w:p w14:paraId="0C488753" w14:textId="77777777" w:rsidR="00F00A00" w:rsidRDefault="00F00A00" w:rsidP="00C47CBE">
      <w:pPr>
        <w:pStyle w:val="Bullets"/>
      </w:pPr>
      <w:r>
        <w:t>the offender consents to the order.</w:t>
      </w:r>
      <w:r>
        <w:rPr>
          <w:rStyle w:val="Superscript"/>
        </w:rPr>
        <w:footnoteReference w:id="5"/>
      </w:r>
    </w:p>
    <w:p w14:paraId="557C21E4" w14:textId="77777777" w:rsidR="00F00A00" w:rsidRDefault="00F00A00" w:rsidP="003F2250">
      <w:r>
        <w:t xml:space="preserve">Under the </w:t>
      </w:r>
      <w:r w:rsidRPr="00A14C65">
        <w:rPr>
          <w:rStyle w:val="Emphasis"/>
        </w:rPr>
        <w:t>Sentencing Act 1991</w:t>
      </w:r>
      <w:r>
        <w:t xml:space="preserve"> (Vic), the CCO is considered more severe than an adjourned undertaking or a fine but less severe than a custodial sentence. In practice, the severity of a CCO varies according to the conditions and length of the specific CCO imposed.</w:t>
      </w:r>
    </w:p>
    <w:p w14:paraId="162CFE26" w14:textId="77777777" w:rsidR="00F00A00" w:rsidRDefault="00F00A00" w:rsidP="00F00A00">
      <w:pPr>
        <w:pStyle w:val="Heading2"/>
      </w:pPr>
      <w:r>
        <w:t>Changes to the community correction order</w:t>
      </w:r>
    </w:p>
    <w:p w14:paraId="571EB4DF" w14:textId="77777777" w:rsidR="00F00A00" w:rsidRDefault="00F00A00" w:rsidP="003F2250">
      <w:r>
        <w:t>The CCO became available to the courts on 16 January 2012. At the same time, a number of other orders were abolished, including the community-based order, the intensive correction order, the combined custody and treatment order and the home detention order.</w:t>
      </w:r>
    </w:p>
    <w:p w14:paraId="500DAA46" w14:textId="77777777" w:rsidR="00F00A00" w:rsidRDefault="00F00A00" w:rsidP="00680963">
      <w:r>
        <w:t xml:space="preserve">Since its introduction, the CCO has been affected by a number of amendments to the </w:t>
      </w:r>
      <w:r w:rsidRPr="00A14C65">
        <w:rPr>
          <w:rStyle w:val="Emphasis"/>
        </w:rPr>
        <w:t>Sentencing Act 1991</w:t>
      </w:r>
      <w:r>
        <w:t xml:space="preserve"> (Vic):</w:t>
      </w:r>
    </w:p>
    <w:p w14:paraId="374A2269" w14:textId="77777777" w:rsidR="00F00A00" w:rsidRDefault="00F00A00" w:rsidP="005628E0">
      <w:pPr>
        <w:pStyle w:val="Bullets"/>
      </w:pPr>
      <w:r>
        <w:lastRenderedPageBreak/>
        <w:t>The courts were encouraged in September 2014 to use a CCO in place of a suspended sentence.</w:t>
      </w:r>
      <w:r>
        <w:rPr>
          <w:rStyle w:val="Superscript"/>
        </w:rPr>
        <w:footnoteReference w:id="6"/>
      </w:r>
    </w:p>
    <w:p w14:paraId="3216EDF6" w14:textId="77777777" w:rsidR="00F00A00" w:rsidRDefault="00F00A00" w:rsidP="005628E0">
      <w:pPr>
        <w:pStyle w:val="Bullets"/>
      </w:pPr>
      <w:r>
        <w:t>Initially, the maximum length of a CCO that could be imposed in the higher courts was equal to the maximum term of imprisonment available for the offence,</w:t>
      </w:r>
      <w:r>
        <w:rPr>
          <w:rStyle w:val="Superscript"/>
        </w:rPr>
        <w:footnoteReference w:id="7"/>
      </w:r>
      <w:r>
        <w:t xml:space="preserve"> but in March 2017 the maximum length of a CCO was set at five years for all offences.</w:t>
      </w:r>
      <w:r>
        <w:rPr>
          <w:rStyle w:val="Superscript"/>
        </w:rPr>
        <w:footnoteReference w:id="8"/>
      </w:r>
    </w:p>
    <w:p w14:paraId="34B3CBB6" w14:textId="77777777" w:rsidR="00F00A00" w:rsidRDefault="00F00A00" w:rsidP="005628E0">
      <w:pPr>
        <w:pStyle w:val="Bullets"/>
      </w:pPr>
      <w:r>
        <w:t>Initially, the maximum term of imprisonment that could be combined with a CCO (a ‘combined order’) was set at three months,</w:t>
      </w:r>
      <w:r>
        <w:rPr>
          <w:rStyle w:val="Superscript"/>
        </w:rPr>
        <w:footnoteReference w:id="9"/>
      </w:r>
      <w:r>
        <w:t xml:space="preserve"> but it was increased to two years in September 2014</w:t>
      </w:r>
      <w:r>
        <w:rPr>
          <w:rStyle w:val="Superscript"/>
        </w:rPr>
        <w:footnoteReference w:id="10"/>
      </w:r>
      <w:r>
        <w:t xml:space="preserve"> and reduced to one year in March 2017.</w:t>
      </w:r>
      <w:r>
        <w:rPr>
          <w:rStyle w:val="Superscript"/>
        </w:rPr>
        <w:footnoteReference w:id="11"/>
      </w:r>
    </w:p>
    <w:p w14:paraId="709ADAAF" w14:textId="77777777" w:rsidR="00F00A00" w:rsidRDefault="00F00A00" w:rsidP="00C47CBE">
      <w:pPr>
        <w:pStyle w:val="Bullets"/>
      </w:pPr>
      <w:r>
        <w:t>The courts’ use of CCOs was limited in March 2017 for two classes of serious offences, described as Category 1 offences and Category 2 offences.</w:t>
      </w:r>
      <w:r>
        <w:rPr>
          <w:rStyle w:val="Superscript"/>
        </w:rPr>
        <w:footnoteReference w:id="12"/>
      </w:r>
      <w:r>
        <w:t xml:space="preserve"> The courts must impose a custodial order when sentencing Category 1 offences (for example, murder, rape). The courts are prohibited from imposing a combined order for Category 1 offences. Similarly, the courts must impose a custodial order for Category 2 offences (for example, manslaughter, culpable driving causing death) unless there are special reasons.</w:t>
      </w:r>
      <w:r>
        <w:rPr>
          <w:rStyle w:val="Superscript"/>
        </w:rPr>
        <w:footnoteReference w:id="13"/>
      </w:r>
      <w:r>
        <w:t xml:space="preserve"> If there are special reasons, a CCO or combined order remain available as sentencing options.</w:t>
      </w:r>
    </w:p>
    <w:p w14:paraId="7FC4560B" w14:textId="77777777" w:rsidR="00F00A00" w:rsidRDefault="00F00A00" w:rsidP="003F2250">
      <w:r>
        <w:lastRenderedPageBreak/>
        <w:t>In addition to these legislative changes, the Victorian Court of Appeal’s first guideline judgment offered guidance to the courts on the purposes, strengths and limitations of the CCO.</w:t>
      </w:r>
      <w:r>
        <w:rPr>
          <w:rStyle w:val="Superscript"/>
        </w:rPr>
        <w:footnoteReference w:id="14"/>
      </w:r>
    </w:p>
    <w:p w14:paraId="2A25E88C" w14:textId="77777777" w:rsidR="00F00A00" w:rsidRDefault="00F00A00" w:rsidP="00F00A00">
      <w:pPr>
        <w:pStyle w:val="Heading2"/>
      </w:pPr>
      <w:r>
        <w:t>Conditions of a community correction order</w:t>
      </w:r>
    </w:p>
    <w:p w14:paraId="0B5702C7" w14:textId="77777777" w:rsidR="00F00A00" w:rsidRDefault="00F00A00" w:rsidP="003F2250">
      <w:r>
        <w:t xml:space="preserve">All CCOs have a set of </w:t>
      </w:r>
      <w:r w:rsidRPr="00A14C65">
        <w:rPr>
          <w:rStyle w:val="Emphasis"/>
        </w:rPr>
        <w:t>mandatory (core) conditions</w:t>
      </w:r>
      <w:r>
        <w:t>, including that the offender does not reoffend.</w:t>
      </w:r>
    </w:p>
    <w:p w14:paraId="24123D73" w14:textId="30C820FA" w:rsidR="00F00A00" w:rsidRDefault="00F00A00" w:rsidP="003F2250">
      <w:r>
        <w:t xml:space="preserve">The court must attach at least one </w:t>
      </w:r>
      <w:r w:rsidRPr="00A14C65">
        <w:rPr>
          <w:rStyle w:val="Emphasis"/>
        </w:rPr>
        <w:t>discretionary condition</w:t>
      </w:r>
      <w:r>
        <w:t xml:space="preserve"> to the CCO for all or part of the duration of the order.</w:t>
      </w:r>
    </w:p>
    <w:p w14:paraId="3B6C3472" w14:textId="77777777" w:rsidR="00811019" w:rsidRPr="00811019" w:rsidRDefault="00811019" w:rsidP="00811019">
      <w:r w:rsidRPr="00811019">
        <w:t>Mandatory conditions (attached to all CCOs) include requiring the offender to:</w:t>
      </w:r>
    </w:p>
    <w:p w14:paraId="4124D3A1" w14:textId="77777777" w:rsidR="00811019" w:rsidRPr="00811019" w:rsidRDefault="00811019" w:rsidP="00811019">
      <w:pPr>
        <w:pStyle w:val="Bullets"/>
      </w:pPr>
      <w:r w:rsidRPr="00811019">
        <w:t>not reoffend</w:t>
      </w:r>
    </w:p>
    <w:p w14:paraId="3CD795A4" w14:textId="77777777" w:rsidR="00811019" w:rsidRPr="00811019" w:rsidRDefault="00811019" w:rsidP="00811019">
      <w:pPr>
        <w:pStyle w:val="Bullets"/>
      </w:pPr>
      <w:r w:rsidRPr="00811019">
        <w:t>not leave Victoria without permission</w:t>
      </w:r>
    </w:p>
    <w:p w14:paraId="3594795D" w14:textId="77777777" w:rsidR="00811019" w:rsidRPr="00811019" w:rsidRDefault="00811019" w:rsidP="00811019">
      <w:pPr>
        <w:pStyle w:val="Bullets"/>
      </w:pPr>
      <w:r w:rsidRPr="00811019">
        <w:t>report to a community corrections centre</w:t>
      </w:r>
    </w:p>
    <w:p w14:paraId="1C00B4E3" w14:textId="77777777" w:rsidR="00811019" w:rsidRPr="00811019" w:rsidRDefault="00811019" w:rsidP="00811019">
      <w:pPr>
        <w:pStyle w:val="Bullets"/>
      </w:pPr>
      <w:r w:rsidRPr="00811019">
        <w:t>comply with written directions from the Secretary to the Department of Justice and Community Safety.</w:t>
      </w:r>
    </w:p>
    <w:p w14:paraId="02B0D58C" w14:textId="77777777" w:rsidR="000D0F25" w:rsidRPr="00811019" w:rsidRDefault="000D0F25" w:rsidP="00811019">
      <w:r w:rsidRPr="00811019">
        <w:t>Discretionary conditions include requiring the offender to:</w:t>
      </w:r>
    </w:p>
    <w:p w14:paraId="54FD121B" w14:textId="77777777" w:rsidR="000D0F25" w:rsidRPr="00811019" w:rsidRDefault="000D0F25" w:rsidP="00811019">
      <w:pPr>
        <w:pStyle w:val="Bullets"/>
      </w:pPr>
      <w:r w:rsidRPr="00811019">
        <w:t>undertake medical treatment or other rehabilitation</w:t>
      </w:r>
    </w:p>
    <w:p w14:paraId="0BAC8323" w14:textId="77777777" w:rsidR="000D0F25" w:rsidRPr="00811019" w:rsidRDefault="000D0F25" w:rsidP="00811019">
      <w:pPr>
        <w:pStyle w:val="Bullets"/>
      </w:pPr>
      <w:r w:rsidRPr="00811019">
        <w:t>not enter licensed premises (such as a hotel, club or restaurant)</w:t>
      </w:r>
    </w:p>
    <w:p w14:paraId="742F7A5A" w14:textId="77777777" w:rsidR="000D0F25" w:rsidRPr="00811019" w:rsidRDefault="000D0F25" w:rsidP="00811019">
      <w:pPr>
        <w:pStyle w:val="Bullets"/>
      </w:pPr>
      <w:r w:rsidRPr="00811019">
        <w:t>complete unpaid community work up to a total of 600 hours</w:t>
      </w:r>
    </w:p>
    <w:p w14:paraId="5C75C814" w14:textId="77777777" w:rsidR="000D0F25" w:rsidRPr="00811019" w:rsidRDefault="000D0F25" w:rsidP="00811019">
      <w:pPr>
        <w:pStyle w:val="Bullets"/>
      </w:pPr>
      <w:r w:rsidRPr="00811019">
        <w:t>be supervised, monitored and managed by a corrections worker</w:t>
      </w:r>
    </w:p>
    <w:p w14:paraId="2D898AFF" w14:textId="77777777" w:rsidR="000D0F25" w:rsidRPr="00811019" w:rsidRDefault="000D0F25" w:rsidP="00811019">
      <w:pPr>
        <w:pStyle w:val="Bullets"/>
      </w:pPr>
      <w:r w:rsidRPr="00811019">
        <w:t>abstain from contact or association with particular people (for example, co-offenders)</w:t>
      </w:r>
    </w:p>
    <w:p w14:paraId="10A6296A" w14:textId="77777777" w:rsidR="000D0F25" w:rsidRPr="00811019" w:rsidRDefault="000D0F25" w:rsidP="00811019">
      <w:pPr>
        <w:pStyle w:val="Bullets"/>
      </w:pPr>
      <w:r w:rsidRPr="00811019">
        <w:t xml:space="preserve">live (or not live) at a specified address </w:t>
      </w:r>
    </w:p>
    <w:p w14:paraId="518F73A4" w14:textId="77777777" w:rsidR="000D0F25" w:rsidRPr="00811019" w:rsidRDefault="000D0F25" w:rsidP="00811019">
      <w:pPr>
        <w:pStyle w:val="Bullets"/>
      </w:pPr>
      <w:r w:rsidRPr="00811019">
        <w:t>stay away from nominated places or areas</w:t>
      </w:r>
    </w:p>
    <w:p w14:paraId="075433E5" w14:textId="77777777" w:rsidR="000D0F25" w:rsidRPr="00811019" w:rsidRDefault="000D0F25" w:rsidP="00811019">
      <w:pPr>
        <w:pStyle w:val="Bullets"/>
      </w:pPr>
      <w:r w:rsidRPr="00811019">
        <w:t>abide by a curfew, remaining at a specified place for between two and 12 hours each day</w:t>
      </w:r>
    </w:p>
    <w:p w14:paraId="44579F73" w14:textId="77777777" w:rsidR="000D0F25" w:rsidRPr="00811019" w:rsidRDefault="000D0F25" w:rsidP="00811019">
      <w:pPr>
        <w:pStyle w:val="Bullets"/>
      </w:pPr>
      <w:r w:rsidRPr="00811019">
        <w:t>be monitored and reviewed by the court to ensure compliance with the order</w:t>
      </w:r>
    </w:p>
    <w:p w14:paraId="708CCEA6" w14:textId="77777777" w:rsidR="000D0F25" w:rsidRPr="00811019" w:rsidRDefault="000D0F25" w:rsidP="00A22615">
      <w:pPr>
        <w:pStyle w:val="Bullets"/>
      </w:pPr>
      <w:r w:rsidRPr="00811019">
        <w:lastRenderedPageBreak/>
        <w:t>pay a bond – a sum of money that may be given up wholly or partly if the offender fails to comply with any conditions imposed.</w:t>
      </w:r>
    </w:p>
    <w:p w14:paraId="6ACC1E3F" w14:textId="77777777" w:rsidR="00F00A00" w:rsidRDefault="00F00A00" w:rsidP="00547DB8">
      <w:pPr>
        <w:pStyle w:val="Heading2"/>
      </w:pPr>
      <w:r w:rsidRPr="00547DB8">
        <w:t>Length</w:t>
      </w:r>
      <w:r>
        <w:t xml:space="preserve"> of a community correction order</w:t>
      </w:r>
    </w:p>
    <w:p w14:paraId="33B13CF1" w14:textId="77777777" w:rsidR="00F00A00" w:rsidRDefault="00F00A00" w:rsidP="003F2250">
      <w:r>
        <w:t>The maximum length of a CCO imposed on a single offence is five years in the higher courts</w:t>
      </w:r>
      <w:r>
        <w:rPr>
          <w:rStyle w:val="Superscript"/>
        </w:rPr>
        <w:footnoteReference w:id="15"/>
      </w:r>
      <w:r>
        <w:t xml:space="preserve"> and two years in the Magistrates’ Court.</w:t>
      </w:r>
      <w:r>
        <w:rPr>
          <w:rStyle w:val="Superscript"/>
        </w:rPr>
        <w:footnoteReference w:id="16"/>
      </w:r>
    </w:p>
    <w:p w14:paraId="317BAC50" w14:textId="77777777" w:rsidR="00F00A00" w:rsidRDefault="00F00A00" w:rsidP="003F2250">
      <w:r>
        <w:t>A CCO may be imposed on multiple offences, providing the offences ‘are founded on the same facts or form or are part of a series of offences of the same or a similar character’.</w:t>
      </w:r>
      <w:r>
        <w:rPr>
          <w:rStyle w:val="Superscript"/>
        </w:rPr>
        <w:footnoteReference w:id="17"/>
      </w:r>
    </w:p>
    <w:p w14:paraId="708E4CD4" w14:textId="77777777" w:rsidR="00F00A00" w:rsidRDefault="00F00A00" w:rsidP="003F2250">
      <w:r>
        <w:t>Where a CCO is imposed on multiple offences in the higher courts, the maximum length of the CCO remains five years. In the Magistrates’ Court, the maximum length is four years in relation to two offences and five years in relation to three or more offences.</w:t>
      </w:r>
      <w:r>
        <w:rPr>
          <w:rStyle w:val="Superscript"/>
        </w:rPr>
        <w:footnoteReference w:id="18"/>
      </w:r>
    </w:p>
    <w:p w14:paraId="1E266411" w14:textId="77777777" w:rsidR="00F00A00" w:rsidRDefault="00F00A00" w:rsidP="00F00A00">
      <w:pPr>
        <w:pStyle w:val="Heading2"/>
      </w:pPr>
      <w:r>
        <w:t>Sentences in addition to a community correction order</w:t>
      </w:r>
    </w:p>
    <w:p w14:paraId="41D9AE2D" w14:textId="77777777" w:rsidR="00F00A00" w:rsidRDefault="00F00A00" w:rsidP="003F2250">
      <w:r>
        <w:t>A court may impose a fine</w:t>
      </w:r>
      <w:r>
        <w:rPr>
          <w:rStyle w:val="Superscript"/>
        </w:rPr>
        <w:footnoteReference w:id="19"/>
      </w:r>
      <w:r>
        <w:t xml:space="preserve"> or a sentence of imprisonment in addition to a CCO.</w:t>
      </w:r>
      <w:r>
        <w:rPr>
          <w:rStyle w:val="Superscript"/>
        </w:rPr>
        <w:footnoteReference w:id="20"/>
      </w:r>
    </w:p>
    <w:p w14:paraId="56FBD18F" w14:textId="77777777" w:rsidR="00F00A00" w:rsidRDefault="00F00A00" w:rsidP="003F2250">
      <w:r>
        <w:t>If a court imposes a sentence of imprisonment in addition to a CCO, the term of imprisonment must not exceed one year.</w:t>
      </w:r>
      <w:r>
        <w:rPr>
          <w:rStyle w:val="Superscript"/>
        </w:rPr>
        <w:footnoteReference w:id="21"/>
      </w:r>
    </w:p>
    <w:p w14:paraId="15A3334B" w14:textId="77777777" w:rsidR="00F00A00" w:rsidRDefault="00F00A00" w:rsidP="00F00A00">
      <w:pPr>
        <w:pStyle w:val="Heading2"/>
      </w:pPr>
      <w:r>
        <w:t>Contravention of a community correction order</w:t>
      </w:r>
    </w:p>
    <w:p w14:paraId="30F37DA4" w14:textId="77777777" w:rsidR="00F00A00" w:rsidRDefault="00F00A00" w:rsidP="003F2250">
      <w:r>
        <w:t>Contravention (breach) of a CCO without a reasonable excuse is a criminal offence with a maximum penalty of three months’ imprisonment.</w:t>
      </w:r>
      <w:r>
        <w:rPr>
          <w:rStyle w:val="Superscript"/>
        </w:rPr>
        <w:footnoteReference w:id="22"/>
      </w:r>
    </w:p>
    <w:p w14:paraId="0827DBAA" w14:textId="77777777" w:rsidR="00F00A00" w:rsidRDefault="00F00A00" w:rsidP="003F2250">
      <w:r>
        <w:lastRenderedPageBreak/>
        <w:t>If a person contravenes their CCO, either through committing a new offence or through failing to comply with another condition of the order, they face a number of potential consequences.</w:t>
      </w:r>
    </w:p>
    <w:p w14:paraId="7C22CF7D" w14:textId="77777777" w:rsidR="00F00A00" w:rsidRDefault="00F00A00" w:rsidP="003F2250">
      <w:r>
        <w:t>If the person is found guilty of the offence of contravention of a CCO, the court must make a decision about how to deal with the original CCO. If the contravention is due to new offending, the offender is also sentenced for the new offences.</w:t>
      </w:r>
    </w:p>
    <w:p w14:paraId="5E7EDA3B" w14:textId="77777777" w:rsidR="00F00A00" w:rsidRPr="007E1FB1" w:rsidRDefault="00F00A00" w:rsidP="007E1FB1">
      <w:pPr>
        <w:pStyle w:val="Heading1"/>
      </w:pPr>
      <w:bookmarkStart w:id="3" w:name="_Toc43722737"/>
      <w:r w:rsidRPr="007E1FB1">
        <w:t>3. Serious offences</w:t>
      </w:r>
      <w:bookmarkEnd w:id="3"/>
    </w:p>
    <w:p w14:paraId="4386F1F5" w14:textId="77777777" w:rsidR="00F00A00" w:rsidRDefault="00F00A00" w:rsidP="00680963">
      <w:r>
        <w:t>This report identifies the number of serious offences committed by people while serving a CCO. Serious offences</w:t>
      </w:r>
      <w:r>
        <w:rPr>
          <w:rStyle w:val="Superscript"/>
        </w:rPr>
        <w:footnoteReference w:id="23"/>
      </w:r>
      <w:r>
        <w:t xml:space="preserve"> include:</w:t>
      </w:r>
    </w:p>
    <w:p w14:paraId="2AFD2CC1" w14:textId="77777777" w:rsidR="00F00A00" w:rsidRDefault="00F00A00" w:rsidP="005628E0">
      <w:pPr>
        <w:pStyle w:val="Bullets"/>
      </w:pPr>
      <w:r>
        <w:t>serious violent offences</w:t>
      </w:r>
      <w:r>
        <w:rPr>
          <w:rStyle w:val="Superscript"/>
        </w:rPr>
        <w:footnoteReference w:id="24"/>
      </w:r>
      <w:r>
        <w:t xml:space="preserve"> such as armed robbery, aggravated burglary, arson causing death and false imprisonment; conspiracies, attempts and incitements of these offences; and similar offences committed in Victoria or elsewhere that contain elements of these offences; and</w:t>
      </w:r>
    </w:p>
    <w:p w14:paraId="4DAABF67" w14:textId="77777777" w:rsidR="00F00A00" w:rsidRDefault="00F00A00" w:rsidP="00C47CBE">
      <w:pPr>
        <w:pStyle w:val="Bullets"/>
      </w:pPr>
      <w:r>
        <w:t>sexual offences</w:t>
      </w:r>
      <w:r>
        <w:rPr>
          <w:rStyle w:val="Superscript"/>
        </w:rPr>
        <w:footnoteReference w:id="25"/>
      </w:r>
      <w:r>
        <w:t xml:space="preserve"> such as rape, sexual assault and sexual penetration of a child under 16.</w:t>
      </w:r>
    </w:p>
    <w:p w14:paraId="2A7DC3B6" w14:textId="77777777" w:rsidR="00F00A00" w:rsidRDefault="00F00A00" w:rsidP="003F2250">
      <w:r>
        <w:t xml:space="preserve">The definition of </w:t>
      </w:r>
      <w:r w:rsidRPr="00A14C65">
        <w:rPr>
          <w:rStyle w:val="Emphasis"/>
        </w:rPr>
        <w:t>serious violent offence</w:t>
      </w:r>
      <w:r>
        <w:t xml:space="preserve"> has not changed since 30 June 2018. However, from 3 September 2018, two summary offences are no longer included in the definition of sexual offences: distribution of an intimate image (</w:t>
      </w:r>
      <w:r w:rsidRPr="00A14C65">
        <w:rPr>
          <w:rStyle w:val="Emphasis"/>
        </w:rPr>
        <w:t xml:space="preserve">Summary Offences Act 1966 </w:t>
      </w:r>
      <w:r>
        <w:t>(Vic) s 41DA) and threat to distribute an intimate image (</w:t>
      </w:r>
      <w:r w:rsidRPr="00A14C65">
        <w:rPr>
          <w:rStyle w:val="Emphasis"/>
        </w:rPr>
        <w:t xml:space="preserve">Summary Offences Act 1966 </w:t>
      </w:r>
      <w:r>
        <w:t>(Vic) s 41DB).</w:t>
      </w:r>
      <w:r>
        <w:rPr>
          <w:rStyle w:val="Superscript"/>
        </w:rPr>
        <w:footnoteReference w:id="26"/>
      </w:r>
      <w:r>
        <w:t xml:space="preserve"> </w:t>
      </w:r>
    </w:p>
    <w:p w14:paraId="35C9E92C" w14:textId="77777777" w:rsidR="00F00A00" w:rsidRDefault="00F00A00" w:rsidP="003F2250">
      <w:r>
        <w:lastRenderedPageBreak/>
        <w:t>Specific information is required in the source data to determine whether an offence is serious. However, this information was not available for a small number of offence types. These include burglary, which, if sexually motivated, falls within the definition of a serious offence, and offences relating to the commission of an indictable offence where the indictable offence is not specified. In these instances, the offence has been classified as not serious and has therefore been excluded from the analysis.</w:t>
      </w:r>
    </w:p>
    <w:p w14:paraId="1E02FE79" w14:textId="77777777" w:rsidR="00F00A00" w:rsidRPr="007E1FB1" w:rsidRDefault="00F00A00" w:rsidP="007E1FB1">
      <w:pPr>
        <w:pStyle w:val="Heading1"/>
      </w:pPr>
      <w:bookmarkStart w:id="4" w:name="_Toc43722738"/>
      <w:r w:rsidRPr="007E1FB1">
        <w:t>4. Meaning of the term convicted</w:t>
      </w:r>
      <w:bookmarkEnd w:id="4"/>
    </w:p>
    <w:p w14:paraId="73E9385A" w14:textId="77777777" w:rsidR="00F00A00" w:rsidRDefault="00F00A00" w:rsidP="003F2250">
      <w:r>
        <w:t xml:space="preserve">The </w:t>
      </w:r>
      <w:r w:rsidRPr="00A14C65">
        <w:rPr>
          <w:rStyle w:val="Emphasis"/>
        </w:rPr>
        <w:t>Corrections Act 1986</w:t>
      </w:r>
      <w:r>
        <w:t xml:space="preserve"> (Vic) uses the term </w:t>
      </w:r>
      <w:r w:rsidRPr="00A14C65">
        <w:rPr>
          <w:rStyle w:val="Emphasis"/>
        </w:rPr>
        <w:t>convicted</w:t>
      </w:r>
      <w:r>
        <w:t xml:space="preserve"> in relation to serious offences committed by people on CCOs that the Council must report on. Two meanings of the term are relevant. One is a finding of guilt made by a court against a person; the other is a recording made by a court following a finding of guilt.</w:t>
      </w:r>
      <w:r>
        <w:rPr>
          <w:rStyle w:val="Superscript"/>
        </w:rPr>
        <w:footnoteReference w:id="27"/>
      </w:r>
    </w:p>
    <w:p w14:paraId="5523D113" w14:textId="77777777" w:rsidR="00F00A00" w:rsidRDefault="00F00A00" w:rsidP="003F2250">
      <w:r>
        <w:t xml:space="preserve">In this report, </w:t>
      </w:r>
      <w:r w:rsidRPr="00A14C65">
        <w:rPr>
          <w:rStyle w:val="Emphasis"/>
        </w:rPr>
        <w:t>convicted</w:t>
      </w:r>
      <w:r>
        <w:t xml:space="preserve"> is defined as a finding of guilt made by a court. This excludes a finding of not guilty due to mental impairment, or a qualified finding of guilt, at a special hearing under the </w:t>
      </w:r>
      <w:r w:rsidRPr="00A14C65">
        <w:rPr>
          <w:rStyle w:val="Emphasis"/>
        </w:rPr>
        <w:t xml:space="preserve">Crimes (Mental Impairment and Unfitness to Be Tried) Act 1997 </w:t>
      </w:r>
      <w:r>
        <w:t>(Vic).</w:t>
      </w:r>
      <w:r>
        <w:rPr>
          <w:rStyle w:val="Superscript"/>
        </w:rPr>
        <w:footnoteReference w:id="28"/>
      </w:r>
      <w:r>
        <w:t xml:space="preserve"> The report also excludes offences that are dealt with in the Magistrates’ Court using a court-ordered diversion, as these are not formal findings of guilt even though the accused must acknowledge responsibility for the offence before a diversion can be granted.</w:t>
      </w:r>
      <w:r>
        <w:rPr>
          <w:rStyle w:val="Superscript"/>
        </w:rPr>
        <w:footnoteReference w:id="29"/>
      </w:r>
    </w:p>
    <w:p w14:paraId="5A18B3D2" w14:textId="77777777" w:rsidR="00F00A00" w:rsidRDefault="00F00A00" w:rsidP="003F2250">
      <w:r>
        <w:t>The date of conviction is required for the count of convicted persons within a given period. However, the date of conviction was not available in the data that the Council used for this report.</w:t>
      </w:r>
    </w:p>
    <w:p w14:paraId="00B76B0A" w14:textId="77777777" w:rsidR="00F00A00" w:rsidRDefault="00F00A00" w:rsidP="003F2250">
      <w:r>
        <w:t>The closest available date to the date of conviction is the date of sentence. Therefore, the date of sentence is used in this report as a proxy for the date of conviction.</w:t>
      </w:r>
    </w:p>
    <w:p w14:paraId="179219C1" w14:textId="77777777" w:rsidR="00F00A00" w:rsidRPr="007E1FB1" w:rsidRDefault="00F00A00" w:rsidP="007E1FB1">
      <w:pPr>
        <w:pStyle w:val="Heading1"/>
      </w:pPr>
      <w:bookmarkStart w:id="5" w:name="_Toc43722739"/>
      <w:r w:rsidRPr="007E1FB1">
        <w:lastRenderedPageBreak/>
        <w:t>5. Reference period</w:t>
      </w:r>
      <w:bookmarkEnd w:id="5"/>
    </w:p>
    <w:p w14:paraId="5AF2C0A7" w14:textId="77777777" w:rsidR="00F00A00" w:rsidRDefault="00F00A00" w:rsidP="00680963">
      <w:r>
        <w:t xml:space="preserve">The reference period for this report is 1 July 2018 to 30 June 2019. This period relates to the date on which a sentence was </w:t>
      </w:r>
      <w:r w:rsidRPr="00A14C65">
        <w:rPr>
          <w:rStyle w:val="Emphasis"/>
        </w:rPr>
        <w:t>imposed</w:t>
      </w:r>
      <w:r>
        <w:t xml:space="preserve"> rather than the date on which an offence was </w:t>
      </w:r>
      <w:r w:rsidRPr="00A14C65">
        <w:rPr>
          <w:rStyle w:val="Emphasis"/>
        </w:rPr>
        <w:t>committed</w:t>
      </w:r>
      <w:r>
        <w:t>. The date that the offence was committed is irrelevant to the Council’s reporting obligation, which only requires that the relevant offence was:</w:t>
      </w:r>
    </w:p>
    <w:p w14:paraId="2DD5AD35" w14:textId="77777777" w:rsidR="00F00A00" w:rsidRDefault="00F00A00" w:rsidP="005628E0">
      <w:pPr>
        <w:pStyle w:val="Bullets"/>
      </w:pPr>
      <w:r>
        <w:t>committed by a person who was serving a CCO at the time; and</w:t>
      </w:r>
    </w:p>
    <w:p w14:paraId="7962A703" w14:textId="77777777" w:rsidR="00F00A00" w:rsidRDefault="00F00A00" w:rsidP="00C47CBE">
      <w:pPr>
        <w:pStyle w:val="Bullets"/>
      </w:pPr>
      <w:r>
        <w:t>convicted (sentenced) in the reference period.</w:t>
      </w:r>
    </w:p>
    <w:p w14:paraId="58AE1959" w14:textId="77777777" w:rsidR="00F00A00" w:rsidRDefault="00F00A00" w:rsidP="003F2250">
      <w:r>
        <w:t>Some serious offences included in this report were committed prior to the reference period. There is always some delay between the commission of an offence and the sentence for that offence. For example, a person who committed a serious offence on 30 May 2017 while serving a CCO may not have been sentenced for the offence until 1 July 2018.</w:t>
      </w:r>
    </w:p>
    <w:p w14:paraId="2A0F3D88" w14:textId="77777777" w:rsidR="00F00A00" w:rsidRPr="007E1FB1" w:rsidRDefault="00F00A00" w:rsidP="007E1FB1">
      <w:pPr>
        <w:pStyle w:val="Heading1"/>
      </w:pPr>
      <w:bookmarkStart w:id="6" w:name="_Toc43722740"/>
      <w:r w:rsidRPr="007E1FB1">
        <w:t>6. Methodology</w:t>
      </w:r>
      <w:bookmarkEnd w:id="6"/>
    </w:p>
    <w:p w14:paraId="25B847D9" w14:textId="77777777" w:rsidR="00F00A00" w:rsidRDefault="00F00A00" w:rsidP="00680963">
      <w:r>
        <w:t>The analysis in this report measures the overlap between two populations (see Figure 1):</w:t>
      </w:r>
    </w:p>
    <w:p w14:paraId="29A92793" w14:textId="77777777" w:rsidR="00F00A00" w:rsidRDefault="00F00A00" w:rsidP="005628E0">
      <w:pPr>
        <w:pStyle w:val="Bullets"/>
      </w:pPr>
      <w:r>
        <w:t xml:space="preserve">the population of offenders serving a CCO (the </w:t>
      </w:r>
      <w:r w:rsidRPr="00A14C65">
        <w:rPr>
          <w:rStyle w:val="Emphasis"/>
        </w:rPr>
        <w:t>CCO offender population</w:t>
      </w:r>
      <w:r>
        <w:t>); and</w:t>
      </w:r>
    </w:p>
    <w:p w14:paraId="596000C7" w14:textId="77777777" w:rsidR="00F00A00" w:rsidRDefault="00F00A00" w:rsidP="00C47CBE">
      <w:pPr>
        <w:pStyle w:val="Bullets"/>
      </w:pPr>
      <w:r>
        <w:t xml:space="preserve">the population of offenders who committed a serious offence (the </w:t>
      </w:r>
      <w:r w:rsidRPr="00A14C65">
        <w:rPr>
          <w:rStyle w:val="Emphasis"/>
        </w:rPr>
        <w:t>serious offence population</w:t>
      </w:r>
      <w:r>
        <w:t>).</w:t>
      </w:r>
    </w:p>
    <w:p w14:paraId="530AABFB" w14:textId="77777777" w:rsidR="00F00A00" w:rsidRDefault="00F00A00" w:rsidP="003F2250">
      <w:r>
        <w:t>The CCO offender population comprises all people who served a CCO from the order’s introduction on 16 January 2012 to the end of the reference period on 30 June 2019. If the same person received two or more CCOs during that time, they would be counted once within the CCO offender population.</w:t>
      </w:r>
    </w:p>
    <w:p w14:paraId="5B74A648" w14:textId="77777777" w:rsidR="00F00A00" w:rsidRDefault="00F00A00" w:rsidP="008D5DC1">
      <w:pPr>
        <w:pStyle w:val="Caption"/>
      </w:pPr>
      <w:r w:rsidRPr="008D5DC1">
        <w:t xml:space="preserve">Figure 1: </w:t>
      </w:r>
      <w:r>
        <w:t>Populations used to identify people sentenced in 2018–19 for a serious offence committed while serving a CCO</w:t>
      </w:r>
    </w:p>
    <w:tbl>
      <w:tblPr>
        <w:tblStyle w:val="Table"/>
        <w:tblW w:w="5000" w:type="pct"/>
        <w:tblLook w:val="04A0" w:firstRow="1" w:lastRow="0" w:firstColumn="1" w:lastColumn="0" w:noHBand="0" w:noVBand="1"/>
      </w:tblPr>
      <w:tblGrid>
        <w:gridCol w:w="5069"/>
        <w:gridCol w:w="1627"/>
        <w:gridCol w:w="2320"/>
      </w:tblGrid>
      <w:tr w:rsidR="00615CB4" w:rsidRPr="00547DB8" w14:paraId="5F7C1354" w14:textId="77777777" w:rsidTr="00AD4FA5">
        <w:trPr>
          <w:trHeight w:val="300"/>
          <w:tblHeader/>
        </w:trPr>
        <w:tc>
          <w:tcPr>
            <w:tcW w:w="2031" w:type="pct"/>
            <w:noWrap/>
            <w:hideMark/>
          </w:tcPr>
          <w:p w14:paraId="63C75C09" w14:textId="66EF8660" w:rsidR="00547DB8" w:rsidRPr="00547DB8" w:rsidRDefault="00547DB8" w:rsidP="00547DB8">
            <w:pPr>
              <w:pStyle w:val="TableHeading"/>
            </w:pPr>
            <w:r>
              <w:t>Population</w:t>
            </w:r>
          </w:p>
        </w:tc>
        <w:tc>
          <w:tcPr>
            <w:tcW w:w="1541" w:type="pct"/>
            <w:noWrap/>
            <w:hideMark/>
          </w:tcPr>
          <w:p w14:paraId="7222B163" w14:textId="77777777" w:rsidR="00547DB8" w:rsidRPr="00547DB8" w:rsidRDefault="00547DB8" w:rsidP="00547DB8">
            <w:pPr>
              <w:pStyle w:val="TableHeading"/>
            </w:pPr>
            <w:r w:rsidRPr="00547DB8">
              <w:t>Number of people</w:t>
            </w:r>
          </w:p>
        </w:tc>
        <w:tc>
          <w:tcPr>
            <w:tcW w:w="1429" w:type="pct"/>
            <w:noWrap/>
            <w:hideMark/>
          </w:tcPr>
          <w:p w14:paraId="37FC274A" w14:textId="46C2750E" w:rsidR="00547DB8" w:rsidRPr="00547DB8" w:rsidRDefault="00547DB8" w:rsidP="00547DB8">
            <w:pPr>
              <w:pStyle w:val="TableHeading"/>
            </w:pPr>
            <w:r w:rsidRPr="00547DB8">
              <w:t xml:space="preserve">Number of </w:t>
            </w:r>
            <w:r w:rsidR="0074456B">
              <w:t xml:space="preserve">proven </w:t>
            </w:r>
            <w:r w:rsidRPr="00547DB8">
              <w:t>charges</w:t>
            </w:r>
          </w:p>
        </w:tc>
      </w:tr>
      <w:tr w:rsidR="00615CB4" w:rsidRPr="00547DB8" w14:paraId="49102668" w14:textId="77777777" w:rsidTr="00547DB8">
        <w:trPr>
          <w:trHeight w:val="300"/>
        </w:trPr>
        <w:tc>
          <w:tcPr>
            <w:tcW w:w="2031" w:type="pct"/>
            <w:noWrap/>
            <w:hideMark/>
          </w:tcPr>
          <w:p w14:paraId="35FE685D" w14:textId="30FDAE23" w:rsidR="00547DB8" w:rsidRPr="00547DB8" w:rsidRDefault="00547DB8" w:rsidP="00547DB8">
            <w:pPr>
              <w:pStyle w:val="TableBody"/>
            </w:pPr>
            <w:r w:rsidRPr="00547DB8">
              <w:t>CCO offender population</w:t>
            </w:r>
            <w:r w:rsidR="00615CB4">
              <w:t xml:space="preserve"> (served 16 January to 30 June 2019)</w:t>
            </w:r>
          </w:p>
        </w:tc>
        <w:tc>
          <w:tcPr>
            <w:tcW w:w="1541" w:type="pct"/>
            <w:noWrap/>
            <w:hideMark/>
          </w:tcPr>
          <w:p w14:paraId="7BF6925F" w14:textId="77777777" w:rsidR="00547DB8" w:rsidRPr="00547DB8" w:rsidRDefault="00547DB8" w:rsidP="00547DB8">
            <w:pPr>
              <w:pStyle w:val="TableBody"/>
            </w:pPr>
            <w:r w:rsidRPr="00547DB8">
              <w:t>60,120</w:t>
            </w:r>
          </w:p>
        </w:tc>
        <w:tc>
          <w:tcPr>
            <w:tcW w:w="1429" w:type="pct"/>
            <w:noWrap/>
            <w:hideMark/>
          </w:tcPr>
          <w:p w14:paraId="3D5A3781" w14:textId="2FB78EA8" w:rsidR="00547DB8" w:rsidRPr="00547DB8" w:rsidRDefault="00F80120" w:rsidP="00547DB8">
            <w:pPr>
              <w:pStyle w:val="TableBody"/>
            </w:pPr>
            <w:r>
              <w:t>n.a.</w:t>
            </w:r>
          </w:p>
        </w:tc>
      </w:tr>
      <w:tr w:rsidR="00615CB4" w:rsidRPr="00547DB8" w14:paraId="1428C26B" w14:textId="77777777" w:rsidTr="00547DB8">
        <w:trPr>
          <w:trHeight w:val="300"/>
        </w:trPr>
        <w:tc>
          <w:tcPr>
            <w:tcW w:w="2031" w:type="pct"/>
            <w:noWrap/>
            <w:hideMark/>
          </w:tcPr>
          <w:p w14:paraId="0B9E35C2" w14:textId="537338EE" w:rsidR="00547DB8" w:rsidRPr="00547DB8" w:rsidRDefault="00547DB8" w:rsidP="00547DB8">
            <w:pPr>
              <w:pStyle w:val="TableBody"/>
            </w:pPr>
            <w:r w:rsidRPr="00547DB8">
              <w:t>Serious offence population</w:t>
            </w:r>
            <w:r w:rsidR="00A854DD">
              <w:t xml:space="preserve"> (sentenced 1 July 2018 to 30 June 2019)</w:t>
            </w:r>
          </w:p>
        </w:tc>
        <w:tc>
          <w:tcPr>
            <w:tcW w:w="1541" w:type="pct"/>
            <w:noWrap/>
            <w:hideMark/>
          </w:tcPr>
          <w:p w14:paraId="4F80FC03" w14:textId="77777777" w:rsidR="00547DB8" w:rsidRPr="00547DB8" w:rsidRDefault="00547DB8" w:rsidP="00547DB8">
            <w:pPr>
              <w:pStyle w:val="TableBody"/>
            </w:pPr>
            <w:r w:rsidRPr="00547DB8">
              <w:t>3,875</w:t>
            </w:r>
          </w:p>
        </w:tc>
        <w:tc>
          <w:tcPr>
            <w:tcW w:w="1429" w:type="pct"/>
            <w:noWrap/>
            <w:hideMark/>
          </w:tcPr>
          <w:p w14:paraId="2250E332" w14:textId="77777777" w:rsidR="00547DB8" w:rsidRPr="00547DB8" w:rsidRDefault="00547DB8" w:rsidP="00547DB8">
            <w:pPr>
              <w:pStyle w:val="TableBody"/>
            </w:pPr>
            <w:r w:rsidRPr="00547DB8">
              <w:t>6,218</w:t>
            </w:r>
          </w:p>
        </w:tc>
      </w:tr>
    </w:tbl>
    <w:p w14:paraId="3D4A87DC" w14:textId="77777777" w:rsidR="00F00A00" w:rsidRDefault="00F00A00" w:rsidP="003F2250">
      <w:r>
        <w:lastRenderedPageBreak/>
        <w:t>The number of people in the CCO offender population is 60,120. This number includes people who may have received two or more CCOs.</w:t>
      </w:r>
    </w:p>
    <w:p w14:paraId="6F4AD5B7" w14:textId="77777777" w:rsidR="00F00A00" w:rsidRDefault="00F00A00" w:rsidP="003F2250">
      <w:r>
        <w:t>The serious offence population comprises all proven charges of a serious offence committed by any person and sentenced in the Magistrates’ Court or in the higher courts from 1 July 2018 to 30 June 2019. The number of people in the serious offence population is 3,875, and they committed 6,218 proven charges of a serious offence. These numbers are lower than the numbers for 2017–18</w:t>
      </w:r>
      <w:r>
        <w:rPr>
          <w:rStyle w:val="Superscript"/>
        </w:rPr>
        <w:footnoteReference w:id="30"/>
      </w:r>
      <w:r>
        <w:t xml:space="preserve"> (4,032 people and 6,570 proven charges), representing a 3.9% decrease in the number of people and a 5.4% decrease in the number of proven charges. </w:t>
      </w:r>
    </w:p>
    <w:p w14:paraId="24F5C2AC" w14:textId="77777777" w:rsidR="00F00A00" w:rsidRDefault="00F00A00" w:rsidP="003F2250">
      <w:r>
        <w:t>The number of people in 2018–19 was also lower than in 2016–17,</w:t>
      </w:r>
      <w:r>
        <w:rPr>
          <w:rStyle w:val="Superscript"/>
        </w:rPr>
        <w:footnoteReference w:id="31"/>
      </w:r>
      <w:r>
        <w:t xml:space="preserve"> although the number of proven charges was slightly higher. The number of people in the serious offence population in 2016–17 was 3,956, and they committed 6,180 proven charges. The serious offender population thus showed a 2% decrease in the number of people but a 0.6% increase in the number of charges in 2018–19, compared with 2016–17. </w:t>
      </w:r>
    </w:p>
    <w:p w14:paraId="0339F743" w14:textId="77777777" w:rsidR="00F00A00" w:rsidRDefault="00F00A00" w:rsidP="00F00A00">
      <w:pPr>
        <w:pStyle w:val="Heading2"/>
      </w:pPr>
      <w:r>
        <w:t>Data limitations</w:t>
      </w:r>
    </w:p>
    <w:p w14:paraId="61CF7059" w14:textId="77777777" w:rsidR="00F00A00" w:rsidRDefault="00F00A00" w:rsidP="003F2250">
      <w:r>
        <w:t>There are a number of limitations in the data used for this analysis.</w:t>
      </w:r>
    </w:p>
    <w:p w14:paraId="6E15EA36" w14:textId="77777777" w:rsidR="00F00A00" w:rsidRDefault="00F00A00" w:rsidP="00F00A00">
      <w:pPr>
        <w:pStyle w:val="Heading3"/>
      </w:pPr>
      <w:r>
        <w:t>Exclusions</w:t>
      </w:r>
    </w:p>
    <w:p w14:paraId="59C70F54" w14:textId="77777777" w:rsidR="00F00A00" w:rsidRDefault="00F00A00" w:rsidP="00680963">
      <w:r>
        <w:t>Due to data limitations, serious offences have been excluded if the offence was:</w:t>
      </w:r>
    </w:p>
    <w:p w14:paraId="44A3F124" w14:textId="77777777" w:rsidR="00F00A00" w:rsidRDefault="00F00A00" w:rsidP="005628E0">
      <w:pPr>
        <w:pStyle w:val="Bullets"/>
      </w:pPr>
      <w:r>
        <w:t>committed outside Victoria – it is possible for a person serving a CCO to depart Victoria and commit a serious offence in another jurisdiction;</w:t>
      </w:r>
    </w:p>
    <w:p w14:paraId="6066D3EF" w14:textId="77777777" w:rsidR="00F00A00" w:rsidRDefault="00F00A00" w:rsidP="005628E0">
      <w:pPr>
        <w:pStyle w:val="Bullets"/>
      </w:pPr>
      <w:r>
        <w:t>committed while the person was serving a CCO but no link was established between the serious offence population and the CCO offender population; and/or</w:t>
      </w:r>
    </w:p>
    <w:p w14:paraId="63DD5A34" w14:textId="77777777" w:rsidR="00F00A00" w:rsidRDefault="00F00A00" w:rsidP="00C47CBE">
      <w:pPr>
        <w:pStyle w:val="Bullets"/>
      </w:pPr>
      <w:r>
        <w:t>insufficiently described in the source data (for example, burglary is not classed as a serious offence even though it falls within the definition of a serious offence in some circumstances – see Section 3).</w:t>
      </w:r>
    </w:p>
    <w:p w14:paraId="3DDA69B0" w14:textId="77777777" w:rsidR="00F00A00" w:rsidRDefault="00F00A00" w:rsidP="003F2250">
      <w:r>
        <w:lastRenderedPageBreak/>
        <w:t>Each of these exclusions may result in an undercount of the number of people who committed a serious offence while serving a CCO.</w:t>
      </w:r>
    </w:p>
    <w:p w14:paraId="7F1554E2" w14:textId="77777777" w:rsidR="00F00A00" w:rsidRDefault="00F00A00" w:rsidP="00F00A00">
      <w:pPr>
        <w:pStyle w:val="Heading3"/>
      </w:pPr>
      <w:r>
        <w:t>Inclusions</w:t>
      </w:r>
    </w:p>
    <w:p w14:paraId="70665B09" w14:textId="77777777" w:rsidR="00F00A00" w:rsidRDefault="00F00A00" w:rsidP="00680963">
      <w:r>
        <w:t>Due to data limitations, serious offences have been included if:</w:t>
      </w:r>
    </w:p>
    <w:p w14:paraId="21BF48B4" w14:textId="77777777" w:rsidR="00F00A00" w:rsidRDefault="00F00A00" w:rsidP="005628E0">
      <w:pPr>
        <w:pStyle w:val="Bullets"/>
      </w:pPr>
      <w:r>
        <w:t xml:space="preserve">the convictions for the offences were subsequently quashed by an appellate court; </w:t>
      </w:r>
    </w:p>
    <w:p w14:paraId="4254F28A" w14:textId="77777777" w:rsidR="00F00A00" w:rsidRDefault="00F00A00" w:rsidP="005628E0">
      <w:pPr>
        <w:pStyle w:val="Bullets"/>
      </w:pPr>
      <w:r>
        <w:t>offenders had proceedings initiated against them for contravention of a CCO and were awaiting a court decision, even though they may not necessarily be under active supervision; and/or</w:t>
      </w:r>
    </w:p>
    <w:p w14:paraId="4FE9671B" w14:textId="77777777" w:rsidR="00F00A00" w:rsidRDefault="00F00A00" w:rsidP="00C47CBE">
      <w:pPr>
        <w:pStyle w:val="Bullets"/>
      </w:pPr>
      <w:r>
        <w:t>the relevant CCO was cancelled before the serious offence was committed, and the cancellation date was not available in the source data at the time of writing.</w:t>
      </w:r>
    </w:p>
    <w:p w14:paraId="482561E2" w14:textId="77777777" w:rsidR="00F00A00" w:rsidRDefault="00F00A00" w:rsidP="003F2250">
      <w:r>
        <w:t>Each of these inclusions may result in an overcount of the number of people who committed a serious offence while serving a CCO.</w:t>
      </w:r>
    </w:p>
    <w:p w14:paraId="5D28E43B" w14:textId="77777777" w:rsidR="00F00A00" w:rsidRPr="007E1FB1" w:rsidRDefault="00F00A00" w:rsidP="007E1FB1">
      <w:pPr>
        <w:pStyle w:val="Heading1"/>
      </w:pPr>
      <w:bookmarkStart w:id="7" w:name="_Toc43722741"/>
      <w:r w:rsidRPr="007E1FB1">
        <w:t>7. All people serving a community correction order</w:t>
      </w:r>
      <w:bookmarkEnd w:id="7"/>
    </w:p>
    <w:p w14:paraId="04C89011" w14:textId="77777777" w:rsidR="00F00A00" w:rsidRDefault="00F00A00" w:rsidP="003F2250">
      <w:r>
        <w:t xml:space="preserve">Figure 2 shows the number of people who received a CCO each financial year from 2011–12 to 2018–19, based on the date of imposition. It also shows whether the person had previously received a CCO. A total of 60,120 people received a CCO for the first time from 16 January 2012 to 30 June 2019 (see the lower part of each bar in Figure 2). A subset of these people (33,034 of 60,120 people or 55%) received a second or subsequent CCO during a different financial year from 16 January 2012 to 30 June 2019 (see the upper part of each bar in Figure 2). Some of these 33,034 people were counted more than once, as they may have received a new CCO over multiple years. The number of </w:t>
      </w:r>
      <w:r w:rsidRPr="00A14C65">
        <w:rPr>
          <w:rStyle w:val="Emphasis"/>
        </w:rPr>
        <w:t>unique individuals</w:t>
      </w:r>
      <w:r>
        <w:t xml:space="preserve"> that received a CCO over multiple years was 22,421 people or 37% of the overall number of 60,120 people. </w:t>
      </w:r>
    </w:p>
    <w:p w14:paraId="1D4B8D7B" w14:textId="77777777" w:rsidR="00F00A00" w:rsidRDefault="00F00A00" w:rsidP="003F2250">
      <w:r>
        <w:t xml:space="preserve">The total number of people who received a CCO plateaued in the three financial years to 30 June 2018 before decreasing slightly in 2018–19. </w:t>
      </w:r>
    </w:p>
    <w:p w14:paraId="767F6F16" w14:textId="77777777" w:rsidR="00F00A00" w:rsidRDefault="00F00A00" w:rsidP="003F2250">
      <w:r>
        <w:lastRenderedPageBreak/>
        <w:t xml:space="preserve">Another pattern to emerge from Figure 2 is a steady increase in the number and percentage of people who received a second or subsequent CCO each year since the order was introduced in January 2012. For instance, in 2012–13, only 9% of people were on their second or subsequent CCO (695 of 8,103 people). By 2016–17, the percentage of people on their second or subsequent CCO had risen to 45% (6,729 of 14,908 people). In 2018–19, the percentage of people on their second or subsequent CCO had increased to 54% (7,966 of 14,629 people), overtaking the percentage of first-time CCO recipients for that year. This increase in the number and percentage of people receiving a second or subsequent CCO is not entirely unexpected, as people have a greater chance of accumulating more CCOs the longer this sentencing option is available to the courts. </w:t>
      </w:r>
    </w:p>
    <w:p w14:paraId="11D5A32B" w14:textId="77777777" w:rsidR="00F00A00" w:rsidRDefault="00F00A00" w:rsidP="008D5DC1">
      <w:pPr>
        <w:pStyle w:val="Caption"/>
      </w:pPr>
      <w:r w:rsidRPr="008D5DC1">
        <w:t xml:space="preserve">Figure 2: </w:t>
      </w:r>
      <w:r>
        <w:t>Number of people who received a CCO from 16 January 2012 to 30 June 2019, by financial year and whether the person had previously received a CCO</w:t>
      </w:r>
      <w:r>
        <w:rPr>
          <w:rStyle w:val="Superscript"/>
        </w:rPr>
        <w:footnoteReference w:id="32"/>
      </w:r>
    </w:p>
    <w:tbl>
      <w:tblPr>
        <w:tblStyle w:val="Table"/>
        <w:tblW w:w="5000" w:type="pct"/>
        <w:tblLook w:val="04A0" w:firstRow="1" w:lastRow="0" w:firstColumn="1" w:lastColumn="0" w:noHBand="0" w:noVBand="1"/>
      </w:tblPr>
      <w:tblGrid>
        <w:gridCol w:w="1786"/>
        <w:gridCol w:w="2621"/>
        <w:gridCol w:w="3684"/>
        <w:gridCol w:w="925"/>
      </w:tblGrid>
      <w:tr w:rsidR="00413F85" w:rsidRPr="00413F85" w14:paraId="292A218F" w14:textId="77777777" w:rsidTr="00502F4C">
        <w:trPr>
          <w:trHeight w:val="454"/>
          <w:tblHeader/>
        </w:trPr>
        <w:tc>
          <w:tcPr>
            <w:tcW w:w="990" w:type="pct"/>
            <w:noWrap/>
            <w:hideMark/>
          </w:tcPr>
          <w:p w14:paraId="48B3423E" w14:textId="77777777" w:rsidR="00413F85" w:rsidRPr="00502F4C" w:rsidRDefault="00413F85" w:rsidP="00502F4C">
            <w:pPr>
              <w:pStyle w:val="TableHeading"/>
            </w:pPr>
            <w:r w:rsidRPr="00502F4C">
              <w:t>Financial year</w:t>
            </w:r>
          </w:p>
        </w:tc>
        <w:tc>
          <w:tcPr>
            <w:tcW w:w="1454" w:type="pct"/>
            <w:hideMark/>
          </w:tcPr>
          <w:p w14:paraId="2001325F" w14:textId="0766A96F" w:rsidR="00413F85" w:rsidRPr="00502F4C" w:rsidRDefault="00413F85" w:rsidP="00502F4C">
            <w:pPr>
              <w:pStyle w:val="TableHeading"/>
            </w:pPr>
            <w:r w:rsidRPr="00502F4C">
              <w:t>People who received a CCO for the first time</w:t>
            </w:r>
          </w:p>
        </w:tc>
        <w:tc>
          <w:tcPr>
            <w:tcW w:w="2043" w:type="pct"/>
            <w:hideMark/>
          </w:tcPr>
          <w:p w14:paraId="68F624ED" w14:textId="50C493DB" w:rsidR="00413F85" w:rsidRPr="00502F4C" w:rsidRDefault="00413F85" w:rsidP="00502F4C">
            <w:pPr>
              <w:pStyle w:val="TableHeading"/>
            </w:pPr>
            <w:r w:rsidRPr="00502F4C">
              <w:t>People who received a CCO and who had previously received a CCO</w:t>
            </w:r>
          </w:p>
        </w:tc>
        <w:tc>
          <w:tcPr>
            <w:tcW w:w="513" w:type="pct"/>
            <w:noWrap/>
            <w:hideMark/>
          </w:tcPr>
          <w:p w14:paraId="45F37DB3" w14:textId="77777777" w:rsidR="00413F85" w:rsidRPr="00502F4C" w:rsidRDefault="00413F85" w:rsidP="00502F4C">
            <w:pPr>
              <w:pStyle w:val="TableHeading"/>
            </w:pPr>
            <w:r w:rsidRPr="00502F4C">
              <w:t>Total</w:t>
            </w:r>
          </w:p>
        </w:tc>
      </w:tr>
      <w:tr w:rsidR="00413F85" w:rsidRPr="00413F85" w14:paraId="3A960102" w14:textId="77777777" w:rsidTr="00F66ADC">
        <w:trPr>
          <w:trHeight w:val="300"/>
        </w:trPr>
        <w:tc>
          <w:tcPr>
            <w:tcW w:w="990" w:type="pct"/>
            <w:noWrap/>
            <w:hideMark/>
          </w:tcPr>
          <w:p w14:paraId="50562325" w14:textId="77777777" w:rsidR="00413F85" w:rsidRPr="00413F85" w:rsidRDefault="00413F85" w:rsidP="00517BEF">
            <w:pPr>
              <w:pStyle w:val="TableBody"/>
            </w:pPr>
            <w:r w:rsidRPr="00413F85">
              <w:t>2011-12</w:t>
            </w:r>
          </w:p>
        </w:tc>
        <w:tc>
          <w:tcPr>
            <w:tcW w:w="1454" w:type="pct"/>
            <w:noWrap/>
            <w:hideMark/>
          </w:tcPr>
          <w:p w14:paraId="138F2520" w14:textId="77777777" w:rsidR="00413F85" w:rsidRPr="00413F85" w:rsidRDefault="00413F85" w:rsidP="00517BEF">
            <w:pPr>
              <w:pStyle w:val="TableBody"/>
            </w:pPr>
            <w:r w:rsidRPr="00413F85">
              <w:t>3,978</w:t>
            </w:r>
          </w:p>
        </w:tc>
        <w:tc>
          <w:tcPr>
            <w:tcW w:w="2043" w:type="pct"/>
            <w:noWrap/>
            <w:hideMark/>
          </w:tcPr>
          <w:p w14:paraId="758FF891" w14:textId="77777777" w:rsidR="00413F85" w:rsidRPr="00413F85" w:rsidRDefault="00413F85" w:rsidP="00517BEF">
            <w:pPr>
              <w:pStyle w:val="TableBody"/>
            </w:pPr>
            <w:r w:rsidRPr="00413F85">
              <w:t>0</w:t>
            </w:r>
          </w:p>
        </w:tc>
        <w:tc>
          <w:tcPr>
            <w:tcW w:w="513" w:type="pct"/>
            <w:noWrap/>
            <w:hideMark/>
          </w:tcPr>
          <w:p w14:paraId="2F3FB881" w14:textId="77777777" w:rsidR="00413F85" w:rsidRPr="00413F85" w:rsidRDefault="00413F85" w:rsidP="00517BEF">
            <w:pPr>
              <w:pStyle w:val="TableBody"/>
            </w:pPr>
            <w:r w:rsidRPr="00413F85">
              <w:t>3,978</w:t>
            </w:r>
          </w:p>
        </w:tc>
      </w:tr>
      <w:tr w:rsidR="00413F85" w:rsidRPr="00413F85" w14:paraId="0B287CC2" w14:textId="77777777" w:rsidTr="00F66ADC">
        <w:trPr>
          <w:trHeight w:val="300"/>
        </w:trPr>
        <w:tc>
          <w:tcPr>
            <w:tcW w:w="990" w:type="pct"/>
            <w:noWrap/>
            <w:hideMark/>
          </w:tcPr>
          <w:p w14:paraId="27B182E5" w14:textId="77777777" w:rsidR="00413F85" w:rsidRPr="00413F85" w:rsidRDefault="00413F85" w:rsidP="00517BEF">
            <w:pPr>
              <w:pStyle w:val="TableBody"/>
            </w:pPr>
            <w:r w:rsidRPr="00413F85">
              <w:t>2012-13</w:t>
            </w:r>
          </w:p>
        </w:tc>
        <w:tc>
          <w:tcPr>
            <w:tcW w:w="1454" w:type="pct"/>
            <w:noWrap/>
            <w:hideMark/>
          </w:tcPr>
          <w:p w14:paraId="5FF74483" w14:textId="77777777" w:rsidR="00413F85" w:rsidRPr="00413F85" w:rsidRDefault="00413F85" w:rsidP="00517BEF">
            <w:pPr>
              <w:pStyle w:val="TableBody"/>
            </w:pPr>
            <w:r w:rsidRPr="00413F85">
              <w:t>7,408</w:t>
            </w:r>
          </w:p>
        </w:tc>
        <w:tc>
          <w:tcPr>
            <w:tcW w:w="2043" w:type="pct"/>
            <w:noWrap/>
            <w:hideMark/>
          </w:tcPr>
          <w:p w14:paraId="2C0C2DB5" w14:textId="77777777" w:rsidR="00413F85" w:rsidRPr="00413F85" w:rsidRDefault="00413F85" w:rsidP="00517BEF">
            <w:pPr>
              <w:pStyle w:val="TableBody"/>
            </w:pPr>
            <w:r w:rsidRPr="00413F85">
              <w:t>695</w:t>
            </w:r>
          </w:p>
        </w:tc>
        <w:tc>
          <w:tcPr>
            <w:tcW w:w="513" w:type="pct"/>
            <w:noWrap/>
            <w:hideMark/>
          </w:tcPr>
          <w:p w14:paraId="6A42439B" w14:textId="77777777" w:rsidR="00413F85" w:rsidRPr="00413F85" w:rsidRDefault="00413F85" w:rsidP="00517BEF">
            <w:pPr>
              <w:pStyle w:val="TableBody"/>
            </w:pPr>
            <w:r w:rsidRPr="00413F85">
              <w:t>8,103</w:t>
            </w:r>
          </w:p>
        </w:tc>
      </w:tr>
      <w:tr w:rsidR="00413F85" w:rsidRPr="00413F85" w14:paraId="502A7A32" w14:textId="77777777" w:rsidTr="00F66ADC">
        <w:trPr>
          <w:trHeight w:val="300"/>
        </w:trPr>
        <w:tc>
          <w:tcPr>
            <w:tcW w:w="990" w:type="pct"/>
            <w:noWrap/>
            <w:hideMark/>
          </w:tcPr>
          <w:p w14:paraId="2B46E416" w14:textId="77777777" w:rsidR="00413F85" w:rsidRPr="00413F85" w:rsidRDefault="00413F85" w:rsidP="00517BEF">
            <w:pPr>
              <w:pStyle w:val="TableBody"/>
            </w:pPr>
            <w:r w:rsidRPr="00413F85">
              <w:t>2013-14</w:t>
            </w:r>
          </w:p>
        </w:tc>
        <w:tc>
          <w:tcPr>
            <w:tcW w:w="1454" w:type="pct"/>
            <w:noWrap/>
            <w:hideMark/>
          </w:tcPr>
          <w:p w14:paraId="59A8F004" w14:textId="77777777" w:rsidR="00413F85" w:rsidRPr="00413F85" w:rsidRDefault="00413F85" w:rsidP="00517BEF">
            <w:pPr>
              <w:pStyle w:val="TableBody"/>
            </w:pPr>
            <w:r w:rsidRPr="00413F85">
              <w:t>7,478</w:t>
            </w:r>
          </w:p>
        </w:tc>
        <w:tc>
          <w:tcPr>
            <w:tcW w:w="2043" w:type="pct"/>
            <w:noWrap/>
            <w:hideMark/>
          </w:tcPr>
          <w:p w14:paraId="410CA2FE" w14:textId="77777777" w:rsidR="00413F85" w:rsidRPr="00413F85" w:rsidRDefault="00413F85" w:rsidP="00517BEF">
            <w:pPr>
              <w:pStyle w:val="TableBody"/>
            </w:pPr>
            <w:r w:rsidRPr="00413F85">
              <w:t>1,759</w:t>
            </w:r>
          </w:p>
        </w:tc>
        <w:tc>
          <w:tcPr>
            <w:tcW w:w="513" w:type="pct"/>
            <w:noWrap/>
            <w:hideMark/>
          </w:tcPr>
          <w:p w14:paraId="1CD5C670" w14:textId="77777777" w:rsidR="00413F85" w:rsidRPr="00413F85" w:rsidRDefault="00413F85" w:rsidP="00517BEF">
            <w:pPr>
              <w:pStyle w:val="TableBody"/>
            </w:pPr>
            <w:r w:rsidRPr="00413F85">
              <w:t>9,237</w:t>
            </w:r>
          </w:p>
        </w:tc>
      </w:tr>
      <w:tr w:rsidR="00413F85" w:rsidRPr="00413F85" w14:paraId="129F03DE" w14:textId="77777777" w:rsidTr="00F66ADC">
        <w:trPr>
          <w:trHeight w:val="300"/>
        </w:trPr>
        <w:tc>
          <w:tcPr>
            <w:tcW w:w="990" w:type="pct"/>
            <w:noWrap/>
            <w:hideMark/>
          </w:tcPr>
          <w:p w14:paraId="089EC342" w14:textId="77777777" w:rsidR="00413F85" w:rsidRPr="00413F85" w:rsidRDefault="00413F85" w:rsidP="00517BEF">
            <w:pPr>
              <w:pStyle w:val="TableBody"/>
            </w:pPr>
            <w:r w:rsidRPr="00413F85">
              <w:t>2014-15</w:t>
            </w:r>
          </w:p>
        </w:tc>
        <w:tc>
          <w:tcPr>
            <w:tcW w:w="1454" w:type="pct"/>
            <w:noWrap/>
            <w:hideMark/>
          </w:tcPr>
          <w:p w14:paraId="4DB56E74" w14:textId="77777777" w:rsidR="00413F85" w:rsidRPr="00413F85" w:rsidRDefault="00413F85" w:rsidP="00517BEF">
            <w:pPr>
              <w:pStyle w:val="TableBody"/>
            </w:pPr>
            <w:r w:rsidRPr="00413F85">
              <w:t>9,181</w:t>
            </w:r>
          </w:p>
        </w:tc>
        <w:tc>
          <w:tcPr>
            <w:tcW w:w="2043" w:type="pct"/>
            <w:noWrap/>
            <w:hideMark/>
          </w:tcPr>
          <w:p w14:paraId="445B29D0" w14:textId="77777777" w:rsidR="00413F85" w:rsidRPr="00413F85" w:rsidRDefault="00413F85" w:rsidP="00517BEF">
            <w:pPr>
              <w:pStyle w:val="TableBody"/>
            </w:pPr>
            <w:r w:rsidRPr="00413F85">
              <w:t>3,190</w:t>
            </w:r>
          </w:p>
        </w:tc>
        <w:tc>
          <w:tcPr>
            <w:tcW w:w="513" w:type="pct"/>
            <w:noWrap/>
            <w:hideMark/>
          </w:tcPr>
          <w:p w14:paraId="785FE9F3" w14:textId="77777777" w:rsidR="00413F85" w:rsidRPr="00413F85" w:rsidRDefault="00413F85" w:rsidP="00517BEF">
            <w:pPr>
              <w:pStyle w:val="TableBody"/>
            </w:pPr>
            <w:r w:rsidRPr="00413F85">
              <w:t>12,371</w:t>
            </w:r>
          </w:p>
        </w:tc>
      </w:tr>
      <w:tr w:rsidR="00413F85" w:rsidRPr="00413F85" w14:paraId="3137EF4F" w14:textId="77777777" w:rsidTr="00F66ADC">
        <w:trPr>
          <w:trHeight w:val="300"/>
        </w:trPr>
        <w:tc>
          <w:tcPr>
            <w:tcW w:w="990" w:type="pct"/>
            <w:noWrap/>
            <w:hideMark/>
          </w:tcPr>
          <w:p w14:paraId="79642766" w14:textId="77777777" w:rsidR="00413F85" w:rsidRPr="00413F85" w:rsidRDefault="00413F85" w:rsidP="00517BEF">
            <w:pPr>
              <w:pStyle w:val="TableBody"/>
            </w:pPr>
            <w:r w:rsidRPr="00413F85">
              <w:t>2015-16</w:t>
            </w:r>
          </w:p>
        </w:tc>
        <w:tc>
          <w:tcPr>
            <w:tcW w:w="1454" w:type="pct"/>
            <w:noWrap/>
            <w:hideMark/>
          </w:tcPr>
          <w:p w14:paraId="12486666" w14:textId="77777777" w:rsidR="00413F85" w:rsidRPr="00413F85" w:rsidRDefault="00413F85" w:rsidP="00517BEF">
            <w:pPr>
              <w:pStyle w:val="TableBody"/>
            </w:pPr>
            <w:r w:rsidRPr="00413F85">
              <w:t>9,733</w:t>
            </w:r>
          </w:p>
        </w:tc>
        <w:tc>
          <w:tcPr>
            <w:tcW w:w="2043" w:type="pct"/>
            <w:noWrap/>
            <w:hideMark/>
          </w:tcPr>
          <w:p w14:paraId="7E8D11B8" w14:textId="77777777" w:rsidR="00413F85" w:rsidRPr="00413F85" w:rsidRDefault="00413F85" w:rsidP="00517BEF">
            <w:pPr>
              <w:pStyle w:val="TableBody"/>
            </w:pPr>
            <w:r w:rsidRPr="00413F85">
              <w:t>5,066</w:t>
            </w:r>
          </w:p>
        </w:tc>
        <w:tc>
          <w:tcPr>
            <w:tcW w:w="513" w:type="pct"/>
            <w:noWrap/>
            <w:hideMark/>
          </w:tcPr>
          <w:p w14:paraId="04EDC8AB" w14:textId="77777777" w:rsidR="00413F85" w:rsidRPr="00413F85" w:rsidRDefault="00413F85" w:rsidP="00517BEF">
            <w:pPr>
              <w:pStyle w:val="TableBody"/>
            </w:pPr>
            <w:r w:rsidRPr="00413F85">
              <w:t>14,799</w:t>
            </w:r>
          </w:p>
        </w:tc>
      </w:tr>
      <w:tr w:rsidR="00413F85" w:rsidRPr="00413F85" w14:paraId="046F6112" w14:textId="77777777" w:rsidTr="00F66ADC">
        <w:trPr>
          <w:trHeight w:val="300"/>
        </w:trPr>
        <w:tc>
          <w:tcPr>
            <w:tcW w:w="990" w:type="pct"/>
            <w:noWrap/>
            <w:hideMark/>
          </w:tcPr>
          <w:p w14:paraId="49E48377" w14:textId="77777777" w:rsidR="00413F85" w:rsidRPr="00413F85" w:rsidRDefault="00413F85" w:rsidP="00517BEF">
            <w:pPr>
              <w:pStyle w:val="TableBody"/>
            </w:pPr>
            <w:r w:rsidRPr="00413F85">
              <w:t>2016-17</w:t>
            </w:r>
          </w:p>
        </w:tc>
        <w:tc>
          <w:tcPr>
            <w:tcW w:w="1454" w:type="pct"/>
            <w:noWrap/>
            <w:hideMark/>
          </w:tcPr>
          <w:p w14:paraId="5E9436EF" w14:textId="77777777" w:rsidR="00413F85" w:rsidRPr="00413F85" w:rsidRDefault="00413F85" w:rsidP="00517BEF">
            <w:pPr>
              <w:pStyle w:val="TableBody"/>
            </w:pPr>
            <w:r w:rsidRPr="00413F85">
              <w:t>8,179</w:t>
            </w:r>
          </w:p>
        </w:tc>
        <w:tc>
          <w:tcPr>
            <w:tcW w:w="2043" w:type="pct"/>
            <w:noWrap/>
            <w:hideMark/>
          </w:tcPr>
          <w:p w14:paraId="770C4C55" w14:textId="77777777" w:rsidR="00413F85" w:rsidRPr="00413F85" w:rsidRDefault="00413F85" w:rsidP="00517BEF">
            <w:pPr>
              <w:pStyle w:val="TableBody"/>
            </w:pPr>
            <w:r w:rsidRPr="00413F85">
              <w:t>6,729</w:t>
            </w:r>
          </w:p>
        </w:tc>
        <w:tc>
          <w:tcPr>
            <w:tcW w:w="513" w:type="pct"/>
            <w:noWrap/>
            <w:hideMark/>
          </w:tcPr>
          <w:p w14:paraId="2DD94D18" w14:textId="77777777" w:rsidR="00413F85" w:rsidRPr="00413F85" w:rsidRDefault="00413F85" w:rsidP="00517BEF">
            <w:pPr>
              <w:pStyle w:val="TableBody"/>
            </w:pPr>
            <w:r w:rsidRPr="00413F85">
              <w:t>14,908</w:t>
            </w:r>
          </w:p>
        </w:tc>
      </w:tr>
      <w:tr w:rsidR="00413F85" w:rsidRPr="00413F85" w14:paraId="1DC4F57E" w14:textId="77777777" w:rsidTr="00F66ADC">
        <w:trPr>
          <w:trHeight w:val="300"/>
        </w:trPr>
        <w:tc>
          <w:tcPr>
            <w:tcW w:w="990" w:type="pct"/>
            <w:noWrap/>
            <w:hideMark/>
          </w:tcPr>
          <w:p w14:paraId="3FEBB0BA" w14:textId="77777777" w:rsidR="00413F85" w:rsidRPr="00413F85" w:rsidRDefault="00413F85" w:rsidP="00517BEF">
            <w:pPr>
              <w:pStyle w:val="TableBody"/>
            </w:pPr>
            <w:r w:rsidRPr="00413F85">
              <w:t>2017-18</w:t>
            </w:r>
          </w:p>
        </w:tc>
        <w:tc>
          <w:tcPr>
            <w:tcW w:w="1454" w:type="pct"/>
            <w:noWrap/>
            <w:hideMark/>
          </w:tcPr>
          <w:p w14:paraId="4FE7AA75" w14:textId="77777777" w:rsidR="00413F85" w:rsidRPr="00413F85" w:rsidRDefault="00413F85" w:rsidP="00517BEF">
            <w:pPr>
              <w:pStyle w:val="TableBody"/>
            </w:pPr>
            <w:r w:rsidRPr="00413F85">
              <w:t>7,500</w:t>
            </w:r>
          </w:p>
        </w:tc>
        <w:tc>
          <w:tcPr>
            <w:tcW w:w="2043" w:type="pct"/>
            <w:noWrap/>
            <w:hideMark/>
          </w:tcPr>
          <w:p w14:paraId="05833102" w14:textId="77777777" w:rsidR="00413F85" w:rsidRPr="00413F85" w:rsidRDefault="00413F85" w:rsidP="00517BEF">
            <w:pPr>
              <w:pStyle w:val="TableBody"/>
            </w:pPr>
            <w:r w:rsidRPr="00413F85">
              <w:t>7,629</w:t>
            </w:r>
          </w:p>
        </w:tc>
        <w:tc>
          <w:tcPr>
            <w:tcW w:w="513" w:type="pct"/>
            <w:noWrap/>
            <w:hideMark/>
          </w:tcPr>
          <w:p w14:paraId="14FBDFCA" w14:textId="77777777" w:rsidR="00413F85" w:rsidRPr="00413F85" w:rsidRDefault="00413F85" w:rsidP="00517BEF">
            <w:pPr>
              <w:pStyle w:val="TableBody"/>
            </w:pPr>
            <w:r w:rsidRPr="00413F85">
              <w:t>15,129</w:t>
            </w:r>
          </w:p>
        </w:tc>
      </w:tr>
      <w:tr w:rsidR="00413F85" w:rsidRPr="00413F85" w14:paraId="174278A2" w14:textId="77777777" w:rsidTr="00F66ADC">
        <w:trPr>
          <w:trHeight w:val="300"/>
        </w:trPr>
        <w:tc>
          <w:tcPr>
            <w:tcW w:w="990" w:type="pct"/>
            <w:noWrap/>
            <w:hideMark/>
          </w:tcPr>
          <w:p w14:paraId="280AA397" w14:textId="77777777" w:rsidR="00413F85" w:rsidRPr="00413F85" w:rsidRDefault="00413F85" w:rsidP="00517BEF">
            <w:pPr>
              <w:pStyle w:val="TableBody"/>
            </w:pPr>
            <w:r w:rsidRPr="00413F85">
              <w:t>2018-19</w:t>
            </w:r>
          </w:p>
        </w:tc>
        <w:tc>
          <w:tcPr>
            <w:tcW w:w="1454" w:type="pct"/>
            <w:noWrap/>
            <w:hideMark/>
          </w:tcPr>
          <w:p w14:paraId="3B328FE7" w14:textId="77777777" w:rsidR="00413F85" w:rsidRPr="00413F85" w:rsidRDefault="00413F85" w:rsidP="00517BEF">
            <w:pPr>
              <w:pStyle w:val="TableBody"/>
            </w:pPr>
            <w:r w:rsidRPr="00413F85">
              <w:t>6,663</w:t>
            </w:r>
          </w:p>
        </w:tc>
        <w:tc>
          <w:tcPr>
            <w:tcW w:w="2043" w:type="pct"/>
            <w:noWrap/>
            <w:hideMark/>
          </w:tcPr>
          <w:p w14:paraId="1DC765AA" w14:textId="77777777" w:rsidR="00413F85" w:rsidRPr="00413F85" w:rsidRDefault="00413F85" w:rsidP="00517BEF">
            <w:pPr>
              <w:pStyle w:val="TableBody"/>
            </w:pPr>
            <w:r w:rsidRPr="00413F85">
              <w:t>7,966</w:t>
            </w:r>
          </w:p>
        </w:tc>
        <w:tc>
          <w:tcPr>
            <w:tcW w:w="513" w:type="pct"/>
            <w:noWrap/>
            <w:hideMark/>
          </w:tcPr>
          <w:p w14:paraId="0593EEF2" w14:textId="77777777" w:rsidR="00413F85" w:rsidRPr="00413F85" w:rsidRDefault="00413F85" w:rsidP="00517BEF">
            <w:pPr>
              <w:pStyle w:val="TableBody"/>
            </w:pPr>
            <w:r w:rsidRPr="00413F85">
              <w:t>14,629</w:t>
            </w:r>
          </w:p>
        </w:tc>
      </w:tr>
    </w:tbl>
    <w:p w14:paraId="21F86157" w14:textId="77777777" w:rsidR="00F00A00" w:rsidRPr="007E1FB1" w:rsidRDefault="00F00A00" w:rsidP="007E1FB1">
      <w:pPr>
        <w:pStyle w:val="Heading1"/>
      </w:pPr>
      <w:bookmarkStart w:id="8" w:name="_Toc43722742"/>
      <w:r w:rsidRPr="007E1FB1">
        <w:lastRenderedPageBreak/>
        <w:t>8. People sentenced for a serious offence committed while serving a community correction order</w:t>
      </w:r>
      <w:bookmarkEnd w:id="8"/>
    </w:p>
    <w:p w14:paraId="50BB0253" w14:textId="77777777" w:rsidR="00F00A00" w:rsidRDefault="00F00A00" w:rsidP="003F2250">
      <w:r>
        <w:t>Of the 60,120 people who received a CCO from 16 January 2012 to 30 June 2019, 651 were sentenced in 2018–19 for a serious offence committed while the person was serving a CCO (see Figure 3).</w:t>
      </w:r>
    </w:p>
    <w:p w14:paraId="3154FB13" w14:textId="77777777" w:rsidR="00F00A00" w:rsidRDefault="00F00A00" w:rsidP="008D5DC1">
      <w:pPr>
        <w:pStyle w:val="Caption"/>
      </w:pPr>
      <w:r w:rsidRPr="008D5DC1">
        <w:t xml:space="preserve">Figure 3: </w:t>
      </w:r>
      <w:r>
        <w:t>Populations used to identify the number of people sentenced in 2018–19 for a serious offence committed while serving a CCO</w:t>
      </w:r>
    </w:p>
    <w:tbl>
      <w:tblPr>
        <w:tblStyle w:val="Table"/>
        <w:tblW w:w="5000" w:type="pct"/>
        <w:tblLook w:val="04A0" w:firstRow="1" w:lastRow="0" w:firstColumn="1" w:lastColumn="0" w:noHBand="0" w:noVBand="1"/>
      </w:tblPr>
      <w:tblGrid>
        <w:gridCol w:w="5139"/>
        <w:gridCol w:w="1599"/>
        <w:gridCol w:w="2278"/>
      </w:tblGrid>
      <w:tr w:rsidR="00D63EBB" w:rsidRPr="00547DB8" w14:paraId="070BF426" w14:textId="77777777" w:rsidTr="00A54C77">
        <w:trPr>
          <w:trHeight w:val="300"/>
          <w:tblHeader/>
        </w:trPr>
        <w:tc>
          <w:tcPr>
            <w:tcW w:w="2031" w:type="pct"/>
            <w:noWrap/>
            <w:hideMark/>
          </w:tcPr>
          <w:p w14:paraId="0AF9D821" w14:textId="77777777" w:rsidR="00D63EBB" w:rsidRPr="00547DB8" w:rsidRDefault="00D63EBB" w:rsidP="00A54C77">
            <w:pPr>
              <w:pStyle w:val="TableHeading"/>
            </w:pPr>
            <w:r>
              <w:t>Population</w:t>
            </w:r>
          </w:p>
        </w:tc>
        <w:tc>
          <w:tcPr>
            <w:tcW w:w="1541" w:type="pct"/>
            <w:noWrap/>
            <w:hideMark/>
          </w:tcPr>
          <w:p w14:paraId="2DE52E06" w14:textId="77777777" w:rsidR="00D63EBB" w:rsidRPr="00547DB8" w:rsidRDefault="00D63EBB" w:rsidP="00A54C77">
            <w:pPr>
              <w:pStyle w:val="TableHeading"/>
            </w:pPr>
            <w:r w:rsidRPr="00547DB8">
              <w:t>Number of people</w:t>
            </w:r>
          </w:p>
        </w:tc>
        <w:tc>
          <w:tcPr>
            <w:tcW w:w="1429" w:type="pct"/>
            <w:noWrap/>
            <w:hideMark/>
          </w:tcPr>
          <w:p w14:paraId="4C237352" w14:textId="77777777" w:rsidR="00D63EBB" w:rsidRPr="00547DB8" w:rsidRDefault="00D63EBB" w:rsidP="00A54C77">
            <w:pPr>
              <w:pStyle w:val="TableHeading"/>
            </w:pPr>
            <w:r w:rsidRPr="00547DB8">
              <w:t xml:space="preserve">Number of </w:t>
            </w:r>
            <w:r>
              <w:t xml:space="preserve">proven </w:t>
            </w:r>
            <w:r w:rsidRPr="00547DB8">
              <w:t>charges</w:t>
            </w:r>
          </w:p>
        </w:tc>
      </w:tr>
      <w:tr w:rsidR="00D63EBB" w:rsidRPr="00547DB8" w14:paraId="32E07B01" w14:textId="77777777" w:rsidTr="00A54C77">
        <w:trPr>
          <w:trHeight w:val="300"/>
        </w:trPr>
        <w:tc>
          <w:tcPr>
            <w:tcW w:w="2031" w:type="pct"/>
            <w:noWrap/>
            <w:hideMark/>
          </w:tcPr>
          <w:p w14:paraId="70A203BC" w14:textId="77777777" w:rsidR="00D63EBB" w:rsidRPr="00D63EBB" w:rsidRDefault="00D63EBB" w:rsidP="00D63EBB">
            <w:pPr>
              <w:pStyle w:val="TableBody"/>
            </w:pPr>
            <w:r w:rsidRPr="00D63EBB">
              <w:t>CCO offender population (served 16 January to 30 June 2019)</w:t>
            </w:r>
          </w:p>
        </w:tc>
        <w:tc>
          <w:tcPr>
            <w:tcW w:w="1541" w:type="pct"/>
            <w:noWrap/>
            <w:hideMark/>
          </w:tcPr>
          <w:p w14:paraId="12762A67" w14:textId="77777777" w:rsidR="00D63EBB" w:rsidRPr="00D63EBB" w:rsidRDefault="00D63EBB" w:rsidP="00D63EBB">
            <w:pPr>
              <w:pStyle w:val="TableBody"/>
            </w:pPr>
            <w:r w:rsidRPr="00D63EBB">
              <w:t>60,120</w:t>
            </w:r>
          </w:p>
        </w:tc>
        <w:tc>
          <w:tcPr>
            <w:tcW w:w="1429" w:type="pct"/>
            <w:noWrap/>
            <w:hideMark/>
          </w:tcPr>
          <w:p w14:paraId="5A45627F" w14:textId="77777777" w:rsidR="00D63EBB" w:rsidRPr="00D63EBB" w:rsidRDefault="00D63EBB" w:rsidP="00D63EBB">
            <w:pPr>
              <w:pStyle w:val="TableBody"/>
            </w:pPr>
            <w:r w:rsidRPr="00D63EBB">
              <w:t>n.a.</w:t>
            </w:r>
          </w:p>
        </w:tc>
      </w:tr>
      <w:tr w:rsidR="00D63EBB" w:rsidRPr="00547DB8" w14:paraId="11902C01" w14:textId="77777777" w:rsidTr="00A54C77">
        <w:trPr>
          <w:trHeight w:val="300"/>
        </w:trPr>
        <w:tc>
          <w:tcPr>
            <w:tcW w:w="2031" w:type="pct"/>
            <w:noWrap/>
            <w:hideMark/>
          </w:tcPr>
          <w:p w14:paraId="68DB992C" w14:textId="77777777" w:rsidR="00D63EBB" w:rsidRPr="00D63EBB" w:rsidRDefault="00D63EBB" w:rsidP="00D63EBB">
            <w:pPr>
              <w:pStyle w:val="TableBody"/>
            </w:pPr>
            <w:r w:rsidRPr="00D63EBB">
              <w:t>Serious offence population (sentenced 1 July 2018 to 30 June 2019)</w:t>
            </w:r>
          </w:p>
        </w:tc>
        <w:tc>
          <w:tcPr>
            <w:tcW w:w="1541" w:type="pct"/>
            <w:noWrap/>
            <w:hideMark/>
          </w:tcPr>
          <w:p w14:paraId="4B901595" w14:textId="77777777" w:rsidR="00D63EBB" w:rsidRPr="00D63EBB" w:rsidRDefault="00D63EBB" w:rsidP="00D63EBB">
            <w:pPr>
              <w:pStyle w:val="TableBody"/>
            </w:pPr>
            <w:r w:rsidRPr="00D63EBB">
              <w:t>3,875</w:t>
            </w:r>
          </w:p>
        </w:tc>
        <w:tc>
          <w:tcPr>
            <w:tcW w:w="1429" w:type="pct"/>
            <w:noWrap/>
            <w:hideMark/>
          </w:tcPr>
          <w:p w14:paraId="7198E4D8" w14:textId="77777777" w:rsidR="00D63EBB" w:rsidRPr="00D63EBB" w:rsidRDefault="00D63EBB" w:rsidP="00D63EBB">
            <w:pPr>
              <w:pStyle w:val="TableBody"/>
            </w:pPr>
            <w:r w:rsidRPr="00D63EBB">
              <w:t>6,218</w:t>
            </w:r>
          </w:p>
        </w:tc>
      </w:tr>
      <w:tr w:rsidR="00D63EBB" w:rsidRPr="00547DB8" w14:paraId="169D3826" w14:textId="77777777" w:rsidTr="00A54C77">
        <w:trPr>
          <w:trHeight w:val="300"/>
        </w:trPr>
        <w:tc>
          <w:tcPr>
            <w:tcW w:w="2031" w:type="pct"/>
            <w:noWrap/>
          </w:tcPr>
          <w:p w14:paraId="3605732F" w14:textId="3B49C058" w:rsidR="00D63EBB" w:rsidRPr="00D63EBB" w:rsidRDefault="00D63EBB" w:rsidP="00D63EBB">
            <w:pPr>
              <w:pStyle w:val="TableBody"/>
            </w:pPr>
            <w:r w:rsidRPr="00D63EBB">
              <w:t xml:space="preserve">People on </w:t>
            </w:r>
            <w:r w:rsidR="00FD62EA">
              <w:t xml:space="preserve">a </w:t>
            </w:r>
            <w:r w:rsidRPr="00D63EBB">
              <w:t>CCO who were sentenced for committing a serious offence</w:t>
            </w:r>
          </w:p>
        </w:tc>
        <w:tc>
          <w:tcPr>
            <w:tcW w:w="1541" w:type="pct"/>
            <w:noWrap/>
          </w:tcPr>
          <w:p w14:paraId="0A20AB8B" w14:textId="3F68378F" w:rsidR="00D63EBB" w:rsidRPr="00D63EBB" w:rsidRDefault="00D63EBB" w:rsidP="00D63EBB">
            <w:pPr>
              <w:pStyle w:val="TableBody"/>
            </w:pPr>
            <w:r w:rsidRPr="00D63EBB">
              <w:t>651</w:t>
            </w:r>
          </w:p>
        </w:tc>
        <w:tc>
          <w:tcPr>
            <w:tcW w:w="1429" w:type="pct"/>
            <w:noWrap/>
          </w:tcPr>
          <w:p w14:paraId="2261A254" w14:textId="6E57039B" w:rsidR="00D63EBB" w:rsidRPr="00D63EBB" w:rsidRDefault="00D63EBB" w:rsidP="00D63EBB">
            <w:pPr>
              <w:pStyle w:val="TableBody"/>
            </w:pPr>
            <w:r>
              <w:t>n.a.</w:t>
            </w:r>
          </w:p>
        </w:tc>
      </w:tr>
    </w:tbl>
    <w:p w14:paraId="034DFC52" w14:textId="77777777" w:rsidR="00F00A00" w:rsidRDefault="00F00A00" w:rsidP="003F2250">
      <w:r>
        <w:t>CCO commencement dates varied widely for people sentenced in 2018–19 for a serious offence committed while serving a CCO, ranging from 1 June 2012 to 13 May 2019. However, as Figure 4 shows, the vast majority of CCOs (89.2%) commenced from 2016–17 to 2018–19.</w:t>
      </w:r>
    </w:p>
    <w:p w14:paraId="61D5776E" w14:textId="77777777" w:rsidR="00F00A00" w:rsidRDefault="00F00A00" w:rsidP="008D5DC1">
      <w:pPr>
        <w:pStyle w:val="Caption"/>
      </w:pPr>
      <w:r w:rsidRPr="008D5DC1">
        <w:t>Figure 4:</w:t>
      </w:r>
      <w:r>
        <w:t xml:space="preserve"> Percentage of total CCOs contravened by people sentenced in 2018–19 for committing a serious offence, by financial year in which CCO commenced</w:t>
      </w:r>
    </w:p>
    <w:tbl>
      <w:tblPr>
        <w:tblStyle w:val="Table"/>
        <w:tblW w:w="5000" w:type="pct"/>
        <w:tblLook w:val="04A0" w:firstRow="1" w:lastRow="0" w:firstColumn="1" w:lastColumn="0" w:noHBand="0" w:noVBand="1"/>
      </w:tblPr>
      <w:tblGrid>
        <w:gridCol w:w="5087"/>
        <w:gridCol w:w="3929"/>
      </w:tblGrid>
      <w:tr w:rsidR="00370E13" w:rsidRPr="00370E13" w14:paraId="6D6536DA" w14:textId="77777777" w:rsidTr="00370E13">
        <w:trPr>
          <w:trHeight w:val="300"/>
        </w:trPr>
        <w:tc>
          <w:tcPr>
            <w:tcW w:w="2821" w:type="pct"/>
            <w:noWrap/>
            <w:hideMark/>
          </w:tcPr>
          <w:p w14:paraId="3782E865" w14:textId="77777777" w:rsidR="00370E13" w:rsidRPr="00370E13" w:rsidRDefault="00370E13" w:rsidP="00370E13">
            <w:pPr>
              <w:pStyle w:val="TableHeading"/>
            </w:pPr>
            <w:r w:rsidRPr="00370E13">
              <w:t>Financial year CCO commenced</w:t>
            </w:r>
          </w:p>
        </w:tc>
        <w:tc>
          <w:tcPr>
            <w:tcW w:w="2179" w:type="pct"/>
            <w:noWrap/>
            <w:hideMark/>
          </w:tcPr>
          <w:p w14:paraId="341A3B64" w14:textId="77777777" w:rsidR="00370E13" w:rsidRPr="00370E13" w:rsidRDefault="00370E13" w:rsidP="00370E13">
            <w:pPr>
              <w:pStyle w:val="TableHeading"/>
            </w:pPr>
            <w:r w:rsidRPr="00370E13">
              <w:t>Percentage</w:t>
            </w:r>
          </w:p>
        </w:tc>
      </w:tr>
      <w:tr w:rsidR="00370E13" w:rsidRPr="00370E13" w14:paraId="27B53696" w14:textId="77777777" w:rsidTr="00370E13">
        <w:trPr>
          <w:trHeight w:val="300"/>
        </w:trPr>
        <w:tc>
          <w:tcPr>
            <w:tcW w:w="2821" w:type="pct"/>
            <w:noWrap/>
            <w:hideMark/>
          </w:tcPr>
          <w:p w14:paraId="5EF64CFE" w14:textId="77777777" w:rsidR="00370E13" w:rsidRPr="00370E13" w:rsidRDefault="00370E13" w:rsidP="00370E13">
            <w:pPr>
              <w:pStyle w:val="TableBody"/>
            </w:pPr>
            <w:r w:rsidRPr="00370E13">
              <w:t>2011-12</w:t>
            </w:r>
          </w:p>
        </w:tc>
        <w:tc>
          <w:tcPr>
            <w:tcW w:w="2179" w:type="pct"/>
            <w:noWrap/>
            <w:hideMark/>
          </w:tcPr>
          <w:p w14:paraId="29F49998" w14:textId="77777777" w:rsidR="00370E13" w:rsidRPr="00370E13" w:rsidRDefault="00370E13" w:rsidP="00370E13">
            <w:pPr>
              <w:pStyle w:val="TableBody"/>
            </w:pPr>
            <w:r w:rsidRPr="00370E13">
              <w:t>0.1%</w:t>
            </w:r>
          </w:p>
        </w:tc>
      </w:tr>
      <w:tr w:rsidR="00370E13" w:rsidRPr="00370E13" w14:paraId="08663351" w14:textId="77777777" w:rsidTr="00370E13">
        <w:trPr>
          <w:trHeight w:val="300"/>
        </w:trPr>
        <w:tc>
          <w:tcPr>
            <w:tcW w:w="2821" w:type="pct"/>
            <w:noWrap/>
            <w:hideMark/>
          </w:tcPr>
          <w:p w14:paraId="6DFBCE37" w14:textId="77777777" w:rsidR="00370E13" w:rsidRPr="00370E13" w:rsidRDefault="00370E13" w:rsidP="00370E13">
            <w:pPr>
              <w:pStyle w:val="TableBody"/>
            </w:pPr>
            <w:r w:rsidRPr="00370E13">
              <w:t>2012-13</w:t>
            </w:r>
          </w:p>
        </w:tc>
        <w:tc>
          <w:tcPr>
            <w:tcW w:w="2179" w:type="pct"/>
            <w:noWrap/>
            <w:hideMark/>
          </w:tcPr>
          <w:p w14:paraId="7022F6E2" w14:textId="77777777" w:rsidR="00370E13" w:rsidRPr="00370E13" w:rsidRDefault="00370E13" w:rsidP="00370E13">
            <w:pPr>
              <w:pStyle w:val="TableBody"/>
            </w:pPr>
            <w:r w:rsidRPr="00370E13">
              <w:t>0.0%</w:t>
            </w:r>
          </w:p>
        </w:tc>
      </w:tr>
      <w:tr w:rsidR="00370E13" w:rsidRPr="00370E13" w14:paraId="1E142AAF" w14:textId="77777777" w:rsidTr="00370E13">
        <w:trPr>
          <w:trHeight w:val="300"/>
        </w:trPr>
        <w:tc>
          <w:tcPr>
            <w:tcW w:w="2821" w:type="pct"/>
            <w:noWrap/>
            <w:hideMark/>
          </w:tcPr>
          <w:p w14:paraId="53CB5D9A" w14:textId="77777777" w:rsidR="00370E13" w:rsidRPr="00370E13" w:rsidRDefault="00370E13" w:rsidP="00370E13">
            <w:pPr>
              <w:pStyle w:val="TableBody"/>
            </w:pPr>
            <w:r w:rsidRPr="00370E13">
              <w:t>2013-14</w:t>
            </w:r>
          </w:p>
        </w:tc>
        <w:tc>
          <w:tcPr>
            <w:tcW w:w="2179" w:type="pct"/>
            <w:noWrap/>
            <w:hideMark/>
          </w:tcPr>
          <w:p w14:paraId="3BD2B91C" w14:textId="77777777" w:rsidR="00370E13" w:rsidRPr="00370E13" w:rsidRDefault="00370E13" w:rsidP="00370E13">
            <w:pPr>
              <w:pStyle w:val="TableBody"/>
            </w:pPr>
            <w:r w:rsidRPr="00370E13">
              <w:t>0.4%</w:t>
            </w:r>
          </w:p>
        </w:tc>
      </w:tr>
      <w:tr w:rsidR="00370E13" w:rsidRPr="00370E13" w14:paraId="22007C3D" w14:textId="77777777" w:rsidTr="00370E13">
        <w:trPr>
          <w:trHeight w:val="300"/>
        </w:trPr>
        <w:tc>
          <w:tcPr>
            <w:tcW w:w="2821" w:type="pct"/>
            <w:noWrap/>
            <w:hideMark/>
          </w:tcPr>
          <w:p w14:paraId="06B6484E" w14:textId="77777777" w:rsidR="00370E13" w:rsidRPr="00370E13" w:rsidRDefault="00370E13" w:rsidP="00370E13">
            <w:pPr>
              <w:pStyle w:val="TableBody"/>
            </w:pPr>
            <w:r w:rsidRPr="00370E13">
              <w:t>2014-15</w:t>
            </w:r>
          </w:p>
        </w:tc>
        <w:tc>
          <w:tcPr>
            <w:tcW w:w="2179" w:type="pct"/>
            <w:noWrap/>
            <w:hideMark/>
          </w:tcPr>
          <w:p w14:paraId="1A008BD0" w14:textId="77777777" w:rsidR="00370E13" w:rsidRPr="00370E13" w:rsidRDefault="00370E13" w:rsidP="00370E13">
            <w:pPr>
              <w:pStyle w:val="TableBody"/>
            </w:pPr>
            <w:r w:rsidRPr="00370E13">
              <w:t>1.3%</w:t>
            </w:r>
          </w:p>
        </w:tc>
      </w:tr>
      <w:tr w:rsidR="00370E13" w:rsidRPr="00370E13" w14:paraId="75072382" w14:textId="77777777" w:rsidTr="00370E13">
        <w:trPr>
          <w:trHeight w:val="300"/>
        </w:trPr>
        <w:tc>
          <w:tcPr>
            <w:tcW w:w="2821" w:type="pct"/>
            <w:noWrap/>
            <w:hideMark/>
          </w:tcPr>
          <w:p w14:paraId="07AAE331" w14:textId="77777777" w:rsidR="00370E13" w:rsidRPr="00370E13" w:rsidRDefault="00370E13" w:rsidP="00370E13">
            <w:pPr>
              <w:pStyle w:val="TableBody"/>
            </w:pPr>
            <w:r w:rsidRPr="00370E13">
              <w:t>2015-16</w:t>
            </w:r>
          </w:p>
        </w:tc>
        <w:tc>
          <w:tcPr>
            <w:tcW w:w="2179" w:type="pct"/>
            <w:noWrap/>
            <w:hideMark/>
          </w:tcPr>
          <w:p w14:paraId="41DA76AA" w14:textId="77777777" w:rsidR="00370E13" w:rsidRPr="00370E13" w:rsidRDefault="00370E13" w:rsidP="00370E13">
            <w:pPr>
              <w:pStyle w:val="TableBody"/>
            </w:pPr>
            <w:r w:rsidRPr="00370E13">
              <w:t>9.0%</w:t>
            </w:r>
          </w:p>
        </w:tc>
      </w:tr>
      <w:tr w:rsidR="00370E13" w:rsidRPr="00370E13" w14:paraId="5F269535" w14:textId="77777777" w:rsidTr="00370E13">
        <w:trPr>
          <w:trHeight w:val="300"/>
        </w:trPr>
        <w:tc>
          <w:tcPr>
            <w:tcW w:w="2821" w:type="pct"/>
            <w:noWrap/>
            <w:hideMark/>
          </w:tcPr>
          <w:p w14:paraId="2DEA2492" w14:textId="77777777" w:rsidR="00370E13" w:rsidRPr="00370E13" w:rsidRDefault="00370E13" w:rsidP="00370E13">
            <w:pPr>
              <w:pStyle w:val="TableBody"/>
            </w:pPr>
            <w:r w:rsidRPr="00370E13">
              <w:t>2016-17</w:t>
            </w:r>
          </w:p>
        </w:tc>
        <w:tc>
          <w:tcPr>
            <w:tcW w:w="2179" w:type="pct"/>
            <w:noWrap/>
            <w:hideMark/>
          </w:tcPr>
          <w:p w14:paraId="0A89AFB6" w14:textId="77777777" w:rsidR="00370E13" w:rsidRPr="00370E13" w:rsidRDefault="00370E13" w:rsidP="00370E13">
            <w:pPr>
              <w:pStyle w:val="TableBody"/>
            </w:pPr>
            <w:r w:rsidRPr="00370E13">
              <w:t>27.9%</w:t>
            </w:r>
          </w:p>
        </w:tc>
      </w:tr>
      <w:tr w:rsidR="00370E13" w:rsidRPr="00370E13" w14:paraId="4C54C1E3" w14:textId="77777777" w:rsidTr="00370E13">
        <w:trPr>
          <w:trHeight w:val="300"/>
        </w:trPr>
        <w:tc>
          <w:tcPr>
            <w:tcW w:w="2821" w:type="pct"/>
            <w:noWrap/>
            <w:hideMark/>
          </w:tcPr>
          <w:p w14:paraId="66370604" w14:textId="77777777" w:rsidR="00370E13" w:rsidRPr="00370E13" w:rsidRDefault="00370E13" w:rsidP="00370E13">
            <w:pPr>
              <w:pStyle w:val="TableBody"/>
            </w:pPr>
            <w:r w:rsidRPr="00370E13">
              <w:t>2017-18</w:t>
            </w:r>
          </w:p>
        </w:tc>
        <w:tc>
          <w:tcPr>
            <w:tcW w:w="2179" w:type="pct"/>
            <w:noWrap/>
            <w:hideMark/>
          </w:tcPr>
          <w:p w14:paraId="67EEB9A4" w14:textId="77777777" w:rsidR="00370E13" w:rsidRPr="00370E13" w:rsidRDefault="00370E13" w:rsidP="00370E13">
            <w:pPr>
              <w:pStyle w:val="TableBody"/>
            </w:pPr>
            <w:r w:rsidRPr="00370E13">
              <w:t>45.0%</w:t>
            </w:r>
          </w:p>
        </w:tc>
      </w:tr>
      <w:tr w:rsidR="00370E13" w:rsidRPr="00370E13" w14:paraId="3E1C94DA" w14:textId="77777777" w:rsidTr="00370E13">
        <w:trPr>
          <w:trHeight w:val="300"/>
        </w:trPr>
        <w:tc>
          <w:tcPr>
            <w:tcW w:w="2821" w:type="pct"/>
            <w:noWrap/>
            <w:hideMark/>
          </w:tcPr>
          <w:p w14:paraId="6A9EFE39" w14:textId="77777777" w:rsidR="00370E13" w:rsidRPr="00370E13" w:rsidRDefault="00370E13" w:rsidP="00370E13">
            <w:pPr>
              <w:pStyle w:val="TableBody"/>
            </w:pPr>
            <w:r w:rsidRPr="00370E13">
              <w:t>2018-19</w:t>
            </w:r>
          </w:p>
        </w:tc>
        <w:tc>
          <w:tcPr>
            <w:tcW w:w="2179" w:type="pct"/>
            <w:noWrap/>
            <w:hideMark/>
          </w:tcPr>
          <w:p w14:paraId="708BCBF6" w14:textId="77777777" w:rsidR="00370E13" w:rsidRPr="00370E13" w:rsidRDefault="00370E13" w:rsidP="00370E13">
            <w:pPr>
              <w:pStyle w:val="TableBody"/>
            </w:pPr>
            <w:r w:rsidRPr="00370E13">
              <w:t>16.3%</w:t>
            </w:r>
          </w:p>
        </w:tc>
      </w:tr>
    </w:tbl>
    <w:p w14:paraId="051A2C4B" w14:textId="2F15BBFE" w:rsidR="00F00A00" w:rsidRDefault="00F00A00" w:rsidP="003F2250">
      <w:r>
        <w:t>The 651 people sentenced in 2018–19 for a serious offence committed while serving a CCO represent a 3.0% increase on the 632 people sentenced in 2017–18</w:t>
      </w:r>
      <w:r>
        <w:rPr>
          <w:rStyle w:val="Superscript"/>
        </w:rPr>
        <w:footnoteReference w:id="33"/>
      </w:r>
      <w:r>
        <w:t xml:space="preserve"> and an 18.1% increase on the 551 people sentenced in 2016–17.</w:t>
      </w:r>
      <w:r>
        <w:rPr>
          <w:rStyle w:val="Superscript"/>
        </w:rPr>
        <w:footnoteReference w:id="34"/>
      </w:r>
      <w:r>
        <w:t xml:space="preserve"> The percentage increase between 2017–18 and 2018–19 (3.0%) was much lower </w:t>
      </w:r>
      <w:r>
        <w:lastRenderedPageBreak/>
        <w:t>than the percentage increase between 2016–17 and 2017–18 (14.7%) (see Figure 5).</w:t>
      </w:r>
      <w:r>
        <w:rPr>
          <w:rStyle w:val="Superscript"/>
        </w:rPr>
        <w:footnoteReference w:id="35"/>
      </w:r>
    </w:p>
    <w:p w14:paraId="13B2DBFA" w14:textId="77777777" w:rsidR="00C4753A" w:rsidRDefault="00C4753A" w:rsidP="008D5DC1">
      <w:pPr>
        <w:pStyle w:val="Caption"/>
      </w:pPr>
      <w:r w:rsidRPr="008D5DC1">
        <w:t xml:space="preserve">Figure 5: </w:t>
      </w:r>
      <w:r>
        <w:t>Number of people sentenced for a serious offence committed while serving a CCO, by financial year</w:t>
      </w:r>
    </w:p>
    <w:tbl>
      <w:tblPr>
        <w:tblStyle w:val="Table"/>
        <w:tblW w:w="5000" w:type="pct"/>
        <w:tblLook w:val="04A0" w:firstRow="1" w:lastRow="0" w:firstColumn="1" w:lastColumn="0" w:noHBand="0" w:noVBand="1"/>
      </w:tblPr>
      <w:tblGrid>
        <w:gridCol w:w="4508"/>
        <w:gridCol w:w="4508"/>
      </w:tblGrid>
      <w:tr w:rsidR="007C6BEF" w:rsidRPr="007C6BEF" w14:paraId="1BC6E90F" w14:textId="77777777" w:rsidTr="007C6BEF">
        <w:trPr>
          <w:trHeight w:val="300"/>
          <w:tblHeader/>
        </w:trPr>
        <w:tc>
          <w:tcPr>
            <w:tcW w:w="2500" w:type="pct"/>
            <w:noWrap/>
            <w:hideMark/>
          </w:tcPr>
          <w:p w14:paraId="2316DC20" w14:textId="77777777" w:rsidR="007C6BEF" w:rsidRPr="007C6BEF" w:rsidRDefault="007C6BEF" w:rsidP="007C6BEF">
            <w:pPr>
              <w:pStyle w:val="TableHeading"/>
            </w:pPr>
            <w:r w:rsidRPr="007C6BEF">
              <w:t>Financial year of sentence</w:t>
            </w:r>
          </w:p>
        </w:tc>
        <w:tc>
          <w:tcPr>
            <w:tcW w:w="2500" w:type="pct"/>
            <w:noWrap/>
            <w:hideMark/>
          </w:tcPr>
          <w:p w14:paraId="3F0772AB" w14:textId="77777777" w:rsidR="007C6BEF" w:rsidRPr="007C6BEF" w:rsidRDefault="007C6BEF" w:rsidP="007C6BEF">
            <w:pPr>
              <w:pStyle w:val="TableHeading"/>
            </w:pPr>
            <w:r w:rsidRPr="007C6BEF">
              <w:t>Number</w:t>
            </w:r>
          </w:p>
        </w:tc>
      </w:tr>
      <w:tr w:rsidR="007C6BEF" w:rsidRPr="007C6BEF" w14:paraId="0F2F2D32" w14:textId="77777777" w:rsidTr="007C6BEF">
        <w:trPr>
          <w:trHeight w:val="300"/>
        </w:trPr>
        <w:tc>
          <w:tcPr>
            <w:tcW w:w="2500" w:type="pct"/>
            <w:noWrap/>
            <w:hideMark/>
          </w:tcPr>
          <w:p w14:paraId="38E79D3F" w14:textId="77777777" w:rsidR="007C6BEF" w:rsidRPr="007C6BEF" w:rsidRDefault="007C6BEF" w:rsidP="007C6BEF">
            <w:pPr>
              <w:pStyle w:val="TableBody"/>
            </w:pPr>
            <w:r w:rsidRPr="007C6BEF">
              <w:t>2016-17</w:t>
            </w:r>
          </w:p>
        </w:tc>
        <w:tc>
          <w:tcPr>
            <w:tcW w:w="2500" w:type="pct"/>
            <w:noWrap/>
            <w:hideMark/>
          </w:tcPr>
          <w:p w14:paraId="28884797" w14:textId="77777777" w:rsidR="007C6BEF" w:rsidRPr="007C6BEF" w:rsidRDefault="007C6BEF" w:rsidP="007C6BEF">
            <w:pPr>
              <w:pStyle w:val="TableBody"/>
            </w:pPr>
            <w:r w:rsidRPr="007C6BEF">
              <w:t>551</w:t>
            </w:r>
          </w:p>
        </w:tc>
      </w:tr>
      <w:tr w:rsidR="007C6BEF" w:rsidRPr="007C6BEF" w14:paraId="23C835C6" w14:textId="77777777" w:rsidTr="007C6BEF">
        <w:trPr>
          <w:trHeight w:val="300"/>
        </w:trPr>
        <w:tc>
          <w:tcPr>
            <w:tcW w:w="2500" w:type="pct"/>
            <w:noWrap/>
            <w:hideMark/>
          </w:tcPr>
          <w:p w14:paraId="1FE599A1" w14:textId="77777777" w:rsidR="007C6BEF" w:rsidRPr="007C6BEF" w:rsidRDefault="007C6BEF" w:rsidP="007C6BEF">
            <w:pPr>
              <w:pStyle w:val="TableBody"/>
            </w:pPr>
            <w:r w:rsidRPr="007C6BEF">
              <w:t>2017-18</w:t>
            </w:r>
          </w:p>
        </w:tc>
        <w:tc>
          <w:tcPr>
            <w:tcW w:w="2500" w:type="pct"/>
            <w:noWrap/>
            <w:hideMark/>
          </w:tcPr>
          <w:p w14:paraId="46436D62" w14:textId="77777777" w:rsidR="007C6BEF" w:rsidRPr="007C6BEF" w:rsidRDefault="007C6BEF" w:rsidP="007C6BEF">
            <w:pPr>
              <w:pStyle w:val="TableBody"/>
            </w:pPr>
            <w:r w:rsidRPr="007C6BEF">
              <w:t>632</w:t>
            </w:r>
          </w:p>
        </w:tc>
      </w:tr>
      <w:tr w:rsidR="007C6BEF" w:rsidRPr="007C6BEF" w14:paraId="660A041E" w14:textId="77777777" w:rsidTr="007C6BEF">
        <w:trPr>
          <w:trHeight w:val="300"/>
        </w:trPr>
        <w:tc>
          <w:tcPr>
            <w:tcW w:w="2500" w:type="pct"/>
            <w:noWrap/>
            <w:hideMark/>
          </w:tcPr>
          <w:p w14:paraId="52C3B95B" w14:textId="77777777" w:rsidR="007C6BEF" w:rsidRPr="007C6BEF" w:rsidRDefault="007C6BEF" w:rsidP="007C6BEF">
            <w:pPr>
              <w:pStyle w:val="TableBody"/>
            </w:pPr>
            <w:r w:rsidRPr="007C6BEF">
              <w:t>2018-19</w:t>
            </w:r>
          </w:p>
        </w:tc>
        <w:tc>
          <w:tcPr>
            <w:tcW w:w="2500" w:type="pct"/>
            <w:noWrap/>
            <w:hideMark/>
          </w:tcPr>
          <w:p w14:paraId="39AABC63" w14:textId="77777777" w:rsidR="007C6BEF" w:rsidRPr="007C6BEF" w:rsidRDefault="007C6BEF" w:rsidP="007C6BEF">
            <w:pPr>
              <w:pStyle w:val="TableBody"/>
            </w:pPr>
            <w:r w:rsidRPr="007C6BEF">
              <w:t>651</w:t>
            </w:r>
          </w:p>
        </w:tc>
      </w:tr>
    </w:tbl>
    <w:p w14:paraId="5821F1F7" w14:textId="77777777" w:rsidR="00F00A00" w:rsidRDefault="00F00A00" w:rsidP="00F00A00">
      <w:pPr>
        <w:pStyle w:val="Heading2"/>
      </w:pPr>
      <w:r>
        <w:t>Rate of contravention of community correction orders by serious offending</w:t>
      </w:r>
    </w:p>
    <w:p w14:paraId="294C7DD4" w14:textId="77777777" w:rsidR="00F00A00" w:rsidRDefault="00F00A00" w:rsidP="00680963">
      <w:r>
        <w:t>It is not possible to calculate an accurate rate of CCO contravention by serious offending using the reference period that the Council is required to report on. This is because the reference period is:</w:t>
      </w:r>
    </w:p>
    <w:p w14:paraId="7683F379" w14:textId="77777777" w:rsidR="00F00A00" w:rsidRDefault="00F00A00" w:rsidP="005628E0">
      <w:pPr>
        <w:pStyle w:val="Bullets"/>
      </w:pPr>
      <w:r>
        <w:t>based on the date of sentence for a serious offence, which results in non-standardised follow-up periods; and</w:t>
      </w:r>
    </w:p>
    <w:p w14:paraId="3F205168" w14:textId="77777777" w:rsidR="00F00A00" w:rsidRDefault="00F00A00" w:rsidP="00C47CBE">
      <w:pPr>
        <w:pStyle w:val="Bullets"/>
      </w:pPr>
      <w:r>
        <w:t>restricted to a single financial year, meaning serious offending sentenced outside the reference period is excluded.</w:t>
      </w:r>
    </w:p>
    <w:p w14:paraId="55DFE4B6" w14:textId="26E38CEA" w:rsidR="00F00A00" w:rsidRDefault="00F00A00" w:rsidP="003F2250">
      <w:r>
        <w:t>This report adopts the methodology from the previous two reports in this series to estimate a proxy for the rate of CCO contravention by serious offending: it only considers CCOs imposed in the three years to the end of the reference period (1 July 2016 to 30 June 2019). A total of 33,573 people received a CCO over the three-year period; of these, 585 were sentenced in 2018–19 for a serious offence committed while serving a CCO. The estimated rate of CCO contravention by serious offending for 2018–19 is 1.7%, which has barely changed from previous years (see Figure 6).</w:t>
      </w:r>
      <w:r>
        <w:rPr>
          <w:rStyle w:val="Superscript"/>
        </w:rPr>
        <w:footnoteReference w:id="36"/>
      </w:r>
      <w:r>
        <w:t xml:space="preserve"> These percentages most likely underestimate the true rates of CCO contravention by serious offending as some people who committed a serious offence while serving a CCO imposed in the three-year period may have been sentenced either before or after 2018–19.</w:t>
      </w:r>
    </w:p>
    <w:p w14:paraId="131FA6F7" w14:textId="77777777" w:rsidR="00CB237F" w:rsidRDefault="00CB237F" w:rsidP="008D5DC1">
      <w:pPr>
        <w:pStyle w:val="Caption"/>
      </w:pPr>
      <w:r w:rsidRPr="008D5DC1">
        <w:lastRenderedPageBreak/>
        <w:t>Figure 6:</w:t>
      </w:r>
      <w:r>
        <w:t xml:space="preserve"> Estimated rate of CCO contravention by serious offending, by financial year of sentence for serious offence</w:t>
      </w:r>
    </w:p>
    <w:tbl>
      <w:tblPr>
        <w:tblStyle w:val="Table"/>
        <w:tblW w:w="5000" w:type="pct"/>
        <w:tblLook w:val="04A0" w:firstRow="1" w:lastRow="0" w:firstColumn="1" w:lastColumn="0" w:noHBand="0" w:noVBand="1"/>
      </w:tblPr>
      <w:tblGrid>
        <w:gridCol w:w="4508"/>
        <w:gridCol w:w="4508"/>
      </w:tblGrid>
      <w:tr w:rsidR="00D76604" w:rsidRPr="00D76604" w14:paraId="3E737599" w14:textId="77777777" w:rsidTr="00D76604">
        <w:trPr>
          <w:trHeight w:val="300"/>
          <w:tblHeader/>
        </w:trPr>
        <w:tc>
          <w:tcPr>
            <w:tcW w:w="2500" w:type="pct"/>
            <w:noWrap/>
            <w:hideMark/>
          </w:tcPr>
          <w:p w14:paraId="0AC4D82C" w14:textId="77777777" w:rsidR="00D76604" w:rsidRPr="00D76604" w:rsidRDefault="00D76604" w:rsidP="00D76604">
            <w:pPr>
              <w:pStyle w:val="TableHeading"/>
            </w:pPr>
            <w:r w:rsidRPr="00D76604">
              <w:t>Financial year of sentence</w:t>
            </w:r>
          </w:p>
        </w:tc>
        <w:tc>
          <w:tcPr>
            <w:tcW w:w="2500" w:type="pct"/>
            <w:noWrap/>
            <w:hideMark/>
          </w:tcPr>
          <w:p w14:paraId="3CA5C496" w14:textId="77777777" w:rsidR="00D76604" w:rsidRPr="00D76604" w:rsidRDefault="00D76604" w:rsidP="00D76604">
            <w:pPr>
              <w:pStyle w:val="TableHeading"/>
            </w:pPr>
            <w:r w:rsidRPr="00D76604">
              <w:t>Percentage</w:t>
            </w:r>
          </w:p>
        </w:tc>
      </w:tr>
      <w:tr w:rsidR="00D76604" w:rsidRPr="00D76604" w14:paraId="7279FAA4" w14:textId="77777777" w:rsidTr="00D76604">
        <w:trPr>
          <w:trHeight w:val="300"/>
        </w:trPr>
        <w:tc>
          <w:tcPr>
            <w:tcW w:w="2500" w:type="pct"/>
            <w:noWrap/>
            <w:hideMark/>
          </w:tcPr>
          <w:p w14:paraId="6E7356E1" w14:textId="77777777" w:rsidR="00D76604" w:rsidRPr="00D76604" w:rsidRDefault="00D76604" w:rsidP="00D76604">
            <w:pPr>
              <w:pStyle w:val="TableBody"/>
            </w:pPr>
            <w:r w:rsidRPr="00D76604">
              <w:t>2016-17</w:t>
            </w:r>
          </w:p>
        </w:tc>
        <w:tc>
          <w:tcPr>
            <w:tcW w:w="2500" w:type="pct"/>
            <w:noWrap/>
            <w:hideMark/>
          </w:tcPr>
          <w:p w14:paraId="59D8EFF2" w14:textId="77777777" w:rsidR="00D76604" w:rsidRPr="00D76604" w:rsidRDefault="00D76604" w:rsidP="00D76604">
            <w:pPr>
              <w:pStyle w:val="TableBody"/>
            </w:pPr>
            <w:r w:rsidRPr="00D76604">
              <w:t>1.6%</w:t>
            </w:r>
          </w:p>
        </w:tc>
      </w:tr>
      <w:tr w:rsidR="00D76604" w:rsidRPr="00D76604" w14:paraId="0517D1E1" w14:textId="77777777" w:rsidTr="00D76604">
        <w:trPr>
          <w:trHeight w:val="300"/>
        </w:trPr>
        <w:tc>
          <w:tcPr>
            <w:tcW w:w="2500" w:type="pct"/>
            <w:noWrap/>
            <w:hideMark/>
          </w:tcPr>
          <w:p w14:paraId="4C915CB7" w14:textId="77777777" w:rsidR="00D76604" w:rsidRPr="00D76604" w:rsidRDefault="00D76604" w:rsidP="00D76604">
            <w:pPr>
              <w:pStyle w:val="TableBody"/>
            </w:pPr>
            <w:r w:rsidRPr="00D76604">
              <w:t>2017-18</w:t>
            </w:r>
          </w:p>
        </w:tc>
        <w:tc>
          <w:tcPr>
            <w:tcW w:w="2500" w:type="pct"/>
            <w:noWrap/>
            <w:hideMark/>
          </w:tcPr>
          <w:p w14:paraId="7F9EAB1F" w14:textId="77777777" w:rsidR="00D76604" w:rsidRPr="00D76604" w:rsidRDefault="00D76604" w:rsidP="00D76604">
            <w:pPr>
              <w:pStyle w:val="TableBody"/>
            </w:pPr>
            <w:r w:rsidRPr="00D76604">
              <w:t>1.6%</w:t>
            </w:r>
          </w:p>
        </w:tc>
      </w:tr>
      <w:tr w:rsidR="00D76604" w:rsidRPr="00D76604" w14:paraId="2E1EF227" w14:textId="77777777" w:rsidTr="00D76604">
        <w:trPr>
          <w:trHeight w:val="300"/>
        </w:trPr>
        <w:tc>
          <w:tcPr>
            <w:tcW w:w="2500" w:type="pct"/>
            <w:noWrap/>
            <w:hideMark/>
          </w:tcPr>
          <w:p w14:paraId="7DDB63E6" w14:textId="77777777" w:rsidR="00D76604" w:rsidRPr="00D76604" w:rsidRDefault="00D76604" w:rsidP="00D76604">
            <w:pPr>
              <w:pStyle w:val="TableBody"/>
            </w:pPr>
            <w:r w:rsidRPr="00D76604">
              <w:t>2018-19</w:t>
            </w:r>
          </w:p>
        </w:tc>
        <w:tc>
          <w:tcPr>
            <w:tcW w:w="2500" w:type="pct"/>
            <w:noWrap/>
            <w:hideMark/>
          </w:tcPr>
          <w:p w14:paraId="6494737A" w14:textId="77777777" w:rsidR="00D76604" w:rsidRPr="00D76604" w:rsidRDefault="00D76604" w:rsidP="00D76604">
            <w:pPr>
              <w:pStyle w:val="TableBody"/>
            </w:pPr>
            <w:r w:rsidRPr="00D76604">
              <w:t>1.7%</w:t>
            </w:r>
          </w:p>
        </w:tc>
      </w:tr>
    </w:tbl>
    <w:p w14:paraId="09560378" w14:textId="77777777" w:rsidR="00F00A00" w:rsidRPr="007E1FB1" w:rsidRDefault="00F00A00" w:rsidP="007E1FB1">
      <w:pPr>
        <w:pStyle w:val="Heading1"/>
      </w:pPr>
      <w:bookmarkStart w:id="9" w:name="_Toc43722743"/>
      <w:r w:rsidRPr="007E1FB1">
        <w:t>9. Types of serious offences committed while serving a community correction order</w:t>
      </w:r>
      <w:bookmarkEnd w:id="9"/>
    </w:p>
    <w:p w14:paraId="43CFD4E8" w14:textId="77777777" w:rsidR="00F00A00" w:rsidRDefault="00F00A00" w:rsidP="003F2250">
      <w:r>
        <w:t xml:space="preserve">This section provides an analysis of the types of serious offences committed by people serving a CCO. It considers all </w:t>
      </w:r>
      <w:r w:rsidRPr="00A14C65">
        <w:rPr>
          <w:rStyle w:val="Emphasis"/>
        </w:rPr>
        <w:t>sentenced charges</w:t>
      </w:r>
      <w:r>
        <w:t xml:space="preserve"> of a serious offence committed while serving a CCO. This contrasts with all </w:t>
      </w:r>
      <w:r w:rsidRPr="00A14C65">
        <w:rPr>
          <w:rStyle w:val="Emphasis"/>
        </w:rPr>
        <w:t>people sentenced</w:t>
      </w:r>
      <w:r>
        <w:t xml:space="preserve"> for committing a serious offence while serving a CCO, which was the focus earlier in this report.</w:t>
      </w:r>
    </w:p>
    <w:p w14:paraId="1727989B" w14:textId="77777777" w:rsidR="00F00A00" w:rsidRDefault="00F00A00" w:rsidP="003F2250">
      <w:r>
        <w:t>In 2018–19, the courts sentenced 914 charges of serious offences committed by people serving a CCO. This represents a 0.2% increase on the 912 charges from 2017–18</w:t>
      </w:r>
      <w:r>
        <w:rPr>
          <w:rStyle w:val="Superscript"/>
        </w:rPr>
        <w:footnoteReference w:id="37"/>
      </w:r>
      <w:r>
        <w:t xml:space="preserve"> and a 15.1% increase on the 794 charges from 2016–17.</w:t>
      </w:r>
      <w:r>
        <w:rPr>
          <w:rStyle w:val="Superscript"/>
        </w:rPr>
        <w:footnoteReference w:id="38"/>
      </w:r>
    </w:p>
    <w:p w14:paraId="6516415B" w14:textId="7C02B7F0" w:rsidR="00F00A00" w:rsidRDefault="00F00A00" w:rsidP="003F2250">
      <w:r>
        <w:t>Figure 7 presents the number of charges sentenced in 2016–17, 2017–18 and 2018–19 for serious offences committed by people serving a CCO, according to the 10 most common serious offences sentenced in 2018–19. The appendix gives a full list of serious offences sentenced in 2018–19 that were committed by people serving a CCO.</w:t>
      </w:r>
    </w:p>
    <w:p w14:paraId="25C6FAF1" w14:textId="77777777" w:rsidR="00E555EA" w:rsidRPr="00C47CBE" w:rsidRDefault="00E555EA" w:rsidP="00E555EA">
      <w:pPr>
        <w:pStyle w:val="Caption"/>
      </w:pPr>
      <w:r w:rsidRPr="00C47CBE">
        <w:t>Figure 7: Number of sentenced charges of a serious offence committed by people serving a CCO according to the 10 most common serious offences sentenced in 2018–19, by type of serious offence and financial year of sentence</w:t>
      </w:r>
    </w:p>
    <w:tbl>
      <w:tblPr>
        <w:tblStyle w:val="Table"/>
        <w:tblW w:w="5000" w:type="pct"/>
        <w:tblLook w:val="04A0" w:firstRow="1" w:lastRow="0" w:firstColumn="1" w:lastColumn="0" w:noHBand="0" w:noVBand="1"/>
      </w:tblPr>
      <w:tblGrid>
        <w:gridCol w:w="3418"/>
        <w:gridCol w:w="1866"/>
        <w:gridCol w:w="1866"/>
        <w:gridCol w:w="1866"/>
      </w:tblGrid>
      <w:tr w:rsidR="00E47533" w:rsidRPr="001D09E2" w14:paraId="41BD4CDD" w14:textId="77777777" w:rsidTr="006F7153">
        <w:trPr>
          <w:trHeight w:val="300"/>
          <w:tblHeader/>
        </w:trPr>
        <w:tc>
          <w:tcPr>
            <w:tcW w:w="1896" w:type="pct"/>
            <w:noWrap/>
          </w:tcPr>
          <w:p w14:paraId="3053D91C" w14:textId="1E614330" w:rsidR="00E47533" w:rsidRPr="006F7153" w:rsidRDefault="00E47533" w:rsidP="006F7153">
            <w:pPr>
              <w:pStyle w:val="TableHeading"/>
            </w:pPr>
            <w:r w:rsidRPr="006F7153">
              <w:t>Offence name</w:t>
            </w:r>
          </w:p>
        </w:tc>
        <w:tc>
          <w:tcPr>
            <w:tcW w:w="1035" w:type="pct"/>
            <w:noWrap/>
            <w:hideMark/>
          </w:tcPr>
          <w:p w14:paraId="1BBCD0D4" w14:textId="3BCEEF56" w:rsidR="00E47533" w:rsidRPr="006F7153" w:rsidRDefault="00E47533" w:rsidP="006F7153">
            <w:pPr>
              <w:pStyle w:val="TableHeading"/>
            </w:pPr>
            <w:r w:rsidRPr="006F7153">
              <w:t>Number of charges for 2016-17</w:t>
            </w:r>
          </w:p>
        </w:tc>
        <w:tc>
          <w:tcPr>
            <w:tcW w:w="1035" w:type="pct"/>
            <w:noWrap/>
            <w:hideMark/>
          </w:tcPr>
          <w:p w14:paraId="35A41DB2" w14:textId="21186BB6" w:rsidR="00E47533" w:rsidRPr="006F7153" w:rsidRDefault="00E47533" w:rsidP="006F7153">
            <w:pPr>
              <w:pStyle w:val="TableHeading"/>
            </w:pPr>
            <w:r w:rsidRPr="006F7153">
              <w:t>Number of charges for 2017-18</w:t>
            </w:r>
          </w:p>
        </w:tc>
        <w:tc>
          <w:tcPr>
            <w:tcW w:w="1035" w:type="pct"/>
            <w:noWrap/>
            <w:hideMark/>
          </w:tcPr>
          <w:p w14:paraId="741416D8" w14:textId="64056474" w:rsidR="00E47533" w:rsidRPr="006F7153" w:rsidRDefault="00E47533" w:rsidP="006F7153">
            <w:pPr>
              <w:pStyle w:val="TableHeading"/>
            </w:pPr>
            <w:r w:rsidRPr="006F7153">
              <w:t>Number of charges for 2018-19</w:t>
            </w:r>
          </w:p>
        </w:tc>
      </w:tr>
      <w:tr w:rsidR="00E47533" w:rsidRPr="001D09E2" w14:paraId="4657EAFB" w14:textId="77777777" w:rsidTr="006F7153">
        <w:trPr>
          <w:trHeight w:val="300"/>
        </w:trPr>
        <w:tc>
          <w:tcPr>
            <w:tcW w:w="1896" w:type="pct"/>
            <w:noWrap/>
            <w:hideMark/>
          </w:tcPr>
          <w:p w14:paraId="163A7F72" w14:textId="77777777" w:rsidR="00E47533" w:rsidRPr="00A66CD6" w:rsidRDefault="00E47533" w:rsidP="00E47533">
            <w:pPr>
              <w:pStyle w:val="TableBody"/>
            </w:pPr>
            <w:r w:rsidRPr="00A66CD6">
              <w:t>Make threat to kill</w:t>
            </w:r>
          </w:p>
        </w:tc>
        <w:tc>
          <w:tcPr>
            <w:tcW w:w="1035" w:type="pct"/>
            <w:noWrap/>
            <w:hideMark/>
          </w:tcPr>
          <w:p w14:paraId="5D3804FD" w14:textId="77777777" w:rsidR="00E47533" w:rsidRPr="00A66CD6" w:rsidRDefault="00E47533" w:rsidP="00E47533">
            <w:pPr>
              <w:pStyle w:val="TableBody"/>
            </w:pPr>
            <w:r w:rsidRPr="00A66CD6">
              <w:t>258</w:t>
            </w:r>
          </w:p>
        </w:tc>
        <w:tc>
          <w:tcPr>
            <w:tcW w:w="1035" w:type="pct"/>
            <w:noWrap/>
            <w:hideMark/>
          </w:tcPr>
          <w:p w14:paraId="4924502D" w14:textId="77777777" w:rsidR="00E47533" w:rsidRPr="00A66CD6" w:rsidRDefault="00E47533" w:rsidP="00E47533">
            <w:pPr>
              <w:pStyle w:val="TableBody"/>
            </w:pPr>
            <w:r w:rsidRPr="00A66CD6">
              <w:t>325</w:t>
            </w:r>
          </w:p>
        </w:tc>
        <w:tc>
          <w:tcPr>
            <w:tcW w:w="1035" w:type="pct"/>
            <w:noWrap/>
            <w:hideMark/>
          </w:tcPr>
          <w:p w14:paraId="1124A844" w14:textId="77777777" w:rsidR="00E47533" w:rsidRPr="00A66CD6" w:rsidRDefault="00E47533" w:rsidP="00E47533">
            <w:pPr>
              <w:pStyle w:val="TableBody"/>
            </w:pPr>
            <w:r w:rsidRPr="00A66CD6">
              <w:t>319</w:t>
            </w:r>
          </w:p>
        </w:tc>
      </w:tr>
      <w:tr w:rsidR="00E47533" w:rsidRPr="001D09E2" w14:paraId="3D133517" w14:textId="77777777" w:rsidTr="006F7153">
        <w:trPr>
          <w:trHeight w:val="300"/>
        </w:trPr>
        <w:tc>
          <w:tcPr>
            <w:tcW w:w="1896" w:type="pct"/>
            <w:noWrap/>
            <w:hideMark/>
          </w:tcPr>
          <w:p w14:paraId="35DE7474" w14:textId="77777777" w:rsidR="00E47533" w:rsidRPr="00A66CD6" w:rsidRDefault="00E47533" w:rsidP="00E47533">
            <w:pPr>
              <w:pStyle w:val="TableBody"/>
            </w:pPr>
            <w:r w:rsidRPr="00A66CD6">
              <w:t>Make threat to inflict serious injury</w:t>
            </w:r>
          </w:p>
        </w:tc>
        <w:tc>
          <w:tcPr>
            <w:tcW w:w="1035" w:type="pct"/>
            <w:noWrap/>
            <w:hideMark/>
          </w:tcPr>
          <w:p w14:paraId="322654BE" w14:textId="77777777" w:rsidR="00E47533" w:rsidRPr="00A66CD6" w:rsidRDefault="00E47533" w:rsidP="00E47533">
            <w:pPr>
              <w:pStyle w:val="TableBody"/>
            </w:pPr>
            <w:r w:rsidRPr="00A66CD6">
              <w:t>172</w:t>
            </w:r>
          </w:p>
        </w:tc>
        <w:tc>
          <w:tcPr>
            <w:tcW w:w="1035" w:type="pct"/>
            <w:noWrap/>
            <w:hideMark/>
          </w:tcPr>
          <w:p w14:paraId="038DC542" w14:textId="77777777" w:rsidR="00E47533" w:rsidRPr="00A66CD6" w:rsidRDefault="00E47533" w:rsidP="00E47533">
            <w:pPr>
              <w:pStyle w:val="TableBody"/>
            </w:pPr>
            <w:r w:rsidRPr="00A66CD6">
              <w:t>172</w:t>
            </w:r>
          </w:p>
        </w:tc>
        <w:tc>
          <w:tcPr>
            <w:tcW w:w="1035" w:type="pct"/>
            <w:noWrap/>
            <w:hideMark/>
          </w:tcPr>
          <w:p w14:paraId="70D52C59" w14:textId="77777777" w:rsidR="00E47533" w:rsidRPr="00A66CD6" w:rsidRDefault="00E47533" w:rsidP="00E47533">
            <w:pPr>
              <w:pStyle w:val="TableBody"/>
            </w:pPr>
            <w:r w:rsidRPr="00A66CD6">
              <w:t>187</w:t>
            </w:r>
          </w:p>
        </w:tc>
      </w:tr>
      <w:tr w:rsidR="00E47533" w:rsidRPr="001D09E2" w14:paraId="633EF257" w14:textId="77777777" w:rsidTr="006F7153">
        <w:trPr>
          <w:trHeight w:val="300"/>
        </w:trPr>
        <w:tc>
          <w:tcPr>
            <w:tcW w:w="1896" w:type="pct"/>
            <w:noWrap/>
            <w:hideMark/>
          </w:tcPr>
          <w:p w14:paraId="24E8766B" w14:textId="77777777" w:rsidR="00E47533" w:rsidRPr="00A66CD6" w:rsidRDefault="00E47533" w:rsidP="00E47533">
            <w:pPr>
              <w:pStyle w:val="TableBody"/>
            </w:pPr>
            <w:r w:rsidRPr="00A66CD6">
              <w:t>Aggravated burglary</w:t>
            </w:r>
          </w:p>
        </w:tc>
        <w:tc>
          <w:tcPr>
            <w:tcW w:w="1035" w:type="pct"/>
            <w:noWrap/>
            <w:hideMark/>
          </w:tcPr>
          <w:p w14:paraId="0513B028" w14:textId="77777777" w:rsidR="00E47533" w:rsidRPr="00A66CD6" w:rsidRDefault="00E47533" w:rsidP="00E47533">
            <w:pPr>
              <w:pStyle w:val="TableBody"/>
            </w:pPr>
            <w:r w:rsidRPr="00A66CD6">
              <w:t>152</w:t>
            </w:r>
          </w:p>
        </w:tc>
        <w:tc>
          <w:tcPr>
            <w:tcW w:w="1035" w:type="pct"/>
            <w:noWrap/>
            <w:hideMark/>
          </w:tcPr>
          <w:p w14:paraId="5F59945E" w14:textId="77777777" w:rsidR="00E47533" w:rsidRPr="00A66CD6" w:rsidRDefault="00E47533" w:rsidP="00E47533">
            <w:pPr>
              <w:pStyle w:val="TableBody"/>
            </w:pPr>
            <w:r w:rsidRPr="00A66CD6">
              <w:t>154</w:t>
            </w:r>
          </w:p>
        </w:tc>
        <w:tc>
          <w:tcPr>
            <w:tcW w:w="1035" w:type="pct"/>
            <w:noWrap/>
            <w:hideMark/>
          </w:tcPr>
          <w:p w14:paraId="0A9DCFF0" w14:textId="77777777" w:rsidR="00E47533" w:rsidRPr="00A66CD6" w:rsidRDefault="00E47533" w:rsidP="00E47533">
            <w:pPr>
              <w:pStyle w:val="TableBody"/>
            </w:pPr>
            <w:r w:rsidRPr="00A66CD6">
              <w:t>138</w:t>
            </w:r>
          </w:p>
        </w:tc>
      </w:tr>
      <w:tr w:rsidR="00E47533" w:rsidRPr="001D09E2" w14:paraId="4CDBF1C7" w14:textId="77777777" w:rsidTr="006F7153">
        <w:trPr>
          <w:trHeight w:val="300"/>
        </w:trPr>
        <w:tc>
          <w:tcPr>
            <w:tcW w:w="1896" w:type="pct"/>
            <w:noWrap/>
            <w:hideMark/>
          </w:tcPr>
          <w:p w14:paraId="00E3F0BD" w14:textId="77777777" w:rsidR="00E47533" w:rsidRPr="00A66CD6" w:rsidRDefault="00E47533" w:rsidP="00E47533">
            <w:pPr>
              <w:pStyle w:val="TableBody"/>
            </w:pPr>
            <w:r w:rsidRPr="00A66CD6">
              <w:t>Armed robbery</w:t>
            </w:r>
          </w:p>
        </w:tc>
        <w:tc>
          <w:tcPr>
            <w:tcW w:w="1035" w:type="pct"/>
            <w:noWrap/>
            <w:hideMark/>
          </w:tcPr>
          <w:p w14:paraId="4397432C" w14:textId="77777777" w:rsidR="00E47533" w:rsidRPr="00A66CD6" w:rsidRDefault="00E47533" w:rsidP="00E47533">
            <w:pPr>
              <w:pStyle w:val="TableBody"/>
            </w:pPr>
            <w:r w:rsidRPr="00A66CD6">
              <w:t>44</w:t>
            </w:r>
          </w:p>
        </w:tc>
        <w:tc>
          <w:tcPr>
            <w:tcW w:w="1035" w:type="pct"/>
            <w:noWrap/>
            <w:hideMark/>
          </w:tcPr>
          <w:p w14:paraId="1CF8D7E3" w14:textId="77777777" w:rsidR="00E47533" w:rsidRPr="00A66CD6" w:rsidRDefault="00E47533" w:rsidP="00E47533">
            <w:pPr>
              <w:pStyle w:val="TableBody"/>
            </w:pPr>
            <w:r w:rsidRPr="00A66CD6">
              <w:t>49</w:t>
            </w:r>
          </w:p>
        </w:tc>
        <w:tc>
          <w:tcPr>
            <w:tcW w:w="1035" w:type="pct"/>
            <w:noWrap/>
            <w:hideMark/>
          </w:tcPr>
          <w:p w14:paraId="117EE9CC" w14:textId="77777777" w:rsidR="00E47533" w:rsidRPr="00A66CD6" w:rsidRDefault="00E47533" w:rsidP="00E47533">
            <w:pPr>
              <w:pStyle w:val="TableBody"/>
            </w:pPr>
            <w:r w:rsidRPr="00A66CD6">
              <w:t>51</w:t>
            </w:r>
          </w:p>
        </w:tc>
      </w:tr>
      <w:tr w:rsidR="00E47533" w:rsidRPr="001D09E2" w14:paraId="338760E4" w14:textId="77777777" w:rsidTr="006F7153">
        <w:trPr>
          <w:trHeight w:val="300"/>
        </w:trPr>
        <w:tc>
          <w:tcPr>
            <w:tcW w:w="1896" w:type="pct"/>
            <w:noWrap/>
            <w:hideMark/>
          </w:tcPr>
          <w:p w14:paraId="2CD741C0" w14:textId="77777777" w:rsidR="00E47533" w:rsidRPr="00A66CD6" w:rsidRDefault="00E47533" w:rsidP="00E47533">
            <w:pPr>
              <w:pStyle w:val="TableBody"/>
            </w:pPr>
            <w:r w:rsidRPr="00A66CD6">
              <w:t>Sexual assault</w:t>
            </w:r>
          </w:p>
        </w:tc>
        <w:tc>
          <w:tcPr>
            <w:tcW w:w="1035" w:type="pct"/>
            <w:noWrap/>
            <w:hideMark/>
          </w:tcPr>
          <w:p w14:paraId="59023026" w14:textId="77777777" w:rsidR="00E47533" w:rsidRPr="00A66CD6" w:rsidRDefault="00E47533" w:rsidP="00E47533">
            <w:pPr>
              <w:pStyle w:val="TableBody"/>
            </w:pPr>
            <w:r w:rsidRPr="00A66CD6">
              <w:t>14</w:t>
            </w:r>
          </w:p>
        </w:tc>
        <w:tc>
          <w:tcPr>
            <w:tcW w:w="1035" w:type="pct"/>
            <w:noWrap/>
            <w:hideMark/>
          </w:tcPr>
          <w:p w14:paraId="43FE13FF" w14:textId="77777777" w:rsidR="00E47533" w:rsidRPr="00A66CD6" w:rsidRDefault="00E47533" w:rsidP="00E47533">
            <w:pPr>
              <w:pStyle w:val="TableBody"/>
            </w:pPr>
            <w:r w:rsidRPr="00A66CD6">
              <w:t>26</w:t>
            </w:r>
          </w:p>
        </w:tc>
        <w:tc>
          <w:tcPr>
            <w:tcW w:w="1035" w:type="pct"/>
            <w:noWrap/>
            <w:hideMark/>
          </w:tcPr>
          <w:p w14:paraId="0551F096" w14:textId="77777777" w:rsidR="00E47533" w:rsidRPr="00A66CD6" w:rsidRDefault="00E47533" w:rsidP="00E47533">
            <w:pPr>
              <w:pStyle w:val="TableBody"/>
            </w:pPr>
            <w:r w:rsidRPr="00A66CD6">
              <w:t>26</w:t>
            </w:r>
          </w:p>
        </w:tc>
      </w:tr>
      <w:tr w:rsidR="00E47533" w:rsidRPr="001D09E2" w14:paraId="58D724D2" w14:textId="77777777" w:rsidTr="006F7153">
        <w:trPr>
          <w:trHeight w:val="300"/>
        </w:trPr>
        <w:tc>
          <w:tcPr>
            <w:tcW w:w="1896" w:type="pct"/>
            <w:noWrap/>
            <w:hideMark/>
          </w:tcPr>
          <w:p w14:paraId="6B9CDFB8" w14:textId="77777777" w:rsidR="00E47533" w:rsidRPr="00A66CD6" w:rsidRDefault="00E47533" w:rsidP="00E47533">
            <w:pPr>
              <w:pStyle w:val="TableBody"/>
            </w:pPr>
            <w:r w:rsidRPr="00A66CD6">
              <w:t>False imprisonment</w:t>
            </w:r>
          </w:p>
        </w:tc>
        <w:tc>
          <w:tcPr>
            <w:tcW w:w="1035" w:type="pct"/>
            <w:noWrap/>
            <w:hideMark/>
          </w:tcPr>
          <w:p w14:paraId="7C3F8E53" w14:textId="77777777" w:rsidR="00E47533" w:rsidRPr="00A66CD6" w:rsidRDefault="00E47533" w:rsidP="00E47533">
            <w:pPr>
              <w:pStyle w:val="TableBody"/>
            </w:pPr>
            <w:r w:rsidRPr="00A66CD6">
              <w:t>33</w:t>
            </w:r>
          </w:p>
        </w:tc>
        <w:tc>
          <w:tcPr>
            <w:tcW w:w="1035" w:type="pct"/>
            <w:noWrap/>
            <w:hideMark/>
          </w:tcPr>
          <w:p w14:paraId="2D44095A" w14:textId="77777777" w:rsidR="00E47533" w:rsidRPr="00A66CD6" w:rsidRDefault="00E47533" w:rsidP="00E47533">
            <w:pPr>
              <w:pStyle w:val="TableBody"/>
            </w:pPr>
            <w:r w:rsidRPr="00A66CD6">
              <w:t>37</w:t>
            </w:r>
          </w:p>
        </w:tc>
        <w:tc>
          <w:tcPr>
            <w:tcW w:w="1035" w:type="pct"/>
            <w:noWrap/>
            <w:hideMark/>
          </w:tcPr>
          <w:p w14:paraId="26279DA2" w14:textId="77777777" w:rsidR="00E47533" w:rsidRPr="00A66CD6" w:rsidRDefault="00E47533" w:rsidP="00E47533">
            <w:pPr>
              <w:pStyle w:val="TableBody"/>
            </w:pPr>
            <w:r w:rsidRPr="00A66CD6">
              <w:t>20</w:t>
            </w:r>
          </w:p>
        </w:tc>
      </w:tr>
      <w:tr w:rsidR="00E47533" w:rsidRPr="001D09E2" w14:paraId="0482987E" w14:textId="77777777" w:rsidTr="006F7153">
        <w:trPr>
          <w:trHeight w:val="300"/>
        </w:trPr>
        <w:tc>
          <w:tcPr>
            <w:tcW w:w="1896" w:type="pct"/>
            <w:noWrap/>
            <w:hideMark/>
          </w:tcPr>
          <w:p w14:paraId="50AC6561" w14:textId="77777777" w:rsidR="00E47533" w:rsidRPr="00A66CD6" w:rsidRDefault="00E47533" w:rsidP="00E47533">
            <w:pPr>
              <w:pStyle w:val="TableBody"/>
            </w:pPr>
            <w:r w:rsidRPr="00A66CD6">
              <w:lastRenderedPageBreak/>
              <w:t>Knowingly possess child abuse material*</w:t>
            </w:r>
          </w:p>
        </w:tc>
        <w:tc>
          <w:tcPr>
            <w:tcW w:w="1035" w:type="pct"/>
            <w:noWrap/>
            <w:hideMark/>
          </w:tcPr>
          <w:p w14:paraId="00BA12F5" w14:textId="77777777" w:rsidR="00E47533" w:rsidRPr="00A66CD6" w:rsidRDefault="00E47533" w:rsidP="00E47533">
            <w:pPr>
              <w:pStyle w:val="TableBody"/>
            </w:pPr>
            <w:r w:rsidRPr="00A66CD6">
              <w:t>0</w:t>
            </w:r>
          </w:p>
        </w:tc>
        <w:tc>
          <w:tcPr>
            <w:tcW w:w="1035" w:type="pct"/>
            <w:noWrap/>
            <w:hideMark/>
          </w:tcPr>
          <w:p w14:paraId="7D75F6E0" w14:textId="77777777" w:rsidR="00E47533" w:rsidRPr="00A66CD6" w:rsidRDefault="00E47533" w:rsidP="00E47533">
            <w:pPr>
              <w:pStyle w:val="TableBody"/>
            </w:pPr>
            <w:r w:rsidRPr="00A66CD6">
              <w:t>4</w:t>
            </w:r>
          </w:p>
        </w:tc>
        <w:tc>
          <w:tcPr>
            <w:tcW w:w="1035" w:type="pct"/>
            <w:noWrap/>
            <w:hideMark/>
          </w:tcPr>
          <w:p w14:paraId="318CE038" w14:textId="77777777" w:rsidR="00E47533" w:rsidRPr="00A66CD6" w:rsidRDefault="00E47533" w:rsidP="00E47533">
            <w:pPr>
              <w:pStyle w:val="TableBody"/>
            </w:pPr>
            <w:r w:rsidRPr="00A66CD6">
              <w:t>15</w:t>
            </w:r>
          </w:p>
        </w:tc>
      </w:tr>
      <w:tr w:rsidR="00E47533" w:rsidRPr="001D09E2" w14:paraId="6B0924A1" w14:textId="77777777" w:rsidTr="006F7153">
        <w:trPr>
          <w:trHeight w:val="300"/>
        </w:trPr>
        <w:tc>
          <w:tcPr>
            <w:tcW w:w="1896" w:type="pct"/>
            <w:noWrap/>
            <w:hideMark/>
          </w:tcPr>
          <w:p w14:paraId="2120CC94" w14:textId="77777777" w:rsidR="00E47533" w:rsidRPr="00A66CD6" w:rsidRDefault="00E47533" w:rsidP="00E47533">
            <w:pPr>
              <w:pStyle w:val="TableBody"/>
            </w:pPr>
            <w:r w:rsidRPr="00A66CD6">
              <w:t>Attempted armed robbery</w:t>
            </w:r>
          </w:p>
        </w:tc>
        <w:tc>
          <w:tcPr>
            <w:tcW w:w="1035" w:type="pct"/>
            <w:noWrap/>
            <w:hideMark/>
          </w:tcPr>
          <w:p w14:paraId="02550317" w14:textId="77777777" w:rsidR="00E47533" w:rsidRPr="00A66CD6" w:rsidRDefault="00E47533" w:rsidP="00E47533">
            <w:pPr>
              <w:pStyle w:val="TableBody"/>
            </w:pPr>
            <w:r w:rsidRPr="00A66CD6">
              <w:t>9</w:t>
            </w:r>
          </w:p>
        </w:tc>
        <w:tc>
          <w:tcPr>
            <w:tcW w:w="1035" w:type="pct"/>
            <w:noWrap/>
            <w:hideMark/>
          </w:tcPr>
          <w:p w14:paraId="12643B1C" w14:textId="77777777" w:rsidR="00E47533" w:rsidRPr="00A66CD6" w:rsidRDefault="00E47533" w:rsidP="00E47533">
            <w:pPr>
              <w:pStyle w:val="TableBody"/>
            </w:pPr>
            <w:r w:rsidRPr="00A66CD6">
              <w:t>13</w:t>
            </w:r>
          </w:p>
        </w:tc>
        <w:tc>
          <w:tcPr>
            <w:tcW w:w="1035" w:type="pct"/>
            <w:noWrap/>
            <w:hideMark/>
          </w:tcPr>
          <w:p w14:paraId="2A3C6C07" w14:textId="77777777" w:rsidR="00E47533" w:rsidRPr="00A66CD6" w:rsidRDefault="00E47533" w:rsidP="00E47533">
            <w:pPr>
              <w:pStyle w:val="TableBody"/>
            </w:pPr>
            <w:r w:rsidRPr="00A66CD6">
              <w:t>13</w:t>
            </w:r>
          </w:p>
        </w:tc>
      </w:tr>
      <w:tr w:rsidR="00E47533" w:rsidRPr="001D09E2" w14:paraId="66A898EC" w14:textId="77777777" w:rsidTr="006F7153">
        <w:trPr>
          <w:trHeight w:val="300"/>
        </w:trPr>
        <w:tc>
          <w:tcPr>
            <w:tcW w:w="1896" w:type="pct"/>
            <w:noWrap/>
            <w:hideMark/>
          </w:tcPr>
          <w:p w14:paraId="58CF1764" w14:textId="77777777" w:rsidR="00E47533" w:rsidRPr="00A66CD6" w:rsidRDefault="00E47533" w:rsidP="00E47533">
            <w:pPr>
              <w:pStyle w:val="TableBody"/>
            </w:pPr>
            <w:r w:rsidRPr="00A66CD6">
              <w:t>Engage in sexual activity to cause fear or distress to another person</w:t>
            </w:r>
          </w:p>
        </w:tc>
        <w:tc>
          <w:tcPr>
            <w:tcW w:w="1035" w:type="pct"/>
            <w:noWrap/>
            <w:hideMark/>
          </w:tcPr>
          <w:p w14:paraId="1BC14E8B" w14:textId="77777777" w:rsidR="00E47533" w:rsidRPr="00A66CD6" w:rsidRDefault="00E47533" w:rsidP="00E47533">
            <w:pPr>
              <w:pStyle w:val="TableBody"/>
            </w:pPr>
            <w:r w:rsidRPr="00A66CD6">
              <w:t>0</w:t>
            </w:r>
          </w:p>
        </w:tc>
        <w:tc>
          <w:tcPr>
            <w:tcW w:w="1035" w:type="pct"/>
            <w:noWrap/>
            <w:hideMark/>
          </w:tcPr>
          <w:p w14:paraId="61EEDD98" w14:textId="77777777" w:rsidR="00E47533" w:rsidRPr="00A66CD6" w:rsidRDefault="00E47533" w:rsidP="00E47533">
            <w:pPr>
              <w:pStyle w:val="TableBody"/>
            </w:pPr>
            <w:r w:rsidRPr="00A66CD6">
              <w:t>4</w:t>
            </w:r>
          </w:p>
        </w:tc>
        <w:tc>
          <w:tcPr>
            <w:tcW w:w="1035" w:type="pct"/>
            <w:noWrap/>
            <w:hideMark/>
          </w:tcPr>
          <w:p w14:paraId="23B80BC7" w14:textId="77777777" w:rsidR="00E47533" w:rsidRPr="00A66CD6" w:rsidRDefault="00E47533" w:rsidP="00E47533">
            <w:pPr>
              <w:pStyle w:val="TableBody"/>
            </w:pPr>
            <w:r w:rsidRPr="00A66CD6">
              <w:t>13</w:t>
            </w:r>
          </w:p>
        </w:tc>
      </w:tr>
      <w:tr w:rsidR="00E47533" w:rsidRPr="001D09E2" w14:paraId="5BC6ACFF" w14:textId="77777777" w:rsidTr="006F7153">
        <w:trPr>
          <w:trHeight w:val="300"/>
        </w:trPr>
        <w:tc>
          <w:tcPr>
            <w:tcW w:w="1896" w:type="pct"/>
            <w:noWrap/>
            <w:hideMark/>
          </w:tcPr>
          <w:p w14:paraId="6CFF8872" w14:textId="77777777" w:rsidR="00E47533" w:rsidRPr="00A66CD6" w:rsidRDefault="00E47533" w:rsidP="00E47533">
            <w:pPr>
              <w:pStyle w:val="TableBody"/>
            </w:pPr>
            <w:r w:rsidRPr="00A66CD6">
              <w:t>Recklessly cause serious injury</w:t>
            </w:r>
          </w:p>
        </w:tc>
        <w:tc>
          <w:tcPr>
            <w:tcW w:w="1035" w:type="pct"/>
            <w:noWrap/>
            <w:hideMark/>
          </w:tcPr>
          <w:p w14:paraId="22228124" w14:textId="77777777" w:rsidR="00E47533" w:rsidRPr="00A66CD6" w:rsidRDefault="00E47533" w:rsidP="00E47533">
            <w:pPr>
              <w:pStyle w:val="TableBody"/>
            </w:pPr>
            <w:r w:rsidRPr="00A66CD6">
              <w:t>18</w:t>
            </w:r>
          </w:p>
        </w:tc>
        <w:tc>
          <w:tcPr>
            <w:tcW w:w="1035" w:type="pct"/>
            <w:noWrap/>
            <w:hideMark/>
          </w:tcPr>
          <w:p w14:paraId="20C10225" w14:textId="77777777" w:rsidR="00E47533" w:rsidRPr="00A66CD6" w:rsidRDefault="00E47533" w:rsidP="00E47533">
            <w:pPr>
              <w:pStyle w:val="TableBody"/>
            </w:pPr>
            <w:r w:rsidRPr="00A66CD6">
              <w:t>26</w:t>
            </w:r>
          </w:p>
        </w:tc>
        <w:tc>
          <w:tcPr>
            <w:tcW w:w="1035" w:type="pct"/>
            <w:noWrap/>
            <w:hideMark/>
          </w:tcPr>
          <w:p w14:paraId="277C0488" w14:textId="77777777" w:rsidR="00E47533" w:rsidRPr="00A66CD6" w:rsidRDefault="00E47533" w:rsidP="00E47533">
            <w:pPr>
              <w:pStyle w:val="TableBody"/>
            </w:pPr>
            <w:r w:rsidRPr="00A66CD6">
              <w:t>11</w:t>
            </w:r>
          </w:p>
        </w:tc>
      </w:tr>
    </w:tbl>
    <w:p w14:paraId="5DF1BFC3" w14:textId="77777777" w:rsidR="00C64313" w:rsidRDefault="00C64313" w:rsidP="00C64313">
      <w:pPr>
        <w:pStyle w:val="Note"/>
      </w:pPr>
      <w:r>
        <w:t xml:space="preserve">*Knowingly possess child abuse material is a relatively new offence under section 51G of the </w:t>
      </w:r>
      <w:r w:rsidRPr="00A14C65">
        <w:rPr>
          <w:rStyle w:val="Emphasis"/>
        </w:rPr>
        <w:t>Crimes Act 1958</w:t>
      </w:r>
      <w:r>
        <w:t xml:space="preserve"> (Vic). Prior to its introduction, a similar offence of knowingly possess child pornography existed under section 70 (repealed) of the </w:t>
      </w:r>
      <w:r w:rsidRPr="00A14C65">
        <w:rPr>
          <w:rStyle w:val="Emphasis"/>
        </w:rPr>
        <w:t>Crimes Act 1958</w:t>
      </w:r>
      <w:r>
        <w:t xml:space="preserve"> (Vic). People sentenced in 2016–17 and 2017–18 were more likely to be charged with knowingly possess child pornography under section 70 than knowingly possess child abuse material under section 51G.</w:t>
      </w:r>
    </w:p>
    <w:p w14:paraId="21D6321A" w14:textId="77777777" w:rsidR="00F00A00" w:rsidRDefault="00F00A00" w:rsidP="00680963">
      <w:r>
        <w:t>Three offences stand out from the most common serious offences committed by people serving a CCO in 2018–19:</w:t>
      </w:r>
    </w:p>
    <w:p w14:paraId="314CD475" w14:textId="77777777" w:rsidR="00F00A00" w:rsidRDefault="00F00A00" w:rsidP="005628E0">
      <w:pPr>
        <w:pStyle w:val="Bullets"/>
      </w:pPr>
      <w:r>
        <w:t>make threat to kill (319 charges);</w:t>
      </w:r>
    </w:p>
    <w:p w14:paraId="6B7F4B24" w14:textId="77777777" w:rsidR="00F00A00" w:rsidRDefault="00F00A00" w:rsidP="005628E0">
      <w:pPr>
        <w:pStyle w:val="Bullets"/>
      </w:pPr>
      <w:r>
        <w:t>make threat to inflict serious injury (187 charges); and</w:t>
      </w:r>
    </w:p>
    <w:p w14:paraId="0D729E97" w14:textId="77777777" w:rsidR="00F00A00" w:rsidRDefault="00F00A00" w:rsidP="00C47CBE">
      <w:pPr>
        <w:pStyle w:val="Bullets"/>
      </w:pPr>
      <w:r>
        <w:t>aggravated burglary (138 charges).</w:t>
      </w:r>
    </w:p>
    <w:p w14:paraId="013AB9BC" w14:textId="77777777" w:rsidR="00F00A00" w:rsidRDefault="00F00A00" w:rsidP="003F2250">
      <w:r>
        <w:t>All three offences were also the most common serious offences sentenced in 2016–17 and 2017–18.</w:t>
      </w:r>
      <w:r w:rsidRPr="00A14C65">
        <w:rPr>
          <w:rStyle w:val="Superscript"/>
        </w:rPr>
        <w:footnoteReference w:id="39"/>
      </w:r>
      <w:r>
        <w:t xml:space="preserve"> </w:t>
      </w:r>
    </w:p>
    <w:p w14:paraId="44F42196" w14:textId="77777777" w:rsidR="00F00A00" w:rsidRDefault="00F00A00" w:rsidP="003F2250">
      <w:r>
        <w:t>The number of charges of make threat to kill in 2018–19 decreased slightly from the number in 2017–18 (325 charges to 319 charges, a decrease of 1.8%). However, the number of charges of make threat to inflict serious injury increased in 2018–19 from both 2016–17 and 2017–18 (187 charges in 2018–19 from 172 charges in 2016–17 and 2017–18, an increase of 8.7%). On the other hand, the number of charges of aggravated burglary decreased in 2018–19: 138 charges in 2018–19 from 154 charges in 2017–18 (a decrease of 10.4%) and 152 charges in 2016–17 (a decrease of 9.2%).</w:t>
      </w:r>
    </w:p>
    <w:p w14:paraId="64B94B7C" w14:textId="77777777" w:rsidR="00F00A00" w:rsidRDefault="00F00A00" w:rsidP="003F2250">
      <w:r>
        <w:t xml:space="preserve">The most common sexual offences were sexual assault (26 charges in both 2017–18 and 2018–19) and knowingly possess child abuse material (15 charges in 2018–19). The number of charges of knowingly possess child abuse material </w:t>
      </w:r>
      <w:r>
        <w:lastRenderedPageBreak/>
        <w:t>was highest in 2018–19 as this is a new offence that replaced knowingly possess child pornography. However, prior to its repeal, knowingly possess child pornography was among the 10 most common serious offences committed by people serving a CCO, with a similar number of charges (10 in 2016–17 and 11 in 2017–18).</w:t>
      </w:r>
      <w:r>
        <w:rPr>
          <w:rStyle w:val="Superscript"/>
        </w:rPr>
        <w:footnoteReference w:id="40"/>
      </w:r>
    </w:p>
    <w:p w14:paraId="2C133869" w14:textId="77777777" w:rsidR="00F00A00" w:rsidRDefault="00F00A00" w:rsidP="003F2250">
      <w:r>
        <w:t>In addition, the courts sentenced two charges of murder committed by people serving a CCO.</w:t>
      </w:r>
      <w:r>
        <w:rPr>
          <w:rStyle w:val="Superscript"/>
        </w:rPr>
        <w:footnoteReference w:id="41"/>
      </w:r>
      <w:r>
        <w:t xml:space="preserve"> This represents 5.7% of all murder charges sentenced in 2018–19. This is substantially lower than the percentage in 2017–18, when 16.7% of sentenced murder charges were committed by people serving a CCO,</w:t>
      </w:r>
      <w:r>
        <w:rPr>
          <w:rStyle w:val="Superscript"/>
        </w:rPr>
        <w:footnoteReference w:id="42"/>
      </w:r>
      <w:r>
        <w:t xml:space="preserve"> but slightly higher than in 2016–17, when 4.7% of sentenced murder charges were committed by people serving a CCO.</w:t>
      </w:r>
      <w:r>
        <w:rPr>
          <w:rStyle w:val="Superscript"/>
        </w:rPr>
        <w:footnoteReference w:id="43"/>
      </w:r>
    </w:p>
    <w:p w14:paraId="7867E152" w14:textId="77777777" w:rsidR="00F00A00" w:rsidRDefault="00F00A00" w:rsidP="003F2250">
      <w:r>
        <w:t>Two offences of manslaughter</w:t>
      </w:r>
      <w:r>
        <w:rPr>
          <w:rStyle w:val="Superscript"/>
        </w:rPr>
        <w:footnoteReference w:id="44"/>
      </w:r>
      <w:r>
        <w:t xml:space="preserve"> and eight charges of rape</w:t>
      </w:r>
      <w:r>
        <w:rPr>
          <w:rStyle w:val="Superscript"/>
        </w:rPr>
        <w:footnoteReference w:id="45"/>
      </w:r>
      <w:r>
        <w:t xml:space="preserve"> were also committed by people serving a CCO. The percentage of people who committed </w:t>
      </w:r>
      <w:r>
        <w:lastRenderedPageBreak/>
        <w:t>manslaughter while serving a CCO represented 9.5% of all manslaughter charges sentenced in 2018–19, 7.7% in 2016–17</w:t>
      </w:r>
      <w:r>
        <w:rPr>
          <w:rStyle w:val="Superscript"/>
        </w:rPr>
        <w:footnoteReference w:id="46"/>
      </w:r>
      <w:r>
        <w:t xml:space="preserve"> and 13.3% in 2017–18.</w:t>
      </w:r>
      <w:r>
        <w:rPr>
          <w:rStyle w:val="Superscript"/>
        </w:rPr>
        <w:footnoteReference w:id="47"/>
      </w:r>
      <w:r>
        <w:t xml:space="preserve"> The percentage of people who committed rape while serving a CCO represented 7.8% of all rape charges sentenced in 2018–19, 6.8% in 2016–17</w:t>
      </w:r>
      <w:r>
        <w:rPr>
          <w:rStyle w:val="Superscript"/>
        </w:rPr>
        <w:footnoteReference w:id="48"/>
      </w:r>
      <w:r>
        <w:t xml:space="preserve"> and 1.9% in 2017–18.</w:t>
      </w:r>
      <w:r>
        <w:rPr>
          <w:rStyle w:val="Superscript"/>
        </w:rPr>
        <w:footnoteReference w:id="49"/>
      </w:r>
      <w:r>
        <w:t xml:space="preserve"> </w:t>
      </w:r>
    </w:p>
    <w:p w14:paraId="443BEF94" w14:textId="77777777" w:rsidR="00F00A00" w:rsidRDefault="00F00A00" w:rsidP="003F2250">
      <w:r>
        <w:t>Overall, the percentages for murder and manslaughter were lower in 2018–19 than in 2017–18, but slightly higher than in 2016–17. The percentage for rape was highest in 2018–19, although this can be attributed to one person committing multiple rape offences.</w:t>
      </w:r>
    </w:p>
    <w:p w14:paraId="4A62C879" w14:textId="77777777" w:rsidR="00F00A00" w:rsidRPr="007E1FB1" w:rsidRDefault="00F00A00" w:rsidP="007E1FB1">
      <w:pPr>
        <w:pStyle w:val="Heading1"/>
      </w:pPr>
      <w:bookmarkStart w:id="10" w:name="_Toc43722744"/>
      <w:r w:rsidRPr="007E1FB1">
        <w:t>10. Gender and age of people committing a serious offence while serving a community correction order</w:t>
      </w:r>
      <w:bookmarkEnd w:id="10"/>
    </w:p>
    <w:p w14:paraId="4AB19D47" w14:textId="77777777" w:rsidR="00F00A00" w:rsidRDefault="00F00A00" w:rsidP="003F2250">
      <w:r>
        <w:t>A total of 599 males (92% of people) and 52 females (8% of people) were sentenced in 2018–19 for a serious offence committed while serving a CCO. This is consistent with patterns observed for 2016–17</w:t>
      </w:r>
      <w:r>
        <w:rPr>
          <w:rStyle w:val="Superscript"/>
        </w:rPr>
        <w:footnoteReference w:id="50"/>
      </w:r>
      <w:r>
        <w:t xml:space="preserve"> and 2017–18,</w:t>
      </w:r>
      <w:r>
        <w:rPr>
          <w:rStyle w:val="Superscript"/>
        </w:rPr>
        <w:footnoteReference w:id="51"/>
      </w:r>
      <w:r>
        <w:t xml:space="preserve"> during which </w:t>
      </w:r>
      <w:r>
        <w:lastRenderedPageBreak/>
        <w:t>the majority (90% or more) of people committing a serious offence while serving a CCO were also male.</w:t>
      </w:r>
    </w:p>
    <w:p w14:paraId="1AEB8609" w14:textId="77777777" w:rsidR="00F00A00" w:rsidRDefault="00F00A00" w:rsidP="003F2250">
      <w:r>
        <w:t>The majority of people sentenced for a serious offence committed while serving a CCO were aged between 18 and 44 when their CCO was imposed. This represents just over 90% of all CCOs imposed on people who subsequently committed a serious offence while serving a CCO. A large contingent of this group was aged under 35 (65.9%) (see Figure 8).</w:t>
      </w:r>
    </w:p>
    <w:p w14:paraId="5881C78F" w14:textId="77777777" w:rsidR="00F00A00" w:rsidRDefault="00F00A00" w:rsidP="003F2250">
      <w:r>
        <w:t>The median age of people sentenced for a serious offence committed while serving a CCO was 30 years (at the time of receiving their CCO). Ages ranged from 18 to 65 years.</w:t>
      </w:r>
    </w:p>
    <w:p w14:paraId="05D18CF3" w14:textId="77777777" w:rsidR="00F00A00" w:rsidRDefault="00F00A00" w:rsidP="003F2250">
      <w:r>
        <w:t>As Figure 8 shows, the most prevalent age group was 25 to 34 years (37.7%), and the least prevalent age group was 55 years and over (1.3%). The patterns in Figure 8 are almost identical to the patterns observed in previous reports:</w:t>
      </w:r>
      <w:r>
        <w:rPr>
          <w:rStyle w:val="Superscript"/>
        </w:rPr>
        <w:footnoteReference w:id="52"/>
      </w:r>
      <w:r>
        <w:t xml:space="preserve"> 25 to 34 years is the most prevalent age group, and 55 years and over is the least prevalent.</w:t>
      </w:r>
    </w:p>
    <w:p w14:paraId="5318EB24" w14:textId="77777777" w:rsidR="00F00A00" w:rsidRDefault="00F00A00" w:rsidP="008D5DC1">
      <w:pPr>
        <w:pStyle w:val="Caption"/>
      </w:pPr>
      <w:r w:rsidRPr="008D5DC1">
        <w:t xml:space="preserve">Figure 8: </w:t>
      </w:r>
      <w:r>
        <w:t>Percentage of total CCOs contravened for people sentenced in 2018–19 for committing a serious offence while serving a CCO, by the person’s age when the CCO was imposed</w:t>
      </w:r>
    </w:p>
    <w:tbl>
      <w:tblPr>
        <w:tblStyle w:val="Table"/>
        <w:tblW w:w="5000" w:type="pct"/>
        <w:tblLook w:val="04A0" w:firstRow="1" w:lastRow="0" w:firstColumn="1" w:lastColumn="0" w:noHBand="0" w:noVBand="1"/>
      </w:tblPr>
      <w:tblGrid>
        <w:gridCol w:w="4508"/>
        <w:gridCol w:w="4508"/>
      </w:tblGrid>
      <w:tr w:rsidR="00345B07" w:rsidRPr="00345B07" w14:paraId="3284061F" w14:textId="77777777" w:rsidTr="00345B07">
        <w:trPr>
          <w:trHeight w:val="300"/>
          <w:tblHeader/>
        </w:trPr>
        <w:tc>
          <w:tcPr>
            <w:tcW w:w="2500" w:type="pct"/>
            <w:noWrap/>
            <w:hideMark/>
          </w:tcPr>
          <w:p w14:paraId="4BC65265" w14:textId="77777777" w:rsidR="00345B07" w:rsidRPr="00345B07" w:rsidRDefault="00345B07" w:rsidP="00345B07">
            <w:pPr>
              <w:pStyle w:val="TableHeading"/>
            </w:pPr>
            <w:r w:rsidRPr="00345B07">
              <w:t>Age group of person</w:t>
            </w:r>
          </w:p>
        </w:tc>
        <w:tc>
          <w:tcPr>
            <w:tcW w:w="2500" w:type="pct"/>
            <w:noWrap/>
            <w:hideMark/>
          </w:tcPr>
          <w:p w14:paraId="1253C39D" w14:textId="77777777" w:rsidR="00345B07" w:rsidRPr="00345B07" w:rsidRDefault="00345B07" w:rsidP="00345B07">
            <w:pPr>
              <w:pStyle w:val="TableHeading"/>
            </w:pPr>
            <w:r w:rsidRPr="00345B07">
              <w:t>Percentage</w:t>
            </w:r>
          </w:p>
        </w:tc>
      </w:tr>
      <w:tr w:rsidR="00345B07" w:rsidRPr="00345B07" w14:paraId="1E194C57" w14:textId="77777777" w:rsidTr="00345B07">
        <w:trPr>
          <w:trHeight w:val="300"/>
        </w:trPr>
        <w:tc>
          <w:tcPr>
            <w:tcW w:w="2500" w:type="pct"/>
            <w:noWrap/>
            <w:hideMark/>
          </w:tcPr>
          <w:p w14:paraId="0DEBB3EC" w14:textId="77777777" w:rsidR="00345B07" w:rsidRPr="00345B07" w:rsidRDefault="00345B07" w:rsidP="00345B07">
            <w:pPr>
              <w:pStyle w:val="TableBody"/>
            </w:pPr>
            <w:r w:rsidRPr="00345B07">
              <w:t>18 to 24</w:t>
            </w:r>
          </w:p>
        </w:tc>
        <w:tc>
          <w:tcPr>
            <w:tcW w:w="2500" w:type="pct"/>
            <w:noWrap/>
            <w:hideMark/>
          </w:tcPr>
          <w:p w14:paraId="2662245A" w14:textId="77777777" w:rsidR="00345B07" w:rsidRPr="00345B07" w:rsidRDefault="00345B07" w:rsidP="00345B07">
            <w:pPr>
              <w:pStyle w:val="TableBody"/>
            </w:pPr>
            <w:r w:rsidRPr="00345B07">
              <w:t>28.2%</w:t>
            </w:r>
          </w:p>
        </w:tc>
      </w:tr>
      <w:tr w:rsidR="00345B07" w:rsidRPr="00345B07" w14:paraId="51B0168F" w14:textId="77777777" w:rsidTr="00345B07">
        <w:trPr>
          <w:trHeight w:val="300"/>
        </w:trPr>
        <w:tc>
          <w:tcPr>
            <w:tcW w:w="2500" w:type="pct"/>
            <w:noWrap/>
            <w:hideMark/>
          </w:tcPr>
          <w:p w14:paraId="4B926F8F" w14:textId="77777777" w:rsidR="00345B07" w:rsidRPr="00345B07" w:rsidRDefault="00345B07" w:rsidP="00345B07">
            <w:pPr>
              <w:pStyle w:val="TableBody"/>
            </w:pPr>
            <w:r w:rsidRPr="00345B07">
              <w:t>25 to 34</w:t>
            </w:r>
          </w:p>
        </w:tc>
        <w:tc>
          <w:tcPr>
            <w:tcW w:w="2500" w:type="pct"/>
            <w:noWrap/>
            <w:hideMark/>
          </w:tcPr>
          <w:p w14:paraId="4BCEA581" w14:textId="77777777" w:rsidR="00345B07" w:rsidRPr="00345B07" w:rsidRDefault="00345B07" w:rsidP="00345B07">
            <w:pPr>
              <w:pStyle w:val="TableBody"/>
            </w:pPr>
            <w:r w:rsidRPr="00345B07">
              <w:t>37.7%</w:t>
            </w:r>
          </w:p>
        </w:tc>
      </w:tr>
      <w:tr w:rsidR="00345B07" w:rsidRPr="00345B07" w14:paraId="06604175" w14:textId="77777777" w:rsidTr="00345B07">
        <w:trPr>
          <w:trHeight w:val="300"/>
        </w:trPr>
        <w:tc>
          <w:tcPr>
            <w:tcW w:w="2500" w:type="pct"/>
            <w:noWrap/>
            <w:hideMark/>
          </w:tcPr>
          <w:p w14:paraId="6B5E5DD7" w14:textId="77777777" w:rsidR="00345B07" w:rsidRPr="00345B07" w:rsidRDefault="00345B07" w:rsidP="00345B07">
            <w:pPr>
              <w:pStyle w:val="TableBody"/>
            </w:pPr>
            <w:r w:rsidRPr="00345B07">
              <w:t>35 to 44</w:t>
            </w:r>
          </w:p>
        </w:tc>
        <w:tc>
          <w:tcPr>
            <w:tcW w:w="2500" w:type="pct"/>
            <w:noWrap/>
            <w:hideMark/>
          </w:tcPr>
          <w:p w14:paraId="1E42DE8B" w14:textId="77777777" w:rsidR="00345B07" w:rsidRPr="00345B07" w:rsidRDefault="00345B07" w:rsidP="00345B07">
            <w:pPr>
              <w:pStyle w:val="TableBody"/>
            </w:pPr>
            <w:r w:rsidRPr="00345B07">
              <w:t>24.5%</w:t>
            </w:r>
          </w:p>
        </w:tc>
      </w:tr>
      <w:tr w:rsidR="00345B07" w:rsidRPr="00345B07" w14:paraId="03B51E30" w14:textId="77777777" w:rsidTr="00345B07">
        <w:trPr>
          <w:trHeight w:val="300"/>
        </w:trPr>
        <w:tc>
          <w:tcPr>
            <w:tcW w:w="2500" w:type="pct"/>
            <w:noWrap/>
            <w:hideMark/>
          </w:tcPr>
          <w:p w14:paraId="35BBD981" w14:textId="77777777" w:rsidR="00345B07" w:rsidRPr="00345B07" w:rsidRDefault="00345B07" w:rsidP="00345B07">
            <w:pPr>
              <w:pStyle w:val="TableBody"/>
            </w:pPr>
            <w:r w:rsidRPr="00345B07">
              <w:t>45 to 54</w:t>
            </w:r>
          </w:p>
        </w:tc>
        <w:tc>
          <w:tcPr>
            <w:tcW w:w="2500" w:type="pct"/>
            <w:noWrap/>
            <w:hideMark/>
          </w:tcPr>
          <w:p w14:paraId="029405F4" w14:textId="77777777" w:rsidR="00345B07" w:rsidRPr="00345B07" w:rsidRDefault="00345B07" w:rsidP="00345B07">
            <w:pPr>
              <w:pStyle w:val="TableBody"/>
            </w:pPr>
            <w:r w:rsidRPr="00345B07">
              <w:t>8.3%</w:t>
            </w:r>
          </w:p>
        </w:tc>
      </w:tr>
      <w:tr w:rsidR="00345B07" w:rsidRPr="00345B07" w14:paraId="43741A02" w14:textId="77777777" w:rsidTr="00345B07">
        <w:trPr>
          <w:trHeight w:val="300"/>
        </w:trPr>
        <w:tc>
          <w:tcPr>
            <w:tcW w:w="2500" w:type="pct"/>
            <w:noWrap/>
            <w:hideMark/>
          </w:tcPr>
          <w:p w14:paraId="5653C1EC" w14:textId="77777777" w:rsidR="00345B07" w:rsidRPr="00345B07" w:rsidRDefault="00345B07" w:rsidP="00345B07">
            <w:pPr>
              <w:pStyle w:val="TableBody"/>
            </w:pPr>
            <w:r w:rsidRPr="00345B07">
              <w:t>55 and over</w:t>
            </w:r>
          </w:p>
        </w:tc>
        <w:tc>
          <w:tcPr>
            <w:tcW w:w="2500" w:type="pct"/>
            <w:noWrap/>
            <w:hideMark/>
          </w:tcPr>
          <w:p w14:paraId="66436B31" w14:textId="77777777" w:rsidR="00345B07" w:rsidRPr="00345B07" w:rsidRDefault="00345B07" w:rsidP="00345B07">
            <w:pPr>
              <w:pStyle w:val="TableBody"/>
            </w:pPr>
            <w:r w:rsidRPr="00345B07">
              <w:t>1.3%</w:t>
            </w:r>
          </w:p>
        </w:tc>
      </w:tr>
    </w:tbl>
    <w:p w14:paraId="213079BB" w14:textId="77777777" w:rsidR="00F00A00" w:rsidRPr="007E1FB1" w:rsidRDefault="00F00A00" w:rsidP="007E1FB1">
      <w:pPr>
        <w:pStyle w:val="Heading1"/>
      </w:pPr>
      <w:bookmarkStart w:id="11" w:name="_Toc43722745"/>
      <w:r w:rsidRPr="007E1FB1">
        <w:t>11. Community correction orders combined with imprisonment</w:t>
      </w:r>
      <w:bookmarkEnd w:id="11"/>
    </w:p>
    <w:p w14:paraId="5BBACCFB" w14:textId="77777777" w:rsidR="00F00A00" w:rsidRDefault="00F00A00" w:rsidP="003F2250">
      <w:r>
        <w:t>In 2018–19, 29.6% of people sentenced for a serious offence committed while serving a CCO (193 of 651 people) were on a CCO combined with imprisonment. This percentage is higher than the percentage in both 2016–17 (17.3%) and 2017–18 (25.8%) (see Figure 9).</w:t>
      </w:r>
      <w:r>
        <w:rPr>
          <w:rStyle w:val="Superscript"/>
        </w:rPr>
        <w:footnoteReference w:id="53"/>
      </w:r>
      <w:r>
        <w:t xml:space="preserve"> The reasons for this are unclear, although the percentage increase in combined orders may have been driven by a </w:t>
      </w:r>
      <w:r>
        <w:lastRenderedPageBreak/>
        <w:t>combination of changes to legislation, sentencing practices, offending profiles and/or the offender’s prior history. Additionally, Figure 2 indicates that a higher percentage of people received a second or subsequent CCO in more recent years. It is possible that people serving their second or subsequent CCO may be more likely to receive a combined order to reflect an escalation in the severity of their penalty on the sentencing hierarchy.</w:t>
      </w:r>
    </w:p>
    <w:p w14:paraId="28568F0E" w14:textId="39F4208A" w:rsidR="00F00A00" w:rsidRDefault="00F00A00" w:rsidP="003F2250">
      <w:r>
        <w:t xml:space="preserve">The remaining 70.4% (458 people) sentenced in 2018–19 for committing a serious offence while serving a CCO had contravened a CCO that was not combined with imprisonment. </w:t>
      </w:r>
    </w:p>
    <w:p w14:paraId="09D76E3D" w14:textId="77777777" w:rsidR="005714AE" w:rsidRPr="00C47CBE" w:rsidRDefault="005714AE" w:rsidP="00C47CBE">
      <w:pPr>
        <w:pStyle w:val="Caption"/>
      </w:pPr>
      <w:r w:rsidRPr="00C47CBE">
        <w:t>Figure 9: Percentage of people sentenced for a serious offence committed while serving a CCO combined with imprisonment, by financial year</w:t>
      </w:r>
    </w:p>
    <w:tbl>
      <w:tblPr>
        <w:tblStyle w:val="Table"/>
        <w:tblW w:w="5000" w:type="pct"/>
        <w:tblLook w:val="04A0" w:firstRow="1" w:lastRow="0" w:firstColumn="1" w:lastColumn="0" w:noHBand="0" w:noVBand="1"/>
      </w:tblPr>
      <w:tblGrid>
        <w:gridCol w:w="4508"/>
        <w:gridCol w:w="4508"/>
      </w:tblGrid>
      <w:tr w:rsidR="00643478" w:rsidRPr="00643478" w14:paraId="656ECFF7" w14:textId="77777777" w:rsidTr="00656D4A">
        <w:trPr>
          <w:trHeight w:val="300"/>
          <w:tblHeader/>
        </w:trPr>
        <w:tc>
          <w:tcPr>
            <w:tcW w:w="2500" w:type="pct"/>
            <w:noWrap/>
            <w:hideMark/>
          </w:tcPr>
          <w:p w14:paraId="37ED1462" w14:textId="77777777" w:rsidR="00643478" w:rsidRPr="00786C1B" w:rsidRDefault="00643478" w:rsidP="00786C1B">
            <w:pPr>
              <w:pStyle w:val="TableHeading"/>
            </w:pPr>
            <w:r w:rsidRPr="00786C1B">
              <w:t>Financial year of sentence</w:t>
            </w:r>
          </w:p>
        </w:tc>
        <w:tc>
          <w:tcPr>
            <w:tcW w:w="2500" w:type="pct"/>
            <w:noWrap/>
            <w:hideMark/>
          </w:tcPr>
          <w:p w14:paraId="1D33C08E" w14:textId="77777777" w:rsidR="00643478" w:rsidRPr="00786C1B" w:rsidRDefault="00643478" w:rsidP="00786C1B">
            <w:pPr>
              <w:pStyle w:val="TableHeading"/>
            </w:pPr>
            <w:r w:rsidRPr="00786C1B">
              <w:t>Percentage</w:t>
            </w:r>
          </w:p>
        </w:tc>
      </w:tr>
      <w:tr w:rsidR="00643478" w:rsidRPr="00643478" w14:paraId="59D6CB7C" w14:textId="77777777" w:rsidTr="00786C1B">
        <w:trPr>
          <w:trHeight w:val="300"/>
        </w:trPr>
        <w:tc>
          <w:tcPr>
            <w:tcW w:w="2500" w:type="pct"/>
            <w:noWrap/>
            <w:hideMark/>
          </w:tcPr>
          <w:p w14:paraId="672D2266" w14:textId="77777777" w:rsidR="00643478" w:rsidRPr="00786C1B" w:rsidRDefault="00643478" w:rsidP="00786C1B">
            <w:pPr>
              <w:pStyle w:val="TableBody"/>
            </w:pPr>
            <w:r w:rsidRPr="00786C1B">
              <w:t>2016-17</w:t>
            </w:r>
          </w:p>
        </w:tc>
        <w:tc>
          <w:tcPr>
            <w:tcW w:w="2500" w:type="pct"/>
            <w:noWrap/>
            <w:hideMark/>
          </w:tcPr>
          <w:p w14:paraId="498DA3EE" w14:textId="77777777" w:rsidR="00643478" w:rsidRPr="00786C1B" w:rsidRDefault="00643478" w:rsidP="00786C1B">
            <w:pPr>
              <w:pStyle w:val="TableBody"/>
            </w:pPr>
            <w:r w:rsidRPr="00786C1B">
              <w:t>17.3%</w:t>
            </w:r>
          </w:p>
        </w:tc>
      </w:tr>
      <w:tr w:rsidR="00643478" w:rsidRPr="00643478" w14:paraId="1E8DB7E7" w14:textId="77777777" w:rsidTr="00786C1B">
        <w:trPr>
          <w:trHeight w:val="300"/>
        </w:trPr>
        <w:tc>
          <w:tcPr>
            <w:tcW w:w="2500" w:type="pct"/>
            <w:noWrap/>
            <w:hideMark/>
          </w:tcPr>
          <w:p w14:paraId="20492EB6" w14:textId="77777777" w:rsidR="00643478" w:rsidRPr="00786C1B" w:rsidRDefault="00643478" w:rsidP="00786C1B">
            <w:pPr>
              <w:pStyle w:val="TableBody"/>
            </w:pPr>
            <w:r w:rsidRPr="00786C1B">
              <w:t>2017-18</w:t>
            </w:r>
          </w:p>
        </w:tc>
        <w:tc>
          <w:tcPr>
            <w:tcW w:w="2500" w:type="pct"/>
            <w:noWrap/>
            <w:hideMark/>
          </w:tcPr>
          <w:p w14:paraId="3291CDB7" w14:textId="77777777" w:rsidR="00643478" w:rsidRPr="00786C1B" w:rsidRDefault="00643478" w:rsidP="00786C1B">
            <w:pPr>
              <w:pStyle w:val="TableBody"/>
            </w:pPr>
            <w:r w:rsidRPr="00786C1B">
              <w:t>25.8%</w:t>
            </w:r>
          </w:p>
        </w:tc>
      </w:tr>
      <w:tr w:rsidR="00643478" w:rsidRPr="00643478" w14:paraId="6E7D0420" w14:textId="77777777" w:rsidTr="00786C1B">
        <w:trPr>
          <w:trHeight w:val="300"/>
        </w:trPr>
        <w:tc>
          <w:tcPr>
            <w:tcW w:w="2500" w:type="pct"/>
            <w:noWrap/>
            <w:hideMark/>
          </w:tcPr>
          <w:p w14:paraId="3DD4EB44" w14:textId="77777777" w:rsidR="00643478" w:rsidRPr="00786C1B" w:rsidRDefault="00643478" w:rsidP="00786C1B">
            <w:pPr>
              <w:pStyle w:val="TableBody"/>
            </w:pPr>
            <w:r w:rsidRPr="00786C1B">
              <w:t>2018-19</w:t>
            </w:r>
          </w:p>
        </w:tc>
        <w:tc>
          <w:tcPr>
            <w:tcW w:w="2500" w:type="pct"/>
            <w:noWrap/>
            <w:hideMark/>
          </w:tcPr>
          <w:p w14:paraId="2C525B15" w14:textId="77777777" w:rsidR="00643478" w:rsidRPr="00786C1B" w:rsidRDefault="00643478" w:rsidP="00786C1B">
            <w:pPr>
              <w:pStyle w:val="TableBody"/>
            </w:pPr>
            <w:r w:rsidRPr="00786C1B">
              <w:t>29.6%</w:t>
            </w:r>
          </w:p>
        </w:tc>
      </w:tr>
    </w:tbl>
    <w:p w14:paraId="1BBAC5B5" w14:textId="77777777" w:rsidR="00F00A00" w:rsidRPr="007E1FB1" w:rsidRDefault="00F00A00" w:rsidP="007E1FB1">
      <w:pPr>
        <w:pStyle w:val="Heading1"/>
      </w:pPr>
      <w:bookmarkStart w:id="12" w:name="_Toc43722746"/>
      <w:r w:rsidRPr="007E1FB1">
        <w:t>12. Time to first serious offence</w:t>
      </w:r>
      <w:bookmarkEnd w:id="12"/>
    </w:p>
    <w:p w14:paraId="673F7E61" w14:textId="77777777" w:rsidR="00F00A00" w:rsidRDefault="00F00A00" w:rsidP="003F2250">
      <w:r>
        <w:t>For people sentenced in 2018–19 for a serious offence committed while serving a CCO, the median time between the start of their CCO and their earliest serious offence was 151 days (approximately 5 months). This is longer than the median time for people sentenced in 2016–17 (140 days) but shorter than the median for people sentenced in 2017–18 (166 days).</w:t>
      </w:r>
      <w:r>
        <w:rPr>
          <w:rStyle w:val="Superscript"/>
        </w:rPr>
        <w:footnoteReference w:id="54"/>
      </w:r>
      <w:r>
        <w:t xml:space="preserve"> Expressed in percentages, the median time between the start of a CCO and the earliest serious offence for people sentenced in 2018–19 was 7.9% longer than in 2016–17 but 9.0% shorter than in 2017–18. Note that a person on multiple CCOs when they committed a serious offence is counted only once, based on the shortest amount of time between the start of the CCO and the commission of the serious offence.</w:t>
      </w:r>
    </w:p>
    <w:p w14:paraId="09E02FF9" w14:textId="77777777" w:rsidR="00F00A00" w:rsidRDefault="00F00A00" w:rsidP="003F2250">
      <w:r>
        <w:t>The maximum time between the start of a CCO and the earliest serious offence was 1,455 days (3 years and 11 months) for people sentenced in 2018–19. By comparison, the maximum time was 881 days in 2016–17 and 1,368 days in 2017–18.</w:t>
      </w:r>
      <w:r>
        <w:rPr>
          <w:rStyle w:val="Superscript"/>
        </w:rPr>
        <w:footnoteReference w:id="55"/>
      </w:r>
    </w:p>
    <w:p w14:paraId="789D2A09" w14:textId="77777777" w:rsidR="00F00A00" w:rsidRDefault="00F00A00" w:rsidP="003F2250">
      <w:r>
        <w:lastRenderedPageBreak/>
        <w:t>As Figure 10 shows, the majority (59%) of people sentenced in 2018–19 committed their first serious offence within six months of their CCO commencing, and 88% committed their first serious offence within the first year of their CCO commencing. In general, people sentenced in 2018–19 seemed to fall somewhere between the 2016–17 and the 2017–18 cohorts: the 2018–19 cohort took slightly less time to offend than the 2017–18 cohort but slightly more time to offend than the 2016–17 cohort.</w:t>
      </w:r>
    </w:p>
    <w:p w14:paraId="40629F85" w14:textId="77777777" w:rsidR="00F00A00" w:rsidRDefault="00F00A00" w:rsidP="003F2250">
      <w:r>
        <w:t xml:space="preserve">The biggest differences between the percentages for 2016–17 and 2018–19 were at 12 months, when 95% of people had already committed a serious offence in 2016–17 but under 90% had committed a serious offence in 2018–19. </w:t>
      </w:r>
    </w:p>
    <w:p w14:paraId="228E7BB9" w14:textId="77777777" w:rsidR="00F00A00" w:rsidRDefault="00F00A00" w:rsidP="003F2250">
      <w:r>
        <w:t>The biggest differences between the percentages for 2017–18 and 2018–19 were at 6 months, 9 months and 12 months, when the percentage of people committing a serious offence within these time frames was consistently lower in 2017–18 than in 2018–19 (and in 2016–17).</w:t>
      </w:r>
    </w:p>
    <w:p w14:paraId="4F2D29D8" w14:textId="77777777" w:rsidR="00F00A00" w:rsidRDefault="00F00A00" w:rsidP="003F2250">
      <w:r>
        <w:t>Almost all people who committed a serious offence while serving a CCO had done so within 30 months of the CCO commencing.</w:t>
      </w:r>
    </w:p>
    <w:p w14:paraId="12AB21CE" w14:textId="77777777" w:rsidR="00F00A00" w:rsidRPr="00C47CBE" w:rsidRDefault="00F00A00" w:rsidP="00C47CBE">
      <w:pPr>
        <w:pStyle w:val="Caption"/>
      </w:pPr>
      <w:r w:rsidRPr="00C47CBE">
        <w:t>Figure 10: Cumulative percentage of people sentenced for a serious offence committed while serving a CCO, by shortest time from start of CCO to commission of serious offence, by financial year</w:t>
      </w:r>
    </w:p>
    <w:tbl>
      <w:tblPr>
        <w:tblStyle w:val="Table"/>
        <w:tblW w:w="5000" w:type="pct"/>
        <w:tblLook w:val="04A0" w:firstRow="1" w:lastRow="0" w:firstColumn="1" w:lastColumn="0" w:noHBand="0" w:noVBand="1"/>
      </w:tblPr>
      <w:tblGrid>
        <w:gridCol w:w="3304"/>
        <w:gridCol w:w="1904"/>
        <w:gridCol w:w="1904"/>
        <w:gridCol w:w="1904"/>
      </w:tblGrid>
      <w:tr w:rsidR="00992FD1" w:rsidRPr="00014CD8" w14:paraId="0AB56F96" w14:textId="77777777" w:rsidTr="00195AA5">
        <w:trPr>
          <w:trHeight w:val="300"/>
          <w:tblHeader/>
        </w:trPr>
        <w:tc>
          <w:tcPr>
            <w:tcW w:w="2950" w:type="pct"/>
            <w:noWrap/>
          </w:tcPr>
          <w:p w14:paraId="5F7D9AD2" w14:textId="1745748F" w:rsidR="00992FD1" w:rsidRPr="00040B01" w:rsidRDefault="00992FD1" w:rsidP="00992FD1">
            <w:pPr>
              <w:pStyle w:val="TableHeading"/>
            </w:pPr>
            <w:r w:rsidRPr="00040B01">
              <w:t>Shortest time from start of CCO to commission of serious offence</w:t>
            </w:r>
          </w:p>
        </w:tc>
        <w:tc>
          <w:tcPr>
            <w:tcW w:w="683" w:type="pct"/>
            <w:noWrap/>
            <w:hideMark/>
          </w:tcPr>
          <w:p w14:paraId="70A9647F" w14:textId="7DC411E4" w:rsidR="00992FD1" w:rsidRPr="00040B01" w:rsidRDefault="00992FD1" w:rsidP="00992FD1">
            <w:pPr>
              <w:pStyle w:val="TableHeading"/>
            </w:pPr>
            <w:r w:rsidRPr="00040B01">
              <w:t xml:space="preserve">Cumulative percentage </w:t>
            </w:r>
            <w:r>
              <w:t xml:space="preserve">for </w:t>
            </w:r>
            <w:r w:rsidRPr="00040B01">
              <w:t>2016-17</w:t>
            </w:r>
          </w:p>
        </w:tc>
        <w:tc>
          <w:tcPr>
            <w:tcW w:w="683" w:type="pct"/>
            <w:noWrap/>
            <w:hideMark/>
          </w:tcPr>
          <w:p w14:paraId="2D813FCB" w14:textId="196CC2EB" w:rsidR="00992FD1" w:rsidRPr="00040B01" w:rsidRDefault="00992FD1" w:rsidP="00992FD1">
            <w:pPr>
              <w:pStyle w:val="TableHeading"/>
            </w:pPr>
            <w:r w:rsidRPr="00040B01">
              <w:t xml:space="preserve">Cumulative percentage </w:t>
            </w:r>
            <w:r>
              <w:t xml:space="preserve">for </w:t>
            </w:r>
            <w:r w:rsidRPr="00040B01">
              <w:t>2017-18</w:t>
            </w:r>
          </w:p>
        </w:tc>
        <w:tc>
          <w:tcPr>
            <w:tcW w:w="683" w:type="pct"/>
            <w:noWrap/>
            <w:hideMark/>
          </w:tcPr>
          <w:p w14:paraId="527918B3" w14:textId="762BD236" w:rsidR="00992FD1" w:rsidRPr="00040B01" w:rsidRDefault="00992FD1" w:rsidP="00992FD1">
            <w:pPr>
              <w:pStyle w:val="TableHeading"/>
            </w:pPr>
            <w:r w:rsidRPr="00040B01">
              <w:t xml:space="preserve">Cumulative percentage </w:t>
            </w:r>
            <w:r>
              <w:t xml:space="preserve">for </w:t>
            </w:r>
            <w:r w:rsidRPr="00040B01">
              <w:t>2018-19</w:t>
            </w:r>
          </w:p>
        </w:tc>
      </w:tr>
      <w:tr w:rsidR="00992FD1" w:rsidRPr="00014CD8" w14:paraId="5B60BE26" w14:textId="77777777" w:rsidTr="00195AA5">
        <w:trPr>
          <w:trHeight w:val="300"/>
        </w:trPr>
        <w:tc>
          <w:tcPr>
            <w:tcW w:w="2950" w:type="pct"/>
            <w:noWrap/>
            <w:hideMark/>
          </w:tcPr>
          <w:p w14:paraId="6D8677D3" w14:textId="77777777" w:rsidR="00992FD1" w:rsidRPr="00040B01" w:rsidRDefault="00992FD1" w:rsidP="00992FD1">
            <w:pPr>
              <w:pStyle w:val="TableBody"/>
            </w:pPr>
            <w:r w:rsidRPr="00040B01">
              <w:t>Under 3 months</w:t>
            </w:r>
          </w:p>
        </w:tc>
        <w:tc>
          <w:tcPr>
            <w:tcW w:w="683" w:type="pct"/>
            <w:noWrap/>
            <w:hideMark/>
          </w:tcPr>
          <w:p w14:paraId="5AAFCB8B" w14:textId="77777777" w:rsidR="00992FD1" w:rsidRPr="00040B01" w:rsidRDefault="00992FD1" w:rsidP="00992FD1">
            <w:pPr>
              <w:pStyle w:val="TableBody"/>
            </w:pPr>
            <w:r w:rsidRPr="00040B01">
              <w:t>34.6%</w:t>
            </w:r>
          </w:p>
        </w:tc>
        <w:tc>
          <w:tcPr>
            <w:tcW w:w="683" w:type="pct"/>
            <w:noWrap/>
            <w:hideMark/>
          </w:tcPr>
          <w:p w14:paraId="252070EF" w14:textId="77777777" w:rsidR="00992FD1" w:rsidRPr="00040B01" w:rsidRDefault="00992FD1" w:rsidP="00992FD1">
            <w:pPr>
              <w:pStyle w:val="TableBody"/>
            </w:pPr>
            <w:r w:rsidRPr="00040B01">
              <w:t>29.9%</w:t>
            </w:r>
          </w:p>
        </w:tc>
        <w:tc>
          <w:tcPr>
            <w:tcW w:w="683" w:type="pct"/>
            <w:noWrap/>
            <w:hideMark/>
          </w:tcPr>
          <w:p w14:paraId="689947B4" w14:textId="77777777" w:rsidR="00992FD1" w:rsidRPr="00040B01" w:rsidRDefault="00992FD1" w:rsidP="00992FD1">
            <w:pPr>
              <w:pStyle w:val="TableBody"/>
            </w:pPr>
            <w:r w:rsidRPr="00040B01">
              <w:t>32.6%</w:t>
            </w:r>
          </w:p>
        </w:tc>
      </w:tr>
      <w:tr w:rsidR="00992FD1" w:rsidRPr="00014CD8" w14:paraId="6B471BC4" w14:textId="77777777" w:rsidTr="00195AA5">
        <w:trPr>
          <w:trHeight w:val="300"/>
        </w:trPr>
        <w:tc>
          <w:tcPr>
            <w:tcW w:w="2950" w:type="pct"/>
            <w:noWrap/>
            <w:hideMark/>
          </w:tcPr>
          <w:p w14:paraId="296B9804" w14:textId="77777777" w:rsidR="00992FD1" w:rsidRPr="00040B01" w:rsidRDefault="00992FD1" w:rsidP="00992FD1">
            <w:pPr>
              <w:pStyle w:val="TableBody"/>
            </w:pPr>
            <w:r w:rsidRPr="00040B01">
              <w:t>Under 6 months</w:t>
            </w:r>
          </w:p>
        </w:tc>
        <w:tc>
          <w:tcPr>
            <w:tcW w:w="683" w:type="pct"/>
            <w:noWrap/>
            <w:hideMark/>
          </w:tcPr>
          <w:p w14:paraId="1FB38D9F" w14:textId="77777777" w:rsidR="00992FD1" w:rsidRPr="00040B01" w:rsidRDefault="00992FD1" w:rsidP="00992FD1">
            <w:pPr>
              <w:pStyle w:val="TableBody"/>
            </w:pPr>
            <w:r w:rsidRPr="00040B01">
              <w:t>61.1%</w:t>
            </w:r>
          </w:p>
        </w:tc>
        <w:tc>
          <w:tcPr>
            <w:tcW w:w="683" w:type="pct"/>
            <w:noWrap/>
            <w:hideMark/>
          </w:tcPr>
          <w:p w14:paraId="464CE122" w14:textId="77777777" w:rsidR="00992FD1" w:rsidRPr="00040B01" w:rsidRDefault="00992FD1" w:rsidP="00992FD1">
            <w:pPr>
              <w:pStyle w:val="TableBody"/>
            </w:pPr>
            <w:r w:rsidRPr="00040B01">
              <w:t>53.6%</w:t>
            </w:r>
          </w:p>
        </w:tc>
        <w:tc>
          <w:tcPr>
            <w:tcW w:w="683" w:type="pct"/>
            <w:noWrap/>
            <w:hideMark/>
          </w:tcPr>
          <w:p w14:paraId="0E659D10" w14:textId="77777777" w:rsidR="00992FD1" w:rsidRPr="00040B01" w:rsidRDefault="00992FD1" w:rsidP="00992FD1">
            <w:pPr>
              <w:pStyle w:val="TableBody"/>
            </w:pPr>
            <w:r w:rsidRPr="00040B01">
              <w:t>59.0%</w:t>
            </w:r>
          </w:p>
        </w:tc>
      </w:tr>
      <w:tr w:rsidR="00992FD1" w:rsidRPr="00014CD8" w14:paraId="6C3C9EDA" w14:textId="77777777" w:rsidTr="00195AA5">
        <w:trPr>
          <w:trHeight w:val="300"/>
        </w:trPr>
        <w:tc>
          <w:tcPr>
            <w:tcW w:w="2950" w:type="pct"/>
            <w:noWrap/>
            <w:hideMark/>
          </w:tcPr>
          <w:p w14:paraId="22012DCF" w14:textId="77777777" w:rsidR="00992FD1" w:rsidRPr="00040B01" w:rsidRDefault="00992FD1" w:rsidP="00992FD1">
            <w:pPr>
              <w:pStyle w:val="TableBody"/>
            </w:pPr>
            <w:r w:rsidRPr="00040B01">
              <w:t>Under 9 months</w:t>
            </w:r>
          </w:p>
        </w:tc>
        <w:tc>
          <w:tcPr>
            <w:tcW w:w="683" w:type="pct"/>
            <w:noWrap/>
            <w:hideMark/>
          </w:tcPr>
          <w:p w14:paraId="22471E91" w14:textId="77777777" w:rsidR="00992FD1" w:rsidRPr="00040B01" w:rsidRDefault="00992FD1" w:rsidP="00992FD1">
            <w:pPr>
              <w:pStyle w:val="TableBody"/>
            </w:pPr>
            <w:r w:rsidRPr="00040B01">
              <w:t>80.4%</w:t>
            </w:r>
          </w:p>
        </w:tc>
        <w:tc>
          <w:tcPr>
            <w:tcW w:w="683" w:type="pct"/>
            <w:noWrap/>
            <w:hideMark/>
          </w:tcPr>
          <w:p w14:paraId="1D6C5547" w14:textId="77777777" w:rsidR="00992FD1" w:rsidRPr="00040B01" w:rsidRDefault="00992FD1" w:rsidP="00992FD1">
            <w:pPr>
              <w:pStyle w:val="TableBody"/>
            </w:pPr>
            <w:r w:rsidRPr="00040B01">
              <w:t>69.5%</w:t>
            </w:r>
          </w:p>
        </w:tc>
        <w:tc>
          <w:tcPr>
            <w:tcW w:w="683" w:type="pct"/>
            <w:noWrap/>
            <w:hideMark/>
          </w:tcPr>
          <w:p w14:paraId="60104BE6" w14:textId="77777777" w:rsidR="00992FD1" w:rsidRPr="00040B01" w:rsidRDefault="00992FD1" w:rsidP="00992FD1">
            <w:pPr>
              <w:pStyle w:val="TableBody"/>
            </w:pPr>
            <w:r w:rsidRPr="00040B01">
              <w:t>76.7%</w:t>
            </w:r>
          </w:p>
        </w:tc>
      </w:tr>
      <w:tr w:rsidR="00992FD1" w:rsidRPr="00014CD8" w14:paraId="5BC8F9B2" w14:textId="77777777" w:rsidTr="00195AA5">
        <w:trPr>
          <w:trHeight w:val="300"/>
        </w:trPr>
        <w:tc>
          <w:tcPr>
            <w:tcW w:w="2950" w:type="pct"/>
            <w:noWrap/>
            <w:hideMark/>
          </w:tcPr>
          <w:p w14:paraId="6CA70B67" w14:textId="77777777" w:rsidR="00992FD1" w:rsidRPr="00040B01" w:rsidRDefault="00992FD1" w:rsidP="00992FD1">
            <w:pPr>
              <w:pStyle w:val="TableBody"/>
            </w:pPr>
            <w:r w:rsidRPr="00040B01">
              <w:t>Under 12 months</w:t>
            </w:r>
          </w:p>
        </w:tc>
        <w:tc>
          <w:tcPr>
            <w:tcW w:w="683" w:type="pct"/>
            <w:noWrap/>
            <w:hideMark/>
          </w:tcPr>
          <w:p w14:paraId="5F6D5225" w14:textId="77777777" w:rsidR="00992FD1" w:rsidRPr="00040B01" w:rsidRDefault="00992FD1" w:rsidP="00992FD1">
            <w:pPr>
              <w:pStyle w:val="TableBody"/>
            </w:pPr>
            <w:r w:rsidRPr="00040B01">
              <w:t>95.0%</w:t>
            </w:r>
          </w:p>
        </w:tc>
        <w:tc>
          <w:tcPr>
            <w:tcW w:w="683" w:type="pct"/>
            <w:noWrap/>
            <w:hideMark/>
          </w:tcPr>
          <w:p w14:paraId="7FF54CA6" w14:textId="77777777" w:rsidR="00992FD1" w:rsidRPr="00040B01" w:rsidRDefault="00992FD1" w:rsidP="00992FD1">
            <w:pPr>
              <w:pStyle w:val="TableBody"/>
            </w:pPr>
            <w:r w:rsidRPr="00040B01">
              <w:t>82.8%</w:t>
            </w:r>
          </w:p>
        </w:tc>
        <w:tc>
          <w:tcPr>
            <w:tcW w:w="683" w:type="pct"/>
            <w:noWrap/>
            <w:hideMark/>
          </w:tcPr>
          <w:p w14:paraId="008A7C23" w14:textId="77777777" w:rsidR="00992FD1" w:rsidRPr="00040B01" w:rsidRDefault="00992FD1" w:rsidP="00992FD1">
            <w:pPr>
              <w:pStyle w:val="TableBody"/>
            </w:pPr>
            <w:r w:rsidRPr="00040B01">
              <w:t>88.0%</w:t>
            </w:r>
          </w:p>
        </w:tc>
      </w:tr>
      <w:tr w:rsidR="00992FD1" w:rsidRPr="00014CD8" w14:paraId="280D8502" w14:textId="77777777" w:rsidTr="00195AA5">
        <w:trPr>
          <w:trHeight w:val="300"/>
        </w:trPr>
        <w:tc>
          <w:tcPr>
            <w:tcW w:w="2950" w:type="pct"/>
            <w:noWrap/>
            <w:hideMark/>
          </w:tcPr>
          <w:p w14:paraId="481FF73C" w14:textId="77777777" w:rsidR="00992FD1" w:rsidRPr="00040B01" w:rsidRDefault="00992FD1" w:rsidP="00992FD1">
            <w:pPr>
              <w:pStyle w:val="TableBody"/>
            </w:pPr>
            <w:r w:rsidRPr="00040B01">
              <w:t>Under 30 months</w:t>
            </w:r>
          </w:p>
        </w:tc>
        <w:tc>
          <w:tcPr>
            <w:tcW w:w="683" w:type="pct"/>
            <w:noWrap/>
            <w:hideMark/>
          </w:tcPr>
          <w:p w14:paraId="0D5C8860" w14:textId="77777777" w:rsidR="00992FD1" w:rsidRPr="00040B01" w:rsidRDefault="00992FD1" w:rsidP="00992FD1">
            <w:pPr>
              <w:pStyle w:val="TableBody"/>
            </w:pPr>
            <w:r w:rsidRPr="00040B01">
              <w:t>100.0%</w:t>
            </w:r>
          </w:p>
        </w:tc>
        <w:tc>
          <w:tcPr>
            <w:tcW w:w="683" w:type="pct"/>
            <w:noWrap/>
            <w:hideMark/>
          </w:tcPr>
          <w:p w14:paraId="31E87A9B" w14:textId="77777777" w:rsidR="00992FD1" w:rsidRPr="00040B01" w:rsidRDefault="00992FD1" w:rsidP="00992FD1">
            <w:pPr>
              <w:pStyle w:val="TableBody"/>
            </w:pPr>
            <w:r w:rsidRPr="00040B01">
              <w:t>99.1%</w:t>
            </w:r>
          </w:p>
        </w:tc>
        <w:tc>
          <w:tcPr>
            <w:tcW w:w="683" w:type="pct"/>
            <w:noWrap/>
            <w:hideMark/>
          </w:tcPr>
          <w:p w14:paraId="3EB45AD5" w14:textId="77777777" w:rsidR="00992FD1" w:rsidRPr="00040B01" w:rsidRDefault="00992FD1" w:rsidP="00992FD1">
            <w:pPr>
              <w:pStyle w:val="TableBody"/>
            </w:pPr>
            <w:r w:rsidRPr="00040B01">
              <w:t>99.8%</w:t>
            </w:r>
          </w:p>
        </w:tc>
      </w:tr>
      <w:tr w:rsidR="00992FD1" w:rsidRPr="00014CD8" w14:paraId="1EF08AA3" w14:textId="77777777" w:rsidTr="00195AA5">
        <w:trPr>
          <w:trHeight w:val="300"/>
        </w:trPr>
        <w:tc>
          <w:tcPr>
            <w:tcW w:w="2950" w:type="pct"/>
            <w:noWrap/>
            <w:hideMark/>
          </w:tcPr>
          <w:p w14:paraId="29B45939" w14:textId="77777777" w:rsidR="00992FD1" w:rsidRPr="00040B01" w:rsidRDefault="00992FD1" w:rsidP="00992FD1">
            <w:pPr>
              <w:pStyle w:val="TableBody"/>
            </w:pPr>
            <w:r w:rsidRPr="00040B01">
              <w:t>Under 48 months</w:t>
            </w:r>
          </w:p>
        </w:tc>
        <w:tc>
          <w:tcPr>
            <w:tcW w:w="683" w:type="pct"/>
            <w:noWrap/>
            <w:hideMark/>
          </w:tcPr>
          <w:p w14:paraId="06CF9BBA" w14:textId="77777777" w:rsidR="00992FD1" w:rsidRPr="00040B01" w:rsidRDefault="00992FD1" w:rsidP="00992FD1">
            <w:pPr>
              <w:pStyle w:val="TableBody"/>
            </w:pPr>
            <w:r w:rsidRPr="00040B01">
              <w:t>100.0%</w:t>
            </w:r>
          </w:p>
        </w:tc>
        <w:tc>
          <w:tcPr>
            <w:tcW w:w="683" w:type="pct"/>
            <w:noWrap/>
            <w:hideMark/>
          </w:tcPr>
          <w:p w14:paraId="6595F500" w14:textId="77777777" w:rsidR="00992FD1" w:rsidRPr="00040B01" w:rsidRDefault="00992FD1" w:rsidP="00992FD1">
            <w:pPr>
              <w:pStyle w:val="TableBody"/>
            </w:pPr>
            <w:r w:rsidRPr="00040B01">
              <w:t>100.0%</w:t>
            </w:r>
          </w:p>
        </w:tc>
        <w:tc>
          <w:tcPr>
            <w:tcW w:w="683" w:type="pct"/>
            <w:noWrap/>
            <w:hideMark/>
          </w:tcPr>
          <w:p w14:paraId="44E4F750" w14:textId="77777777" w:rsidR="00992FD1" w:rsidRPr="00040B01" w:rsidRDefault="00992FD1" w:rsidP="00992FD1">
            <w:pPr>
              <w:pStyle w:val="TableBody"/>
            </w:pPr>
            <w:r w:rsidRPr="00040B01">
              <w:t>100.0%</w:t>
            </w:r>
          </w:p>
        </w:tc>
      </w:tr>
    </w:tbl>
    <w:p w14:paraId="1443B458" w14:textId="77777777" w:rsidR="00F00A00" w:rsidRPr="007E1FB1" w:rsidRDefault="00F00A00" w:rsidP="007E1FB1">
      <w:pPr>
        <w:pStyle w:val="Heading1"/>
      </w:pPr>
      <w:bookmarkStart w:id="13" w:name="_Toc43722747"/>
      <w:r w:rsidRPr="007E1FB1">
        <w:t>13. Summary</w:t>
      </w:r>
      <w:bookmarkEnd w:id="13"/>
    </w:p>
    <w:p w14:paraId="046A5250" w14:textId="77777777" w:rsidR="00F00A00" w:rsidRDefault="00F00A00" w:rsidP="003F2250">
      <w:r>
        <w:t>Of the 60,120 people who received a CCO between 16 January 2012 and 30 June 2019, 651 were sentenced in 2018–19 for a serious offence committed while serving a CCO.</w:t>
      </w:r>
    </w:p>
    <w:p w14:paraId="7DE47F55" w14:textId="77777777" w:rsidR="00F00A00" w:rsidRDefault="00F00A00" w:rsidP="003F2250">
      <w:r>
        <w:t xml:space="preserve">The number of people sentenced in 2018–19 for committing a serious offence while serving a CCO (651 people) represented a relatively minor 3% increase from the number of people sentenced in 2017–18 (632 people). By comparison, </w:t>
      </w:r>
      <w:r>
        <w:lastRenderedPageBreak/>
        <w:t>the percentage change between 2016–17 (551 people) and 2017–18 (632 people) was much larger at 14.7%.</w:t>
      </w:r>
    </w:p>
    <w:p w14:paraId="41F5C987" w14:textId="77777777" w:rsidR="00F00A00" w:rsidRDefault="00F00A00" w:rsidP="003F2250">
      <w:r>
        <w:t xml:space="preserve">The reduced growth rate of people sentenced for a serious offence committed while serving a CCO may be related to a decrease in the number of unique individuals committing serious offences overall: from 4,032 people in 2017–18 to 3,875 people in 2018–19, a decrease of 3.9%. If fewer people are sentenced for serious offending overall, then the rate of people committing serious offences while serving a CCO may also decrease. Changes in legislation and sentencing practices may make it harder for people at risk of committing serious offences to be sentenced to a CCO in the first instance, further contributing to the reduced growth rate. </w:t>
      </w:r>
    </w:p>
    <w:p w14:paraId="0D411E62" w14:textId="77777777" w:rsidR="00F00A00" w:rsidRDefault="00F00A00" w:rsidP="003F2250">
      <w:r>
        <w:t xml:space="preserve">The estimated rate of CCO contravention by serious offending has remained relatively steady over the three financial years to 30 June 2019. The rate rose from 1.6% in 2016–17 and 2017–18 to 1.7% in 2018–19. As discussed, this proxy rate is likely to underestimate the true rate of CCO contravention by serious offending. Of greater concern is the rise in the proportion of people sentenced to a CCO combined with imprisonment among those sentenced for a serious offence while serving a CCO. This percentage has risen from 17.3% in 2016–17 to nearly 30% (29.6%) in 2018–19. Although the overall rate of CCO contravention by serious offending remains relatively low (1.7%), a higher proportion of people who contravene their CCO by serious offending are doing so after serving a period of imprisonment. </w:t>
      </w:r>
    </w:p>
    <w:p w14:paraId="16373D04" w14:textId="77777777" w:rsidR="00F00A00" w:rsidRDefault="00F00A00" w:rsidP="003F2250">
      <w:r>
        <w:t xml:space="preserve">Overall, people were sentenced in 2018–19 for 914 charges of a serious offence committed while serving a CCO. This is only slightly above the 912 charges sentenced in 2017–18 (an increase of 0.2%). </w:t>
      </w:r>
    </w:p>
    <w:p w14:paraId="602C8AC2" w14:textId="77777777" w:rsidR="00F00A00" w:rsidRDefault="00F00A00" w:rsidP="003F2250">
      <w:r>
        <w:t xml:space="preserve">The three most common serious offences sentenced in 2018–19 for people serving a CCO were make threat to kill (319 charges), make threat to inflict serious injury (187 charges) and aggravated burglary (138 charges). These were also the three most common serious offences sentenced in both 2016–17 and 2017–18. The most common serious sexual offences in 2018–19 were sexual assault (26 charges) and knowingly possess child abuse material (15 charges). These were also among the 10 most common serious offences in 2016–17 and 2017–18 (although people were more likely to be charged with knowingly </w:t>
      </w:r>
      <w:r>
        <w:lastRenderedPageBreak/>
        <w:t xml:space="preserve">possess child pornography than knowingly possess child abuse material during these two years). </w:t>
      </w:r>
    </w:p>
    <w:p w14:paraId="27D4192F" w14:textId="77777777" w:rsidR="00F00A00" w:rsidRDefault="00F00A00" w:rsidP="003F2250">
      <w:r>
        <w:t xml:space="preserve">In addition, the courts sentenced two charges of murder, two charges of manslaughter and eight charges of rape committed by people serving a CCO. </w:t>
      </w:r>
    </w:p>
    <w:p w14:paraId="0ED6D859" w14:textId="77777777" w:rsidR="00F00A00" w:rsidRDefault="00F00A00" w:rsidP="003F2250">
      <w:r>
        <w:t>For people sentenced in 2018–19, the median amount of time between the start of a CCO and the commission of a serious offence was 151 days. Thus the 2018–19 cohort took more time to commit a serious offence than the 2016–17 cohort, who took a median of 140 days (an increase of 7.9%), but less time than the 2017–18 cohort, who took a median of 166 days (a decrease of 9.0%).</w:t>
      </w:r>
    </w:p>
    <w:p w14:paraId="6336919E" w14:textId="77777777" w:rsidR="00F00A00" w:rsidRPr="007E1FB1" w:rsidRDefault="00F00A00" w:rsidP="007E1FB1">
      <w:pPr>
        <w:pStyle w:val="Heading1"/>
      </w:pPr>
      <w:bookmarkStart w:id="14" w:name="_Toc43722748"/>
      <w:r w:rsidRPr="007E1FB1">
        <w:t>Appendix: Serious offences committed while serving a community correction order</w:t>
      </w:r>
      <w:bookmarkEnd w:id="14"/>
    </w:p>
    <w:p w14:paraId="3F7D3895" w14:textId="77777777" w:rsidR="00F00A00" w:rsidRPr="00EB02C1" w:rsidRDefault="00F00A00" w:rsidP="00EB02C1">
      <w:pPr>
        <w:pStyle w:val="Caption"/>
      </w:pPr>
      <w:r w:rsidRPr="00EB02C1">
        <w:t>Table 1: Charges of serious offences sentenced in 2018–19, by number and percentage of charges committed by people serving a CCO and number and percentage of charges committed by any person</w:t>
      </w:r>
    </w:p>
    <w:tbl>
      <w:tblPr>
        <w:tblStyle w:val="Table"/>
        <w:tblW w:w="5000" w:type="pct"/>
        <w:tblLook w:val="0020" w:firstRow="1" w:lastRow="0" w:firstColumn="0" w:lastColumn="0" w:noHBand="0" w:noVBand="0"/>
      </w:tblPr>
      <w:tblGrid>
        <w:gridCol w:w="3073"/>
        <w:gridCol w:w="1418"/>
        <w:gridCol w:w="1479"/>
        <w:gridCol w:w="1418"/>
        <w:gridCol w:w="1628"/>
      </w:tblGrid>
      <w:tr w:rsidR="00F00A00" w14:paraId="43BA196A" w14:textId="77777777" w:rsidTr="000B150C">
        <w:trPr>
          <w:trHeight w:val="60"/>
          <w:tblHeader/>
        </w:trPr>
        <w:tc>
          <w:tcPr>
            <w:tcW w:w="1704" w:type="pct"/>
          </w:tcPr>
          <w:p w14:paraId="7C43460C" w14:textId="2E8917A1" w:rsidR="00F00A00" w:rsidRPr="00B95F3C" w:rsidRDefault="000B150C" w:rsidP="00B95F3C">
            <w:pPr>
              <w:pStyle w:val="TableHeading"/>
            </w:pPr>
            <w:r>
              <w:t>Offence</w:t>
            </w:r>
          </w:p>
        </w:tc>
        <w:tc>
          <w:tcPr>
            <w:tcW w:w="786" w:type="pct"/>
          </w:tcPr>
          <w:p w14:paraId="3BE33B29" w14:textId="25FFE22A" w:rsidR="00F00A00" w:rsidRPr="00B95F3C" w:rsidRDefault="001B3BA5" w:rsidP="00B95F3C">
            <w:pPr>
              <w:pStyle w:val="TableHeading"/>
            </w:pPr>
            <w:r>
              <w:t>Sentenced charges of serious offences committed by people serving a CCO: n</w:t>
            </w:r>
            <w:r w:rsidR="00F00A00" w:rsidRPr="00B95F3C">
              <w:t>umber</w:t>
            </w:r>
          </w:p>
        </w:tc>
        <w:tc>
          <w:tcPr>
            <w:tcW w:w="820" w:type="pct"/>
          </w:tcPr>
          <w:p w14:paraId="17617707" w14:textId="2F60466B" w:rsidR="00F00A00" w:rsidRPr="00B95F3C" w:rsidRDefault="001B3BA5" w:rsidP="00B95F3C">
            <w:pPr>
              <w:pStyle w:val="TableHeading"/>
            </w:pPr>
            <w:r>
              <w:t>Sentenced charges of serious offences committed by people serving a CCO: p</w:t>
            </w:r>
            <w:r w:rsidR="00F00A00" w:rsidRPr="00B95F3C">
              <w:t>ercentage of total charges committed by people serving a CCO</w:t>
            </w:r>
          </w:p>
        </w:tc>
        <w:tc>
          <w:tcPr>
            <w:tcW w:w="786" w:type="pct"/>
          </w:tcPr>
          <w:p w14:paraId="112006EF" w14:textId="04759EF8" w:rsidR="00F00A00" w:rsidRPr="00B95F3C" w:rsidRDefault="001B3BA5" w:rsidP="00B95F3C">
            <w:pPr>
              <w:pStyle w:val="TableHeading"/>
            </w:pPr>
            <w:r>
              <w:t>Sentenced charges of serious offences committed by any person: n</w:t>
            </w:r>
            <w:r w:rsidR="00F00A00" w:rsidRPr="00B95F3C">
              <w:t>umber</w:t>
            </w:r>
          </w:p>
        </w:tc>
        <w:tc>
          <w:tcPr>
            <w:tcW w:w="903" w:type="pct"/>
          </w:tcPr>
          <w:p w14:paraId="14B6CBEE" w14:textId="2F4CBB39" w:rsidR="00F00A00" w:rsidRPr="00B95F3C" w:rsidRDefault="001B3BA5" w:rsidP="00B95F3C">
            <w:pPr>
              <w:pStyle w:val="TableHeading"/>
            </w:pPr>
            <w:r>
              <w:t>Sentenced charges of serious offences committed by any person: p</w:t>
            </w:r>
            <w:r w:rsidR="00F00A00" w:rsidRPr="00B95F3C">
              <w:t>ercentage of charges of specific offence committed by people serving a CCO</w:t>
            </w:r>
          </w:p>
        </w:tc>
      </w:tr>
      <w:tr w:rsidR="00F00A00" w14:paraId="1EA9FE51" w14:textId="77777777" w:rsidTr="000B150C">
        <w:trPr>
          <w:trHeight w:val="60"/>
        </w:trPr>
        <w:tc>
          <w:tcPr>
            <w:tcW w:w="1704" w:type="pct"/>
          </w:tcPr>
          <w:p w14:paraId="556DDAF0" w14:textId="77777777" w:rsidR="00F00A00" w:rsidRDefault="00F00A00" w:rsidP="00C47CBE">
            <w:pPr>
              <w:pStyle w:val="TableBody"/>
            </w:pPr>
            <w:r>
              <w:t>Make threat to kill</w:t>
            </w:r>
          </w:p>
        </w:tc>
        <w:tc>
          <w:tcPr>
            <w:tcW w:w="786" w:type="pct"/>
          </w:tcPr>
          <w:p w14:paraId="72750473" w14:textId="77777777" w:rsidR="00F00A00" w:rsidRDefault="00F00A00" w:rsidP="00C47CBE">
            <w:pPr>
              <w:pStyle w:val="TableBody"/>
            </w:pPr>
            <w:r>
              <w:t>319</w:t>
            </w:r>
          </w:p>
        </w:tc>
        <w:tc>
          <w:tcPr>
            <w:tcW w:w="820" w:type="pct"/>
          </w:tcPr>
          <w:p w14:paraId="0E3892C3" w14:textId="77777777" w:rsidR="00F00A00" w:rsidRDefault="00F00A00" w:rsidP="00C47CBE">
            <w:pPr>
              <w:pStyle w:val="TableBody"/>
            </w:pPr>
            <w:r>
              <w:t>34.9%</w:t>
            </w:r>
          </w:p>
        </w:tc>
        <w:tc>
          <w:tcPr>
            <w:tcW w:w="786" w:type="pct"/>
          </w:tcPr>
          <w:p w14:paraId="2B62F45E" w14:textId="77777777" w:rsidR="00F00A00" w:rsidRDefault="00F00A00" w:rsidP="00C47CBE">
            <w:pPr>
              <w:pStyle w:val="TableBody"/>
            </w:pPr>
            <w:r>
              <w:t>1,801</w:t>
            </w:r>
          </w:p>
        </w:tc>
        <w:tc>
          <w:tcPr>
            <w:tcW w:w="903" w:type="pct"/>
          </w:tcPr>
          <w:p w14:paraId="0E459677" w14:textId="77777777" w:rsidR="00F00A00" w:rsidRDefault="00F00A00" w:rsidP="00C47CBE">
            <w:pPr>
              <w:pStyle w:val="TableBody"/>
            </w:pPr>
            <w:r>
              <w:t>17.7%</w:t>
            </w:r>
          </w:p>
        </w:tc>
      </w:tr>
      <w:tr w:rsidR="00F00A00" w14:paraId="3221FED3" w14:textId="77777777" w:rsidTr="000B150C">
        <w:trPr>
          <w:trHeight w:val="60"/>
        </w:trPr>
        <w:tc>
          <w:tcPr>
            <w:tcW w:w="1704" w:type="pct"/>
          </w:tcPr>
          <w:p w14:paraId="7A8E2DE8" w14:textId="77777777" w:rsidR="00F00A00" w:rsidRDefault="00F00A00" w:rsidP="00C47CBE">
            <w:pPr>
              <w:pStyle w:val="TableBody"/>
            </w:pPr>
            <w:r>
              <w:t>Make threat to inflict serious injury</w:t>
            </w:r>
          </w:p>
        </w:tc>
        <w:tc>
          <w:tcPr>
            <w:tcW w:w="786" w:type="pct"/>
          </w:tcPr>
          <w:p w14:paraId="3B841E3C" w14:textId="77777777" w:rsidR="00F00A00" w:rsidRDefault="00F00A00" w:rsidP="00C47CBE">
            <w:pPr>
              <w:pStyle w:val="TableBody"/>
            </w:pPr>
            <w:r>
              <w:t>187</w:t>
            </w:r>
          </w:p>
        </w:tc>
        <w:tc>
          <w:tcPr>
            <w:tcW w:w="820" w:type="pct"/>
          </w:tcPr>
          <w:p w14:paraId="5688AE80" w14:textId="77777777" w:rsidR="00F00A00" w:rsidRDefault="00F00A00" w:rsidP="00C47CBE">
            <w:pPr>
              <w:pStyle w:val="TableBody"/>
            </w:pPr>
            <w:r>
              <w:t>20.5%</w:t>
            </w:r>
          </w:p>
        </w:tc>
        <w:tc>
          <w:tcPr>
            <w:tcW w:w="786" w:type="pct"/>
          </w:tcPr>
          <w:p w14:paraId="549B4202" w14:textId="77777777" w:rsidR="00F00A00" w:rsidRDefault="00F00A00" w:rsidP="00C47CBE">
            <w:pPr>
              <w:pStyle w:val="TableBody"/>
            </w:pPr>
            <w:r>
              <w:t>929</w:t>
            </w:r>
          </w:p>
        </w:tc>
        <w:tc>
          <w:tcPr>
            <w:tcW w:w="903" w:type="pct"/>
          </w:tcPr>
          <w:p w14:paraId="63403AF0" w14:textId="77777777" w:rsidR="00F00A00" w:rsidRDefault="00F00A00" w:rsidP="00C47CBE">
            <w:pPr>
              <w:pStyle w:val="TableBody"/>
            </w:pPr>
            <w:r>
              <w:t>20.1%</w:t>
            </w:r>
          </w:p>
        </w:tc>
      </w:tr>
      <w:tr w:rsidR="00F00A00" w14:paraId="7F4D5D3B" w14:textId="77777777" w:rsidTr="000B150C">
        <w:trPr>
          <w:trHeight w:val="60"/>
        </w:trPr>
        <w:tc>
          <w:tcPr>
            <w:tcW w:w="1704" w:type="pct"/>
          </w:tcPr>
          <w:p w14:paraId="5D39C53C" w14:textId="77777777" w:rsidR="00F00A00" w:rsidRDefault="00F00A00" w:rsidP="00C47CBE">
            <w:pPr>
              <w:pStyle w:val="TableBody"/>
            </w:pPr>
            <w:r>
              <w:t>Aggravated burglary</w:t>
            </w:r>
          </w:p>
        </w:tc>
        <w:tc>
          <w:tcPr>
            <w:tcW w:w="786" w:type="pct"/>
          </w:tcPr>
          <w:p w14:paraId="0C506DCF" w14:textId="77777777" w:rsidR="00F00A00" w:rsidRDefault="00F00A00" w:rsidP="00C47CBE">
            <w:pPr>
              <w:pStyle w:val="TableBody"/>
            </w:pPr>
            <w:r>
              <w:t>138</w:t>
            </w:r>
          </w:p>
        </w:tc>
        <w:tc>
          <w:tcPr>
            <w:tcW w:w="820" w:type="pct"/>
          </w:tcPr>
          <w:p w14:paraId="04915DF8" w14:textId="77777777" w:rsidR="00F00A00" w:rsidRDefault="00F00A00" w:rsidP="00C47CBE">
            <w:pPr>
              <w:pStyle w:val="TableBody"/>
            </w:pPr>
            <w:r>
              <w:t>15.1%</w:t>
            </w:r>
          </w:p>
        </w:tc>
        <w:tc>
          <w:tcPr>
            <w:tcW w:w="786" w:type="pct"/>
          </w:tcPr>
          <w:p w14:paraId="57CE964F" w14:textId="77777777" w:rsidR="00F00A00" w:rsidRDefault="00F00A00" w:rsidP="00C47CBE">
            <w:pPr>
              <w:pStyle w:val="TableBody"/>
            </w:pPr>
            <w:r>
              <w:t>514</w:t>
            </w:r>
          </w:p>
        </w:tc>
        <w:tc>
          <w:tcPr>
            <w:tcW w:w="903" w:type="pct"/>
          </w:tcPr>
          <w:p w14:paraId="2B693CC7" w14:textId="77777777" w:rsidR="00F00A00" w:rsidRDefault="00F00A00" w:rsidP="00C47CBE">
            <w:pPr>
              <w:pStyle w:val="TableBody"/>
            </w:pPr>
            <w:r>
              <w:t>26.8%</w:t>
            </w:r>
          </w:p>
        </w:tc>
      </w:tr>
      <w:tr w:rsidR="00F00A00" w14:paraId="7A30C37B" w14:textId="77777777" w:rsidTr="000B150C">
        <w:trPr>
          <w:trHeight w:val="60"/>
        </w:trPr>
        <w:tc>
          <w:tcPr>
            <w:tcW w:w="1704" w:type="pct"/>
          </w:tcPr>
          <w:p w14:paraId="55FE9073" w14:textId="77777777" w:rsidR="00F00A00" w:rsidRDefault="00F00A00" w:rsidP="00C47CBE">
            <w:pPr>
              <w:pStyle w:val="TableBody"/>
            </w:pPr>
            <w:r>
              <w:t>Armed robbery</w:t>
            </w:r>
          </w:p>
        </w:tc>
        <w:tc>
          <w:tcPr>
            <w:tcW w:w="786" w:type="pct"/>
          </w:tcPr>
          <w:p w14:paraId="21F87AE6" w14:textId="77777777" w:rsidR="00F00A00" w:rsidRDefault="00F00A00" w:rsidP="00C47CBE">
            <w:pPr>
              <w:pStyle w:val="TableBody"/>
            </w:pPr>
            <w:r>
              <w:t>51</w:t>
            </w:r>
          </w:p>
        </w:tc>
        <w:tc>
          <w:tcPr>
            <w:tcW w:w="820" w:type="pct"/>
          </w:tcPr>
          <w:p w14:paraId="548F8B57" w14:textId="77777777" w:rsidR="00F00A00" w:rsidRDefault="00F00A00" w:rsidP="00C47CBE">
            <w:pPr>
              <w:pStyle w:val="TableBody"/>
            </w:pPr>
            <w:r>
              <w:t>5.6%</w:t>
            </w:r>
          </w:p>
        </w:tc>
        <w:tc>
          <w:tcPr>
            <w:tcW w:w="786" w:type="pct"/>
          </w:tcPr>
          <w:p w14:paraId="21E174E1" w14:textId="77777777" w:rsidR="00F00A00" w:rsidRDefault="00F00A00" w:rsidP="00C47CBE">
            <w:pPr>
              <w:pStyle w:val="TableBody"/>
            </w:pPr>
            <w:r>
              <w:t>258</w:t>
            </w:r>
          </w:p>
        </w:tc>
        <w:tc>
          <w:tcPr>
            <w:tcW w:w="903" w:type="pct"/>
          </w:tcPr>
          <w:p w14:paraId="614DA145" w14:textId="77777777" w:rsidR="00F00A00" w:rsidRDefault="00F00A00" w:rsidP="00C47CBE">
            <w:pPr>
              <w:pStyle w:val="TableBody"/>
            </w:pPr>
            <w:r>
              <w:t>19.8%</w:t>
            </w:r>
          </w:p>
        </w:tc>
      </w:tr>
      <w:tr w:rsidR="00F00A00" w14:paraId="66025F1F" w14:textId="77777777" w:rsidTr="000B150C">
        <w:trPr>
          <w:trHeight w:val="60"/>
        </w:trPr>
        <w:tc>
          <w:tcPr>
            <w:tcW w:w="1704" w:type="pct"/>
          </w:tcPr>
          <w:p w14:paraId="3BC849B5" w14:textId="77777777" w:rsidR="00F00A00" w:rsidRDefault="00F00A00" w:rsidP="00C47CBE">
            <w:pPr>
              <w:pStyle w:val="TableBody"/>
            </w:pPr>
            <w:r>
              <w:t>Sexual assault</w:t>
            </w:r>
          </w:p>
        </w:tc>
        <w:tc>
          <w:tcPr>
            <w:tcW w:w="786" w:type="pct"/>
          </w:tcPr>
          <w:p w14:paraId="0DC080B2" w14:textId="77777777" w:rsidR="00F00A00" w:rsidRDefault="00F00A00" w:rsidP="00C47CBE">
            <w:pPr>
              <w:pStyle w:val="TableBody"/>
            </w:pPr>
            <w:r>
              <w:t>26</w:t>
            </w:r>
          </w:p>
        </w:tc>
        <w:tc>
          <w:tcPr>
            <w:tcW w:w="820" w:type="pct"/>
          </w:tcPr>
          <w:p w14:paraId="2D15DB45" w14:textId="77777777" w:rsidR="00F00A00" w:rsidRDefault="00F00A00" w:rsidP="00C47CBE">
            <w:pPr>
              <w:pStyle w:val="TableBody"/>
            </w:pPr>
            <w:r>
              <w:t>2.8%</w:t>
            </w:r>
          </w:p>
        </w:tc>
        <w:tc>
          <w:tcPr>
            <w:tcW w:w="786" w:type="pct"/>
          </w:tcPr>
          <w:p w14:paraId="3A89BF28" w14:textId="77777777" w:rsidR="00F00A00" w:rsidRDefault="00F00A00" w:rsidP="00C47CBE">
            <w:pPr>
              <w:pStyle w:val="TableBody"/>
            </w:pPr>
            <w:r>
              <w:t>333</w:t>
            </w:r>
          </w:p>
        </w:tc>
        <w:tc>
          <w:tcPr>
            <w:tcW w:w="903" w:type="pct"/>
          </w:tcPr>
          <w:p w14:paraId="51773A3F" w14:textId="77777777" w:rsidR="00F00A00" w:rsidRDefault="00F00A00" w:rsidP="00C47CBE">
            <w:pPr>
              <w:pStyle w:val="TableBody"/>
            </w:pPr>
            <w:r>
              <w:t>7.8%</w:t>
            </w:r>
          </w:p>
        </w:tc>
      </w:tr>
      <w:tr w:rsidR="00F00A00" w14:paraId="549F3B5A" w14:textId="77777777" w:rsidTr="000B150C">
        <w:trPr>
          <w:trHeight w:val="60"/>
        </w:trPr>
        <w:tc>
          <w:tcPr>
            <w:tcW w:w="1704" w:type="pct"/>
          </w:tcPr>
          <w:p w14:paraId="0408191C" w14:textId="77777777" w:rsidR="00F00A00" w:rsidRDefault="00F00A00" w:rsidP="00C47CBE">
            <w:pPr>
              <w:pStyle w:val="TableBody"/>
            </w:pPr>
            <w:r>
              <w:t>False imprisonment</w:t>
            </w:r>
          </w:p>
        </w:tc>
        <w:tc>
          <w:tcPr>
            <w:tcW w:w="786" w:type="pct"/>
          </w:tcPr>
          <w:p w14:paraId="45B7E96A" w14:textId="77777777" w:rsidR="00F00A00" w:rsidRDefault="00F00A00" w:rsidP="00C47CBE">
            <w:pPr>
              <w:pStyle w:val="TableBody"/>
            </w:pPr>
            <w:r>
              <w:t>20</w:t>
            </w:r>
          </w:p>
        </w:tc>
        <w:tc>
          <w:tcPr>
            <w:tcW w:w="820" w:type="pct"/>
          </w:tcPr>
          <w:p w14:paraId="3B8261B9" w14:textId="77777777" w:rsidR="00F00A00" w:rsidRDefault="00F00A00" w:rsidP="00C47CBE">
            <w:pPr>
              <w:pStyle w:val="TableBody"/>
            </w:pPr>
            <w:r>
              <w:t>2.2%</w:t>
            </w:r>
          </w:p>
        </w:tc>
        <w:tc>
          <w:tcPr>
            <w:tcW w:w="786" w:type="pct"/>
          </w:tcPr>
          <w:p w14:paraId="13EBC45C" w14:textId="77777777" w:rsidR="00F00A00" w:rsidRDefault="00F00A00" w:rsidP="00C47CBE">
            <w:pPr>
              <w:pStyle w:val="TableBody"/>
            </w:pPr>
            <w:r>
              <w:t>139</w:t>
            </w:r>
          </w:p>
        </w:tc>
        <w:tc>
          <w:tcPr>
            <w:tcW w:w="903" w:type="pct"/>
          </w:tcPr>
          <w:p w14:paraId="56D8C234" w14:textId="77777777" w:rsidR="00F00A00" w:rsidRDefault="00F00A00" w:rsidP="00C47CBE">
            <w:pPr>
              <w:pStyle w:val="TableBody"/>
            </w:pPr>
            <w:r>
              <w:t>14.4%</w:t>
            </w:r>
          </w:p>
        </w:tc>
      </w:tr>
      <w:tr w:rsidR="00F00A00" w14:paraId="5FBF03B6" w14:textId="77777777" w:rsidTr="000B150C">
        <w:trPr>
          <w:trHeight w:val="60"/>
        </w:trPr>
        <w:tc>
          <w:tcPr>
            <w:tcW w:w="1704" w:type="pct"/>
          </w:tcPr>
          <w:p w14:paraId="7BB4CC33" w14:textId="77777777" w:rsidR="00F00A00" w:rsidRDefault="00F00A00" w:rsidP="00C47CBE">
            <w:pPr>
              <w:pStyle w:val="TableBody"/>
            </w:pPr>
            <w:r>
              <w:t>Knowingly possess child abuse material</w:t>
            </w:r>
          </w:p>
        </w:tc>
        <w:tc>
          <w:tcPr>
            <w:tcW w:w="786" w:type="pct"/>
          </w:tcPr>
          <w:p w14:paraId="620ABEEE" w14:textId="77777777" w:rsidR="00F00A00" w:rsidRDefault="00F00A00" w:rsidP="00C47CBE">
            <w:pPr>
              <w:pStyle w:val="TableBody"/>
            </w:pPr>
            <w:r>
              <w:t>15</w:t>
            </w:r>
          </w:p>
        </w:tc>
        <w:tc>
          <w:tcPr>
            <w:tcW w:w="820" w:type="pct"/>
          </w:tcPr>
          <w:p w14:paraId="514B9AC9" w14:textId="77777777" w:rsidR="00F00A00" w:rsidRDefault="00F00A00" w:rsidP="00C47CBE">
            <w:pPr>
              <w:pStyle w:val="TableBody"/>
            </w:pPr>
            <w:r>
              <w:t>1.6%</w:t>
            </w:r>
          </w:p>
        </w:tc>
        <w:tc>
          <w:tcPr>
            <w:tcW w:w="786" w:type="pct"/>
          </w:tcPr>
          <w:p w14:paraId="5C7DE131" w14:textId="77777777" w:rsidR="00F00A00" w:rsidRDefault="00F00A00" w:rsidP="00C47CBE">
            <w:pPr>
              <w:pStyle w:val="TableBody"/>
            </w:pPr>
            <w:r>
              <w:t>119</w:t>
            </w:r>
          </w:p>
        </w:tc>
        <w:tc>
          <w:tcPr>
            <w:tcW w:w="903" w:type="pct"/>
          </w:tcPr>
          <w:p w14:paraId="6434FC46" w14:textId="77777777" w:rsidR="00F00A00" w:rsidRDefault="00F00A00" w:rsidP="00C47CBE">
            <w:pPr>
              <w:pStyle w:val="TableBody"/>
            </w:pPr>
            <w:r>
              <w:t>12.6%</w:t>
            </w:r>
          </w:p>
        </w:tc>
      </w:tr>
      <w:tr w:rsidR="00F00A00" w14:paraId="5B114CDD" w14:textId="77777777" w:rsidTr="000B150C">
        <w:trPr>
          <w:trHeight w:val="60"/>
        </w:trPr>
        <w:tc>
          <w:tcPr>
            <w:tcW w:w="1704" w:type="pct"/>
          </w:tcPr>
          <w:p w14:paraId="3DFE47BE" w14:textId="77777777" w:rsidR="00F00A00" w:rsidRDefault="00F00A00" w:rsidP="00C47CBE">
            <w:pPr>
              <w:pStyle w:val="TableBody"/>
            </w:pPr>
            <w:r>
              <w:t>Attempted armed robbery</w:t>
            </w:r>
          </w:p>
        </w:tc>
        <w:tc>
          <w:tcPr>
            <w:tcW w:w="786" w:type="pct"/>
          </w:tcPr>
          <w:p w14:paraId="5F1309B5" w14:textId="77777777" w:rsidR="00F00A00" w:rsidRDefault="00F00A00" w:rsidP="00C47CBE">
            <w:pPr>
              <w:pStyle w:val="TableBody"/>
            </w:pPr>
            <w:r>
              <w:t>13</w:t>
            </w:r>
          </w:p>
        </w:tc>
        <w:tc>
          <w:tcPr>
            <w:tcW w:w="820" w:type="pct"/>
          </w:tcPr>
          <w:p w14:paraId="78683BBE" w14:textId="77777777" w:rsidR="00F00A00" w:rsidRDefault="00F00A00" w:rsidP="00C47CBE">
            <w:pPr>
              <w:pStyle w:val="TableBody"/>
            </w:pPr>
            <w:r>
              <w:t>1.4%</w:t>
            </w:r>
          </w:p>
        </w:tc>
        <w:tc>
          <w:tcPr>
            <w:tcW w:w="786" w:type="pct"/>
          </w:tcPr>
          <w:p w14:paraId="51C8E3CE" w14:textId="77777777" w:rsidR="00F00A00" w:rsidRDefault="00F00A00" w:rsidP="00C47CBE">
            <w:pPr>
              <w:pStyle w:val="TableBody"/>
            </w:pPr>
            <w:r>
              <w:t>75</w:t>
            </w:r>
          </w:p>
        </w:tc>
        <w:tc>
          <w:tcPr>
            <w:tcW w:w="903" w:type="pct"/>
          </w:tcPr>
          <w:p w14:paraId="22D83260" w14:textId="77777777" w:rsidR="00F00A00" w:rsidRDefault="00F00A00" w:rsidP="00C47CBE">
            <w:pPr>
              <w:pStyle w:val="TableBody"/>
            </w:pPr>
            <w:r>
              <w:t>17.3%</w:t>
            </w:r>
          </w:p>
        </w:tc>
      </w:tr>
      <w:tr w:rsidR="00F00A00" w14:paraId="0616D64C" w14:textId="77777777" w:rsidTr="000B150C">
        <w:trPr>
          <w:trHeight w:val="60"/>
        </w:trPr>
        <w:tc>
          <w:tcPr>
            <w:tcW w:w="1704" w:type="pct"/>
          </w:tcPr>
          <w:p w14:paraId="41BE98C5" w14:textId="77777777" w:rsidR="00F00A00" w:rsidRDefault="00F00A00" w:rsidP="00C47CBE">
            <w:pPr>
              <w:pStyle w:val="TableBody"/>
            </w:pPr>
            <w:r>
              <w:t>Engage in sexual activity to cause fear or distress to another person</w:t>
            </w:r>
          </w:p>
        </w:tc>
        <w:tc>
          <w:tcPr>
            <w:tcW w:w="786" w:type="pct"/>
          </w:tcPr>
          <w:p w14:paraId="47F79947" w14:textId="77777777" w:rsidR="00F00A00" w:rsidRDefault="00F00A00" w:rsidP="00C47CBE">
            <w:pPr>
              <w:pStyle w:val="TableBody"/>
            </w:pPr>
            <w:r>
              <w:t>13</w:t>
            </w:r>
          </w:p>
        </w:tc>
        <w:tc>
          <w:tcPr>
            <w:tcW w:w="820" w:type="pct"/>
          </w:tcPr>
          <w:p w14:paraId="00C01F39" w14:textId="77777777" w:rsidR="00F00A00" w:rsidRDefault="00F00A00" w:rsidP="00C47CBE">
            <w:pPr>
              <w:pStyle w:val="TableBody"/>
            </w:pPr>
            <w:r>
              <w:t>1.4%</w:t>
            </w:r>
          </w:p>
        </w:tc>
        <w:tc>
          <w:tcPr>
            <w:tcW w:w="786" w:type="pct"/>
          </w:tcPr>
          <w:p w14:paraId="657A8CCB" w14:textId="77777777" w:rsidR="00F00A00" w:rsidRDefault="00F00A00" w:rsidP="00C47CBE">
            <w:pPr>
              <w:pStyle w:val="TableBody"/>
            </w:pPr>
            <w:r>
              <w:t>77</w:t>
            </w:r>
          </w:p>
        </w:tc>
        <w:tc>
          <w:tcPr>
            <w:tcW w:w="903" w:type="pct"/>
          </w:tcPr>
          <w:p w14:paraId="297845B4" w14:textId="77777777" w:rsidR="00F00A00" w:rsidRDefault="00F00A00" w:rsidP="00C47CBE">
            <w:pPr>
              <w:pStyle w:val="TableBody"/>
            </w:pPr>
            <w:r>
              <w:t>16.9%</w:t>
            </w:r>
          </w:p>
        </w:tc>
      </w:tr>
      <w:tr w:rsidR="00F00A00" w14:paraId="0712A548" w14:textId="77777777" w:rsidTr="000B150C">
        <w:trPr>
          <w:trHeight w:val="60"/>
        </w:trPr>
        <w:tc>
          <w:tcPr>
            <w:tcW w:w="1704" w:type="pct"/>
          </w:tcPr>
          <w:p w14:paraId="3527D529" w14:textId="77777777" w:rsidR="00F00A00" w:rsidRDefault="00F00A00" w:rsidP="00C47CBE">
            <w:pPr>
              <w:pStyle w:val="TableBody"/>
            </w:pPr>
            <w:r>
              <w:t>Recklessly causing serious injury</w:t>
            </w:r>
          </w:p>
        </w:tc>
        <w:tc>
          <w:tcPr>
            <w:tcW w:w="786" w:type="pct"/>
          </w:tcPr>
          <w:p w14:paraId="54295E89" w14:textId="77777777" w:rsidR="00F00A00" w:rsidRDefault="00F00A00" w:rsidP="00C47CBE">
            <w:pPr>
              <w:pStyle w:val="TableBody"/>
            </w:pPr>
            <w:r>
              <w:t>11</w:t>
            </w:r>
          </w:p>
        </w:tc>
        <w:tc>
          <w:tcPr>
            <w:tcW w:w="820" w:type="pct"/>
          </w:tcPr>
          <w:p w14:paraId="521C830A" w14:textId="77777777" w:rsidR="00F00A00" w:rsidRDefault="00F00A00" w:rsidP="00C47CBE">
            <w:pPr>
              <w:pStyle w:val="TableBody"/>
            </w:pPr>
            <w:r>
              <w:t>1.2%</w:t>
            </w:r>
          </w:p>
        </w:tc>
        <w:tc>
          <w:tcPr>
            <w:tcW w:w="786" w:type="pct"/>
          </w:tcPr>
          <w:p w14:paraId="2ADBE53C" w14:textId="77777777" w:rsidR="00F00A00" w:rsidRDefault="00F00A00" w:rsidP="00C47CBE">
            <w:pPr>
              <w:pStyle w:val="TableBody"/>
            </w:pPr>
            <w:r>
              <w:t>113</w:t>
            </w:r>
          </w:p>
        </w:tc>
        <w:tc>
          <w:tcPr>
            <w:tcW w:w="903" w:type="pct"/>
          </w:tcPr>
          <w:p w14:paraId="50F5F707" w14:textId="77777777" w:rsidR="00F00A00" w:rsidRDefault="00F00A00" w:rsidP="00C47CBE">
            <w:pPr>
              <w:pStyle w:val="TableBody"/>
            </w:pPr>
            <w:r>
              <w:t>9.7%</w:t>
            </w:r>
          </w:p>
        </w:tc>
      </w:tr>
      <w:tr w:rsidR="00F00A00" w14:paraId="7331C30C" w14:textId="77777777" w:rsidTr="000B150C">
        <w:trPr>
          <w:trHeight w:val="60"/>
        </w:trPr>
        <w:tc>
          <w:tcPr>
            <w:tcW w:w="1704" w:type="pct"/>
          </w:tcPr>
          <w:p w14:paraId="715B778C" w14:textId="77777777" w:rsidR="00F00A00" w:rsidRDefault="00F00A00" w:rsidP="00C47CBE">
            <w:pPr>
              <w:pStyle w:val="TableBody"/>
            </w:pPr>
            <w:r>
              <w:lastRenderedPageBreak/>
              <w:t>Attempted aggravated burglary</w:t>
            </w:r>
          </w:p>
        </w:tc>
        <w:tc>
          <w:tcPr>
            <w:tcW w:w="786" w:type="pct"/>
          </w:tcPr>
          <w:p w14:paraId="5D061F22" w14:textId="77777777" w:rsidR="00F00A00" w:rsidRDefault="00F00A00" w:rsidP="00C47CBE">
            <w:pPr>
              <w:pStyle w:val="TableBody"/>
            </w:pPr>
            <w:r>
              <w:t>10</w:t>
            </w:r>
          </w:p>
        </w:tc>
        <w:tc>
          <w:tcPr>
            <w:tcW w:w="820" w:type="pct"/>
          </w:tcPr>
          <w:p w14:paraId="4EE53D22" w14:textId="77777777" w:rsidR="00F00A00" w:rsidRDefault="00F00A00" w:rsidP="00C47CBE">
            <w:pPr>
              <w:pStyle w:val="TableBody"/>
            </w:pPr>
            <w:r>
              <w:t>1.1%</w:t>
            </w:r>
          </w:p>
        </w:tc>
        <w:tc>
          <w:tcPr>
            <w:tcW w:w="786" w:type="pct"/>
          </w:tcPr>
          <w:p w14:paraId="4B671CC4" w14:textId="77777777" w:rsidR="00F00A00" w:rsidRDefault="00F00A00" w:rsidP="00C47CBE">
            <w:pPr>
              <w:pStyle w:val="TableBody"/>
            </w:pPr>
            <w:r>
              <w:t>35</w:t>
            </w:r>
          </w:p>
        </w:tc>
        <w:tc>
          <w:tcPr>
            <w:tcW w:w="903" w:type="pct"/>
          </w:tcPr>
          <w:p w14:paraId="4DC755C2" w14:textId="77777777" w:rsidR="00F00A00" w:rsidRDefault="00F00A00" w:rsidP="00C47CBE">
            <w:pPr>
              <w:pStyle w:val="TableBody"/>
            </w:pPr>
            <w:r>
              <w:t>28.6%</w:t>
            </w:r>
          </w:p>
        </w:tc>
      </w:tr>
      <w:tr w:rsidR="00F00A00" w14:paraId="421CE75E" w14:textId="77777777" w:rsidTr="000B150C">
        <w:trPr>
          <w:trHeight w:val="60"/>
        </w:trPr>
        <w:tc>
          <w:tcPr>
            <w:tcW w:w="1704" w:type="pct"/>
          </w:tcPr>
          <w:p w14:paraId="57149FD0" w14:textId="77777777" w:rsidR="00F00A00" w:rsidRDefault="00F00A00" w:rsidP="00C47CBE">
            <w:pPr>
              <w:pStyle w:val="TableBody"/>
            </w:pPr>
            <w:r>
              <w:t>Use carriage service for child pornography material</w:t>
            </w:r>
          </w:p>
        </w:tc>
        <w:tc>
          <w:tcPr>
            <w:tcW w:w="786" w:type="pct"/>
          </w:tcPr>
          <w:p w14:paraId="4D43E386" w14:textId="77777777" w:rsidR="00F00A00" w:rsidRDefault="00F00A00" w:rsidP="00C47CBE">
            <w:pPr>
              <w:pStyle w:val="TableBody"/>
            </w:pPr>
            <w:r>
              <w:t>10</w:t>
            </w:r>
          </w:p>
        </w:tc>
        <w:tc>
          <w:tcPr>
            <w:tcW w:w="820" w:type="pct"/>
          </w:tcPr>
          <w:p w14:paraId="407C7A46" w14:textId="77777777" w:rsidR="00F00A00" w:rsidRDefault="00F00A00" w:rsidP="00C47CBE">
            <w:pPr>
              <w:pStyle w:val="TableBody"/>
            </w:pPr>
            <w:r>
              <w:t>1.1%</w:t>
            </w:r>
          </w:p>
        </w:tc>
        <w:tc>
          <w:tcPr>
            <w:tcW w:w="786" w:type="pct"/>
          </w:tcPr>
          <w:p w14:paraId="026BAD2B" w14:textId="77777777" w:rsidR="00F00A00" w:rsidRDefault="00F00A00" w:rsidP="00C47CBE">
            <w:pPr>
              <w:pStyle w:val="TableBody"/>
            </w:pPr>
            <w:r>
              <w:t>95</w:t>
            </w:r>
          </w:p>
        </w:tc>
        <w:tc>
          <w:tcPr>
            <w:tcW w:w="903" w:type="pct"/>
          </w:tcPr>
          <w:p w14:paraId="77DF0703" w14:textId="77777777" w:rsidR="00F00A00" w:rsidRDefault="00F00A00" w:rsidP="00C47CBE">
            <w:pPr>
              <w:pStyle w:val="TableBody"/>
            </w:pPr>
            <w:r>
              <w:t>10.5%</w:t>
            </w:r>
          </w:p>
        </w:tc>
      </w:tr>
      <w:tr w:rsidR="00F00A00" w14:paraId="44105A95" w14:textId="77777777" w:rsidTr="000B150C">
        <w:trPr>
          <w:trHeight w:val="60"/>
        </w:trPr>
        <w:tc>
          <w:tcPr>
            <w:tcW w:w="1704" w:type="pct"/>
          </w:tcPr>
          <w:p w14:paraId="69E4D37E" w14:textId="77777777" w:rsidR="00F00A00" w:rsidRDefault="00F00A00" w:rsidP="00C47CBE">
            <w:pPr>
              <w:pStyle w:val="TableBody"/>
            </w:pPr>
            <w:r>
              <w:t>Carjacking</w:t>
            </w:r>
          </w:p>
        </w:tc>
        <w:tc>
          <w:tcPr>
            <w:tcW w:w="786" w:type="pct"/>
          </w:tcPr>
          <w:p w14:paraId="0A927A85" w14:textId="77777777" w:rsidR="00F00A00" w:rsidRDefault="00F00A00" w:rsidP="00C47CBE">
            <w:pPr>
              <w:pStyle w:val="TableBody"/>
            </w:pPr>
            <w:r>
              <w:t>9</w:t>
            </w:r>
          </w:p>
        </w:tc>
        <w:tc>
          <w:tcPr>
            <w:tcW w:w="820" w:type="pct"/>
          </w:tcPr>
          <w:p w14:paraId="3072E974" w14:textId="77777777" w:rsidR="00F00A00" w:rsidRDefault="00F00A00" w:rsidP="00C47CBE">
            <w:pPr>
              <w:pStyle w:val="TableBody"/>
            </w:pPr>
            <w:r>
              <w:t>1.0%</w:t>
            </w:r>
          </w:p>
        </w:tc>
        <w:tc>
          <w:tcPr>
            <w:tcW w:w="786" w:type="pct"/>
          </w:tcPr>
          <w:p w14:paraId="4372D644" w14:textId="77777777" w:rsidR="00F00A00" w:rsidRDefault="00F00A00" w:rsidP="00C47CBE">
            <w:pPr>
              <w:pStyle w:val="TableBody"/>
            </w:pPr>
            <w:r>
              <w:t>32</w:t>
            </w:r>
          </w:p>
        </w:tc>
        <w:tc>
          <w:tcPr>
            <w:tcW w:w="903" w:type="pct"/>
          </w:tcPr>
          <w:p w14:paraId="2792C15A" w14:textId="77777777" w:rsidR="00F00A00" w:rsidRDefault="00F00A00" w:rsidP="00C47CBE">
            <w:pPr>
              <w:pStyle w:val="TableBody"/>
            </w:pPr>
            <w:r>
              <w:t>28.1%</w:t>
            </w:r>
          </w:p>
        </w:tc>
      </w:tr>
      <w:tr w:rsidR="00F00A00" w14:paraId="477CAD31" w14:textId="77777777" w:rsidTr="000B150C">
        <w:trPr>
          <w:trHeight w:val="60"/>
        </w:trPr>
        <w:tc>
          <w:tcPr>
            <w:tcW w:w="1704" w:type="pct"/>
          </w:tcPr>
          <w:p w14:paraId="426FEB82" w14:textId="77777777" w:rsidR="00F00A00" w:rsidRDefault="00F00A00" w:rsidP="00C47CBE">
            <w:pPr>
              <w:pStyle w:val="TableBody"/>
            </w:pPr>
            <w:r>
              <w:t>Groom a child or a child’s carer to facilitate a sexual offence</w:t>
            </w:r>
          </w:p>
        </w:tc>
        <w:tc>
          <w:tcPr>
            <w:tcW w:w="786" w:type="pct"/>
          </w:tcPr>
          <w:p w14:paraId="5AAAAAD9" w14:textId="77777777" w:rsidR="00F00A00" w:rsidRDefault="00F00A00" w:rsidP="00C47CBE">
            <w:pPr>
              <w:pStyle w:val="TableBody"/>
            </w:pPr>
            <w:r>
              <w:t>9</w:t>
            </w:r>
          </w:p>
        </w:tc>
        <w:tc>
          <w:tcPr>
            <w:tcW w:w="820" w:type="pct"/>
          </w:tcPr>
          <w:p w14:paraId="606931C1" w14:textId="77777777" w:rsidR="00F00A00" w:rsidRDefault="00F00A00" w:rsidP="00C47CBE">
            <w:pPr>
              <w:pStyle w:val="TableBody"/>
            </w:pPr>
            <w:r>
              <w:t>1.0%</w:t>
            </w:r>
          </w:p>
        </w:tc>
        <w:tc>
          <w:tcPr>
            <w:tcW w:w="786" w:type="pct"/>
          </w:tcPr>
          <w:p w14:paraId="3EA69AAC" w14:textId="77777777" w:rsidR="00F00A00" w:rsidRDefault="00F00A00" w:rsidP="00C47CBE">
            <w:pPr>
              <w:pStyle w:val="TableBody"/>
            </w:pPr>
            <w:r>
              <w:t>38</w:t>
            </w:r>
          </w:p>
        </w:tc>
        <w:tc>
          <w:tcPr>
            <w:tcW w:w="903" w:type="pct"/>
          </w:tcPr>
          <w:p w14:paraId="18887EFF" w14:textId="77777777" w:rsidR="00F00A00" w:rsidRDefault="00F00A00" w:rsidP="00C47CBE">
            <w:pPr>
              <w:pStyle w:val="TableBody"/>
            </w:pPr>
            <w:r>
              <w:t>23.7%</w:t>
            </w:r>
          </w:p>
        </w:tc>
      </w:tr>
      <w:tr w:rsidR="00F00A00" w14:paraId="50FF8521" w14:textId="77777777" w:rsidTr="000B150C">
        <w:trPr>
          <w:trHeight w:val="60"/>
        </w:trPr>
        <w:tc>
          <w:tcPr>
            <w:tcW w:w="1704" w:type="pct"/>
          </w:tcPr>
          <w:p w14:paraId="150CFF41" w14:textId="77777777" w:rsidR="00F00A00" w:rsidRDefault="00F00A00" w:rsidP="00C47CBE">
            <w:pPr>
              <w:pStyle w:val="TableBody"/>
            </w:pPr>
            <w:r>
              <w:t>Aggravated carjacking</w:t>
            </w:r>
          </w:p>
        </w:tc>
        <w:tc>
          <w:tcPr>
            <w:tcW w:w="786" w:type="pct"/>
          </w:tcPr>
          <w:p w14:paraId="2EA91AE9" w14:textId="77777777" w:rsidR="00F00A00" w:rsidRDefault="00F00A00" w:rsidP="00C47CBE">
            <w:pPr>
              <w:pStyle w:val="TableBody"/>
            </w:pPr>
            <w:r>
              <w:t>8</w:t>
            </w:r>
          </w:p>
        </w:tc>
        <w:tc>
          <w:tcPr>
            <w:tcW w:w="820" w:type="pct"/>
          </w:tcPr>
          <w:p w14:paraId="287A1C43" w14:textId="77777777" w:rsidR="00F00A00" w:rsidRDefault="00F00A00" w:rsidP="00C47CBE">
            <w:pPr>
              <w:pStyle w:val="TableBody"/>
            </w:pPr>
            <w:r>
              <w:t>0.9%</w:t>
            </w:r>
          </w:p>
        </w:tc>
        <w:tc>
          <w:tcPr>
            <w:tcW w:w="786" w:type="pct"/>
          </w:tcPr>
          <w:p w14:paraId="6F9AF1FB" w14:textId="77777777" w:rsidR="00F00A00" w:rsidRDefault="00F00A00" w:rsidP="00C47CBE">
            <w:pPr>
              <w:pStyle w:val="TableBody"/>
            </w:pPr>
            <w:r>
              <w:t>26</w:t>
            </w:r>
          </w:p>
        </w:tc>
        <w:tc>
          <w:tcPr>
            <w:tcW w:w="903" w:type="pct"/>
          </w:tcPr>
          <w:p w14:paraId="26421A81" w14:textId="77777777" w:rsidR="00F00A00" w:rsidRDefault="00F00A00" w:rsidP="00C47CBE">
            <w:pPr>
              <w:pStyle w:val="TableBody"/>
            </w:pPr>
            <w:r>
              <w:t>30.8%</w:t>
            </w:r>
          </w:p>
        </w:tc>
      </w:tr>
      <w:tr w:rsidR="00F00A00" w14:paraId="4A581130" w14:textId="77777777" w:rsidTr="000B150C">
        <w:trPr>
          <w:trHeight w:val="60"/>
        </w:trPr>
        <w:tc>
          <w:tcPr>
            <w:tcW w:w="1704" w:type="pct"/>
          </w:tcPr>
          <w:p w14:paraId="75A31AA7" w14:textId="77777777" w:rsidR="00F00A00" w:rsidRDefault="00F00A00" w:rsidP="00C47CBE">
            <w:pPr>
              <w:pStyle w:val="TableBody"/>
            </w:pPr>
            <w:r>
              <w:t>Rape</w:t>
            </w:r>
          </w:p>
        </w:tc>
        <w:tc>
          <w:tcPr>
            <w:tcW w:w="786" w:type="pct"/>
          </w:tcPr>
          <w:p w14:paraId="0D426671" w14:textId="77777777" w:rsidR="00F00A00" w:rsidRDefault="00F00A00" w:rsidP="00C47CBE">
            <w:pPr>
              <w:pStyle w:val="TableBody"/>
            </w:pPr>
            <w:r>
              <w:t>8</w:t>
            </w:r>
          </w:p>
        </w:tc>
        <w:tc>
          <w:tcPr>
            <w:tcW w:w="820" w:type="pct"/>
          </w:tcPr>
          <w:p w14:paraId="4760B493" w14:textId="77777777" w:rsidR="00F00A00" w:rsidRDefault="00F00A00" w:rsidP="00C47CBE">
            <w:pPr>
              <w:pStyle w:val="TableBody"/>
            </w:pPr>
            <w:r>
              <w:t>0.9%</w:t>
            </w:r>
          </w:p>
        </w:tc>
        <w:tc>
          <w:tcPr>
            <w:tcW w:w="786" w:type="pct"/>
          </w:tcPr>
          <w:p w14:paraId="63FC35BB" w14:textId="77777777" w:rsidR="00F00A00" w:rsidRDefault="00F00A00" w:rsidP="00C47CBE">
            <w:pPr>
              <w:pStyle w:val="TableBody"/>
            </w:pPr>
            <w:r>
              <w:t>103</w:t>
            </w:r>
          </w:p>
        </w:tc>
        <w:tc>
          <w:tcPr>
            <w:tcW w:w="903" w:type="pct"/>
          </w:tcPr>
          <w:p w14:paraId="5DA627F7" w14:textId="77777777" w:rsidR="00F00A00" w:rsidRDefault="00F00A00" w:rsidP="00C47CBE">
            <w:pPr>
              <w:pStyle w:val="TableBody"/>
            </w:pPr>
            <w:r>
              <w:t>7.8%</w:t>
            </w:r>
          </w:p>
        </w:tc>
      </w:tr>
      <w:tr w:rsidR="00F00A00" w14:paraId="79D81A06" w14:textId="77777777" w:rsidTr="000B150C">
        <w:trPr>
          <w:trHeight w:val="60"/>
        </w:trPr>
        <w:tc>
          <w:tcPr>
            <w:tcW w:w="1704" w:type="pct"/>
          </w:tcPr>
          <w:p w14:paraId="2F982BD7" w14:textId="77777777" w:rsidR="00F00A00" w:rsidRDefault="00F00A00" w:rsidP="00C47CBE">
            <w:pPr>
              <w:pStyle w:val="TableBody"/>
            </w:pPr>
            <w:r>
              <w:t>Sex offender loiter near school or public place frequented by children</w:t>
            </w:r>
          </w:p>
        </w:tc>
        <w:tc>
          <w:tcPr>
            <w:tcW w:w="786" w:type="pct"/>
          </w:tcPr>
          <w:p w14:paraId="7BD6A2EE" w14:textId="77777777" w:rsidR="00F00A00" w:rsidRDefault="00F00A00" w:rsidP="00C47CBE">
            <w:pPr>
              <w:pStyle w:val="TableBody"/>
            </w:pPr>
            <w:r>
              <w:t>7</w:t>
            </w:r>
          </w:p>
        </w:tc>
        <w:tc>
          <w:tcPr>
            <w:tcW w:w="820" w:type="pct"/>
          </w:tcPr>
          <w:p w14:paraId="74357DC4" w14:textId="77777777" w:rsidR="00F00A00" w:rsidRDefault="00F00A00" w:rsidP="00C47CBE">
            <w:pPr>
              <w:pStyle w:val="TableBody"/>
            </w:pPr>
            <w:r>
              <w:t>0.8%</w:t>
            </w:r>
          </w:p>
        </w:tc>
        <w:tc>
          <w:tcPr>
            <w:tcW w:w="786" w:type="pct"/>
          </w:tcPr>
          <w:p w14:paraId="4326CB67" w14:textId="77777777" w:rsidR="00F00A00" w:rsidRDefault="00F00A00" w:rsidP="00C47CBE">
            <w:pPr>
              <w:pStyle w:val="TableBody"/>
            </w:pPr>
            <w:r>
              <w:t>14</w:t>
            </w:r>
          </w:p>
        </w:tc>
        <w:tc>
          <w:tcPr>
            <w:tcW w:w="903" w:type="pct"/>
          </w:tcPr>
          <w:p w14:paraId="42560A5B" w14:textId="77777777" w:rsidR="00F00A00" w:rsidRDefault="00F00A00" w:rsidP="00C47CBE">
            <w:pPr>
              <w:pStyle w:val="TableBody"/>
            </w:pPr>
            <w:r>
              <w:t>50.0%</w:t>
            </w:r>
          </w:p>
        </w:tc>
      </w:tr>
      <w:tr w:rsidR="00F00A00" w14:paraId="4A2F4A3D" w14:textId="77777777" w:rsidTr="000B150C">
        <w:trPr>
          <w:trHeight w:val="60"/>
        </w:trPr>
        <w:tc>
          <w:tcPr>
            <w:tcW w:w="1704" w:type="pct"/>
          </w:tcPr>
          <w:p w14:paraId="726B57A1" w14:textId="77777777" w:rsidR="00F00A00" w:rsidRDefault="00F00A00" w:rsidP="00C47CBE">
            <w:pPr>
              <w:pStyle w:val="TableBody"/>
            </w:pPr>
            <w:r>
              <w:t>Home invasion</w:t>
            </w:r>
          </w:p>
        </w:tc>
        <w:tc>
          <w:tcPr>
            <w:tcW w:w="786" w:type="pct"/>
          </w:tcPr>
          <w:p w14:paraId="1B0DBAA5" w14:textId="77777777" w:rsidR="00F00A00" w:rsidRDefault="00F00A00" w:rsidP="00C47CBE">
            <w:pPr>
              <w:pStyle w:val="TableBody"/>
            </w:pPr>
            <w:r>
              <w:t>5</w:t>
            </w:r>
          </w:p>
        </w:tc>
        <w:tc>
          <w:tcPr>
            <w:tcW w:w="820" w:type="pct"/>
          </w:tcPr>
          <w:p w14:paraId="78BE08DB" w14:textId="77777777" w:rsidR="00F00A00" w:rsidRDefault="00F00A00" w:rsidP="00C47CBE">
            <w:pPr>
              <w:pStyle w:val="TableBody"/>
            </w:pPr>
            <w:r>
              <w:t>0.5%</w:t>
            </w:r>
          </w:p>
        </w:tc>
        <w:tc>
          <w:tcPr>
            <w:tcW w:w="786" w:type="pct"/>
          </w:tcPr>
          <w:p w14:paraId="2D66AD40" w14:textId="77777777" w:rsidR="00F00A00" w:rsidRDefault="00F00A00" w:rsidP="00C47CBE">
            <w:pPr>
              <w:pStyle w:val="TableBody"/>
            </w:pPr>
            <w:r>
              <w:t>34</w:t>
            </w:r>
          </w:p>
        </w:tc>
        <w:tc>
          <w:tcPr>
            <w:tcW w:w="903" w:type="pct"/>
          </w:tcPr>
          <w:p w14:paraId="5711351C" w14:textId="77777777" w:rsidR="00F00A00" w:rsidRDefault="00F00A00" w:rsidP="00C47CBE">
            <w:pPr>
              <w:pStyle w:val="TableBody"/>
            </w:pPr>
            <w:r>
              <w:t>14.7%</w:t>
            </w:r>
          </w:p>
        </w:tc>
      </w:tr>
      <w:tr w:rsidR="00F00A00" w14:paraId="759337D2" w14:textId="77777777" w:rsidTr="000B150C">
        <w:trPr>
          <w:trHeight w:val="60"/>
        </w:trPr>
        <w:tc>
          <w:tcPr>
            <w:tcW w:w="1704" w:type="pct"/>
          </w:tcPr>
          <w:p w14:paraId="133FE28D" w14:textId="77777777" w:rsidR="00F00A00" w:rsidRDefault="00F00A00" w:rsidP="00C47CBE">
            <w:pPr>
              <w:pStyle w:val="TableBody"/>
            </w:pPr>
            <w:r>
              <w:t>Indecent act with or in the presence of a child aged under 16</w:t>
            </w:r>
          </w:p>
        </w:tc>
        <w:tc>
          <w:tcPr>
            <w:tcW w:w="786" w:type="pct"/>
          </w:tcPr>
          <w:p w14:paraId="14E2ED47" w14:textId="77777777" w:rsidR="00F00A00" w:rsidRDefault="00F00A00" w:rsidP="00C47CBE">
            <w:pPr>
              <w:pStyle w:val="TableBody"/>
            </w:pPr>
            <w:r>
              <w:t>5</w:t>
            </w:r>
          </w:p>
        </w:tc>
        <w:tc>
          <w:tcPr>
            <w:tcW w:w="820" w:type="pct"/>
          </w:tcPr>
          <w:p w14:paraId="60B57D28" w14:textId="77777777" w:rsidR="00F00A00" w:rsidRDefault="00F00A00" w:rsidP="00C47CBE">
            <w:pPr>
              <w:pStyle w:val="TableBody"/>
            </w:pPr>
            <w:r>
              <w:t>0.5%</w:t>
            </w:r>
          </w:p>
        </w:tc>
        <w:tc>
          <w:tcPr>
            <w:tcW w:w="786" w:type="pct"/>
          </w:tcPr>
          <w:p w14:paraId="2D8F427F" w14:textId="77777777" w:rsidR="00F00A00" w:rsidRDefault="00F00A00" w:rsidP="00C47CBE">
            <w:pPr>
              <w:pStyle w:val="TableBody"/>
            </w:pPr>
            <w:r>
              <w:t>298</w:t>
            </w:r>
          </w:p>
        </w:tc>
        <w:tc>
          <w:tcPr>
            <w:tcW w:w="903" w:type="pct"/>
          </w:tcPr>
          <w:p w14:paraId="6BF6C93E" w14:textId="77777777" w:rsidR="00F00A00" w:rsidRDefault="00F00A00" w:rsidP="00C47CBE">
            <w:pPr>
              <w:pStyle w:val="TableBody"/>
            </w:pPr>
            <w:r>
              <w:t>1.7%</w:t>
            </w:r>
          </w:p>
        </w:tc>
      </w:tr>
      <w:tr w:rsidR="00F00A00" w14:paraId="23645782" w14:textId="77777777" w:rsidTr="000B150C">
        <w:trPr>
          <w:trHeight w:val="60"/>
        </w:trPr>
        <w:tc>
          <w:tcPr>
            <w:tcW w:w="1704" w:type="pct"/>
          </w:tcPr>
          <w:p w14:paraId="2BD16D80" w14:textId="77777777" w:rsidR="00F00A00" w:rsidRDefault="00F00A00" w:rsidP="00C47CBE">
            <w:pPr>
              <w:pStyle w:val="TableBody"/>
            </w:pPr>
            <w:r>
              <w:t>Sexual assault of a child aged under 16</w:t>
            </w:r>
          </w:p>
        </w:tc>
        <w:tc>
          <w:tcPr>
            <w:tcW w:w="786" w:type="pct"/>
          </w:tcPr>
          <w:p w14:paraId="1C6284DE" w14:textId="77777777" w:rsidR="00F00A00" w:rsidRDefault="00F00A00" w:rsidP="00C47CBE">
            <w:pPr>
              <w:pStyle w:val="TableBody"/>
            </w:pPr>
            <w:r>
              <w:t>4</w:t>
            </w:r>
          </w:p>
        </w:tc>
        <w:tc>
          <w:tcPr>
            <w:tcW w:w="820" w:type="pct"/>
          </w:tcPr>
          <w:p w14:paraId="0A90096D" w14:textId="77777777" w:rsidR="00F00A00" w:rsidRDefault="00F00A00" w:rsidP="00C47CBE">
            <w:pPr>
              <w:pStyle w:val="TableBody"/>
            </w:pPr>
            <w:r>
              <w:t>0.4%</w:t>
            </w:r>
          </w:p>
        </w:tc>
        <w:tc>
          <w:tcPr>
            <w:tcW w:w="786" w:type="pct"/>
          </w:tcPr>
          <w:p w14:paraId="52C646BB" w14:textId="77777777" w:rsidR="00F00A00" w:rsidRDefault="00F00A00" w:rsidP="00C47CBE">
            <w:pPr>
              <w:pStyle w:val="TableBody"/>
            </w:pPr>
            <w:r>
              <w:t>76</w:t>
            </w:r>
          </w:p>
        </w:tc>
        <w:tc>
          <w:tcPr>
            <w:tcW w:w="903" w:type="pct"/>
          </w:tcPr>
          <w:p w14:paraId="1B944D40" w14:textId="77777777" w:rsidR="00F00A00" w:rsidRDefault="00F00A00" w:rsidP="00C47CBE">
            <w:pPr>
              <w:pStyle w:val="TableBody"/>
            </w:pPr>
            <w:r>
              <w:t>5.3%</w:t>
            </w:r>
          </w:p>
        </w:tc>
      </w:tr>
      <w:tr w:rsidR="00F00A00" w14:paraId="6CACEE55" w14:textId="77777777" w:rsidTr="000B150C">
        <w:trPr>
          <w:trHeight w:val="60"/>
        </w:trPr>
        <w:tc>
          <w:tcPr>
            <w:tcW w:w="1704" w:type="pct"/>
          </w:tcPr>
          <w:p w14:paraId="5B7DE619" w14:textId="77777777" w:rsidR="00F00A00" w:rsidRDefault="00F00A00" w:rsidP="00C47CBE">
            <w:pPr>
              <w:pStyle w:val="TableBody"/>
            </w:pPr>
            <w:r>
              <w:t>Threaten to distribute intimate images*</w:t>
            </w:r>
          </w:p>
        </w:tc>
        <w:tc>
          <w:tcPr>
            <w:tcW w:w="786" w:type="pct"/>
          </w:tcPr>
          <w:p w14:paraId="07F13F0D" w14:textId="77777777" w:rsidR="00F00A00" w:rsidRDefault="00F00A00" w:rsidP="00C47CBE">
            <w:pPr>
              <w:pStyle w:val="TableBody"/>
            </w:pPr>
            <w:r>
              <w:t>4</w:t>
            </w:r>
          </w:p>
        </w:tc>
        <w:tc>
          <w:tcPr>
            <w:tcW w:w="820" w:type="pct"/>
          </w:tcPr>
          <w:p w14:paraId="4D0C93C3" w14:textId="77777777" w:rsidR="00F00A00" w:rsidRDefault="00F00A00" w:rsidP="00C47CBE">
            <w:pPr>
              <w:pStyle w:val="TableBody"/>
            </w:pPr>
            <w:r>
              <w:t>0.4%</w:t>
            </w:r>
          </w:p>
        </w:tc>
        <w:tc>
          <w:tcPr>
            <w:tcW w:w="786" w:type="pct"/>
          </w:tcPr>
          <w:p w14:paraId="768D88F6" w14:textId="77777777" w:rsidR="00F00A00" w:rsidRDefault="00F00A00" w:rsidP="00C47CBE">
            <w:pPr>
              <w:pStyle w:val="TableBody"/>
            </w:pPr>
            <w:r>
              <w:t>33</w:t>
            </w:r>
          </w:p>
        </w:tc>
        <w:tc>
          <w:tcPr>
            <w:tcW w:w="903" w:type="pct"/>
          </w:tcPr>
          <w:p w14:paraId="2ECC3F80" w14:textId="77777777" w:rsidR="00F00A00" w:rsidRDefault="00F00A00" w:rsidP="00C47CBE">
            <w:pPr>
              <w:pStyle w:val="TableBody"/>
            </w:pPr>
            <w:r>
              <w:t>12.1%</w:t>
            </w:r>
          </w:p>
        </w:tc>
      </w:tr>
      <w:tr w:rsidR="00F00A00" w14:paraId="289F68A9" w14:textId="77777777" w:rsidTr="000B150C">
        <w:trPr>
          <w:trHeight w:val="60"/>
        </w:trPr>
        <w:tc>
          <w:tcPr>
            <w:tcW w:w="1704" w:type="pct"/>
          </w:tcPr>
          <w:p w14:paraId="4140351B" w14:textId="77777777" w:rsidR="00F00A00" w:rsidRDefault="00F00A00" w:rsidP="00C47CBE">
            <w:pPr>
              <w:pStyle w:val="TableBody"/>
            </w:pPr>
            <w:r>
              <w:t>Attempt to commit an aggravated carjacking</w:t>
            </w:r>
          </w:p>
        </w:tc>
        <w:tc>
          <w:tcPr>
            <w:tcW w:w="786" w:type="pct"/>
          </w:tcPr>
          <w:p w14:paraId="57421AF5" w14:textId="77777777" w:rsidR="00F00A00" w:rsidRDefault="00F00A00" w:rsidP="00C47CBE">
            <w:pPr>
              <w:pStyle w:val="TableBody"/>
            </w:pPr>
            <w:r>
              <w:t>3</w:t>
            </w:r>
          </w:p>
        </w:tc>
        <w:tc>
          <w:tcPr>
            <w:tcW w:w="820" w:type="pct"/>
          </w:tcPr>
          <w:p w14:paraId="1E111427" w14:textId="77777777" w:rsidR="00F00A00" w:rsidRDefault="00F00A00" w:rsidP="00C47CBE">
            <w:pPr>
              <w:pStyle w:val="TableBody"/>
            </w:pPr>
            <w:r>
              <w:t>0.3%</w:t>
            </w:r>
          </w:p>
        </w:tc>
        <w:tc>
          <w:tcPr>
            <w:tcW w:w="786" w:type="pct"/>
          </w:tcPr>
          <w:p w14:paraId="103EEC45" w14:textId="77777777" w:rsidR="00F00A00" w:rsidRDefault="00F00A00" w:rsidP="00C47CBE">
            <w:pPr>
              <w:pStyle w:val="TableBody"/>
            </w:pPr>
            <w:r>
              <w:t>7</w:t>
            </w:r>
          </w:p>
        </w:tc>
        <w:tc>
          <w:tcPr>
            <w:tcW w:w="903" w:type="pct"/>
          </w:tcPr>
          <w:p w14:paraId="58FACD36" w14:textId="77777777" w:rsidR="00F00A00" w:rsidRDefault="00F00A00" w:rsidP="00C47CBE">
            <w:pPr>
              <w:pStyle w:val="TableBody"/>
            </w:pPr>
            <w:r>
              <w:t>42.9%</w:t>
            </w:r>
          </w:p>
        </w:tc>
      </w:tr>
      <w:tr w:rsidR="00F00A00" w14:paraId="2ABA79F7" w14:textId="77777777" w:rsidTr="000B150C">
        <w:trPr>
          <w:trHeight w:val="60"/>
        </w:trPr>
        <w:tc>
          <w:tcPr>
            <w:tcW w:w="1704" w:type="pct"/>
          </w:tcPr>
          <w:p w14:paraId="067EDF49" w14:textId="77777777" w:rsidR="00F00A00" w:rsidRDefault="00F00A00" w:rsidP="00C47CBE">
            <w:pPr>
              <w:pStyle w:val="TableBody"/>
            </w:pPr>
            <w:r>
              <w:t>Attempted carjacking</w:t>
            </w:r>
          </w:p>
        </w:tc>
        <w:tc>
          <w:tcPr>
            <w:tcW w:w="786" w:type="pct"/>
          </w:tcPr>
          <w:p w14:paraId="4C48965C" w14:textId="77777777" w:rsidR="00F00A00" w:rsidRDefault="00F00A00" w:rsidP="00C47CBE">
            <w:pPr>
              <w:pStyle w:val="TableBody"/>
            </w:pPr>
            <w:r>
              <w:t>3</w:t>
            </w:r>
          </w:p>
        </w:tc>
        <w:tc>
          <w:tcPr>
            <w:tcW w:w="820" w:type="pct"/>
          </w:tcPr>
          <w:p w14:paraId="17BD3306" w14:textId="77777777" w:rsidR="00F00A00" w:rsidRDefault="00F00A00" w:rsidP="00C47CBE">
            <w:pPr>
              <w:pStyle w:val="TableBody"/>
            </w:pPr>
            <w:r>
              <w:t>0.3%</w:t>
            </w:r>
          </w:p>
        </w:tc>
        <w:tc>
          <w:tcPr>
            <w:tcW w:w="786" w:type="pct"/>
          </w:tcPr>
          <w:p w14:paraId="505B1A5C" w14:textId="77777777" w:rsidR="00F00A00" w:rsidRDefault="00F00A00" w:rsidP="00C47CBE">
            <w:pPr>
              <w:pStyle w:val="TableBody"/>
            </w:pPr>
            <w:r>
              <w:t>13</w:t>
            </w:r>
          </w:p>
        </w:tc>
        <w:tc>
          <w:tcPr>
            <w:tcW w:w="903" w:type="pct"/>
          </w:tcPr>
          <w:p w14:paraId="520F2991" w14:textId="77777777" w:rsidR="00F00A00" w:rsidRDefault="00F00A00" w:rsidP="00C47CBE">
            <w:pPr>
              <w:pStyle w:val="TableBody"/>
            </w:pPr>
            <w:r>
              <w:t>23.1%</w:t>
            </w:r>
          </w:p>
        </w:tc>
      </w:tr>
      <w:tr w:rsidR="00F00A00" w14:paraId="0ED4A711" w14:textId="77777777" w:rsidTr="000B150C">
        <w:trPr>
          <w:trHeight w:val="60"/>
        </w:trPr>
        <w:tc>
          <w:tcPr>
            <w:tcW w:w="1704" w:type="pct"/>
          </w:tcPr>
          <w:p w14:paraId="4EE5CDD9" w14:textId="77777777" w:rsidR="00F00A00" w:rsidRDefault="00F00A00" w:rsidP="00C47CBE">
            <w:pPr>
              <w:pStyle w:val="TableBody"/>
            </w:pPr>
            <w:r>
              <w:t>Engage in sexual activity in the presence of a child aged under 16</w:t>
            </w:r>
          </w:p>
        </w:tc>
        <w:tc>
          <w:tcPr>
            <w:tcW w:w="786" w:type="pct"/>
          </w:tcPr>
          <w:p w14:paraId="6116E4DB" w14:textId="77777777" w:rsidR="00F00A00" w:rsidRDefault="00F00A00" w:rsidP="00C47CBE">
            <w:pPr>
              <w:pStyle w:val="TableBody"/>
            </w:pPr>
            <w:r>
              <w:t>3</w:t>
            </w:r>
          </w:p>
        </w:tc>
        <w:tc>
          <w:tcPr>
            <w:tcW w:w="820" w:type="pct"/>
          </w:tcPr>
          <w:p w14:paraId="46569C65" w14:textId="77777777" w:rsidR="00F00A00" w:rsidRDefault="00F00A00" w:rsidP="00C47CBE">
            <w:pPr>
              <w:pStyle w:val="TableBody"/>
            </w:pPr>
            <w:r>
              <w:t>0.3%</w:t>
            </w:r>
          </w:p>
        </w:tc>
        <w:tc>
          <w:tcPr>
            <w:tcW w:w="786" w:type="pct"/>
          </w:tcPr>
          <w:p w14:paraId="03BAABAE" w14:textId="77777777" w:rsidR="00F00A00" w:rsidRDefault="00F00A00" w:rsidP="00C47CBE">
            <w:pPr>
              <w:pStyle w:val="TableBody"/>
            </w:pPr>
            <w:r>
              <w:t>32</w:t>
            </w:r>
          </w:p>
        </w:tc>
        <w:tc>
          <w:tcPr>
            <w:tcW w:w="903" w:type="pct"/>
          </w:tcPr>
          <w:p w14:paraId="2B58F5A6" w14:textId="77777777" w:rsidR="00F00A00" w:rsidRDefault="00F00A00" w:rsidP="00C47CBE">
            <w:pPr>
              <w:pStyle w:val="TableBody"/>
            </w:pPr>
            <w:r>
              <w:t>9.4%</w:t>
            </w:r>
          </w:p>
        </w:tc>
      </w:tr>
      <w:tr w:rsidR="00F00A00" w14:paraId="53273577" w14:textId="77777777" w:rsidTr="000B150C">
        <w:trPr>
          <w:trHeight w:val="60"/>
        </w:trPr>
        <w:tc>
          <w:tcPr>
            <w:tcW w:w="1704" w:type="pct"/>
          </w:tcPr>
          <w:p w14:paraId="0F19EEC7" w14:textId="77777777" w:rsidR="00F00A00" w:rsidRDefault="00F00A00" w:rsidP="00C47CBE">
            <w:pPr>
              <w:pStyle w:val="TableBody"/>
            </w:pPr>
            <w:r>
              <w:t>Intentionally causing serious injury</w:t>
            </w:r>
          </w:p>
        </w:tc>
        <w:tc>
          <w:tcPr>
            <w:tcW w:w="786" w:type="pct"/>
          </w:tcPr>
          <w:p w14:paraId="70E9F339" w14:textId="77777777" w:rsidR="00F00A00" w:rsidRDefault="00F00A00" w:rsidP="00C47CBE">
            <w:pPr>
              <w:pStyle w:val="TableBody"/>
            </w:pPr>
            <w:r>
              <w:t>3</w:t>
            </w:r>
          </w:p>
        </w:tc>
        <w:tc>
          <w:tcPr>
            <w:tcW w:w="820" w:type="pct"/>
          </w:tcPr>
          <w:p w14:paraId="5A24D4FB" w14:textId="77777777" w:rsidR="00F00A00" w:rsidRDefault="00F00A00" w:rsidP="00C47CBE">
            <w:pPr>
              <w:pStyle w:val="TableBody"/>
            </w:pPr>
            <w:r>
              <w:t>0.3%</w:t>
            </w:r>
          </w:p>
        </w:tc>
        <w:tc>
          <w:tcPr>
            <w:tcW w:w="786" w:type="pct"/>
          </w:tcPr>
          <w:p w14:paraId="520B8403" w14:textId="77777777" w:rsidR="00F00A00" w:rsidRDefault="00F00A00" w:rsidP="00C47CBE">
            <w:pPr>
              <w:pStyle w:val="TableBody"/>
            </w:pPr>
            <w:r>
              <w:t>33</w:t>
            </w:r>
          </w:p>
        </w:tc>
        <w:tc>
          <w:tcPr>
            <w:tcW w:w="903" w:type="pct"/>
          </w:tcPr>
          <w:p w14:paraId="1ED45756" w14:textId="77777777" w:rsidR="00F00A00" w:rsidRDefault="00F00A00" w:rsidP="00C47CBE">
            <w:pPr>
              <w:pStyle w:val="TableBody"/>
            </w:pPr>
            <w:r>
              <w:t>9.1%</w:t>
            </w:r>
          </w:p>
        </w:tc>
      </w:tr>
      <w:tr w:rsidR="00F00A00" w14:paraId="21B1EAF0" w14:textId="77777777" w:rsidTr="000B150C">
        <w:trPr>
          <w:trHeight w:val="60"/>
        </w:trPr>
        <w:tc>
          <w:tcPr>
            <w:tcW w:w="1704" w:type="pct"/>
          </w:tcPr>
          <w:p w14:paraId="223AEB0D" w14:textId="77777777" w:rsidR="00F00A00" w:rsidRDefault="00F00A00" w:rsidP="00C47CBE">
            <w:pPr>
              <w:pStyle w:val="TableBody"/>
            </w:pPr>
            <w:r>
              <w:t>Intentionally distribute intimate images*</w:t>
            </w:r>
          </w:p>
        </w:tc>
        <w:tc>
          <w:tcPr>
            <w:tcW w:w="786" w:type="pct"/>
          </w:tcPr>
          <w:p w14:paraId="49581CE0" w14:textId="77777777" w:rsidR="00F00A00" w:rsidRDefault="00F00A00" w:rsidP="00C47CBE">
            <w:pPr>
              <w:pStyle w:val="TableBody"/>
            </w:pPr>
            <w:r>
              <w:t>3</w:t>
            </w:r>
          </w:p>
        </w:tc>
        <w:tc>
          <w:tcPr>
            <w:tcW w:w="820" w:type="pct"/>
          </w:tcPr>
          <w:p w14:paraId="54589E55" w14:textId="77777777" w:rsidR="00F00A00" w:rsidRDefault="00F00A00" w:rsidP="00C47CBE">
            <w:pPr>
              <w:pStyle w:val="TableBody"/>
            </w:pPr>
            <w:r>
              <w:t>0.3%</w:t>
            </w:r>
          </w:p>
        </w:tc>
        <w:tc>
          <w:tcPr>
            <w:tcW w:w="786" w:type="pct"/>
          </w:tcPr>
          <w:p w14:paraId="66BEFE5D" w14:textId="77777777" w:rsidR="00F00A00" w:rsidRDefault="00F00A00" w:rsidP="00C47CBE">
            <w:pPr>
              <w:pStyle w:val="TableBody"/>
            </w:pPr>
            <w:r>
              <w:t>31</w:t>
            </w:r>
          </w:p>
        </w:tc>
        <w:tc>
          <w:tcPr>
            <w:tcW w:w="903" w:type="pct"/>
          </w:tcPr>
          <w:p w14:paraId="48312DAC" w14:textId="77777777" w:rsidR="00F00A00" w:rsidRDefault="00F00A00" w:rsidP="00C47CBE">
            <w:pPr>
              <w:pStyle w:val="TableBody"/>
            </w:pPr>
            <w:r>
              <w:t>9.7%</w:t>
            </w:r>
          </w:p>
        </w:tc>
      </w:tr>
      <w:tr w:rsidR="00F00A00" w14:paraId="6D599390" w14:textId="77777777" w:rsidTr="000B150C">
        <w:trPr>
          <w:trHeight w:val="60"/>
        </w:trPr>
        <w:tc>
          <w:tcPr>
            <w:tcW w:w="1704" w:type="pct"/>
          </w:tcPr>
          <w:p w14:paraId="418ECFA8" w14:textId="77777777" w:rsidR="00F00A00" w:rsidRDefault="00F00A00" w:rsidP="00C47CBE">
            <w:pPr>
              <w:pStyle w:val="TableBody"/>
            </w:pPr>
            <w:r>
              <w:t>Make threat to commit a sexual offence</w:t>
            </w:r>
          </w:p>
        </w:tc>
        <w:tc>
          <w:tcPr>
            <w:tcW w:w="786" w:type="pct"/>
          </w:tcPr>
          <w:p w14:paraId="1EC12B09" w14:textId="77777777" w:rsidR="00F00A00" w:rsidRDefault="00F00A00" w:rsidP="00C47CBE">
            <w:pPr>
              <w:pStyle w:val="TableBody"/>
            </w:pPr>
            <w:r>
              <w:t>3</w:t>
            </w:r>
          </w:p>
        </w:tc>
        <w:tc>
          <w:tcPr>
            <w:tcW w:w="820" w:type="pct"/>
          </w:tcPr>
          <w:p w14:paraId="739CCB4A" w14:textId="77777777" w:rsidR="00F00A00" w:rsidRDefault="00F00A00" w:rsidP="00C47CBE">
            <w:pPr>
              <w:pStyle w:val="TableBody"/>
            </w:pPr>
            <w:r>
              <w:t>0.3%</w:t>
            </w:r>
          </w:p>
        </w:tc>
        <w:tc>
          <w:tcPr>
            <w:tcW w:w="786" w:type="pct"/>
          </w:tcPr>
          <w:p w14:paraId="612FB99C" w14:textId="77777777" w:rsidR="00F00A00" w:rsidRDefault="00F00A00" w:rsidP="00C47CBE">
            <w:pPr>
              <w:pStyle w:val="TableBody"/>
            </w:pPr>
            <w:r>
              <w:t>20</w:t>
            </w:r>
          </w:p>
        </w:tc>
        <w:tc>
          <w:tcPr>
            <w:tcW w:w="903" w:type="pct"/>
          </w:tcPr>
          <w:p w14:paraId="7EF08CE1" w14:textId="77777777" w:rsidR="00F00A00" w:rsidRDefault="00F00A00" w:rsidP="00C47CBE">
            <w:pPr>
              <w:pStyle w:val="TableBody"/>
            </w:pPr>
            <w:r>
              <w:t>15.0%</w:t>
            </w:r>
          </w:p>
        </w:tc>
      </w:tr>
      <w:tr w:rsidR="00F00A00" w14:paraId="3A03C710" w14:textId="77777777" w:rsidTr="000B150C">
        <w:trPr>
          <w:trHeight w:val="60"/>
        </w:trPr>
        <w:tc>
          <w:tcPr>
            <w:tcW w:w="1704" w:type="pct"/>
          </w:tcPr>
          <w:p w14:paraId="207EF705" w14:textId="77777777" w:rsidR="00F00A00" w:rsidRDefault="00F00A00" w:rsidP="00C47CBE">
            <w:pPr>
              <w:pStyle w:val="TableBody"/>
            </w:pPr>
            <w:r>
              <w:t>Sexual penetration of a child aged under 16 (may also include children aged under 12)</w:t>
            </w:r>
          </w:p>
        </w:tc>
        <w:tc>
          <w:tcPr>
            <w:tcW w:w="786" w:type="pct"/>
          </w:tcPr>
          <w:p w14:paraId="41D75076" w14:textId="77777777" w:rsidR="00F00A00" w:rsidRDefault="00F00A00" w:rsidP="00C47CBE">
            <w:pPr>
              <w:pStyle w:val="TableBody"/>
            </w:pPr>
            <w:r>
              <w:t>3</w:t>
            </w:r>
          </w:p>
        </w:tc>
        <w:tc>
          <w:tcPr>
            <w:tcW w:w="820" w:type="pct"/>
          </w:tcPr>
          <w:p w14:paraId="7C3689F1" w14:textId="77777777" w:rsidR="00F00A00" w:rsidRDefault="00F00A00" w:rsidP="00C47CBE">
            <w:pPr>
              <w:pStyle w:val="TableBody"/>
            </w:pPr>
            <w:r>
              <w:t>0.3%</w:t>
            </w:r>
          </w:p>
        </w:tc>
        <w:tc>
          <w:tcPr>
            <w:tcW w:w="786" w:type="pct"/>
          </w:tcPr>
          <w:p w14:paraId="5356E2E7" w14:textId="77777777" w:rsidR="00F00A00" w:rsidRDefault="00F00A00" w:rsidP="00C47CBE">
            <w:pPr>
              <w:pStyle w:val="TableBody"/>
            </w:pPr>
            <w:r>
              <w:t>124</w:t>
            </w:r>
          </w:p>
        </w:tc>
        <w:tc>
          <w:tcPr>
            <w:tcW w:w="903" w:type="pct"/>
          </w:tcPr>
          <w:p w14:paraId="474B979A" w14:textId="77777777" w:rsidR="00F00A00" w:rsidRDefault="00F00A00" w:rsidP="00C47CBE">
            <w:pPr>
              <w:pStyle w:val="TableBody"/>
            </w:pPr>
            <w:r>
              <w:t>2.4%</w:t>
            </w:r>
          </w:p>
        </w:tc>
      </w:tr>
      <w:tr w:rsidR="00F00A00" w14:paraId="589DEC82" w14:textId="77777777" w:rsidTr="000B150C">
        <w:trPr>
          <w:trHeight w:val="60"/>
        </w:trPr>
        <w:tc>
          <w:tcPr>
            <w:tcW w:w="1704" w:type="pct"/>
          </w:tcPr>
          <w:p w14:paraId="3DF87BAB" w14:textId="77777777" w:rsidR="00F00A00" w:rsidRDefault="00F00A00" w:rsidP="00C47CBE">
            <w:pPr>
              <w:pStyle w:val="TableBody"/>
            </w:pPr>
            <w:r>
              <w:t>Use carriage service to groom a child aged under 16 for sexual activity</w:t>
            </w:r>
          </w:p>
        </w:tc>
        <w:tc>
          <w:tcPr>
            <w:tcW w:w="786" w:type="pct"/>
          </w:tcPr>
          <w:p w14:paraId="00AD1436" w14:textId="77777777" w:rsidR="00F00A00" w:rsidRDefault="00F00A00" w:rsidP="00C47CBE">
            <w:pPr>
              <w:pStyle w:val="TableBody"/>
            </w:pPr>
            <w:r>
              <w:t>3</w:t>
            </w:r>
          </w:p>
        </w:tc>
        <w:tc>
          <w:tcPr>
            <w:tcW w:w="820" w:type="pct"/>
          </w:tcPr>
          <w:p w14:paraId="0AECFADE" w14:textId="77777777" w:rsidR="00F00A00" w:rsidRDefault="00F00A00" w:rsidP="00C47CBE">
            <w:pPr>
              <w:pStyle w:val="TableBody"/>
            </w:pPr>
            <w:r>
              <w:t>0.3%</w:t>
            </w:r>
          </w:p>
        </w:tc>
        <w:tc>
          <w:tcPr>
            <w:tcW w:w="786" w:type="pct"/>
          </w:tcPr>
          <w:p w14:paraId="4060C04F" w14:textId="77777777" w:rsidR="00F00A00" w:rsidRDefault="00F00A00" w:rsidP="00C47CBE">
            <w:pPr>
              <w:pStyle w:val="TableBody"/>
            </w:pPr>
            <w:r>
              <w:t>16</w:t>
            </w:r>
          </w:p>
        </w:tc>
        <w:tc>
          <w:tcPr>
            <w:tcW w:w="903" w:type="pct"/>
          </w:tcPr>
          <w:p w14:paraId="5ABE7BBD" w14:textId="77777777" w:rsidR="00F00A00" w:rsidRDefault="00F00A00" w:rsidP="00C47CBE">
            <w:pPr>
              <w:pStyle w:val="TableBody"/>
            </w:pPr>
            <w:r>
              <w:t>18.8%</w:t>
            </w:r>
          </w:p>
        </w:tc>
      </w:tr>
      <w:tr w:rsidR="00F00A00" w14:paraId="45EE531B" w14:textId="77777777" w:rsidTr="000B150C">
        <w:trPr>
          <w:trHeight w:val="60"/>
        </w:trPr>
        <w:tc>
          <w:tcPr>
            <w:tcW w:w="1704" w:type="pct"/>
          </w:tcPr>
          <w:p w14:paraId="3D8711D1" w14:textId="77777777" w:rsidR="00F00A00" w:rsidRDefault="00F00A00" w:rsidP="00C47CBE">
            <w:pPr>
              <w:pStyle w:val="TableBody"/>
            </w:pPr>
            <w:r>
              <w:lastRenderedPageBreak/>
              <w:t>Use carriage service to procure a child aged under 16 for sexual activity</w:t>
            </w:r>
          </w:p>
        </w:tc>
        <w:tc>
          <w:tcPr>
            <w:tcW w:w="786" w:type="pct"/>
          </w:tcPr>
          <w:p w14:paraId="01C3498F" w14:textId="77777777" w:rsidR="00F00A00" w:rsidRDefault="00F00A00" w:rsidP="00C47CBE">
            <w:pPr>
              <w:pStyle w:val="TableBody"/>
            </w:pPr>
            <w:r>
              <w:t>3</w:t>
            </w:r>
          </w:p>
        </w:tc>
        <w:tc>
          <w:tcPr>
            <w:tcW w:w="820" w:type="pct"/>
          </w:tcPr>
          <w:p w14:paraId="3BE9A321" w14:textId="77777777" w:rsidR="00F00A00" w:rsidRDefault="00F00A00" w:rsidP="00C47CBE">
            <w:pPr>
              <w:pStyle w:val="TableBody"/>
            </w:pPr>
            <w:r>
              <w:t>0.3%</w:t>
            </w:r>
          </w:p>
        </w:tc>
        <w:tc>
          <w:tcPr>
            <w:tcW w:w="786" w:type="pct"/>
          </w:tcPr>
          <w:p w14:paraId="0D23FAF7" w14:textId="77777777" w:rsidR="00F00A00" w:rsidRDefault="00F00A00" w:rsidP="00C47CBE">
            <w:pPr>
              <w:pStyle w:val="TableBody"/>
            </w:pPr>
            <w:r>
              <w:t>23</w:t>
            </w:r>
          </w:p>
        </w:tc>
        <w:tc>
          <w:tcPr>
            <w:tcW w:w="903" w:type="pct"/>
          </w:tcPr>
          <w:p w14:paraId="385F9545" w14:textId="77777777" w:rsidR="00F00A00" w:rsidRDefault="00F00A00" w:rsidP="00C47CBE">
            <w:pPr>
              <w:pStyle w:val="TableBody"/>
            </w:pPr>
            <w:r>
              <w:t>13.0%</w:t>
            </w:r>
          </w:p>
        </w:tc>
      </w:tr>
      <w:tr w:rsidR="00F00A00" w14:paraId="417C6A52" w14:textId="77777777" w:rsidTr="000B150C">
        <w:trPr>
          <w:trHeight w:val="60"/>
        </w:trPr>
        <w:tc>
          <w:tcPr>
            <w:tcW w:w="1704" w:type="pct"/>
          </w:tcPr>
          <w:p w14:paraId="62F700E2" w14:textId="77777777" w:rsidR="00F00A00" w:rsidRDefault="00F00A00" w:rsidP="00C47CBE">
            <w:pPr>
              <w:pStyle w:val="TableBody"/>
            </w:pPr>
            <w:r>
              <w:t>Aggravated home invasion</w:t>
            </w:r>
          </w:p>
        </w:tc>
        <w:tc>
          <w:tcPr>
            <w:tcW w:w="786" w:type="pct"/>
          </w:tcPr>
          <w:p w14:paraId="38E9C248" w14:textId="77777777" w:rsidR="00F00A00" w:rsidRDefault="00F00A00" w:rsidP="00C47CBE">
            <w:pPr>
              <w:pStyle w:val="TableBody"/>
            </w:pPr>
            <w:r>
              <w:t>2</w:t>
            </w:r>
          </w:p>
        </w:tc>
        <w:tc>
          <w:tcPr>
            <w:tcW w:w="820" w:type="pct"/>
          </w:tcPr>
          <w:p w14:paraId="7ACF185F" w14:textId="77777777" w:rsidR="00F00A00" w:rsidRDefault="00F00A00" w:rsidP="00C47CBE">
            <w:pPr>
              <w:pStyle w:val="TableBody"/>
            </w:pPr>
            <w:r>
              <w:t>0.2%</w:t>
            </w:r>
          </w:p>
        </w:tc>
        <w:tc>
          <w:tcPr>
            <w:tcW w:w="786" w:type="pct"/>
          </w:tcPr>
          <w:p w14:paraId="75E6FB01" w14:textId="77777777" w:rsidR="00F00A00" w:rsidRDefault="00F00A00" w:rsidP="00C47CBE">
            <w:pPr>
              <w:pStyle w:val="TableBody"/>
            </w:pPr>
            <w:r>
              <w:t>12</w:t>
            </w:r>
          </w:p>
        </w:tc>
        <w:tc>
          <w:tcPr>
            <w:tcW w:w="903" w:type="pct"/>
          </w:tcPr>
          <w:p w14:paraId="3938575D" w14:textId="77777777" w:rsidR="00F00A00" w:rsidRDefault="00F00A00" w:rsidP="00C47CBE">
            <w:pPr>
              <w:pStyle w:val="TableBody"/>
            </w:pPr>
            <w:r>
              <w:t>16.7%</w:t>
            </w:r>
          </w:p>
        </w:tc>
      </w:tr>
      <w:tr w:rsidR="00F00A00" w14:paraId="7403E7C2" w14:textId="77777777" w:rsidTr="000B150C">
        <w:trPr>
          <w:trHeight w:val="60"/>
        </w:trPr>
        <w:tc>
          <w:tcPr>
            <w:tcW w:w="1704" w:type="pct"/>
          </w:tcPr>
          <w:p w14:paraId="5D0795F7" w14:textId="77777777" w:rsidR="00F00A00" w:rsidRDefault="00F00A00" w:rsidP="00C47CBE">
            <w:pPr>
              <w:pStyle w:val="TableBody"/>
            </w:pPr>
            <w:r>
              <w:t>Intend to procure a child aged under 16 for sexual activity outside Australia</w:t>
            </w:r>
          </w:p>
        </w:tc>
        <w:tc>
          <w:tcPr>
            <w:tcW w:w="786" w:type="pct"/>
          </w:tcPr>
          <w:p w14:paraId="07111E31" w14:textId="77777777" w:rsidR="00F00A00" w:rsidRDefault="00F00A00" w:rsidP="00C47CBE">
            <w:pPr>
              <w:pStyle w:val="TableBody"/>
            </w:pPr>
            <w:r>
              <w:t>2</w:t>
            </w:r>
          </w:p>
        </w:tc>
        <w:tc>
          <w:tcPr>
            <w:tcW w:w="820" w:type="pct"/>
          </w:tcPr>
          <w:p w14:paraId="36C00223" w14:textId="77777777" w:rsidR="00F00A00" w:rsidRDefault="00F00A00" w:rsidP="00C47CBE">
            <w:pPr>
              <w:pStyle w:val="TableBody"/>
            </w:pPr>
            <w:r>
              <w:t>0.2%</w:t>
            </w:r>
          </w:p>
        </w:tc>
        <w:tc>
          <w:tcPr>
            <w:tcW w:w="786" w:type="pct"/>
          </w:tcPr>
          <w:p w14:paraId="7F1EC55D" w14:textId="77777777" w:rsidR="00F00A00" w:rsidRDefault="00F00A00" w:rsidP="00C47CBE">
            <w:pPr>
              <w:pStyle w:val="TableBody"/>
            </w:pPr>
            <w:r>
              <w:t>11</w:t>
            </w:r>
          </w:p>
        </w:tc>
        <w:tc>
          <w:tcPr>
            <w:tcW w:w="903" w:type="pct"/>
          </w:tcPr>
          <w:p w14:paraId="5A867A05" w14:textId="77777777" w:rsidR="00F00A00" w:rsidRDefault="00F00A00" w:rsidP="00C47CBE">
            <w:pPr>
              <w:pStyle w:val="TableBody"/>
            </w:pPr>
            <w:r>
              <w:t>18.2%</w:t>
            </w:r>
          </w:p>
        </w:tc>
      </w:tr>
      <w:tr w:rsidR="00F00A00" w14:paraId="0B00325D" w14:textId="77777777" w:rsidTr="000B150C">
        <w:trPr>
          <w:trHeight w:val="60"/>
        </w:trPr>
        <w:tc>
          <w:tcPr>
            <w:tcW w:w="1704" w:type="pct"/>
          </w:tcPr>
          <w:p w14:paraId="54DEE46D" w14:textId="77777777" w:rsidR="00F00A00" w:rsidRDefault="00F00A00" w:rsidP="00C47CBE">
            <w:pPr>
              <w:pStyle w:val="TableBody"/>
            </w:pPr>
            <w:r>
              <w:t>Knowingly possess child pornography</w:t>
            </w:r>
          </w:p>
        </w:tc>
        <w:tc>
          <w:tcPr>
            <w:tcW w:w="786" w:type="pct"/>
          </w:tcPr>
          <w:p w14:paraId="05EE199F" w14:textId="77777777" w:rsidR="00F00A00" w:rsidRDefault="00F00A00" w:rsidP="00C47CBE">
            <w:pPr>
              <w:pStyle w:val="TableBody"/>
            </w:pPr>
            <w:r>
              <w:t>2</w:t>
            </w:r>
          </w:p>
        </w:tc>
        <w:tc>
          <w:tcPr>
            <w:tcW w:w="820" w:type="pct"/>
          </w:tcPr>
          <w:p w14:paraId="1A598B15" w14:textId="77777777" w:rsidR="00F00A00" w:rsidRDefault="00F00A00" w:rsidP="00C47CBE">
            <w:pPr>
              <w:pStyle w:val="TableBody"/>
            </w:pPr>
            <w:r>
              <w:t>0.2%</w:t>
            </w:r>
          </w:p>
        </w:tc>
        <w:tc>
          <w:tcPr>
            <w:tcW w:w="786" w:type="pct"/>
          </w:tcPr>
          <w:p w14:paraId="78395F72" w14:textId="77777777" w:rsidR="00F00A00" w:rsidRDefault="00F00A00" w:rsidP="00C47CBE">
            <w:pPr>
              <w:pStyle w:val="TableBody"/>
            </w:pPr>
            <w:r>
              <w:t>47</w:t>
            </w:r>
          </w:p>
        </w:tc>
        <w:tc>
          <w:tcPr>
            <w:tcW w:w="903" w:type="pct"/>
          </w:tcPr>
          <w:p w14:paraId="4C0F88CE" w14:textId="77777777" w:rsidR="00F00A00" w:rsidRDefault="00F00A00" w:rsidP="00C47CBE">
            <w:pPr>
              <w:pStyle w:val="TableBody"/>
            </w:pPr>
            <w:r>
              <w:t>4.3%</w:t>
            </w:r>
          </w:p>
        </w:tc>
      </w:tr>
      <w:tr w:rsidR="00F00A00" w14:paraId="2664ED98" w14:textId="77777777" w:rsidTr="000B150C">
        <w:trPr>
          <w:trHeight w:val="60"/>
        </w:trPr>
        <w:tc>
          <w:tcPr>
            <w:tcW w:w="1704" w:type="pct"/>
          </w:tcPr>
          <w:p w14:paraId="2198C000" w14:textId="77777777" w:rsidR="00F00A00" w:rsidRDefault="00F00A00" w:rsidP="00C47CBE">
            <w:pPr>
              <w:pStyle w:val="TableBody"/>
            </w:pPr>
            <w:r>
              <w:t>Manslaughter</w:t>
            </w:r>
          </w:p>
        </w:tc>
        <w:tc>
          <w:tcPr>
            <w:tcW w:w="786" w:type="pct"/>
          </w:tcPr>
          <w:p w14:paraId="7C0A8BE6" w14:textId="77777777" w:rsidR="00F00A00" w:rsidRDefault="00F00A00" w:rsidP="00C47CBE">
            <w:pPr>
              <w:pStyle w:val="TableBody"/>
            </w:pPr>
            <w:r>
              <w:t>2</w:t>
            </w:r>
          </w:p>
        </w:tc>
        <w:tc>
          <w:tcPr>
            <w:tcW w:w="820" w:type="pct"/>
          </w:tcPr>
          <w:p w14:paraId="3BA5F6D5" w14:textId="77777777" w:rsidR="00F00A00" w:rsidRDefault="00F00A00" w:rsidP="00C47CBE">
            <w:pPr>
              <w:pStyle w:val="TableBody"/>
            </w:pPr>
            <w:r>
              <w:t>0.2%</w:t>
            </w:r>
          </w:p>
        </w:tc>
        <w:tc>
          <w:tcPr>
            <w:tcW w:w="786" w:type="pct"/>
          </w:tcPr>
          <w:p w14:paraId="68FB2204" w14:textId="77777777" w:rsidR="00F00A00" w:rsidRDefault="00F00A00" w:rsidP="00C47CBE">
            <w:pPr>
              <w:pStyle w:val="TableBody"/>
            </w:pPr>
            <w:r>
              <w:t>21</w:t>
            </w:r>
          </w:p>
        </w:tc>
        <w:tc>
          <w:tcPr>
            <w:tcW w:w="903" w:type="pct"/>
          </w:tcPr>
          <w:p w14:paraId="0554EF17" w14:textId="77777777" w:rsidR="00F00A00" w:rsidRDefault="00F00A00" w:rsidP="00C47CBE">
            <w:pPr>
              <w:pStyle w:val="TableBody"/>
            </w:pPr>
            <w:r>
              <w:t>9.5%</w:t>
            </w:r>
          </w:p>
        </w:tc>
      </w:tr>
      <w:tr w:rsidR="00F00A00" w14:paraId="5A5CCDE0" w14:textId="77777777" w:rsidTr="000B150C">
        <w:trPr>
          <w:trHeight w:val="60"/>
        </w:trPr>
        <w:tc>
          <w:tcPr>
            <w:tcW w:w="1704" w:type="pct"/>
          </w:tcPr>
          <w:p w14:paraId="08FBA874" w14:textId="77777777" w:rsidR="00F00A00" w:rsidRDefault="00F00A00" w:rsidP="00C47CBE">
            <w:pPr>
              <w:pStyle w:val="TableBody"/>
            </w:pPr>
            <w:r>
              <w:t>Murder</w:t>
            </w:r>
          </w:p>
        </w:tc>
        <w:tc>
          <w:tcPr>
            <w:tcW w:w="786" w:type="pct"/>
          </w:tcPr>
          <w:p w14:paraId="397A2183" w14:textId="77777777" w:rsidR="00F00A00" w:rsidRDefault="00F00A00" w:rsidP="00C47CBE">
            <w:pPr>
              <w:pStyle w:val="TableBody"/>
            </w:pPr>
            <w:r>
              <w:t>2</w:t>
            </w:r>
          </w:p>
        </w:tc>
        <w:tc>
          <w:tcPr>
            <w:tcW w:w="820" w:type="pct"/>
          </w:tcPr>
          <w:p w14:paraId="1D648159" w14:textId="77777777" w:rsidR="00F00A00" w:rsidRDefault="00F00A00" w:rsidP="00C47CBE">
            <w:pPr>
              <w:pStyle w:val="TableBody"/>
            </w:pPr>
            <w:r>
              <w:t>0.2%</w:t>
            </w:r>
          </w:p>
        </w:tc>
        <w:tc>
          <w:tcPr>
            <w:tcW w:w="786" w:type="pct"/>
          </w:tcPr>
          <w:p w14:paraId="33C2F63E" w14:textId="77777777" w:rsidR="00F00A00" w:rsidRDefault="00F00A00" w:rsidP="00C47CBE">
            <w:pPr>
              <w:pStyle w:val="TableBody"/>
            </w:pPr>
            <w:r>
              <w:t>35</w:t>
            </w:r>
          </w:p>
        </w:tc>
        <w:tc>
          <w:tcPr>
            <w:tcW w:w="903" w:type="pct"/>
          </w:tcPr>
          <w:p w14:paraId="596D8A3B" w14:textId="77777777" w:rsidR="00F00A00" w:rsidRDefault="00F00A00" w:rsidP="00C47CBE">
            <w:pPr>
              <w:pStyle w:val="TableBody"/>
            </w:pPr>
            <w:r>
              <w:t>5.7%</w:t>
            </w:r>
          </w:p>
        </w:tc>
      </w:tr>
      <w:tr w:rsidR="00F00A00" w14:paraId="58147F1C" w14:textId="77777777" w:rsidTr="000B150C">
        <w:trPr>
          <w:trHeight w:val="60"/>
        </w:trPr>
        <w:tc>
          <w:tcPr>
            <w:tcW w:w="1704" w:type="pct"/>
          </w:tcPr>
          <w:p w14:paraId="3552FF6A" w14:textId="77777777" w:rsidR="00F00A00" w:rsidRDefault="00F00A00" w:rsidP="00C47CBE">
            <w:pPr>
              <w:pStyle w:val="TableBody"/>
            </w:pPr>
            <w:r>
              <w:t>Use carriage service to transmit indecent communications to a child aged under 16</w:t>
            </w:r>
          </w:p>
        </w:tc>
        <w:tc>
          <w:tcPr>
            <w:tcW w:w="786" w:type="pct"/>
          </w:tcPr>
          <w:p w14:paraId="4C1D54B5" w14:textId="77777777" w:rsidR="00F00A00" w:rsidRDefault="00F00A00" w:rsidP="00C47CBE">
            <w:pPr>
              <w:pStyle w:val="TableBody"/>
            </w:pPr>
            <w:r>
              <w:t>2</w:t>
            </w:r>
          </w:p>
        </w:tc>
        <w:tc>
          <w:tcPr>
            <w:tcW w:w="820" w:type="pct"/>
          </w:tcPr>
          <w:p w14:paraId="1C477D5F" w14:textId="77777777" w:rsidR="00F00A00" w:rsidRDefault="00F00A00" w:rsidP="00C47CBE">
            <w:pPr>
              <w:pStyle w:val="TableBody"/>
            </w:pPr>
            <w:r>
              <w:t>0.2%</w:t>
            </w:r>
          </w:p>
        </w:tc>
        <w:tc>
          <w:tcPr>
            <w:tcW w:w="786" w:type="pct"/>
          </w:tcPr>
          <w:p w14:paraId="7DA16246" w14:textId="77777777" w:rsidR="00F00A00" w:rsidRDefault="00F00A00" w:rsidP="00C47CBE">
            <w:pPr>
              <w:pStyle w:val="TableBody"/>
            </w:pPr>
            <w:r>
              <w:t>35</w:t>
            </w:r>
          </w:p>
        </w:tc>
        <w:tc>
          <w:tcPr>
            <w:tcW w:w="903" w:type="pct"/>
          </w:tcPr>
          <w:p w14:paraId="3344238C" w14:textId="77777777" w:rsidR="00F00A00" w:rsidRDefault="00F00A00" w:rsidP="00C47CBE">
            <w:pPr>
              <w:pStyle w:val="TableBody"/>
            </w:pPr>
            <w:r>
              <w:t>5.7%</w:t>
            </w:r>
          </w:p>
        </w:tc>
      </w:tr>
      <w:tr w:rsidR="00F00A00" w14:paraId="69B9E2A5" w14:textId="77777777" w:rsidTr="000B150C">
        <w:trPr>
          <w:trHeight w:val="60"/>
        </w:trPr>
        <w:tc>
          <w:tcPr>
            <w:tcW w:w="1704" w:type="pct"/>
          </w:tcPr>
          <w:p w14:paraId="255D396E" w14:textId="77777777" w:rsidR="00F00A00" w:rsidRDefault="00F00A00" w:rsidP="00C47CBE">
            <w:pPr>
              <w:pStyle w:val="TableBody"/>
            </w:pPr>
            <w:r>
              <w:t>Attempted sexual assault</w:t>
            </w:r>
          </w:p>
        </w:tc>
        <w:tc>
          <w:tcPr>
            <w:tcW w:w="786" w:type="pct"/>
          </w:tcPr>
          <w:p w14:paraId="0470E5CA" w14:textId="77777777" w:rsidR="00F00A00" w:rsidRDefault="00F00A00" w:rsidP="00C47CBE">
            <w:pPr>
              <w:pStyle w:val="TableBody"/>
            </w:pPr>
            <w:r>
              <w:t>1</w:t>
            </w:r>
          </w:p>
        </w:tc>
        <w:tc>
          <w:tcPr>
            <w:tcW w:w="820" w:type="pct"/>
          </w:tcPr>
          <w:p w14:paraId="7A2C2C07" w14:textId="77777777" w:rsidR="00F00A00" w:rsidRDefault="00F00A00" w:rsidP="00C47CBE">
            <w:pPr>
              <w:pStyle w:val="TableBody"/>
            </w:pPr>
            <w:r>
              <w:t>0.1%</w:t>
            </w:r>
          </w:p>
        </w:tc>
        <w:tc>
          <w:tcPr>
            <w:tcW w:w="786" w:type="pct"/>
          </w:tcPr>
          <w:p w14:paraId="0BA20AD9" w14:textId="77777777" w:rsidR="00F00A00" w:rsidRDefault="00F00A00" w:rsidP="00C47CBE">
            <w:pPr>
              <w:pStyle w:val="TableBody"/>
            </w:pPr>
            <w:r>
              <w:t>1</w:t>
            </w:r>
          </w:p>
        </w:tc>
        <w:tc>
          <w:tcPr>
            <w:tcW w:w="903" w:type="pct"/>
          </w:tcPr>
          <w:p w14:paraId="6286D583" w14:textId="77777777" w:rsidR="00F00A00" w:rsidRDefault="00F00A00" w:rsidP="00C47CBE">
            <w:pPr>
              <w:pStyle w:val="TableBody"/>
            </w:pPr>
            <w:r>
              <w:t>100.0%</w:t>
            </w:r>
          </w:p>
        </w:tc>
      </w:tr>
      <w:tr w:rsidR="00F00A00" w14:paraId="0539A5DA" w14:textId="77777777" w:rsidTr="000B150C">
        <w:trPr>
          <w:trHeight w:val="60"/>
        </w:trPr>
        <w:tc>
          <w:tcPr>
            <w:tcW w:w="1704" w:type="pct"/>
          </w:tcPr>
          <w:p w14:paraId="1B38CEE7" w14:textId="77777777" w:rsidR="00F00A00" w:rsidRDefault="00F00A00" w:rsidP="00C47CBE">
            <w:pPr>
              <w:pStyle w:val="TableBody"/>
            </w:pPr>
            <w:r>
              <w:t>Intentionally causing serious injury in circumstances of gross violence</w:t>
            </w:r>
          </w:p>
        </w:tc>
        <w:tc>
          <w:tcPr>
            <w:tcW w:w="786" w:type="pct"/>
          </w:tcPr>
          <w:p w14:paraId="6D662A2A" w14:textId="77777777" w:rsidR="00F00A00" w:rsidRDefault="00F00A00" w:rsidP="00C47CBE">
            <w:pPr>
              <w:pStyle w:val="TableBody"/>
            </w:pPr>
            <w:r>
              <w:t>1</w:t>
            </w:r>
          </w:p>
        </w:tc>
        <w:tc>
          <w:tcPr>
            <w:tcW w:w="820" w:type="pct"/>
          </w:tcPr>
          <w:p w14:paraId="036C7A95" w14:textId="77777777" w:rsidR="00F00A00" w:rsidRDefault="00F00A00" w:rsidP="00C47CBE">
            <w:pPr>
              <w:pStyle w:val="TableBody"/>
            </w:pPr>
            <w:r>
              <w:t>0.1%</w:t>
            </w:r>
          </w:p>
        </w:tc>
        <w:tc>
          <w:tcPr>
            <w:tcW w:w="786" w:type="pct"/>
          </w:tcPr>
          <w:p w14:paraId="73A75A34" w14:textId="77777777" w:rsidR="00F00A00" w:rsidRDefault="00F00A00" w:rsidP="00C47CBE">
            <w:pPr>
              <w:pStyle w:val="TableBody"/>
            </w:pPr>
            <w:r>
              <w:t>6</w:t>
            </w:r>
          </w:p>
        </w:tc>
        <w:tc>
          <w:tcPr>
            <w:tcW w:w="903" w:type="pct"/>
          </w:tcPr>
          <w:p w14:paraId="763C5FF1" w14:textId="77777777" w:rsidR="00F00A00" w:rsidRDefault="00F00A00" w:rsidP="00C47CBE">
            <w:pPr>
              <w:pStyle w:val="TableBody"/>
            </w:pPr>
            <w:r>
              <w:t>16.7%</w:t>
            </w:r>
          </w:p>
        </w:tc>
      </w:tr>
      <w:tr w:rsidR="00F00A00" w14:paraId="39854265" w14:textId="77777777" w:rsidTr="000B150C">
        <w:trPr>
          <w:trHeight w:val="60"/>
        </w:trPr>
        <w:tc>
          <w:tcPr>
            <w:tcW w:w="1704" w:type="pct"/>
          </w:tcPr>
          <w:p w14:paraId="0F9C5512" w14:textId="77777777" w:rsidR="00F00A00" w:rsidRDefault="00F00A00" w:rsidP="00C47CBE">
            <w:pPr>
              <w:pStyle w:val="TableBody"/>
            </w:pPr>
            <w:r>
              <w:t>Kidnapping (common law)</w:t>
            </w:r>
          </w:p>
        </w:tc>
        <w:tc>
          <w:tcPr>
            <w:tcW w:w="786" w:type="pct"/>
          </w:tcPr>
          <w:p w14:paraId="7B7841D7" w14:textId="77777777" w:rsidR="00F00A00" w:rsidRDefault="00F00A00" w:rsidP="00C47CBE">
            <w:pPr>
              <w:pStyle w:val="TableBody"/>
            </w:pPr>
            <w:r>
              <w:t>1</w:t>
            </w:r>
          </w:p>
        </w:tc>
        <w:tc>
          <w:tcPr>
            <w:tcW w:w="820" w:type="pct"/>
          </w:tcPr>
          <w:p w14:paraId="4F82DF0C" w14:textId="77777777" w:rsidR="00F00A00" w:rsidRDefault="00F00A00" w:rsidP="00C47CBE">
            <w:pPr>
              <w:pStyle w:val="TableBody"/>
            </w:pPr>
            <w:r>
              <w:t>0.1%</w:t>
            </w:r>
          </w:p>
        </w:tc>
        <w:tc>
          <w:tcPr>
            <w:tcW w:w="786" w:type="pct"/>
          </w:tcPr>
          <w:p w14:paraId="6AB3B8A2" w14:textId="77777777" w:rsidR="00F00A00" w:rsidRDefault="00F00A00" w:rsidP="00C47CBE">
            <w:pPr>
              <w:pStyle w:val="TableBody"/>
            </w:pPr>
            <w:r>
              <w:t>10</w:t>
            </w:r>
          </w:p>
        </w:tc>
        <w:tc>
          <w:tcPr>
            <w:tcW w:w="903" w:type="pct"/>
          </w:tcPr>
          <w:p w14:paraId="0BBF0090" w14:textId="77777777" w:rsidR="00F00A00" w:rsidRDefault="00F00A00" w:rsidP="00C47CBE">
            <w:pPr>
              <w:pStyle w:val="TableBody"/>
            </w:pPr>
            <w:r>
              <w:t>10.0%</w:t>
            </w:r>
          </w:p>
        </w:tc>
      </w:tr>
      <w:tr w:rsidR="00F00A00" w14:paraId="3A471FDA" w14:textId="77777777" w:rsidTr="000B150C">
        <w:trPr>
          <w:trHeight w:val="60"/>
        </w:trPr>
        <w:tc>
          <w:tcPr>
            <w:tcW w:w="1704" w:type="pct"/>
          </w:tcPr>
          <w:p w14:paraId="4850EB5E" w14:textId="77777777" w:rsidR="00F00A00" w:rsidRDefault="00F00A00" w:rsidP="00C47CBE">
            <w:pPr>
              <w:pStyle w:val="TableBody"/>
            </w:pPr>
            <w:r>
              <w:t>Other serious offences</w:t>
            </w:r>
          </w:p>
        </w:tc>
        <w:tc>
          <w:tcPr>
            <w:tcW w:w="786" w:type="pct"/>
          </w:tcPr>
          <w:p w14:paraId="63624459" w14:textId="77777777" w:rsidR="00F00A00" w:rsidRDefault="00F00A00" w:rsidP="00C47CBE">
            <w:pPr>
              <w:pStyle w:val="TableBody"/>
            </w:pPr>
            <w:r>
              <w:t>0</w:t>
            </w:r>
          </w:p>
        </w:tc>
        <w:tc>
          <w:tcPr>
            <w:tcW w:w="820" w:type="pct"/>
          </w:tcPr>
          <w:p w14:paraId="4BE4E3F2" w14:textId="77777777" w:rsidR="00F00A00" w:rsidRDefault="00F00A00" w:rsidP="00C47CBE">
            <w:pPr>
              <w:pStyle w:val="TableBody"/>
            </w:pPr>
            <w:r>
              <w:t>0.0%</w:t>
            </w:r>
          </w:p>
        </w:tc>
        <w:tc>
          <w:tcPr>
            <w:tcW w:w="786" w:type="pct"/>
          </w:tcPr>
          <w:p w14:paraId="27099E0C" w14:textId="77777777" w:rsidR="00F00A00" w:rsidRDefault="00F00A00" w:rsidP="00C47CBE">
            <w:pPr>
              <w:pStyle w:val="TableBody"/>
            </w:pPr>
            <w:r>
              <w:t>599</w:t>
            </w:r>
          </w:p>
        </w:tc>
        <w:tc>
          <w:tcPr>
            <w:tcW w:w="903" w:type="pct"/>
          </w:tcPr>
          <w:p w14:paraId="3700F1C0" w14:textId="77777777" w:rsidR="00F00A00" w:rsidRDefault="00F00A00" w:rsidP="00C47CBE">
            <w:pPr>
              <w:pStyle w:val="TableBody"/>
            </w:pPr>
            <w:r>
              <w:t>0.0%</w:t>
            </w:r>
          </w:p>
        </w:tc>
      </w:tr>
      <w:tr w:rsidR="00F00A00" w14:paraId="73AC78BB" w14:textId="77777777" w:rsidTr="000B150C">
        <w:trPr>
          <w:trHeight w:val="60"/>
        </w:trPr>
        <w:tc>
          <w:tcPr>
            <w:tcW w:w="1704" w:type="pct"/>
          </w:tcPr>
          <w:p w14:paraId="559DC483" w14:textId="77777777" w:rsidR="00F00A00" w:rsidRPr="00A14C65" w:rsidRDefault="00F00A00" w:rsidP="00C47CBE">
            <w:pPr>
              <w:pStyle w:val="TableBody"/>
              <w:rPr>
                <w:rStyle w:val="Strong"/>
              </w:rPr>
            </w:pPr>
            <w:r w:rsidRPr="00A14C65">
              <w:rPr>
                <w:rStyle w:val="Strong"/>
              </w:rPr>
              <w:t>Total</w:t>
            </w:r>
          </w:p>
        </w:tc>
        <w:tc>
          <w:tcPr>
            <w:tcW w:w="786" w:type="pct"/>
          </w:tcPr>
          <w:p w14:paraId="2088B906" w14:textId="77777777" w:rsidR="00F00A00" w:rsidRPr="00A14C65" w:rsidRDefault="00F00A00" w:rsidP="00C47CBE">
            <w:pPr>
              <w:pStyle w:val="TableBody"/>
              <w:rPr>
                <w:rStyle w:val="Strong"/>
              </w:rPr>
            </w:pPr>
            <w:r w:rsidRPr="00A14C65">
              <w:rPr>
                <w:rStyle w:val="Strong"/>
              </w:rPr>
              <w:t>914</w:t>
            </w:r>
          </w:p>
        </w:tc>
        <w:tc>
          <w:tcPr>
            <w:tcW w:w="820" w:type="pct"/>
          </w:tcPr>
          <w:p w14:paraId="382ED014" w14:textId="77777777" w:rsidR="00F00A00" w:rsidRPr="00A14C65" w:rsidRDefault="00F00A00" w:rsidP="00C47CBE">
            <w:pPr>
              <w:pStyle w:val="TableBody"/>
              <w:rPr>
                <w:rStyle w:val="Strong"/>
              </w:rPr>
            </w:pPr>
            <w:r w:rsidRPr="00A14C65">
              <w:rPr>
                <w:rStyle w:val="Strong"/>
              </w:rPr>
              <w:t>100.0%</w:t>
            </w:r>
          </w:p>
        </w:tc>
        <w:tc>
          <w:tcPr>
            <w:tcW w:w="786" w:type="pct"/>
          </w:tcPr>
          <w:p w14:paraId="76F1723E" w14:textId="77777777" w:rsidR="00F00A00" w:rsidRPr="00A14C65" w:rsidRDefault="00F00A00" w:rsidP="00C47CBE">
            <w:pPr>
              <w:pStyle w:val="TableBody"/>
              <w:rPr>
                <w:rStyle w:val="Strong"/>
              </w:rPr>
            </w:pPr>
            <w:r w:rsidRPr="00A14C65">
              <w:rPr>
                <w:rStyle w:val="Strong"/>
              </w:rPr>
              <w:t>6,218</w:t>
            </w:r>
          </w:p>
        </w:tc>
        <w:tc>
          <w:tcPr>
            <w:tcW w:w="903" w:type="pct"/>
          </w:tcPr>
          <w:p w14:paraId="27B8B2B4" w14:textId="77777777" w:rsidR="00F00A00" w:rsidRPr="00A14C65" w:rsidRDefault="00F00A00" w:rsidP="00C47CBE">
            <w:pPr>
              <w:pStyle w:val="TableBody"/>
              <w:rPr>
                <w:rStyle w:val="Strong"/>
              </w:rPr>
            </w:pPr>
            <w:r w:rsidRPr="00A14C65">
              <w:rPr>
                <w:rStyle w:val="Strong"/>
              </w:rPr>
              <w:t>14.7%</w:t>
            </w:r>
          </w:p>
        </w:tc>
      </w:tr>
    </w:tbl>
    <w:p w14:paraId="3E3B9DE9" w14:textId="77777777" w:rsidR="00F00A00" w:rsidRDefault="00F00A00" w:rsidP="00210D5D">
      <w:pPr>
        <w:pStyle w:val="Note"/>
      </w:pPr>
      <w:r>
        <w:t>*Only includes a count of offences committed before 3 September 2018, after which this was no longer defined as a serious offence.</w:t>
      </w:r>
    </w:p>
    <w:p w14:paraId="1025B955" w14:textId="77777777" w:rsidR="00F00A00" w:rsidRPr="007E1FB1" w:rsidRDefault="00F00A00" w:rsidP="007E1FB1">
      <w:pPr>
        <w:pStyle w:val="Heading1"/>
      </w:pPr>
      <w:bookmarkStart w:id="15" w:name="_Toc43722749"/>
      <w:r w:rsidRPr="007E1FB1">
        <w:t>References</w:t>
      </w:r>
      <w:bookmarkEnd w:id="15"/>
    </w:p>
    <w:p w14:paraId="1243A283" w14:textId="77777777" w:rsidR="00F00A00" w:rsidRPr="00A14C65" w:rsidRDefault="00F00A00" w:rsidP="00A14C65">
      <w:pPr>
        <w:pStyle w:val="Heading2"/>
      </w:pPr>
      <w:r w:rsidRPr="00A14C65">
        <w:t>Bibliography</w:t>
      </w:r>
    </w:p>
    <w:p w14:paraId="47BE2AA5" w14:textId="77777777" w:rsidR="00F00A00" w:rsidRDefault="00F00A00" w:rsidP="00A14C65">
      <w:r>
        <w:t xml:space="preserve">Sentencing Advisory Council, </w:t>
      </w:r>
      <w:r w:rsidRPr="00A14C65">
        <w:rPr>
          <w:rStyle w:val="Emphasis"/>
        </w:rPr>
        <w:t xml:space="preserve">Community Correction Orders in the Higher Courts: Imposition, Duration, and Conditions </w:t>
      </w:r>
      <w:r>
        <w:t>(Sentencing Advisory Council, 2014) &lt;https://www.sentencingcouncil.vic.gov.au/publications/community-correction-orders-higher-courts-imposition-duration-and-conditions&gt;.</w:t>
      </w:r>
    </w:p>
    <w:p w14:paraId="6576D87A" w14:textId="77777777" w:rsidR="00F00A00" w:rsidRDefault="00F00A00" w:rsidP="00A14C65">
      <w:r>
        <w:lastRenderedPageBreak/>
        <w:t xml:space="preserve">Sentencing Advisory Council, </w:t>
      </w:r>
      <w:r w:rsidRPr="00A14C65">
        <w:rPr>
          <w:rStyle w:val="Emphasis"/>
        </w:rPr>
        <w:t>Community Correction Orders: Monitoring Report</w:t>
      </w:r>
      <w:r>
        <w:t xml:space="preserve"> (Sentencing Advisory Council, 2014) &lt;https://www.sentencingcouncil.vic.gov.au/publications/community-correction-orders-monitoring-report&gt;.</w:t>
      </w:r>
    </w:p>
    <w:p w14:paraId="1B5BA6AD" w14:textId="77777777" w:rsidR="00F00A00" w:rsidRDefault="00F00A00" w:rsidP="00A14C65">
      <w:r>
        <w:t xml:space="preserve">Sentencing Advisory Council, </w:t>
      </w:r>
      <w:r w:rsidRPr="00A14C65">
        <w:rPr>
          <w:rStyle w:val="Emphasis"/>
        </w:rPr>
        <w:t xml:space="preserve">Community Correction Orders: Second Monitoring Report (Pre-Guideline Judgment) </w:t>
      </w:r>
      <w:r>
        <w:t>(Sentencing Advisory Council, 2015) &lt;https://www.sentencingcouncil.vic.gov.au/publications/community-correction-orders-second-monitoring-report-pre-guideline-judgment&gt;.</w:t>
      </w:r>
    </w:p>
    <w:p w14:paraId="2615F2F9" w14:textId="77777777" w:rsidR="00F00A00" w:rsidRDefault="00F00A00" w:rsidP="00A14C65">
      <w:r>
        <w:t xml:space="preserve">Sentencing Advisory Council, </w:t>
      </w:r>
      <w:r w:rsidRPr="00A14C65">
        <w:rPr>
          <w:rStyle w:val="Emphasis"/>
        </w:rPr>
        <w:t xml:space="preserve">Community Correction Orders: Third Monitoring Report (Post-Guideline Judgment) </w:t>
      </w:r>
      <w:r>
        <w:t>(Sentencing Advisory Council, 2016) &lt;https://www.sentencingcouncil.vic.gov.au/publications/community-correction-orders-third-monitoring-report-post-guideline-judgment&gt;.</w:t>
      </w:r>
    </w:p>
    <w:p w14:paraId="3316EFCF" w14:textId="77777777" w:rsidR="00F00A00" w:rsidRDefault="00F00A00" w:rsidP="00A14C65">
      <w:r>
        <w:t xml:space="preserve">Sentencing Advisory Council, </w:t>
      </w:r>
      <w:r w:rsidRPr="00A14C65">
        <w:rPr>
          <w:rStyle w:val="Emphasis"/>
        </w:rPr>
        <w:t xml:space="preserve">Parole and Sentencing: Research Report </w:t>
      </w:r>
      <w:r>
        <w:t>(Sentencing Advisory Council, 2016) &lt;https://www.sentencingcouncil.vic.gov.au/publications/parole-and-sentencing-research-report&gt;.</w:t>
      </w:r>
    </w:p>
    <w:p w14:paraId="11FA9844" w14:textId="77777777" w:rsidR="00F00A00" w:rsidRDefault="00F00A00" w:rsidP="00A14C65">
      <w:r>
        <w:t xml:space="preserve">Sentencing Advisory Council, </w:t>
      </w:r>
      <w:r w:rsidRPr="00A14C65">
        <w:rPr>
          <w:rStyle w:val="Emphasis"/>
        </w:rPr>
        <w:t>Serious Offending by People Serving a Community Correction Order: 2016–17</w:t>
      </w:r>
      <w:r>
        <w:t xml:space="preserve"> (Sentencing Advisory Council, 2018) &lt;https://www.sentencingcouncil.vic.gov.au/publications/serious-offending-people-serving-community-correction-order-2016–17&gt;.</w:t>
      </w:r>
    </w:p>
    <w:p w14:paraId="55B027CB" w14:textId="77777777" w:rsidR="00F00A00" w:rsidRDefault="00F00A00" w:rsidP="00A14C65">
      <w:r>
        <w:t xml:space="preserve">Sentencing Advisory Council, </w:t>
      </w:r>
      <w:r w:rsidRPr="00A14C65">
        <w:rPr>
          <w:rStyle w:val="Emphasis"/>
        </w:rPr>
        <w:t>Serious Offending by People Serving a Community Correction Order: 2017–18</w:t>
      </w:r>
      <w:r>
        <w:t xml:space="preserve"> (Sentencing Advisory Council, 2019)&lt; https://www.sentencingcouncil.vic.gov.au/publications/serious-offending-people-serving-community-correction-order-2017-18&gt;.</w:t>
      </w:r>
    </w:p>
    <w:p w14:paraId="61F36E56" w14:textId="77777777" w:rsidR="00F00A00" w:rsidRDefault="00F00A00" w:rsidP="00F00A00">
      <w:pPr>
        <w:pStyle w:val="Heading2"/>
      </w:pPr>
      <w:r>
        <w:t>Case law</w:t>
      </w:r>
    </w:p>
    <w:p w14:paraId="52DCC00B" w14:textId="77777777" w:rsidR="00F00A00" w:rsidRDefault="00F00A00" w:rsidP="00A14C65">
      <w:r w:rsidRPr="00A14C65">
        <w:rPr>
          <w:rStyle w:val="Emphasis"/>
        </w:rPr>
        <w:t xml:space="preserve">Boulton v The Queen </w:t>
      </w:r>
      <w:r>
        <w:t>[2014] VSCA 342 (22 December 2014)</w:t>
      </w:r>
    </w:p>
    <w:p w14:paraId="79C047ED" w14:textId="77777777" w:rsidR="00F00A00" w:rsidRDefault="00F00A00" w:rsidP="00F00A00">
      <w:pPr>
        <w:pStyle w:val="Heading2"/>
      </w:pPr>
      <w:r>
        <w:t>Legislation</w:t>
      </w:r>
    </w:p>
    <w:p w14:paraId="60943872" w14:textId="77777777" w:rsidR="00F00A00" w:rsidRDefault="00F00A00" w:rsidP="00A14C65">
      <w:r w:rsidRPr="00A14C65">
        <w:rPr>
          <w:rStyle w:val="Emphasis"/>
        </w:rPr>
        <w:t>Corrections Act 1986</w:t>
      </w:r>
      <w:r>
        <w:t xml:space="preserve"> (Vic)</w:t>
      </w:r>
    </w:p>
    <w:p w14:paraId="3146563D" w14:textId="77777777" w:rsidR="00F00A00" w:rsidRDefault="00F00A00" w:rsidP="00A14C65">
      <w:r w:rsidRPr="00A14C65">
        <w:rPr>
          <w:rStyle w:val="Emphasis"/>
        </w:rPr>
        <w:t>Crimes Act 1958</w:t>
      </w:r>
      <w:r>
        <w:t xml:space="preserve"> (Vic)</w:t>
      </w:r>
    </w:p>
    <w:p w14:paraId="7267406B" w14:textId="77777777" w:rsidR="00F00A00" w:rsidRDefault="00F00A00" w:rsidP="00A14C65">
      <w:r w:rsidRPr="00A14C65">
        <w:rPr>
          <w:rStyle w:val="Emphasis"/>
        </w:rPr>
        <w:t xml:space="preserve">Crimes (Mental Impairment and Unfitness to Be Tried) Act 1997 </w:t>
      </w:r>
      <w:r>
        <w:t>(Vic)</w:t>
      </w:r>
    </w:p>
    <w:p w14:paraId="7E1F360A" w14:textId="77777777" w:rsidR="00F00A00" w:rsidRDefault="00F00A00" w:rsidP="00A14C65">
      <w:r w:rsidRPr="00A14C65">
        <w:rPr>
          <w:rStyle w:val="Emphasis"/>
        </w:rPr>
        <w:lastRenderedPageBreak/>
        <w:t>Criminal Procedure Act 2009</w:t>
      </w:r>
      <w:r>
        <w:t xml:space="preserve"> (Vic)</w:t>
      </w:r>
    </w:p>
    <w:p w14:paraId="0E691080" w14:textId="77777777" w:rsidR="00F00A00" w:rsidRDefault="00F00A00" w:rsidP="00A14C65">
      <w:r w:rsidRPr="00A14C65">
        <w:rPr>
          <w:rStyle w:val="Emphasis"/>
        </w:rPr>
        <w:t>Sentencing Act 1991</w:t>
      </w:r>
      <w:r>
        <w:t xml:space="preserve"> (Vic)</w:t>
      </w:r>
    </w:p>
    <w:p w14:paraId="6FAAC382" w14:textId="77777777" w:rsidR="00F00A00" w:rsidRDefault="00F00A00" w:rsidP="00A14C65">
      <w:r w:rsidRPr="00A14C65">
        <w:rPr>
          <w:rStyle w:val="Emphasis"/>
        </w:rPr>
        <w:t xml:space="preserve">Sentencing Amendment (Community Correction Reform) Act 2011 </w:t>
      </w:r>
      <w:r>
        <w:t>(Vic)</w:t>
      </w:r>
    </w:p>
    <w:p w14:paraId="051B373C" w14:textId="77777777" w:rsidR="00F00A00" w:rsidRDefault="00F00A00" w:rsidP="00A14C65">
      <w:r w:rsidRPr="00A14C65">
        <w:rPr>
          <w:rStyle w:val="Emphasis"/>
        </w:rPr>
        <w:t>Sentencing (Community Correction Order) and Other Acts Amendment Act 2016</w:t>
      </w:r>
      <w:r>
        <w:t xml:space="preserve"> (Vic)</w:t>
      </w:r>
    </w:p>
    <w:p w14:paraId="0022A695" w14:textId="77777777" w:rsidR="00F00A00" w:rsidRDefault="00F00A00" w:rsidP="00A14C65">
      <w:r w:rsidRPr="00A14C65">
        <w:rPr>
          <w:rStyle w:val="Emphasis"/>
        </w:rPr>
        <w:t>Sentencing Amendment (Emergency Workers) Act 2014</w:t>
      </w:r>
      <w:r>
        <w:t xml:space="preserve"> (Vic)</w:t>
      </w:r>
    </w:p>
    <w:p w14:paraId="4C5D54EE" w14:textId="77777777" w:rsidR="00F00A00" w:rsidRDefault="00F00A00" w:rsidP="00A14C65">
      <w:r w:rsidRPr="00A14C65">
        <w:rPr>
          <w:rStyle w:val="Emphasis"/>
        </w:rPr>
        <w:t xml:space="preserve">Serious Sex Offenders (Detention and Supervision) Act 2009 </w:t>
      </w:r>
      <w:r>
        <w:t>(Vic)</w:t>
      </w:r>
    </w:p>
    <w:p w14:paraId="33900E26" w14:textId="77777777" w:rsidR="00F00A00" w:rsidRDefault="00F00A00" w:rsidP="00A14C65">
      <w:r w:rsidRPr="00A14C65">
        <w:rPr>
          <w:rStyle w:val="Emphasis"/>
        </w:rPr>
        <w:t xml:space="preserve">Serious Offenders Act 2018 </w:t>
      </w:r>
      <w:r>
        <w:t>(Vic)</w:t>
      </w:r>
    </w:p>
    <w:p w14:paraId="387B87F2" w14:textId="77777777" w:rsidR="00F00A00" w:rsidRDefault="00F00A00" w:rsidP="00A14C65">
      <w:r w:rsidRPr="00A14C65">
        <w:rPr>
          <w:rStyle w:val="Emphasis"/>
        </w:rPr>
        <w:t xml:space="preserve">Summary Offences Act 1966 </w:t>
      </w:r>
      <w:r>
        <w:t>(Vic)</w:t>
      </w:r>
    </w:p>
    <w:p w14:paraId="4831F512" w14:textId="77777777" w:rsidR="00A40B1D" w:rsidRDefault="00A40B1D" w:rsidP="00A14C65">
      <w:pPr>
        <w:pageBreakBefore/>
      </w:pPr>
      <w:r>
        <w:lastRenderedPageBreak/>
        <w:t>Authored by Dennis Byles, Sentencing Advisory Council.</w:t>
      </w:r>
    </w:p>
    <w:p w14:paraId="3F93916D" w14:textId="77777777" w:rsidR="00A40B1D" w:rsidRDefault="00A40B1D" w:rsidP="00A14C65">
      <w:r>
        <w:t>Published by the Sentencing Advisory Council, Melbourne Victoria Australia.</w:t>
      </w:r>
    </w:p>
    <w:p w14:paraId="1B3ECCEE" w14:textId="77777777" w:rsidR="00A40B1D" w:rsidRDefault="00A40B1D" w:rsidP="00A14C65">
      <w:r>
        <w:t>© Copyright State of Victoria, Sentencing Advisory Council, 2020</w:t>
      </w:r>
    </w:p>
    <w:p w14:paraId="53488121" w14:textId="77777777" w:rsidR="00A40B1D" w:rsidRDefault="00A40B1D" w:rsidP="00A14C65">
      <w:r>
        <w:t>ISBN: 978-1-925071-54-2 (Online)</w:t>
      </w:r>
    </w:p>
    <w:p w14:paraId="1F8EB172" w14:textId="77777777" w:rsidR="00A40B1D" w:rsidRDefault="00A40B1D" w:rsidP="00A14C65">
      <w:r>
        <w:t>Authorised by the Sentencing Advisory Council, Level 3, 333 Queen Street, Melbourne.</w:t>
      </w:r>
    </w:p>
    <w:p w14:paraId="15419D19" w14:textId="7597B979" w:rsidR="00F00A00" w:rsidRPr="00E079F4" w:rsidRDefault="00A40B1D" w:rsidP="00E079F4">
      <w:r>
        <w:t>Disclaimer: the Sentencing Advisory Council has made every effort to ensure that the data used in this report is accurate at the time of publication.</w:t>
      </w:r>
    </w:p>
    <w:sectPr w:rsidR="00F00A00" w:rsidRPr="00E079F4" w:rsidSect="00D6349A">
      <w:headerReference w:type="default" r:id="rId7"/>
      <w:footerReference w:type="default" r:id="rId8"/>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2CC2" w14:textId="77777777" w:rsidR="007F66A5" w:rsidRDefault="007F66A5">
      <w:pPr>
        <w:spacing w:after="0" w:line="240" w:lineRule="auto"/>
      </w:pPr>
      <w:r>
        <w:separator/>
      </w:r>
    </w:p>
  </w:endnote>
  <w:endnote w:type="continuationSeparator" w:id="0">
    <w:p w14:paraId="4DBB30A0" w14:textId="77777777" w:rsidR="007F66A5" w:rsidRDefault="007F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altName w:val="Calibri"/>
    <w:panose1 w:val="020B0604020202020204"/>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B1"/>
    <w:family w:val="swiss"/>
    <w:pitch w:val="variable"/>
    <w:sig w:usb0="80000A67" w:usb1="00000000" w:usb2="00000000" w:usb3="00000000" w:csb0="000001F7"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20B0604020202020204"/>
    <w:charset w:val="00"/>
    <w:family w:val="auto"/>
    <w:notTrueType/>
    <w:pitch w:val="default"/>
    <w:sig w:usb0="00000003" w:usb1="00000000" w:usb2="00000000" w:usb3="00000000" w:csb0="00000001" w:csb1="00000000"/>
  </w:font>
  <w:font w:name="ITC Franklin Gothic">
    <w:altName w:val="Calibri"/>
    <w:panose1 w:val="020B0604020202020204"/>
    <w:charset w:val="00"/>
    <w:family w:val="auto"/>
    <w:notTrueType/>
    <w:pitch w:val="default"/>
    <w:sig w:usb0="00000003" w:usb1="00000000" w:usb2="00000000" w:usb3="00000000" w:csb0="00000001" w:csb1="00000000"/>
  </w:font>
  <w:font w:name="ITC Franklin Gothic Demi Italic">
    <w:altName w:val="Calibri"/>
    <w:panose1 w:val="020B0604020202020204"/>
    <w:charset w:val="00"/>
    <w:family w:val="auto"/>
    <w:notTrueType/>
    <w:pitch w:val="default"/>
    <w:sig w:usb0="00000003" w:usb1="00000000" w:usb2="00000000" w:usb3="00000000" w:csb0="00000001" w:csb1="00000000"/>
  </w:font>
  <w:font w:name="ITC Franklin Gothic Std Book">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AF2" w14:textId="77777777" w:rsidR="00C47CBE" w:rsidRDefault="00C47CBE"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5761" w14:textId="77777777" w:rsidR="007F66A5" w:rsidRDefault="007F66A5">
      <w:pPr>
        <w:spacing w:after="0" w:line="240" w:lineRule="auto"/>
      </w:pPr>
      <w:r>
        <w:separator/>
      </w:r>
    </w:p>
  </w:footnote>
  <w:footnote w:type="continuationSeparator" w:id="0">
    <w:p w14:paraId="705E2EBB" w14:textId="77777777" w:rsidR="007F66A5" w:rsidRDefault="007F66A5">
      <w:pPr>
        <w:spacing w:after="0" w:line="240" w:lineRule="auto"/>
      </w:pPr>
      <w:r>
        <w:continuationSeparator/>
      </w:r>
    </w:p>
  </w:footnote>
  <w:footnote w:id="1">
    <w:p w14:paraId="080067EE" w14:textId="4C385880" w:rsidR="00C47CBE" w:rsidRDefault="00C47CBE" w:rsidP="008D5DC1">
      <w:pPr>
        <w:pStyle w:val="Footnote"/>
      </w:pPr>
      <w:r>
        <w:rPr>
          <w:vertAlign w:val="superscript"/>
        </w:rPr>
        <w:footnoteRef/>
      </w:r>
      <w:r>
        <w:t>.</w:t>
      </w:r>
      <w:r>
        <w:tab/>
      </w:r>
      <w:r>
        <w:rPr>
          <w:rStyle w:val="Italic"/>
        </w:rPr>
        <w:t>Corrections Act 1986</w:t>
      </w:r>
      <w:r>
        <w:t xml:space="preserve"> (Vic) s 104AA(2).</w:t>
      </w:r>
    </w:p>
  </w:footnote>
  <w:footnote w:id="2">
    <w:p w14:paraId="18F1D995" w14:textId="28A81060" w:rsidR="00C47CBE" w:rsidRDefault="00C47CBE" w:rsidP="008D5DC1">
      <w:pPr>
        <w:pStyle w:val="Footnote"/>
      </w:pPr>
      <w:r>
        <w:rPr>
          <w:vertAlign w:val="superscript"/>
        </w:rPr>
        <w:footnoteRef/>
      </w:r>
      <w:r>
        <w:t>.</w:t>
      </w:r>
      <w:r>
        <w:tab/>
        <w:t xml:space="preserve">Sentencing </w:t>
      </w:r>
      <w:r w:rsidRPr="008D5DC1">
        <w:t>Advisory</w:t>
      </w:r>
      <w:r>
        <w:t xml:space="preserve"> Council, </w:t>
      </w:r>
      <w:r>
        <w:rPr>
          <w:rStyle w:val="Italic"/>
        </w:rPr>
        <w:t>Serious Offending by People Serving a Community Correction Order: 2016–17</w:t>
      </w:r>
      <w:r>
        <w:t xml:space="preserve"> (2018); Sentencing Advisory Council, </w:t>
      </w:r>
      <w:r>
        <w:rPr>
          <w:rStyle w:val="Italic"/>
        </w:rPr>
        <w:t>Serious Offending by People Serving a Community Correction Order: 2017–18</w:t>
      </w:r>
      <w:r>
        <w:t xml:space="preserve"> (2019).</w:t>
      </w:r>
    </w:p>
  </w:footnote>
  <w:footnote w:id="3">
    <w:p w14:paraId="37C00CC9" w14:textId="5288FF9A" w:rsidR="00C47CBE" w:rsidRDefault="00C47CBE" w:rsidP="008D5DC1">
      <w:pPr>
        <w:pStyle w:val="Footnote"/>
      </w:pPr>
      <w:r>
        <w:rPr>
          <w:vertAlign w:val="superscript"/>
        </w:rPr>
        <w:footnoteRef/>
      </w:r>
      <w:r>
        <w:t>.</w:t>
      </w:r>
      <w:r>
        <w:tab/>
        <w:t xml:space="preserve">Sentencing Advisory Council, </w:t>
      </w:r>
      <w:r>
        <w:rPr>
          <w:rStyle w:val="Italic"/>
        </w:rPr>
        <w:t>Community Correction Orders: Monitoring Report</w:t>
      </w:r>
      <w:r>
        <w:t xml:space="preserve"> (2014); Sentencing Advisory Council, </w:t>
      </w:r>
      <w:r>
        <w:rPr>
          <w:rStyle w:val="Italic"/>
        </w:rPr>
        <w:t>Community Correction Orders: Second Monitoring Report (Pre-Guideline Judgment)</w:t>
      </w:r>
      <w:r>
        <w:t xml:space="preserve"> (2015); Sentencing Advisory Council, </w:t>
      </w:r>
      <w:r>
        <w:rPr>
          <w:rStyle w:val="Italic"/>
        </w:rPr>
        <w:t>Community Correction Orders: Third Monitoring Report (Post-Guideline Judgment)</w:t>
      </w:r>
      <w:r>
        <w:t xml:space="preserve"> (2016); Sentencing Advisory Council, </w:t>
      </w:r>
      <w:r>
        <w:rPr>
          <w:rStyle w:val="Italic"/>
        </w:rPr>
        <w:t>Community Correction Orders in the Higher Courts: Imposition, Duration, and Conditions</w:t>
      </w:r>
      <w:r>
        <w:t xml:space="preserve"> (2014); Sentencing Advisory Council, </w:t>
      </w:r>
      <w:r>
        <w:rPr>
          <w:rStyle w:val="Italic"/>
        </w:rPr>
        <w:t>Parole and Sentencing: Research Report</w:t>
      </w:r>
      <w:r>
        <w:t xml:space="preserve"> (2016).</w:t>
      </w:r>
    </w:p>
  </w:footnote>
  <w:footnote w:id="4">
    <w:p w14:paraId="5DE0465A" w14:textId="5D50FD60" w:rsidR="00C47CBE" w:rsidRDefault="00C47CBE" w:rsidP="006865C5">
      <w:pPr>
        <w:pStyle w:val="Footnote"/>
      </w:pPr>
      <w:r>
        <w:rPr>
          <w:vertAlign w:val="superscript"/>
        </w:rPr>
        <w:footnoteRef/>
      </w:r>
      <w:r>
        <w:t>.</w:t>
      </w:r>
      <w:r>
        <w:tab/>
      </w:r>
      <w:r>
        <w:rPr>
          <w:rStyle w:val="Italic"/>
        </w:rPr>
        <w:t>Sentencing Act 1991</w:t>
      </w:r>
      <w:r>
        <w:t xml:space="preserve"> (Vic) s 36(1).</w:t>
      </w:r>
    </w:p>
  </w:footnote>
  <w:footnote w:id="5">
    <w:p w14:paraId="5F134F40" w14:textId="0718CBD9" w:rsidR="00C47CBE" w:rsidRDefault="00C47CBE" w:rsidP="006865C5">
      <w:pPr>
        <w:pStyle w:val="Footnote"/>
      </w:pPr>
      <w:r>
        <w:rPr>
          <w:vertAlign w:val="superscript"/>
        </w:rPr>
        <w:footnoteRef/>
      </w:r>
      <w:r>
        <w:t>.</w:t>
      </w:r>
      <w:r>
        <w:tab/>
      </w:r>
      <w:r>
        <w:rPr>
          <w:rStyle w:val="Italic"/>
        </w:rPr>
        <w:t>Sentencing Act 1991</w:t>
      </w:r>
      <w:r>
        <w:t xml:space="preserve"> (Vic) ss 37(a)–(c).</w:t>
      </w:r>
    </w:p>
  </w:footnote>
  <w:footnote w:id="6">
    <w:p w14:paraId="224DB770" w14:textId="565B4953" w:rsidR="00C47CBE" w:rsidRDefault="00C47CBE" w:rsidP="006865C5">
      <w:pPr>
        <w:pStyle w:val="Footnote"/>
      </w:pPr>
      <w:r>
        <w:rPr>
          <w:vertAlign w:val="superscript"/>
        </w:rPr>
        <w:footnoteRef/>
      </w:r>
      <w:r>
        <w:t>.</w:t>
      </w:r>
      <w:r>
        <w:tab/>
      </w:r>
      <w:r>
        <w:rPr>
          <w:rStyle w:val="Italic"/>
        </w:rPr>
        <w:t>Sentencing Act 1991</w:t>
      </w:r>
      <w:r>
        <w:t xml:space="preserve"> (Vic) s 36(2), as inserted by </w:t>
      </w:r>
      <w:r>
        <w:rPr>
          <w:rStyle w:val="Italic"/>
        </w:rPr>
        <w:t>Sentencing Amendment (Emergency Workers) Act 2014</w:t>
      </w:r>
      <w:r>
        <w:t xml:space="preserve"> (Vic) s 17.</w:t>
      </w:r>
    </w:p>
  </w:footnote>
  <w:footnote w:id="7">
    <w:p w14:paraId="3297F227" w14:textId="30F8DDA1" w:rsidR="00C47CBE" w:rsidRDefault="00C47CBE" w:rsidP="006865C5">
      <w:pPr>
        <w:pStyle w:val="Footnote"/>
      </w:pPr>
      <w:r>
        <w:rPr>
          <w:vertAlign w:val="superscript"/>
        </w:rPr>
        <w:footnoteRef/>
      </w:r>
      <w:r>
        <w:t>.</w:t>
      </w:r>
      <w:r>
        <w:tab/>
      </w:r>
      <w:r>
        <w:rPr>
          <w:rStyle w:val="Italic"/>
        </w:rPr>
        <w:t>Sentencing Act 1991</w:t>
      </w:r>
      <w:r>
        <w:t xml:space="preserve"> (Vic) s 38(1)(b)(i), as amended by </w:t>
      </w:r>
      <w:r>
        <w:rPr>
          <w:rStyle w:val="Italic"/>
        </w:rPr>
        <w:t>Sentencing Amendment (Community Correction Reform) Act 2011</w:t>
      </w:r>
      <w:r>
        <w:t xml:space="preserve"> (Vic) s 21.</w:t>
      </w:r>
    </w:p>
  </w:footnote>
  <w:footnote w:id="8">
    <w:p w14:paraId="27FF1B28" w14:textId="02A5E2C2" w:rsidR="00C47CBE" w:rsidRDefault="00C47CBE" w:rsidP="006865C5">
      <w:pPr>
        <w:pStyle w:val="Footnote"/>
      </w:pPr>
      <w:r>
        <w:rPr>
          <w:vertAlign w:val="superscript"/>
        </w:rPr>
        <w:footnoteRef/>
      </w:r>
      <w:r>
        <w:t>.</w:t>
      </w:r>
      <w:r>
        <w:tab/>
      </w:r>
      <w:r>
        <w:rPr>
          <w:rStyle w:val="Italic"/>
        </w:rPr>
        <w:t>Sentencing Act 1991</w:t>
      </w:r>
      <w:r>
        <w:t xml:space="preserve"> (Vic) s 38(1)(b), as amended by </w:t>
      </w:r>
      <w:r>
        <w:rPr>
          <w:rStyle w:val="Italic"/>
        </w:rPr>
        <w:t>Sentencing (Community Correction Order) and Other Acts Amendment Act 2016</w:t>
      </w:r>
      <w:r>
        <w:t xml:space="preserve"> (Vic) s 10.</w:t>
      </w:r>
    </w:p>
  </w:footnote>
  <w:footnote w:id="9">
    <w:p w14:paraId="1D4ABB33" w14:textId="2C98F2C3" w:rsidR="00C47CBE" w:rsidRDefault="00C47CBE" w:rsidP="006865C5">
      <w:pPr>
        <w:pStyle w:val="Footnote"/>
      </w:pPr>
      <w:r>
        <w:rPr>
          <w:vertAlign w:val="superscript"/>
        </w:rPr>
        <w:footnoteRef/>
      </w:r>
      <w:r>
        <w:t>.</w:t>
      </w:r>
      <w:r>
        <w:tab/>
      </w:r>
      <w:r>
        <w:rPr>
          <w:rStyle w:val="Italic"/>
          <w:spacing w:val="-4"/>
        </w:rPr>
        <w:t>Sentencing Act 1991</w:t>
      </w:r>
      <w:r>
        <w:t xml:space="preserve"> (Vic) s 44(1), as amended by </w:t>
      </w:r>
      <w:r>
        <w:rPr>
          <w:rStyle w:val="Italic"/>
          <w:spacing w:val="-4"/>
        </w:rPr>
        <w:t xml:space="preserve">Sentencing Amendment (Community Correction Reform) Act 2011 </w:t>
      </w:r>
      <w:r>
        <w:t>(Vic) s 21.</w:t>
      </w:r>
    </w:p>
  </w:footnote>
  <w:footnote w:id="10">
    <w:p w14:paraId="289E5EA2" w14:textId="770597AE" w:rsidR="00C47CBE" w:rsidRDefault="00C47CBE" w:rsidP="006865C5">
      <w:pPr>
        <w:pStyle w:val="Footnote"/>
      </w:pPr>
      <w:r>
        <w:rPr>
          <w:vertAlign w:val="superscript"/>
        </w:rPr>
        <w:footnoteRef/>
      </w:r>
      <w:r>
        <w:t>.</w:t>
      </w:r>
      <w:r>
        <w:tab/>
      </w:r>
      <w:r>
        <w:rPr>
          <w:rStyle w:val="Italic"/>
        </w:rPr>
        <w:t>Sentencing Act 1991</w:t>
      </w:r>
      <w:r>
        <w:t xml:space="preserve"> (Vic) s 44(1), as amended by </w:t>
      </w:r>
      <w:r>
        <w:rPr>
          <w:rStyle w:val="Italic"/>
        </w:rPr>
        <w:t xml:space="preserve">Sentencing Amendment (Emergency Workers) Act 2014 </w:t>
      </w:r>
      <w:r>
        <w:t>(Vic) s 18(1).</w:t>
      </w:r>
    </w:p>
  </w:footnote>
  <w:footnote w:id="11">
    <w:p w14:paraId="674ADDB6" w14:textId="1425539E" w:rsidR="00C47CBE" w:rsidRDefault="00C47CBE" w:rsidP="006865C5">
      <w:pPr>
        <w:pStyle w:val="Footnote"/>
      </w:pPr>
      <w:r>
        <w:rPr>
          <w:vertAlign w:val="superscript"/>
        </w:rPr>
        <w:footnoteRef/>
      </w:r>
      <w:r>
        <w:t>.</w:t>
      </w:r>
      <w:r>
        <w:tab/>
      </w:r>
      <w:r>
        <w:rPr>
          <w:rStyle w:val="Italic"/>
        </w:rPr>
        <w:t>Sentencing Act 1991</w:t>
      </w:r>
      <w:r>
        <w:t xml:space="preserve"> (Vic) s 44(1), as amended by </w:t>
      </w:r>
      <w:r>
        <w:rPr>
          <w:rStyle w:val="Italic"/>
        </w:rPr>
        <w:t>Sentencing (Community Correction Order) and Other Acts Amendment Act 2016</w:t>
      </w:r>
      <w:r>
        <w:t xml:space="preserve"> (Vic) s 12(1).</w:t>
      </w:r>
    </w:p>
  </w:footnote>
  <w:footnote w:id="12">
    <w:p w14:paraId="30F5DDAB" w14:textId="32FFA337" w:rsidR="00C47CBE" w:rsidRDefault="00C47CBE" w:rsidP="006865C5">
      <w:pPr>
        <w:pStyle w:val="Footnote"/>
      </w:pPr>
      <w:r>
        <w:rPr>
          <w:vertAlign w:val="superscript"/>
        </w:rPr>
        <w:footnoteRef/>
      </w:r>
      <w:r>
        <w:t>.</w:t>
      </w:r>
      <w:r>
        <w:tab/>
      </w:r>
      <w:r>
        <w:rPr>
          <w:rStyle w:val="Italic"/>
        </w:rPr>
        <w:t>Sentencing Act 1991</w:t>
      </w:r>
      <w:r>
        <w:t xml:space="preserve"> (Vic) ss 5(2G), (2H), as inserted by </w:t>
      </w:r>
      <w:r>
        <w:rPr>
          <w:rStyle w:val="Italic"/>
        </w:rPr>
        <w:t>Sentencing (Community Correction Order) and Other Acts Amendment Act 2016</w:t>
      </w:r>
      <w:r>
        <w:t xml:space="preserve"> (Vic) s 4(1).</w:t>
      </w:r>
    </w:p>
  </w:footnote>
  <w:footnote w:id="13">
    <w:p w14:paraId="01B7BE32" w14:textId="63EA6A5F" w:rsidR="00C47CBE" w:rsidRDefault="00C47CBE" w:rsidP="006865C5">
      <w:pPr>
        <w:pStyle w:val="Footnote"/>
      </w:pPr>
      <w:r>
        <w:rPr>
          <w:vertAlign w:val="superscript"/>
        </w:rPr>
        <w:footnoteRef/>
      </w:r>
      <w:r>
        <w:t>.</w:t>
      </w:r>
      <w:r>
        <w:tab/>
      </w:r>
      <w:r>
        <w:rPr>
          <w:rStyle w:val="Italic"/>
        </w:rPr>
        <w:t>Sentencing Act 1991</w:t>
      </w:r>
      <w:r>
        <w:t xml:space="preserve"> (Vic) s 5(2H), as inserted by </w:t>
      </w:r>
      <w:r>
        <w:rPr>
          <w:rStyle w:val="Italic"/>
        </w:rPr>
        <w:t>Sentencing (Community Correction Order) and Other Acts Amendment Act 2016</w:t>
      </w:r>
      <w:r>
        <w:t xml:space="preserve"> (Vic) s 4(1).</w:t>
      </w:r>
    </w:p>
  </w:footnote>
  <w:footnote w:id="14">
    <w:p w14:paraId="34177712" w14:textId="04F5C746" w:rsidR="00C47CBE" w:rsidRDefault="00C47CBE" w:rsidP="006865C5">
      <w:pPr>
        <w:pStyle w:val="Footnote"/>
      </w:pPr>
      <w:r>
        <w:rPr>
          <w:vertAlign w:val="superscript"/>
        </w:rPr>
        <w:footnoteRef/>
      </w:r>
      <w:r>
        <w:t>.</w:t>
      </w:r>
      <w:r>
        <w:tab/>
      </w:r>
      <w:r>
        <w:rPr>
          <w:rStyle w:val="Italic"/>
        </w:rPr>
        <w:t xml:space="preserve">Boulton v The Queen </w:t>
      </w:r>
      <w:r>
        <w:t>[2014] VSCA 342 (22 December 2014).</w:t>
      </w:r>
    </w:p>
  </w:footnote>
  <w:footnote w:id="15">
    <w:p w14:paraId="4096EEFD" w14:textId="1D168B96" w:rsidR="00C47CBE" w:rsidRDefault="00C47CBE" w:rsidP="006865C5">
      <w:pPr>
        <w:pStyle w:val="Footnote"/>
      </w:pPr>
      <w:r>
        <w:rPr>
          <w:vertAlign w:val="superscript"/>
        </w:rPr>
        <w:footnoteRef/>
      </w:r>
      <w:r>
        <w:t>.</w:t>
      </w:r>
      <w:r>
        <w:tab/>
      </w:r>
      <w:r>
        <w:rPr>
          <w:rStyle w:val="Italic"/>
        </w:rPr>
        <w:t xml:space="preserve">Sentencing Act 1991 </w:t>
      </w:r>
      <w:r>
        <w:t>(Vic) s 38(1)(b).</w:t>
      </w:r>
    </w:p>
  </w:footnote>
  <w:footnote w:id="16">
    <w:p w14:paraId="3D124452" w14:textId="53130E40" w:rsidR="00C47CBE" w:rsidRDefault="00C47CBE" w:rsidP="006865C5">
      <w:pPr>
        <w:pStyle w:val="Footnote"/>
      </w:pPr>
      <w:r>
        <w:rPr>
          <w:vertAlign w:val="superscript"/>
        </w:rPr>
        <w:footnoteRef/>
      </w:r>
      <w:r>
        <w:t>.</w:t>
      </w:r>
      <w:r>
        <w:tab/>
      </w:r>
      <w:r>
        <w:rPr>
          <w:rStyle w:val="Italic"/>
        </w:rPr>
        <w:t xml:space="preserve">Sentencing Act 1991 </w:t>
      </w:r>
      <w:r>
        <w:t>(Vic) s 38(1)(a)(i).</w:t>
      </w:r>
    </w:p>
  </w:footnote>
  <w:footnote w:id="17">
    <w:p w14:paraId="5ADE8354" w14:textId="4B27DB40" w:rsidR="00C47CBE" w:rsidRDefault="00C47CBE" w:rsidP="006865C5">
      <w:pPr>
        <w:pStyle w:val="Footnote"/>
      </w:pPr>
      <w:r>
        <w:rPr>
          <w:vertAlign w:val="superscript"/>
        </w:rPr>
        <w:footnoteRef/>
      </w:r>
      <w:r>
        <w:t>.</w:t>
      </w:r>
      <w:r>
        <w:tab/>
      </w:r>
      <w:r>
        <w:rPr>
          <w:rStyle w:val="Italic"/>
        </w:rPr>
        <w:t xml:space="preserve">Sentencing Act 1991 </w:t>
      </w:r>
      <w:r>
        <w:t>(Vic) s 40(1).</w:t>
      </w:r>
    </w:p>
  </w:footnote>
  <w:footnote w:id="18">
    <w:p w14:paraId="1B21149F" w14:textId="112B74AD" w:rsidR="00C47CBE" w:rsidRDefault="00C47CBE" w:rsidP="006865C5">
      <w:pPr>
        <w:pStyle w:val="Footnote"/>
      </w:pPr>
      <w:r>
        <w:rPr>
          <w:vertAlign w:val="superscript"/>
        </w:rPr>
        <w:footnoteRef/>
      </w:r>
      <w:r>
        <w:t>.</w:t>
      </w:r>
      <w:r>
        <w:tab/>
      </w:r>
      <w:r>
        <w:rPr>
          <w:rStyle w:val="Italic"/>
        </w:rPr>
        <w:t xml:space="preserve">Sentencing Act 1991 </w:t>
      </w:r>
      <w:r>
        <w:t>(Vic) ss 38(1)(a)(ii)–(iii).</w:t>
      </w:r>
    </w:p>
  </w:footnote>
  <w:footnote w:id="19">
    <w:p w14:paraId="0AB3F738" w14:textId="1C26A242" w:rsidR="00C47CBE" w:rsidRDefault="00C47CBE" w:rsidP="006865C5">
      <w:pPr>
        <w:pStyle w:val="Footnote"/>
      </w:pPr>
      <w:r>
        <w:rPr>
          <w:vertAlign w:val="superscript"/>
        </w:rPr>
        <w:footnoteRef/>
      </w:r>
      <w:r>
        <w:t>.</w:t>
      </w:r>
      <w:r>
        <w:tab/>
      </w:r>
      <w:r>
        <w:rPr>
          <w:rStyle w:val="Italic"/>
        </w:rPr>
        <w:t xml:space="preserve">Sentencing Act 1991 </w:t>
      </w:r>
      <w:r>
        <w:t>(Vic) s 43.</w:t>
      </w:r>
    </w:p>
  </w:footnote>
  <w:footnote w:id="20">
    <w:p w14:paraId="23239A3A" w14:textId="455655CE" w:rsidR="00C47CBE" w:rsidRDefault="00C47CBE" w:rsidP="006865C5">
      <w:pPr>
        <w:pStyle w:val="Footnote"/>
      </w:pPr>
      <w:r>
        <w:rPr>
          <w:vertAlign w:val="superscript"/>
        </w:rPr>
        <w:footnoteRef/>
      </w:r>
      <w:r>
        <w:t>.</w:t>
      </w:r>
      <w:r>
        <w:tab/>
      </w:r>
      <w:r>
        <w:rPr>
          <w:rStyle w:val="Italic"/>
        </w:rPr>
        <w:t xml:space="preserve">Sentencing Act 1991 </w:t>
      </w:r>
      <w:r>
        <w:t>(Vic) s 44.</w:t>
      </w:r>
    </w:p>
  </w:footnote>
  <w:footnote w:id="21">
    <w:p w14:paraId="67E8C20D" w14:textId="248CB707" w:rsidR="00C47CBE" w:rsidRDefault="00C47CBE" w:rsidP="006865C5">
      <w:pPr>
        <w:pStyle w:val="Footnote"/>
      </w:pPr>
      <w:r>
        <w:rPr>
          <w:vertAlign w:val="superscript"/>
        </w:rPr>
        <w:footnoteRef/>
      </w:r>
      <w:r>
        <w:t>.</w:t>
      </w:r>
      <w:r>
        <w:tab/>
      </w:r>
      <w:r>
        <w:rPr>
          <w:rStyle w:val="Italic"/>
        </w:rPr>
        <w:t xml:space="preserve">Sentencing Act 1991 </w:t>
      </w:r>
      <w:r>
        <w:t>(Vic) s 44(1). This restriction does not apply to arson offences listed in</w:t>
      </w:r>
      <w:r>
        <w:rPr>
          <w:rStyle w:val="Italic"/>
        </w:rPr>
        <w:t xml:space="preserve"> Sentencing Act 1991 </w:t>
      </w:r>
      <w:r>
        <w:t>(Vic) sch 1 cl 5</w:t>
      </w:r>
      <w:r>
        <w:rPr>
          <w:rStyle w:val="Italic"/>
        </w:rPr>
        <w:t xml:space="preserve"> </w:t>
      </w:r>
      <w:r>
        <w:t>(</w:t>
      </w:r>
      <w:r>
        <w:rPr>
          <w:rStyle w:val="Italic"/>
        </w:rPr>
        <w:t xml:space="preserve">Sentencing Act 1991 </w:t>
      </w:r>
      <w:r>
        <w:t>(Vic) s 44(1A)).</w:t>
      </w:r>
    </w:p>
  </w:footnote>
  <w:footnote w:id="22">
    <w:p w14:paraId="4EDE5BCD" w14:textId="1AE6D52C" w:rsidR="00C47CBE" w:rsidRDefault="00C47CBE" w:rsidP="006865C5">
      <w:pPr>
        <w:pStyle w:val="Footnote"/>
      </w:pPr>
      <w:r>
        <w:rPr>
          <w:vertAlign w:val="superscript"/>
        </w:rPr>
        <w:footnoteRef/>
      </w:r>
      <w:r>
        <w:t>.</w:t>
      </w:r>
      <w:r>
        <w:tab/>
      </w:r>
      <w:r>
        <w:rPr>
          <w:rStyle w:val="Italic"/>
        </w:rPr>
        <w:t xml:space="preserve">Sentencing Act 1991 </w:t>
      </w:r>
      <w:r>
        <w:t>(Vic) s 83AD(1).</w:t>
      </w:r>
    </w:p>
  </w:footnote>
  <w:footnote w:id="23">
    <w:p w14:paraId="6BCAB254" w14:textId="015E54C6" w:rsidR="00C47CBE" w:rsidRDefault="00C47CBE" w:rsidP="006865C5">
      <w:pPr>
        <w:pStyle w:val="Footnote"/>
      </w:pPr>
      <w:r>
        <w:rPr>
          <w:vertAlign w:val="superscript"/>
        </w:rPr>
        <w:footnoteRef/>
      </w:r>
      <w:r>
        <w:t>.</w:t>
      </w:r>
      <w:r>
        <w:tab/>
      </w:r>
      <w:r>
        <w:rPr>
          <w:rStyle w:val="Italic"/>
        </w:rPr>
        <w:t>Corrections Act 1986</w:t>
      </w:r>
      <w:r>
        <w:t xml:space="preserve"> (Vic) s 104(AA)(3). The Council has published a comprehensive list of serious offences for 2018–19 on its website: Sentencing Advisory Council, </w:t>
      </w:r>
      <w:r>
        <w:rPr>
          <w:rStyle w:val="Italic"/>
        </w:rPr>
        <w:t>Serious Offences Current between 16 January 2012 and 30 June 2019</w:t>
      </w:r>
      <w:r>
        <w:t xml:space="preserve"> (2020).</w:t>
      </w:r>
    </w:p>
  </w:footnote>
  <w:footnote w:id="24">
    <w:p w14:paraId="5236E7F8" w14:textId="5802E028" w:rsidR="00C47CBE" w:rsidRDefault="00C47CBE" w:rsidP="006865C5">
      <w:pPr>
        <w:pStyle w:val="Footnote"/>
      </w:pPr>
      <w:r>
        <w:rPr>
          <w:vertAlign w:val="superscript"/>
        </w:rPr>
        <w:footnoteRef/>
      </w:r>
      <w:r>
        <w:t>.</w:t>
      </w:r>
      <w:r>
        <w:tab/>
      </w:r>
      <w:r>
        <w:rPr>
          <w:rStyle w:val="Italic"/>
        </w:rPr>
        <w:t xml:space="preserve">Corrections Act 1986 </w:t>
      </w:r>
      <w:r>
        <w:t xml:space="preserve">(Vic) s 3(1); </w:t>
      </w:r>
      <w:r>
        <w:rPr>
          <w:rStyle w:val="Italic"/>
        </w:rPr>
        <w:t>Sentencing Act 1991</w:t>
      </w:r>
      <w:r>
        <w:t xml:space="preserve"> (Vic) sch 1 cl 2.</w:t>
      </w:r>
    </w:p>
  </w:footnote>
  <w:footnote w:id="25">
    <w:p w14:paraId="5B598B9E" w14:textId="130C4013" w:rsidR="00C47CBE" w:rsidRDefault="00C47CBE" w:rsidP="006865C5">
      <w:pPr>
        <w:pStyle w:val="Footnote"/>
      </w:pPr>
      <w:r>
        <w:rPr>
          <w:vertAlign w:val="superscript"/>
        </w:rPr>
        <w:footnoteRef/>
      </w:r>
      <w:r>
        <w:t>.</w:t>
      </w:r>
      <w:r>
        <w:tab/>
      </w:r>
      <w:r>
        <w:rPr>
          <w:rStyle w:val="Italic"/>
        </w:rPr>
        <w:t xml:space="preserve">Corrections Act 1986 </w:t>
      </w:r>
      <w:r>
        <w:t xml:space="preserve">(Vic) s 3(1). For part of the 2018–19 reference period, the relevant list of sexual offences was found in </w:t>
      </w:r>
      <w:r>
        <w:rPr>
          <w:rStyle w:val="Italic"/>
        </w:rPr>
        <w:t>Serious Sex Offenders (Detention and Supervision) Act 2009</w:t>
      </w:r>
      <w:r>
        <w:t xml:space="preserve"> (Vic) sch 1. This Act was repealed by the </w:t>
      </w:r>
      <w:r>
        <w:rPr>
          <w:rStyle w:val="Italic"/>
        </w:rPr>
        <w:t xml:space="preserve">Serious Offenders Act 2018 </w:t>
      </w:r>
      <w:r>
        <w:t xml:space="preserve">(Vic) on 3 September 2018. The relevant list of sexual offences is now found in </w:t>
      </w:r>
      <w:r>
        <w:rPr>
          <w:rStyle w:val="Italic"/>
        </w:rPr>
        <w:t>Serious Offenders Act 2018</w:t>
      </w:r>
      <w:r>
        <w:t xml:space="preserve"> (Vic) sch 1.</w:t>
      </w:r>
    </w:p>
  </w:footnote>
  <w:footnote w:id="26">
    <w:p w14:paraId="716B54A0" w14:textId="09A4D1AB" w:rsidR="00C47CBE" w:rsidRDefault="00C47CBE" w:rsidP="006865C5">
      <w:pPr>
        <w:pStyle w:val="Footnote"/>
      </w:pPr>
      <w:r>
        <w:rPr>
          <w:vertAlign w:val="superscript"/>
        </w:rPr>
        <w:footnoteRef/>
      </w:r>
      <w:r>
        <w:t>.</w:t>
      </w:r>
      <w:r>
        <w:tab/>
      </w:r>
      <w:r>
        <w:rPr>
          <w:rStyle w:val="Italic"/>
        </w:rPr>
        <w:t xml:space="preserve">Serious Offenders Act 2018 </w:t>
      </w:r>
      <w:r>
        <w:t>(Vic) sch 1.</w:t>
      </w:r>
    </w:p>
  </w:footnote>
  <w:footnote w:id="27">
    <w:p w14:paraId="69A85CF3" w14:textId="448A5327" w:rsidR="00C47CBE" w:rsidRDefault="00C47CBE" w:rsidP="006865C5">
      <w:pPr>
        <w:pStyle w:val="Footnote"/>
      </w:pPr>
      <w:r>
        <w:rPr>
          <w:vertAlign w:val="superscript"/>
        </w:rPr>
        <w:footnoteRef/>
      </w:r>
      <w:r>
        <w:t>.</w:t>
      </w:r>
      <w:r>
        <w:tab/>
      </w:r>
      <w:r>
        <w:rPr>
          <w:rStyle w:val="Italic"/>
        </w:rPr>
        <w:t>Sentencing Act 1991</w:t>
      </w:r>
      <w:r>
        <w:t xml:space="preserve"> (Vic) s 8.</w:t>
      </w:r>
    </w:p>
  </w:footnote>
  <w:footnote w:id="28">
    <w:p w14:paraId="33FCC01C" w14:textId="18EC83D5" w:rsidR="00C47CBE" w:rsidRDefault="00C47CBE" w:rsidP="006865C5">
      <w:pPr>
        <w:pStyle w:val="Footnote"/>
      </w:pPr>
      <w:r>
        <w:rPr>
          <w:vertAlign w:val="superscript"/>
        </w:rPr>
        <w:footnoteRef/>
      </w:r>
      <w:r>
        <w:t>.</w:t>
      </w:r>
      <w:r>
        <w:tab/>
      </w:r>
      <w:r>
        <w:rPr>
          <w:rStyle w:val="Italic"/>
        </w:rPr>
        <w:t>Crimes (Mental Impairment and Unfitness to Be Tried) Act 1997</w:t>
      </w:r>
      <w:r>
        <w:t xml:space="preserve"> (Vic) ss 17–18.</w:t>
      </w:r>
    </w:p>
  </w:footnote>
  <w:footnote w:id="29">
    <w:p w14:paraId="23619EF4" w14:textId="2914AAE3" w:rsidR="00C47CBE" w:rsidRDefault="00C47CBE" w:rsidP="006865C5">
      <w:pPr>
        <w:pStyle w:val="Footnote"/>
      </w:pPr>
      <w:r>
        <w:rPr>
          <w:vertAlign w:val="superscript"/>
        </w:rPr>
        <w:footnoteRef/>
      </w:r>
      <w:r>
        <w:t>.</w:t>
      </w:r>
      <w:r>
        <w:tab/>
      </w:r>
      <w:r>
        <w:rPr>
          <w:rStyle w:val="Italic"/>
        </w:rPr>
        <w:t xml:space="preserve">Criminal Procedure Act 2009 </w:t>
      </w:r>
      <w:r>
        <w:t>(Vic) s 59.</w:t>
      </w:r>
    </w:p>
  </w:footnote>
  <w:footnote w:id="30">
    <w:p w14:paraId="0A230981" w14:textId="13185F82" w:rsidR="00C47CBE" w:rsidRDefault="00C47CBE" w:rsidP="006865C5">
      <w:pPr>
        <w:pStyle w:val="Footnote"/>
      </w:pPr>
      <w:r>
        <w:rPr>
          <w:vertAlign w:val="superscript"/>
        </w:rPr>
        <w:footnoteRef/>
      </w:r>
      <w:r>
        <w:t>.</w:t>
      </w:r>
      <w:r>
        <w:tab/>
        <w:t>Sentencing Advisory Council (2019), above n 2, 5–6.</w:t>
      </w:r>
    </w:p>
  </w:footnote>
  <w:footnote w:id="31">
    <w:p w14:paraId="41BA8CC7" w14:textId="66C79E7F" w:rsidR="00C47CBE" w:rsidRDefault="00C47CBE" w:rsidP="006865C5">
      <w:pPr>
        <w:pStyle w:val="Footnote"/>
      </w:pPr>
      <w:r>
        <w:rPr>
          <w:vertAlign w:val="superscript"/>
        </w:rPr>
        <w:footnoteRef/>
      </w:r>
      <w:r>
        <w:t>.</w:t>
      </w:r>
      <w:r>
        <w:tab/>
        <w:t>Sentencing Advisory Council (2018), above n 2, 5–6.</w:t>
      </w:r>
    </w:p>
  </w:footnote>
  <w:footnote w:id="32">
    <w:p w14:paraId="1689E210" w14:textId="7C4E66B8" w:rsidR="00C47CBE" w:rsidRDefault="00C47CBE" w:rsidP="006865C5">
      <w:pPr>
        <w:pStyle w:val="Footnote"/>
      </w:pPr>
      <w:r>
        <w:rPr>
          <w:vertAlign w:val="superscript"/>
        </w:rPr>
        <w:footnoteRef/>
      </w:r>
      <w:r>
        <w:t>.</w:t>
      </w:r>
      <w:r>
        <w:tab/>
        <w:t>The numbers in Figure 2 are subject to change. Some orders may not have been entered into the case management system at the time that the data was extracted and/or additional data quality checks may have improved the count of unique individuals. The number in 2011–12 is substantially lower than in other years because the CCO was only introduced part way through that financial year on 16 January 2012.</w:t>
      </w:r>
    </w:p>
  </w:footnote>
  <w:footnote w:id="33">
    <w:p w14:paraId="4B2C9B1F" w14:textId="1046844E" w:rsidR="00C47CBE" w:rsidRDefault="00C47CBE" w:rsidP="006865C5">
      <w:pPr>
        <w:pStyle w:val="Footnote"/>
      </w:pPr>
      <w:r>
        <w:rPr>
          <w:vertAlign w:val="superscript"/>
        </w:rPr>
        <w:footnoteRef/>
      </w:r>
      <w:r>
        <w:t>.</w:t>
      </w:r>
      <w:r>
        <w:tab/>
        <w:t>Sentencing Advisory Council (2019), above n 2, 8.</w:t>
      </w:r>
    </w:p>
  </w:footnote>
  <w:footnote w:id="34">
    <w:p w14:paraId="22D18C16" w14:textId="5A83E073" w:rsidR="00C47CBE" w:rsidRDefault="00C47CBE" w:rsidP="006865C5">
      <w:pPr>
        <w:pStyle w:val="Footnote"/>
      </w:pPr>
      <w:r>
        <w:rPr>
          <w:vertAlign w:val="superscript"/>
        </w:rPr>
        <w:footnoteRef/>
      </w:r>
      <w:r>
        <w:t>.</w:t>
      </w:r>
      <w:r>
        <w:tab/>
        <w:t>Ibid.</w:t>
      </w:r>
    </w:p>
  </w:footnote>
  <w:footnote w:id="35">
    <w:p w14:paraId="4F6913BB" w14:textId="7F5E2A26" w:rsidR="00C47CBE" w:rsidRDefault="00C47CBE" w:rsidP="006865C5">
      <w:pPr>
        <w:pStyle w:val="Footnote"/>
      </w:pPr>
      <w:r>
        <w:rPr>
          <w:vertAlign w:val="superscript"/>
        </w:rPr>
        <w:footnoteRef/>
      </w:r>
      <w:r>
        <w:t>.</w:t>
      </w:r>
      <w:r>
        <w:tab/>
        <w:t>Ibid.</w:t>
      </w:r>
    </w:p>
  </w:footnote>
  <w:footnote w:id="36">
    <w:p w14:paraId="230EF254" w14:textId="2F550CE4" w:rsidR="00C47CBE" w:rsidRDefault="00C47CBE" w:rsidP="006865C5">
      <w:pPr>
        <w:pStyle w:val="Footnote"/>
      </w:pPr>
      <w:r>
        <w:rPr>
          <w:vertAlign w:val="superscript"/>
        </w:rPr>
        <w:footnoteRef/>
      </w:r>
      <w:r>
        <w:t>.</w:t>
      </w:r>
      <w:r>
        <w:tab/>
        <w:t>Ibid.</w:t>
      </w:r>
    </w:p>
  </w:footnote>
  <w:footnote w:id="37">
    <w:p w14:paraId="54EB82EC" w14:textId="219A1645" w:rsidR="00C47CBE" w:rsidRDefault="00C47CBE" w:rsidP="006865C5">
      <w:pPr>
        <w:pStyle w:val="Footnote"/>
      </w:pPr>
      <w:r>
        <w:rPr>
          <w:vertAlign w:val="superscript"/>
        </w:rPr>
        <w:footnoteRef/>
      </w:r>
      <w:r>
        <w:t>.</w:t>
      </w:r>
      <w:r>
        <w:tab/>
        <w:t>Ibid 9.</w:t>
      </w:r>
    </w:p>
  </w:footnote>
  <w:footnote w:id="38">
    <w:p w14:paraId="3009CB2D" w14:textId="157E1937" w:rsidR="00C47CBE" w:rsidRDefault="00C47CBE" w:rsidP="006865C5">
      <w:pPr>
        <w:pStyle w:val="Footnote"/>
      </w:pPr>
      <w:r>
        <w:rPr>
          <w:vertAlign w:val="superscript"/>
        </w:rPr>
        <w:footnoteRef/>
      </w:r>
      <w:r>
        <w:t>.</w:t>
      </w:r>
      <w:r>
        <w:tab/>
        <w:t>Ibid.</w:t>
      </w:r>
    </w:p>
  </w:footnote>
  <w:footnote w:id="39">
    <w:p w14:paraId="3F4675A6" w14:textId="6602D3A4" w:rsidR="00C47CBE" w:rsidRDefault="00C47CBE" w:rsidP="006865C5">
      <w:pPr>
        <w:pStyle w:val="Footnote"/>
      </w:pPr>
      <w:r>
        <w:rPr>
          <w:vertAlign w:val="superscript"/>
        </w:rPr>
        <w:footnoteRef/>
      </w:r>
      <w:r>
        <w:t>.</w:t>
      </w:r>
      <w:r>
        <w:tab/>
        <w:t>Ibid 9–10.</w:t>
      </w:r>
    </w:p>
  </w:footnote>
  <w:footnote w:id="40">
    <w:p w14:paraId="0C6F81A4" w14:textId="5D92DBB0" w:rsidR="00C47CBE" w:rsidRDefault="00C47CBE" w:rsidP="006865C5">
      <w:pPr>
        <w:pStyle w:val="Footnote"/>
      </w:pPr>
      <w:r>
        <w:rPr>
          <w:vertAlign w:val="superscript"/>
        </w:rPr>
        <w:footnoteRef/>
      </w:r>
      <w:r>
        <w:t>.</w:t>
      </w:r>
      <w:r>
        <w:tab/>
        <w:t>Ibid.</w:t>
      </w:r>
    </w:p>
  </w:footnote>
  <w:footnote w:id="41">
    <w:p w14:paraId="2CCD2807" w14:textId="77777777" w:rsidR="00C47CBE" w:rsidRDefault="00C47CBE" w:rsidP="008D5DC1">
      <w:pPr>
        <w:pStyle w:val="Footnote"/>
      </w:pPr>
      <w:r>
        <w:rPr>
          <w:vertAlign w:val="superscript"/>
        </w:rPr>
        <w:footnoteRef/>
      </w:r>
      <w:r>
        <w:t>.</w:t>
      </w:r>
      <w:r>
        <w:tab/>
        <w:t>Additional details relating to these two charges of murder are as follows:</w:t>
      </w:r>
    </w:p>
    <w:p w14:paraId="558557E7" w14:textId="77777777" w:rsidR="00C47CBE" w:rsidRDefault="00C47CBE" w:rsidP="006865C5">
      <w:pPr>
        <w:pStyle w:val="FootnoteBullet"/>
      </w:pPr>
      <w:r>
        <w:t xml:space="preserve">A murder was committed approximately six months into a two-year CCO imposed for theft, arson, throwing a missile to damage property, entering a private space without excuse, make threat to kill, make threat to inflict serious injury, stalking and assault. </w:t>
      </w:r>
    </w:p>
    <w:p w14:paraId="778A1E11" w14:textId="77777777" w:rsidR="00C47CBE" w:rsidRDefault="00C47CBE" w:rsidP="006865C5">
      <w:pPr>
        <w:pStyle w:val="FootnoteBullet"/>
      </w:pPr>
      <w:r>
        <w:t>A murder was committed approximately nine months into a two-year CCO (combined with a term of imprisonment) imposed for offences including several counts of theft, burglary, obtaining property by deception, unlicensed driving, careless driving, dangerous driving and committing indictable offences on bail.</w:t>
      </w:r>
    </w:p>
  </w:footnote>
  <w:footnote w:id="42">
    <w:p w14:paraId="755CF6C2" w14:textId="382E26CA" w:rsidR="00C47CBE" w:rsidRDefault="00C47CBE" w:rsidP="006865C5">
      <w:pPr>
        <w:pStyle w:val="Footnote"/>
      </w:pPr>
      <w:r>
        <w:rPr>
          <w:vertAlign w:val="superscript"/>
        </w:rPr>
        <w:footnoteRef/>
      </w:r>
      <w:r>
        <w:t>.</w:t>
      </w:r>
      <w:r>
        <w:tab/>
        <w:t>Sentencing Advisory Council (2019), above n 2, 10.</w:t>
      </w:r>
    </w:p>
  </w:footnote>
  <w:footnote w:id="43">
    <w:p w14:paraId="05FF1FB2" w14:textId="5F64C6DE" w:rsidR="00C47CBE" w:rsidRDefault="00C47CBE" w:rsidP="006865C5">
      <w:pPr>
        <w:pStyle w:val="Footnote"/>
      </w:pPr>
      <w:r>
        <w:rPr>
          <w:vertAlign w:val="superscript"/>
        </w:rPr>
        <w:footnoteRef/>
      </w:r>
      <w:r>
        <w:t>.</w:t>
      </w:r>
      <w:r>
        <w:tab/>
        <w:t>Sentencing Advisory Council (2018), above n 2, 9.</w:t>
      </w:r>
    </w:p>
  </w:footnote>
  <w:footnote w:id="44">
    <w:p w14:paraId="276F91AF" w14:textId="77777777" w:rsidR="00C47CBE" w:rsidRDefault="00C47CBE" w:rsidP="008D5DC1">
      <w:pPr>
        <w:pStyle w:val="Footnote"/>
      </w:pPr>
      <w:r>
        <w:rPr>
          <w:vertAlign w:val="superscript"/>
        </w:rPr>
        <w:footnoteRef/>
      </w:r>
      <w:r>
        <w:t>.</w:t>
      </w:r>
      <w:r>
        <w:tab/>
        <w:t>Additional details relating to these two charges of manslaughter are as follows:</w:t>
      </w:r>
    </w:p>
    <w:p w14:paraId="7E34ABE1" w14:textId="77777777" w:rsidR="00C47CBE" w:rsidRDefault="00C47CBE" w:rsidP="006865C5">
      <w:pPr>
        <w:pStyle w:val="FootnoteBullet"/>
      </w:pPr>
      <w:r>
        <w:t>A manslaughter was committed approximately 10 months into a 15-month CCO imposed for a series of regulatory driving offences, drug possession, recklessly causing injury and committing indictable offences on bail. At the time of the manslaughter, the person was also one month into a second CCO of one year imposed for recklessly causing injury, theft and false imprisonment.</w:t>
      </w:r>
    </w:p>
    <w:p w14:paraId="45B2D79D" w14:textId="77777777" w:rsidR="00C47CBE" w:rsidRDefault="00C47CBE" w:rsidP="006865C5">
      <w:pPr>
        <w:pStyle w:val="FootnoteBullet"/>
      </w:pPr>
      <w:r>
        <w:t>A manslaughter was committed approximately 10 months into a one-year CCO imposed for a range of offences including recklessly causing injury, affray, unlawful assault, intentionally damaging property and possess a dangerous article in public.</w:t>
      </w:r>
    </w:p>
  </w:footnote>
  <w:footnote w:id="45">
    <w:p w14:paraId="79068C0E" w14:textId="77777777" w:rsidR="00C47CBE" w:rsidRDefault="00C47CBE" w:rsidP="008D5DC1">
      <w:pPr>
        <w:pStyle w:val="Footnote"/>
      </w:pPr>
      <w:r>
        <w:rPr>
          <w:vertAlign w:val="superscript"/>
        </w:rPr>
        <w:footnoteRef/>
      </w:r>
      <w:r>
        <w:t>.</w:t>
      </w:r>
      <w:r>
        <w:tab/>
        <w:t>Additional details relating to these eight charges of rape are as follows:</w:t>
      </w:r>
    </w:p>
    <w:p w14:paraId="0B37F61E" w14:textId="77777777" w:rsidR="00C47CBE" w:rsidRDefault="00C47CBE" w:rsidP="006865C5">
      <w:pPr>
        <w:pStyle w:val="FootnoteBullet"/>
      </w:pPr>
      <w:r>
        <w:t>Six rapes were committed by a single offender against a single victim over two days, approximately 13 months into a CCO originally imposed for 12 months (the CCO had been extended multiple times so that the offender was still serving it 13 months later). The CCO was imposed for driving while disqualified, fraudulently using identification, failing to answer bail, committing indictable offences on bail, drug possession, dealing with suspected proceeds of crime, possess controlled weapons, trespassing, unlawful assault and contravening a family violence intervention order.</w:t>
      </w:r>
    </w:p>
    <w:p w14:paraId="7CE98847" w14:textId="77777777" w:rsidR="00C47CBE" w:rsidRDefault="00C47CBE" w:rsidP="006865C5">
      <w:pPr>
        <w:pStyle w:val="FootnoteBullet"/>
      </w:pPr>
      <w:r>
        <w:t xml:space="preserve">A rape was committed approximately 20 months into a CCO originally imposed for 18 months (the CCO had been extended multiple times so that the offender was still serving it 20 months later). The CCO was imposed for one count of recklessly causing injury. </w:t>
      </w:r>
    </w:p>
    <w:p w14:paraId="261E1284" w14:textId="77777777" w:rsidR="00C47CBE" w:rsidRDefault="00C47CBE" w:rsidP="006865C5">
      <w:pPr>
        <w:pStyle w:val="FootnoteBullet"/>
      </w:pPr>
      <w:r>
        <w:t xml:space="preserve">A rape was committed approximately eight months into a one-year CCO imposed for theft of and from a motor vehicle, unlicensed driving, driving an unregistered vehicle and failing to answer bail. </w:t>
      </w:r>
    </w:p>
  </w:footnote>
  <w:footnote w:id="46">
    <w:p w14:paraId="5A7BF751" w14:textId="3ED9C069" w:rsidR="00C47CBE" w:rsidRDefault="00C47CBE" w:rsidP="003C1B18">
      <w:pPr>
        <w:pStyle w:val="Footnote"/>
      </w:pPr>
      <w:r>
        <w:rPr>
          <w:vertAlign w:val="superscript"/>
        </w:rPr>
        <w:footnoteRef/>
      </w:r>
      <w:r>
        <w:t>.</w:t>
      </w:r>
      <w:r>
        <w:tab/>
        <w:t>Sentencing Advisory Council (2018), above n 2, 10.</w:t>
      </w:r>
    </w:p>
  </w:footnote>
  <w:footnote w:id="47">
    <w:p w14:paraId="04518465" w14:textId="2D94C1C0" w:rsidR="00C47CBE" w:rsidRDefault="00C47CBE" w:rsidP="003C1B18">
      <w:pPr>
        <w:pStyle w:val="Footnote"/>
      </w:pPr>
      <w:r>
        <w:rPr>
          <w:vertAlign w:val="superscript"/>
        </w:rPr>
        <w:footnoteRef/>
      </w:r>
      <w:r>
        <w:t>.</w:t>
      </w:r>
      <w:r>
        <w:tab/>
        <w:t>Sentencing Advisory Council (2019), above n 2, 10.</w:t>
      </w:r>
    </w:p>
  </w:footnote>
  <w:footnote w:id="48">
    <w:p w14:paraId="22D63767" w14:textId="6844AC59" w:rsidR="00C47CBE" w:rsidRDefault="00C47CBE" w:rsidP="003C1B18">
      <w:pPr>
        <w:pStyle w:val="Footnote"/>
      </w:pPr>
      <w:r>
        <w:rPr>
          <w:vertAlign w:val="superscript"/>
        </w:rPr>
        <w:footnoteRef/>
      </w:r>
      <w:r>
        <w:t>.</w:t>
      </w:r>
      <w:r>
        <w:tab/>
        <w:t>Sentencing Advisory Council (2018), above n 2, 10.</w:t>
      </w:r>
    </w:p>
  </w:footnote>
  <w:footnote w:id="49">
    <w:p w14:paraId="2B67EA0E" w14:textId="49735304" w:rsidR="00C47CBE" w:rsidRDefault="00C47CBE" w:rsidP="003C1B18">
      <w:pPr>
        <w:pStyle w:val="Footnote"/>
      </w:pPr>
      <w:r>
        <w:rPr>
          <w:vertAlign w:val="superscript"/>
        </w:rPr>
        <w:footnoteRef/>
      </w:r>
      <w:r>
        <w:t>.</w:t>
      </w:r>
      <w:r>
        <w:tab/>
        <w:t>Sentencing Advisory Council (2019), above n 2, 10.</w:t>
      </w:r>
    </w:p>
  </w:footnote>
  <w:footnote w:id="50">
    <w:p w14:paraId="06EC1BEA" w14:textId="099237CC" w:rsidR="00C47CBE" w:rsidRDefault="00C47CBE" w:rsidP="003C1B18">
      <w:pPr>
        <w:pStyle w:val="Footnote"/>
      </w:pPr>
      <w:r>
        <w:rPr>
          <w:vertAlign w:val="superscript"/>
        </w:rPr>
        <w:footnoteRef/>
      </w:r>
      <w:r>
        <w:t>.</w:t>
      </w:r>
      <w:r>
        <w:tab/>
        <w:t>Sentencing Advisory Council (2018), above n 2, 8.</w:t>
      </w:r>
    </w:p>
  </w:footnote>
  <w:footnote w:id="51">
    <w:p w14:paraId="78E176B2" w14:textId="5A5BA9E9" w:rsidR="00C47CBE" w:rsidRDefault="00C47CBE" w:rsidP="003C1B18">
      <w:pPr>
        <w:pStyle w:val="Footnote"/>
      </w:pPr>
      <w:r>
        <w:rPr>
          <w:vertAlign w:val="superscript"/>
        </w:rPr>
        <w:footnoteRef/>
      </w:r>
      <w:r>
        <w:t>.</w:t>
      </w:r>
      <w:r>
        <w:tab/>
        <w:t>Sentencing Advisory Council (2019), above n 2, 11.</w:t>
      </w:r>
    </w:p>
  </w:footnote>
  <w:footnote w:id="52">
    <w:p w14:paraId="427FC131" w14:textId="0B050348" w:rsidR="00C47CBE" w:rsidRDefault="00C47CBE" w:rsidP="003C1B18">
      <w:pPr>
        <w:pStyle w:val="Footnote"/>
      </w:pPr>
      <w:r>
        <w:rPr>
          <w:vertAlign w:val="superscript"/>
        </w:rPr>
        <w:footnoteRef/>
      </w:r>
      <w:r>
        <w:t>.</w:t>
      </w:r>
      <w:r>
        <w:tab/>
        <w:t>Ibid; Sentencing Advisory Council (2018), above n 2, 8.</w:t>
      </w:r>
    </w:p>
  </w:footnote>
  <w:footnote w:id="53">
    <w:p w14:paraId="748A5DE8" w14:textId="6471F61B" w:rsidR="00C47CBE" w:rsidRDefault="00C47CBE" w:rsidP="008D5DC1">
      <w:pPr>
        <w:pStyle w:val="Footnote"/>
      </w:pPr>
      <w:r>
        <w:rPr>
          <w:vertAlign w:val="superscript"/>
        </w:rPr>
        <w:footnoteRef/>
      </w:r>
      <w:r>
        <w:t>.</w:t>
      </w:r>
      <w:r>
        <w:tab/>
        <w:t>Sentencing Advisory Council (2019), above n 2, 12.</w:t>
      </w:r>
    </w:p>
  </w:footnote>
  <w:footnote w:id="54">
    <w:p w14:paraId="1B95EE8A" w14:textId="7E4627CE" w:rsidR="00C47CBE" w:rsidRDefault="00C47CBE" w:rsidP="008D5DC1">
      <w:pPr>
        <w:pStyle w:val="Footnote"/>
      </w:pPr>
      <w:r>
        <w:rPr>
          <w:vertAlign w:val="superscript"/>
        </w:rPr>
        <w:footnoteRef/>
      </w:r>
      <w:r>
        <w:t>.</w:t>
      </w:r>
      <w:r>
        <w:tab/>
        <w:t>Ibid.</w:t>
      </w:r>
    </w:p>
  </w:footnote>
  <w:footnote w:id="55">
    <w:p w14:paraId="587F71AB" w14:textId="02FB55C9" w:rsidR="00C47CBE" w:rsidRDefault="00C47CBE" w:rsidP="008D5DC1">
      <w:pPr>
        <w:pStyle w:val="Footnote"/>
      </w:pPr>
      <w:r>
        <w:rPr>
          <w:vertAlign w:val="superscript"/>
        </w:rPr>
        <w:footnoteRef/>
      </w:r>
      <w:r>
        <w:t>.</w:t>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EF36" w14:textId="2054F843" w:rsidR="00C47CBE" w:rsidRPr="00E8019C" w:rsidRDefault="00C47CBE" w:rsidP="00E8019C">
    <w:pPr>
      <w:pStyle w:val="Title"/>
      <w:rPr>
        <w:b w:val="0"/>
        <w:bCs w:val="0"/>
        <w:sz w:val="20"/>
        <w:szCs w:val="20"/>
      </w:rPr>
    </w:pPr>
    <w:r w:rsidRPr="008C6695">
      <w:rPr>
        <w:b w:val="0"/>
        <w:bCs w:val="0"/>
        <w:i/>
        <w:iCs/>
        <w:sz w:val="20"/>
        <w:szCs w:val="20"/>
      </w:rPr>
      <w:t>Serious Offending by People Serving a Community Correction Order: 2018–19</w:t>
    </w:r>
    <w:r w:rsidRPr="00E8019C">
      <w:rPr>
        <w:b w:val="0"/>
        <w:bCs w:val="0"/>
        <w:sz w:val="20"/>
      </w:rPr>
      <w:t xml:space="preserve"> ● </w:t>
    </w:r>
    <w:r>
      <w:rPr>
        <w:b w:val="0"/>
        <w:bCs w:val="0"/>
        <w:sz w:val="20"/>
      </w:rPr>
      <w:t>June 2020</w:t>
    </w:r>
    <w:r w:rsidRPr="00E8019C">
      <w:rPr>
        <w:b w:val="0"/>
        <w:bCs w:val="0"/>
        <w:sz w:val="20"/>
      </w:rPr>
      <w:t xml:space="preserve"> ● Sentencing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BD2207"/>
    <w:multiLevelType w:val="hybridMultilevel"/>
    <w:tmpl w:val="1F7E7B3A"/>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20B55CB"/>
    <w:multiLevelType w:val="hybridMultilevel"/>
    <w:tmpl w:val="3008044E"/>
    <w:lvl w:ilvl="0" w:tplc="A70ACDF0">
      <w:start w:val="1"/>
      <w:numFmt w:val="bullet"/>
      <w:pStyle w:val="Footnote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removePersonalInformation/>
  <w:removeDateAndTime/>
  <w:embedSystemFonts/>
  <w:bordersDoNotSurroundHeader/>
  <w:bordersDoNotSurroundFooter/>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9A"/>
    <w:rsid w:val="00005C26"/>
    <w:rsid w:val="00007C8C"/>
    <w:rsid w:val="00014CD8"/>
    <w:rsid w:val="00014E52"/>
    <w:rsid w:val="00014F2C"/>
    <w:rsid w:val="000171EF"/>
    <w:rsid w:val="00026071"/>
    <w:rsid w:val="00031D5F"/>
    <w:rsid w:val="00034AE6"/>
    <w:rsid w:val="00035413"/>
    <w:rsid w:val="00040B01"/>
    <w:rsid w:val="000427AA"/>
    <w:rsid w:val="00050B03"/>
    <w:rsid w:val="00050B8A"/>
    <w:rsid w:val="00050BF8"/>
    <w:rsid w:val="00050EE9"/>
    <w:rsid w:val="00057C77"/>
    <w:rsid w:val="0006596C"/>
    <w:rsid w:val="00066093"/>
    <w:rsid w:val="00066A46"/>
    <w:rsid w:val="00067FA5"/>
    <w:rsid w:val="000706AC"/>
    <w:rsid w:val="00072BF5"/>
    <w:rsid w:val="0007307E"/>
    <w:rsid w:val="00075ECD"/>
    <w:rsid w:val="000802AD"/>
    <w:rsid w:val="00083BE5"/>
    <w:rsid w:val="000841B0"/>
    <w:rsid w:val="00084687"/>
    <w:rsid w:val="000853D4"/>
    <w:rsid w:val="00086F87"/>
    <w:rsid w:val="00090773"/>
    <w:rsid w:val="00091E82"/>
    <w:rsid w:val="00094B2B"/>
    <w:rsid w:val="000A3913"/>
    <w:rsid w:val="000B028C"/>
    <w:rsid w:val="000B150C"/>
    <w:rsid w:val="000B1B6C"/>
    <w:rsid w:val="000B45FD"/>
    <w:rsid w:val="000B4F53"/>
    <w:rsid w:val="000B55E5"/>
    <w:rsid w:val="000B634A"/>
    <w:rsid w:val="000C2770"/>
    <w:rsid w:val="000C5A4C"/>
    <w:rsid w:val="000C68BF"/>
    <w:rsid w:val="000D0F25"/>
    <w:rsid w:val="000D1F9C"/>
    <w:rsid w:val="000D4AB1"/>
    <w:rsid w:val="000D4ACB"/>
    <w:rsid w:val="000E1D9C"/>
    <w:rsid w:val="000E2235"/>
    <w:rsid w:val="000E2800"/>
    <w:rsid w:val="000F454E"/>
    <w:rsid w:val="001039C6"/>
    <w:rsid w:val="00105B94"/>
    <w:rsid w:val="00106679"/>
    <w:rsid w:val="00107BCD"/>
    <w:rsid w:val="00111982"/>
    <w:rsid w:val="001123B9"/>
    <w:rsid w:val="001132B2"/>
    <w:rsid w:val="00114896"/>
    <w:rsid w:val="00120452"/>
    <w:rsid w:val="00125046"/>
    <w:rsid w:val="0012645E"/>
    <w:rsid w:val="00131244"/>
    <w:rsid w:val="00135356"/>
    <w:rsid w:val="00135C30"/>
    <w:rsid w:val="0014068F"/>
    <w:rsid w:val="001446F6"/>
    <w:rsid w:val="001459BF"/>
    <w:rsid w:val="001463DE"/>
    <w:rsid w:val="00150C14"/>
    <w:rsid w:val="00150DBB"/>
    <w:rsid w:val="00152192"/>
    <w:rsid w:val="00160502"/>
    <w:rsid w:val="001609F4"/>
    <w:rsid w:val="001615C7"/>
    <w:rsid w:val="00165B10"/>
    <w:rsid w:val="00173049"/>
    <w:rsid w:val="00175A75"/>
    <w:rsid w:val="00175B23"/>
    <w:rsid w:val="00177475"/>
    <w:rsid w:val="00177B78"/>
    <w:rsid w:val="00181117"/>
    <w:rsid w:val="001833B4"/>
    <w:rsid w:val="001917EB"/>
    <w:rsid w:val="00191E69"/>
    <w:rsid w:val="00193952"/>
    <w:rsid w:val="00195AA5"/>
    <w:rsid w:val="00196BD3"/>
    <w:rsid w:val="001970F5"/>
    <w:rsid w:val="001A0831"/>
    <w:rsid w:val="001A72C5"/>
    <w:rsid w:val="001B255C"/>
    <w:rsid w:val="001B3BA5"/>
    <w:rsid w:val="001B7F6F"/>
    <w:rsid w:val="001D09E2"/>
    <w:rsid w:val="001D3B29"/>
    <w:rsid w:val="001D4674"/>
    <w:rsid w:val="001E0CC8"/>
    <w:rsid w:val="001E3774"/>
    <w:rsid w:val="001E4E27"/>
    <w:rsid w:val="001E54C9"/>
    <w:rsid w:val="001E6C0C"/>
    <w:rsid w:val="001F2466"/>
    <w:rsid w:val="001F471E"/>
    <w:rsid w:val="001F7595"/>
    <w:rsid w:val="001F7BAD"/>
    <w:rsid w:val="00206AF3"/>
    <w:rsid w:val="00207E1C"/>
    <w:rsid w:val="002102BD"/>
    <w:rsid w:val="00210D5D"/>
    <w:rsid w:val="00212F61"/>
    <w:rsid w:val="00217FD7"/>
    <w:rsid w:val="002209C8"/>
    <w:rsid w:val="00220B05"/>
    <w:rsid w:val="002220B3"/>
    <w:rsid w:val="002225C5"/>
    <w:rsid w:val="002323A3"/>
    <w:rsid w:val="00236601"/>
    <w:rsid w:val="00236977"/>
    <w:rsid w:val="00237CDC"/>
    <w:rsid w:val="0024498D"/>
    <w:rsid w:val="0025199A"/>
    <w:rsid w:val="002546D0"/>
    <w:rsid w:val="00257443"/>
    <w:rsid w:val="00263161"/>
    <w:rsid w:val="00266788"/>
    <w:rsid w:val="00270C5B"/>
    <w:rsid w:val="00272FAB"/>
    <w:rsid w:val="00282BBF"/>
    <w:rsid w:val="00283226"/>
    <w:rsid w:val="00283254"/>
    <w:rsid w:val="00286947"/>
    <w:rsid w:val="00287374"/>
    <w:rsid w:val="0028752B"/>
    <w:rsid w:val="002940A2"/>
    <w:rsid w:val="00294202"/>
    <w:rsid w:val="002A0E65"/>
    <w:rsid w:val="002A2B29"/>
    <w:rsid w:val="002A32E7"/>
    <w:rsid w:val="002A466E"/>
    <w:rsid w:val="002B0695"/>
    <w:rsid w:val="002B1984"/>
    <w:rsid w:val="002B73A2"/>
    <w:rsid w:val="002C2130"/>
    <w:rsid w:val="002C2F57"/>
    <w:rsid w:val="002C3862"/>
    <w:rsid w:val="002C4F89"/>
    <w:rsid w:val="002D0B8A"/>
    <w:rsid w:val="002D322E"/>
    <w:rsid w:val="002D32D6"/>
    <w:rsid w:val="002D3764"/>
    <w:rsid w:val="002D579F"/>
    <w:rsid w:val="002D6557"/>
    <w:rsid w:val="002E564C"/>
    <w:rsid w:val="002E7B69"/>
    <w:rsid w:val="002F0CCB"/>
    <w:rsid w:val="002F2DB3"/>
    <w:rsid w:val="002F48E4"/>
    <w:rsid w:val="002F7907"/>
    <w:rsid w:val="0030606D"/>
    <w:rsid w:val="00306BA2"/>
    <w:rsid w:val="00307BF1"/>
    <w:rsid w:val="00307F8D"/>
    <w:rsid w:val="0031200C"/>
    <w:rsid w:val="00315385"/>
    <w:rsid w:val="00315675"/>
    <w:rsid w:val="00315FC2"/>
    <w:rsid w:val="0032072C"/>
    <w:rsid w:val="003220B1"/>
    <w:rsid w:val="003245F2"/>
    <w:rsid w:val="0032633A"/>
    <w:rsid w:val="00331208"/>
    <w:rsid w:val="003316F3"/>
    <w:rsid w:val="00331878"/>
    <w:rsid w:val="003330BE"/>
    <w:rsid w:val="00334D30"/>
    <w:rsid w:val="00337A67"/>
    <w:rsid w:val="003429E3"/>
    <w:rsid w:val="00342CAB"/>
    <w:rsid w:val="00345B07"/>
    <w:rsid w:val="00346383"/>
    <w:rsid w:val="00347C2A"/>
    <w:rsid w:val="00351B54"/>
    <w:rsid w:val="00352D71"/>
    <w:rsid w:val="00354898"/>
    <w:rsid w:val="003564D1"/>
    <w:rsid w:val="0036597D"/>
    <w:rsid w:val="00365FDF"/>
    <w:rsid w:val="003670C3"/>
    <w:rsid w:val="003700BC"/>
    <w:rsid w:val="00370D1B"/>
    <w:rsid w:val="00370E13"/>
    <w:rsid w:val="00372C51"/>
    <w:rsid w:val="00375ED2"/>
    <w:rsid w:val="00377D92"/>
    <w:rsid w:val="00383796"/>
    <w:rsid w:val="0038711E"/>
    <w:rsid w:val="003948B9"/>
    <w:rsid w:val="00395F6D"/>
    <w:rsid w:val="003A5A87"/>
    <w:rsid w:val="003B1BD7"/>
    <w:rsid w:val="003B442C"/>
    <w:rsid w:val="003B4F5C"/>
    <w:rsid w:val="003B6E5E"/>
    <w:rsid w:val="003B7FE6"/>
    <w:rsid w:val="003C1B18"/>
    <w:rsid w:val="003C3218"/>
    <w:rsid w:val="003C3859"/>
    <w:rsid w:val="003C43DE"/>
    <w:rsid w:val="003D14AE"/>
    <w:rsid w:val="003D5C43"/>
    <w:rsid w:val="003E4092"/>
    <w:rsid w:val="003F2250"/>
    <w:rsid w:val="003F33A3"/>
    <w:rsid w:val="003F4090"/>
    <w:rsid w:val="003F7D3A"/>
    <w:rsid w:val="00400CEB"/>
    <w:rsid w:val="00401C3E"/>
    <w:rsid w:val="004055B5"/>
    <w:rsid w:val="00407095"/>
    <w:rsid w:val="004106B3"/>
    <w:rsid w:val="004137CE"/>
    <w:rsid w:val="00413F85"/>
    <w:rsid w:val="00415FFD"/>
    <w:rsid w:val="0042101E"/>
    <w:rsid w:val="00423332"/>
    <w:rsid w:val="00426FD2"/>
    <w:rsid w:val="00427A93"/>
    <w:rsid w:val="00433B52"/>
    <w:rsid w:val="00437797"/>
    <w:rsid w:val="004520D1"/>
    <w:rsid w:val="00452E5C"/>
    <w:rsid w:val="00457D97"/>
    <w:rsid w:val="004665B1"/>
    <w:rsid w:val="00470753"/>
    <w:rsid w:val="00473755"/>
    <w:rsid w:val="0047446E"/>
    <w:rsid w:val="00475FBD"/>
    <w:rsid w:val="00480D98"/>
    <w:rsid w:val="004834ED"/>
    <w:rsid w:val="00486A6F"/>
    <w:rsid w:val="00487398"/>
    <w:rsid w:val="00487F5F"/>
    <w:rsid w:val="00490430"/>
    <w:rsid w:val="0049264A"/>
    <w:rsid w:val="004936FB"/>
    <w:rsid w:val="00493BB0"/>
    <w:rsid w:val="00495415"/>
    <w:rsid w:val="00496282"/>
    <w:rsid w:val="00497483"/>
    <w:rsid w:val="004A0D39"/>
    <w:rsid w:val="004A2CF3"/>
    <w:rsid w:val="004A358D"/>
    <w:rsid w:val="004A4D79"/>
    <w:rsid w:val="004A62A0"/>
    <w:rsid w:val="004B068E"/>
    <w:rsid w:val="004B0C4E"/>
    <w:rsid w:val="004B12EE"/>
    <w:rsid w:val="004B3DC2"/>
    <w:rsid w:val="004B4B98"/>
    <w:rsid w:val="004B599A"/>
    <w:rsid w:val="004C4667"/>
    <w:rsid w:val="004C52D3"/>
    <w:rsid w:val="004D0185"/>
    <w:rsid w:val="004D055D"/>
    <w:rsid w:val="004D05B8"/>
    <w:rsid w:val="004D43CF"/>
    <w:rsid w:val="004D5EE2"/>
    <w:rsid w:val="004D77B3"/>
    <w:rsid w:val="004D7804"/>
    <w:rsid w:val="004E0049"/>
    <w:rsid w:val="004E42C7"/>
    <w:rsid w:val="004E6367"/>
    <w:rsid w:val="004F73C6"/>
    <w:rsid w:val="004F73F4"/>
    <w:rsid w:val="005016C9"/>
    <w:rsid w:val="00502F4C"/>
    <w:rsid w:val="005033AB"/>
    <w:rsid w:val="00510EF0"/>
    <w:rsid w:val="00513540"/>
    <w:rsid w:val="00516CF7"/>
    <w:rsid w:val="00517BEF"/>
    <w:rsid w:val="00523664"/>
    <w:rsid w:val="00523CF1"/>
    <w:rsid w:val="00526BAD"/>
    <w:rsid w:val="00526D86"/>
    <w:rsid w:val="00527848"/>
    <w:rsid w:val="00527C8C"/>
    <w:rsid w:val="00533377"/>
    <w:rsid w:val="005373CC"/>
    <w:rsid w:val="00542BCC"/>
    <w:rsid w:val="00547DB8"/>
    <w:rsid w:val="005508D6"/>
    <w:rsid w:val="00552ED1"/>
    <w:rsid w:val="00553AA8"/>
    <w:rsid w:val="00554B0F"/>
    <w:rsid w:val="0056002A"/>
    <w:rsid w:val="005628E0"/>
    <w:rsid w:val="00563E02"/>
    <w:rsid w:val="0056748A"/>
    <w:rsid w:val="005714AE"/>
    <w:rsid w:val="00580AF1"/>
    <w:rsid w:val="0058328D"/>
    <w:rsid w:val="00585E11"/>
    <w:rsid w:val="005A1A70"/>
    <w:rsid w:val="005A2DD8"/>
    <w:rsid w:val="005A3FCE"/>
    <w:rsid w:val="005A4851"/>
    <w:rsid w:val="005A5FC3"/>
    <w:rsid w:val="005A69E7"/>
    <w:rsid w:val="005A6AD2"/>
    <w:rsid w:val="005B0E66"/>
    <w:rsid w:val="005B3F45"/>
    <w:rsid w:val="005B7138"/>
    <w:rsid w:val="005C16F8"/>
    <w:rsid w:val="005C7673"/>
    <w:rsid w:val="005D00F7"/>
    <w:rsid w:val="005D07A7"/>
    <w:rsid w:val="005D1C21"/>
    <w:rsid w:val="005D3C51"/>
    <w:rsid w:val="005D47B9"/>
    <w:rsid w:val="005D56D5"/>
    <w:rsid w:val="005D72E6"/>
    <w:rsid w:val="005D7FEE"/>
    <w:rsid w:val="005E03B9"/>
    <w:rsid w:val="005E08D5"/>
    <w:rsid w:val="005E1829"/>
    <w:rsid w:val="005E444F"/>
    <w:rsid w:val="005F13DF"/>
    <w:rsid w:val="005F2AE7"/>
    <w:rsid w:val="005F438A"/>
    <w:rsid w:val="005F6FA9"/>
    <w:rsid w:val="00600D96"/>
    <w:rsid w:val="0060498D"/>
    <w:rsid w:val="00606D5A"/>
    <w:rsid w:val="00613286"/>
    <w:rsid w:val="006146DF"/>
    <w:rsid w:val="00615CB4"/>
    <w:rsid w:val="00620DC8"/>
    <w:rsid w:val="00621735"/>
    <w:rsid w:val="0062388D"/>
    <w:rsid w:val="00623C6B"/>
    <w:rsid w:val="006267C3"/>
    <w:rsid w:val="0063162A"/>
    <w:rsid w:val="00632D14"/>
    <w:rsid w:val="00633044"/>
    <w:rsid w:val="0063308C"/>
    <w:rsid w:val="00633FF7"/>
    <w:rsid w:val="00634244"/>
    <w:rsid w:val="00635F73"/>
    <w:rsid w:val="00636B72"/>
    <w:rsid w:val="00637285"/>
    <w:rsid w:val="00641DA6"/>
    <w:rsid w:val="006427FE"/>
    <w:rsid w:val="00643478"/>
    <w:rsid w:val="0064397B"/>
    <w:rsid w:val="00643AE3"/>
    <w:rsid w:val="00654B4A"/>
    <w:rsid w:val="00656D4A"/>
    <w:rsid w:val="00657CB1"/>
    <w:rsid w:val="00664763"/>
    <w:rsid w:val="00665523"/>
    <w:rsid w:val="006666D0"/>
    <w:rsid w:val="00672D86"/>
    <w:rsid w:val="00672E9A"/>
    <w:rsid w:val="00680963"/>
    <w:rsid w:val="00683D32"/>
    <w:rsid w:val="006848BC"/>
    <w:rsid w:val="00685547"/>
    <w:rsid w:val="00685BD2"/>
    <w:rsid w:val="006865C5"/>
    <w:rsid w:val="006871CA"/>
    <w:rsid w:val="00690765"/>
    <w:rsid w:val="00696D03"/>
    <w:rsid w:val="006A0EDE"/>
    <w:rsid w:val="006A24A4"/>
    <w:rsid w:val="006A7341"/>
    <w:rsid w:val="006B291B"/>
    <w:rsid w:val="006B72F4"/>
    <w:rsid w:val="006D1BC1"/>
    <w:rsid w:val="006D1D12"/>
    <w:rsid w:val="006D202C"/>
    <w:rsid w:val="006D5104"/>
    <w:rsid w:val="006E68EC"/>
    <w:rsid w:val="006E77B6"/>
    <w:rsid w:val="006F3F36"/>
    <w:rsid w:val="006F4619"/>
    <w:rsid w:val="006F6A5C"/>
    <w:rsid w:val="006F7153"/>
    <w:rsid w:val="006F77A5"/>
    <w:rsid w:val="007010B5"/>
    <w:rsid w:val="0070203B"/>
    <w:rsid w:val="00703380"/>
    <w:rsid w:val="007044B7"/>
    <w:rsid w:val="0070601D"/>
    <w:rsid w:val="00707716"/>
    <w:rsid w:val="00707B92"/>
    <w:rsid w:val="007106E0"/>
    <w:rsid w:val="0071116E"/>
    <w:rsid w:val="00712490"/>
    <w:rsid w:val="00716DAB"/>
    <w:rsid w:val="00720224"/>
    <w:rsid w:val="00720D8A"/>
    <w:rsid w:val="00720DFC"/>
    <w:rsid w:val="00721534"/>
    <w:rsid w:val="00721731"/>
    <w:rsid w:val="007238AB"/>
    <w:rsid w:val="00733B0D"/>
    <w:rsid w:val="00735DF1"/>
    <w:rsid w:val="00740424"/>
    <w:rsid w:val="00741722"/>
    <w:rsid w:val="00741AD3"/>
    <w:rsid w:val="00742CAD"/>
    <w:rsid w:val="0074456B"/>
    <w:rsid w:val="00744633"/>
    <w:rsid w:val="007455E8"/>
    <w:rsid w:val="00750C7D"/>
    <w:rsid w:val="0075182F"/>
    <w:rsid w:val="0076421D"/>
    <w:rsid w:val="00764EE8"/>
    <w:rsid w:val="00767052"/>
    <w:rsid w:val="007715AB"/>
    <w:rsid w:val="00771A2E"/>
    <w:rsid w:val="00771DA7"/>
    <w:rsid w:val="00776366"/>
    <w:rsid w:val="00782856"/>
    <w:rsid w:val="00785F1D"/>
    <w:rsid w:val="00786C1B"/>
    <w:rsid w:val="00786CC9"/>
    <w:rsid w:val="00786D4A"/>
    <w:rsid w:val="007906A8"/>
    <w:rsid w:val="00790C4F"/>
    <w:rsid w:val="00791C21"/>
    <w:rsid w:val="00792D4E"/>
    <w:rsid w:val="00794DFA"/>
    <w:rsid w:val="0079520A"/>
    <w:rsid w:val="0079735B"/>
    <w:rsid w:val="00797752"/>
    <w:rsid w:val="007977A7"/>
    <w:rsid w:val="007B1693"/>
    <w:rsid w:val="007B298F"/>
    <w:rsid w:val="007B6AFF"/>
    <w:rsid w:val="007B7B5A"/>
    <w:rsid w:val="007C1944"/>
    <w:rsid w:val="007C2B98"/>
    <w:rsid w:val="007C4F31"/>
    <w:rsid w:val="007C667F"/>
    <w:rsid w:val="007C6BEF"/>
    <w:rsid w:val="007D1915"/>
    <w:rsid w:val="007D570A"/>
    <w:rsid w:val="007E07CD"/>
    <w:rsid w:val="007E1FB1"/>
    <w:rsid w:val="007E539D"/>
    <w:rsid w:val="007E570C"/>
    <w:rsid w:val="007E5CA6"/>
    <w:rsid w:val="007E7774"/>
    <w:rsid w:val="007F25B8"/>
    <w:rsid w:val="007F2D1D"/>
    <w:rsid w:val="007F3862"/>
    <w:rsid w:val="007F4552"/>
    <w:rsid w:val="007F486D"/>
    <w:rsid w:val="007F4973"/>
    <w:rsid w:val="007F5019"/>
    <w:rsid w:val="007F66A5"/>
    <w:rsid w:val="007F6F1F"/>
    <w:rsid w:val="007F788C"/>
    <w:rsid w:val="00806203"/>
    <w:rsid w:val="00807D88"/>
    <w:rsid w:val="00810254"/>
    <w:rsid w:val="00811019"/>
    <w:rsid w:val="00814C4B"/>
    <w:rsid w:val="00816FA3"/>
    <w:rsid w:val="008179EA"/>
    <w:rsid w:val="00831580"/>
    <w:rsid w:val="00831665"/>
    <w:rsid w:val="00831DDA"/>
    <w:rsid w:val="00834BC4"/>
    <w:rsid w:val="00840142"/>
    <w:rsid w:val="00842583"/>
    <w:rsid w:val="00844898"/>
    <w:rsid w:val="008479CF"/>
    <w:rsid w:val="00851822"/>
    <w:rsid w:val="00854A59"/>
    <w:rsid w:val="00856D9A"/>
    <w:rsid w:val="00860690"/>
    <w:rsid w:val="008631EF"/>
    <w:rsid w:val="00866DDA"/>
    <w:rsid w:val="00870A4C"/>
    <w:rsid w:val="00872369"/>
    <w:rsid w:val="00875A2F"/>
    <w:rsid w:val="00880689"/>
    <w:rsid w:val="00885021"/>
    <w:rsid w:val="0088705B"/>
    <w:rsid w:val="00894253"/>
    <w:rsid w:val="00896433"/>
    <w:rsid w:val="0089673C"/>
    <w:rsid w:val="00896AE3"/>
    <w:rsid w:val="00896B8D"/>
    <w:rsid w:val="008A1C48"/>
    <w:rsid w:val="008A2083"/>
    <w:rsid w:val="008A2227"/>
    <w:rsid w:val="008A365A"/>
    <w:rsid w:val="008B2E75"/>
    <w:rsid w:val="008B5525"/>
    <w:rsid w:val="008B5CD0"/>
    <w:rsid w:val="008C0CC7"/>
    <w:rsid w:val="008C2429"/>
    <w:rsid w:val="008C52BC"/>
    <w:rsid w:val="008C5716"/>
    <w:rsid w:val="008C5B57"/>
    <w:rsid w:val="008C6695"/>
    <w:rsid w:val="008D0DB8"/>
    <w:rsid w:val="008D152C"/>
    <w:rsid w:val="008D384B"/>
    <w:rsid w:val="008D4CA6"/>
    <w:rsid w:val="008D512A"/>
    <w:rsid w:val="008D5DC1"/>
    <w:rsid w:val="008E0C9A"/>
    <w:rsid w:val="008E23B0"/>
    <w:rsid w:val="008E470B"/>
    <w:rsid w:val="008F0875"/>
    <w:rsid w:val="008F2266"/>
    <w:rsid w:val="008F42B4"/>
    <w:rsid w:val="008F608B"/>
    <w:rsid w:val="008F7BBD"/>
    <w:rsid w:val="00900627"/>
    <w:rsid w:val="00903B30"/>
    <w:rsid w:val="009051A3"/>
    <w:rsid w:val="009054ED"/>
    <w:rsid w:val="0091246C"/>
    <w:rsid w:val="00914BC1"/>
    <w:rsid w:val="00915C56"/>
    <w:rsid w:val="00917C86"/>
    <w:rsid w:val="009253CB"/>
    <w:rsid w:val="00934533"/>
    <w:rsid w:val="00934E7C"/>
    <w:rsid w:val="00944548"/>
    <w:rsid w:val="0094526B"/>
    <w:rsid w:val="0094576D"/>
    <w:rsid w:val="00946381"/>
    <w:rsid w:val="009503C4"/>
    <w:rsid w:val="00951DEC"/>
    <w:rsid w:val="00952035"/>
    <w:rsid w:val="00960344"/>
    <w:rsid w:val="009603FA"/>
    <w:rsid w:val="00962272"/>
    <w:rsid w:val="00962ED1"/>
    <w:rsid w:val="00963820"/>
    <w:rsid w:val="00964755"/>
    <w:rsid w:val="00971658"/>
    <w:rsid w:val="00973F7B"/>
    <w:rsid w:val="0097436A"/>
    <w:rsid w:val="0097443C"/>
    <w:rsid w:val="00980B55"/>
    <w:rsid w:val="00980D06"/>
    <w:rsid w:val="00981F27"/>
    <w:rsid w:val="0098349A"/>
    <w:rsid w:val="00983D8C"/>
    <w:rsid w:val="0098431B"/>
    <w:rsid w:val="00987F92"/>
    <w:rsid w:val="00992587"/>
    <w:rsid w:val="00992FD1"/>
    <w:rsid w:val="009939F2"/>
    <w:rsid w:val="00993C9B"/>
    <w:rsid w:val="009967EC"/>
    <w:rsid w:val="0099739A"/>
    <w:rsid w:val="009A0D71"/>
    <w:rsid w:val="009A0E17"/>
    <w:rsid w:val="009A49FB"/>
    <w:rsid w:val="009B167C"/>
    <w:rsid w:val="009B171E"/>
    <w:rsid w:val="009B1AE1"/>
    <w:rsid w:val="009B438E"/>
    <w:rsid w:val="009B5DA7"/>
    <w:rsid w:val="009C07C4"/>
    <w:rsid w:val="009C21E2"/>
    <w:rsid w:val="009C2C77"/>
    <w:rsid w:val="009C32E2"/>
    <w:rsid w:val="009C630D"/>
    <w:rsid w:val="009C6CA9"/>
    <w:rsid w:val="009D0FD7"/>
    <w:rsid w:val="009D1FE4"/>
    <w:rsid w:val="009E5334"/>
    <w:rsid w:val="009E6778"/>
    <w:rsid w:val="009E6F2E"/>
    <w:rsid w:val="009F05B7"/>
    <w:rsid w:val="009F12CA"/>
    <w:rsid w:val="009F489E"/>
    <w:rsid w:val="009F64B8"/>
    <w:rsid w:val="00A022F7"/>
    <w:rsid w:val="00A03A42"/>
    <w:rsid w:val="00A03AF9"/>
    <w:rsid w:val="00A042E9"/>
    <w:rsid w:val="00A051EB"/>
    <w:rsid w:val="00A06F72"/>
    <w:rsid w:val="00A14C65"/>
    <w:rsid w:val="00A15C94"/>
    <w:rsid w:val="00A16780"/>
    <w:rsid w:val="00A22615"/>
    <w:rsid w:val="00A27F38"/>
    <w:rsid w:val="00A40B1D"/>
    <w:rsid w:val="00A43237"/>
    <w:rsid w:val="00A46CFB"/>
    <w:rsid w:val="00A5049B"/>
    <w:rsid w:val="00A51A6D"/>
    <w:rsid w:val="00A52977"/>
    <w:rsid w:val="00A53215"/>
    <w:rsid w:val="00A55A15"/>
    <w:rsid w:val="00A55C00"/>
    <w:rsid w:val="00A55E95"/>
    <w:rsid w:val="00A562D5"/>
    <w:rsid w:val="00A60316"/>
    <w:rsid w:val="00A615CD"/>
    <w:rsid w:val="00A63AA7"/>
    <w:rsid w:val="00A64327"/>
    <w:rsid w:val="00A66CD6"/>
    <w:rsid w:val="00A679FC"/>
    <w:rsid w:val="00A67FE8"/>
    <w:rsid w:val="00A73E41"/>
    <w:rsid w:val="00A813A8"/>
    <w:rsid w:val="00A82835"/>
    <w:rsid w:val="00A83355"/>
    <w:rsid w:val="00A8371B"/>
    <w:rsid w:val="00A83BE4"/>
    <w:rsid w:val="00A854DD"/>
    <w:rsid w:val="00A901DA"/>
    <w:rsid w:val="00A94AEB"/>
    <w:rsid w:val="00A96DDD"/>
    <w:rsid w:val="00A9700C"/>
    <w:rsid w:val="00AA4752"/>
    <w:rsid w:val="00AA4AB9"/>
    <w:rsid w:val="00AA507D"/>
    <w:rsid w:val="00AB01E6"/>
    <w:rsid w:val="00AB44EA"/>
    <w:rsid w:val="00AC09D3"/>
    <w:rsid w:val="00AC411F"/>
    <w:rsid w:val="00AC4FBB"/>
    <w:rsid w:val="00AC54F2"/>
    <w:rsid w:val="00AC562F"/>
    <w:rsid w:val="00AD21D4"/>
    <w:rsid w:val="00AD4A18"/>
    <w:rsid w:val="00AD4FA5"/>
    <w:rsid w:val="00AE0DB0"/>
    <w:rsid w:val="00AE163C"/>
    <w:rsid w:val="00AE239B"/>
    <w:rsid w:val="00AE29F6"/>
    <w:rsid w:val="00AE3961"/>
    <w:rsid w:val="00AE45CF"/>
    <w:rsid w:val="00AE4821"/>
    <w:rsid w:val="00AE6277"/>
    <w:rsid w:val="00AE62CA"/>
    <w:rsid w:val="00AE709F"/>
    <w:rsid w:val="00AE75F2"/>
    <w:rsid w:val="00AF0E38"/>
    <w:rsid w:val="00AF1625"/>
    <w:rsid w:val="00AF3D37"/>
    <w:rsid w:val="00B01E33"/>
    <w:rsid w:val="00B052EE"/>
    <w:rsid w:val="00B060F0"/>
    <w:rsid w:val="00B07B3F"/>
    <w:rsid w:val="00B125D2"/>
    <w:rsid w:val="00B15DA3"/>
    <w:rsid w:val="00B17325"/>
    <w:rsid w:val="00B263DE"/>
    <w:rsid w:val="00B27213"/>
    <w:rsid w:val="00B31474"/>
    <w:rsid w:val="00B32A86"/>
    <w:rsid w:val="00B33911"/>
    <w:rsid w:val="00B42032"/>
    <w:rsid w:val="00B453F8"/>
    <w:rsid w:val="00B45EF1"/>
    <w:rsid w:val="00B46975"/>
    <w:rsid w:val="00B46C7E"/>
    <w:rsid w:val="00B535F9"/>
    <w:rsid w:val="00B5475A"/>
    <w:rsid w:val="00B54A0D"/>
    <w:rsid w:val="00B57D3D"/>
    <w:rsid w:val="00B6312C"/>
    <w:rsid w:val="00B63721"/>
    <w:rsid w:val="00B6486F"/>
    <w:rsid w:val="00B64EB6"/>
    <w:rsid w:val="00B65462"/>
    <w:rsid w:val="00B816DB"/>
    <w:rsid w:val="00B83458"/>
    <w:rsid w:val="00B83836"/>
    <w:rsid w:val="00B84113"/>
    <w:rsid w:val="00B86FA5"/>
    <w:rsid w:val="00B916C0"/>
    <w:rsid w:val="00B95F3C"/>
    <w:rsid w:val="00B96A98"/>
    <w:rsid w:val="00B97924"/>
    <w:rsid w:val="00BA1D48"/>
    <w:rsid w:val="00BA2CFA"/>
    <w:rsid w:val="00BA67A0"/>
    <w:rsid w:val="00BA78E0"/>
    <w:rsid w:val="00BB2009"/>
    <w:rsid w:val="00BB426A"/>
    <w:rsid w:val="00BB74B5"/>
    <w:rsid w:val="00BC2F03"/>
    <w:rsid w:val="00BC75DB"/>
    <w:rsid w:val="00BD1B0D"/>
    <w:rsid w:val="00BD5932"/>
    <w:rsid w:val="00BD6763"/>
    <w:rsid w:val="00BD6F15"/>
    <w:rsid w:val="00BD77D4"/>
    <w:rsid w:val="00BF1330"/>
    <w:rsid w:val="00BF40A7"/>
    <w:rsid w:val="00BF776D"/>
    <w:rsid w:val="00BF7C3B"/>
    <w:rsid w:val="00C0128D"/>
    <w:rsid w:val="00C02165"/>
    <w:rsid w:val="00C027AD"/>
    <w:rsid w:val="00C03334"/>
    <w:rsid w:val="00C045F1"/>
    <w:rsid w:val="00C0646D"/>
    <w:rsid w:val="00C107C1"/>
    <w:rsid w:val="00C14D08"/>
    <w:rsid w:val="00C1793F"/>
    <w:rsid w:val="00C2158F"/>
    <w:rsid w:val="00C21DDF"/>
    <w:rsid w:val="00C22333"/>
    <w:rsid w:val="00C26E23"/>
    <w:rsid w:val="00C279BA"/>
    <w:rsid w:val="00C30CC5"/>
    <w:rsid w:val="00C33A79"/>
    <w:rsid w:val="00C41513"/>
    <w:rsid w:val="00C4698B"/>
    <w:rsid w:val="00C4753A"/>
    <w:rsid w:val="00C47CBE"/>
    <w:rsid w:val="00C54DC6"/>
    <w:rsid w:val="00C5542B"/>
    <w:rsid w:val="00C63F33"/>
    <w:rsid w:val="00C64313"/>
    <w:rsid w:val="00C643FA"/>
    <w:rsid w:val="00C718DD"/>
    <w:rsid w:val="00C71FD8"/>
    <w:rsid w:val="00C7257B"/>
    <w:rsid w:val="00C75B09"/>
    <w:rsid w:val="00C75F41"/>
    <w:rsid w:val="00C821A8"/>
    <w:rsid w:val="00C83123"/>
    <w:rsid w:val="00C8645E"/>
    <w:rsid w:val="00C90739"/>
    <w:rsid w:val="00C9506C"/>
    <w:rsid w:val="00CA128D"/>
    <w:rsid w:val="00CA202C"/>
    <w:rsid w:val="00CA24A7"/>
    <w:rsid w:val="00CA4604"/>
    <w:rsid w:val="00CA4B44"/>
    <w:rsid w:val="00CA741A"/>
    <w:rsid w:val="00CB1778"/>
    <w:rsid w:val="00CB237F"/>
    <w:rsid w:val="00CB30E6"/>
    <w:rsid w:val="00CC349F"/>
    <w:rsid w:val="00CC48DF"/>
    <w:rsid w:val="00CC6085"/>
    <w:rsid w:val="00CD484B"/>
    <w:rsid w:val="00CD7B7B"/>
    <w:rsid w:val="00CE02E1"/>
    <w:rsid w:val="00CE1A93"/>
    <w:rsid w:val="00CE2625"/>
    <w:rsid w:val="00CE2DDE"/>
    <w:rsid w:val="00CE56A7"/>
    <w:rsid w:val="00CE666D"/>
    <w:rsid w:val="00CE750F"/>
    <w:rsid w:val="00CF0E8D"/>
    <w:rsid w:val="00CF2128"/>
    <w:rsid w:val="00CF2BE9"/>
    <w:rsid w:val="00D0164B"/>
    <w:rsid w:val="00D01F24"/>
    <w:rsid w:val="00D02489"/>
    <w:rsid w:val="00D044F2"/>
    <w:rsid w:val="00D05B7A"/>
    <w:rsid w:val="00D10620"/>
    <w:rsid w:val="00D17D3A"/>
    <w:rsid w:val="00D20ED6"/>
    <w:rsid w:val="00D22FF4"/>
    <w:rsid w:val="00D267FD"/>
    <w:rsid w:val="00D27704"/>
    <w:rsid w:val="00D307AF"/>
    <w:rsid w:val="00D31660"/>
    <w:rsid w:val="00D31FD8"/>
    <w:rsid w:val="00D3245A"/>
    <w:rsid w:val="00D347C8"/>
    <w:rsid w:val="00D446E8"/>
    <w:rsid w:val="00D44EDE"/>
    <w:rsid w:val="00D53537"/>
    <w:rsid w:val="00D5582E"/>
    <w:rsid w:val="00D573A8"/>
    <w:rsid w:val="00D603F8"/>
    <w:rsid w:val="00D60C30"/>
    <w:rsid w:val="00D60C7E"/>
    <w:rsid w:val="00D60F99"/>
    <w:rsid w:val="00D614A0"/>
    <w:rsid w:val="00D6349A"/>
    <w:rsid w:val="00D63EBB"/>
    <w:rsid w:val="00D72302"/>
    <w:rsid w:val="00D7328F"/>
    <w:rsid w:val="00D75BAA"/>
    <w:rsid w:val="00D76604"/>
    <w:rsid w:val="00D8020D"/>
    <w:rsid w:val="00D8626C"/>
    <w:rsid w:val="00D9381D"/>
    <w:rsid w:val="00D93830"/>
    <w:rsid w:val="00D95E1D"/>
    <w:rsid w:val="00DA0C0B"/>
    <w:rsid w:val="00DA2423"/>
    <w:rsid w:val="00DA5A9C"/>
    <w:rsid w:val="00DB2396"/>
    <w:rsid w:val="00DB30FB"/>
    <w:rsid w:val="00DB3F3E"/>
    <w:rsid w:val="00DB57AC"/>
    <w:rsid w:val="00DB7446"/>
    <w:rsid w:val="00DC0AE0"/>
    <w:rsid w:val="00DC4EB8"/>
    <w:rsid w:val="00DE0768"/>
    <w:rsid w:val="00DF104E"/>
    <w:rsid w:val="00DF49DB"/>
    <w:rsid w:val="00DF5A63"/>
    <w:rsid w:val="00DF5EED"/>
    <w:rsid w:val="00E074D3"/>
    <w:rsid w:val="00E079F4"/>
    <w:rsid w:val="00E07D69"/>
    <w:rsid w:val="00E3033C"/>
    <w:rsid w:val="00E30677"/>
    <w:rsid w:val="00E34193"/>
    <w:rsid w:val="00E341AD"/>
    <w:rsid w:val="00E3517D"/>
    <w:rsid w:val="00E364D1"/>
    <w:rsid w:val="00E3672A"/>
    <w:rsid w:val="00E36735"/>
    <w:rsid w:val="00E442FB"/>
    <w:rsid w:val="00E458E1"/>
    <w:rsid w:val="00E47533"/>
    <w:rsid w:val="00E52CBB"/>
    <w:rsid w:val="00E536D1"/>
    <w:rsid w:val="00E53ABC"/>
    <w:rsid w:val="00E54D22"/>
    <w:rsid w:val="00E555EA"/>
    <w:rsid w:val="00E556D9"/>
    <w:rsid w:val="00E55EDC"/>
    <w:rsid w:val="00E562BF"/>
    <w:rsid w:val="00E64525"/>
    <w:rsid w:val="00E64819"/>
    <w:rsid w:val="00E66128"/>
    <w:rsid w:val="00E705AE"/>
    <w:rsid w:val="00E712DD"/>
    <w:rsid w:val="00E715F0"/>
    <w:rsid w:val="00E736B3"/>
    <w:rsid w:val="00E73E8F"/>
    <w:rsid w:val="00E742E5"/>
    <w:rsid w:val="00E760E7"/>
    <w:rsid w:val="00E8019C"/>
    <w:rsid w:val="00E848FE"/>
    <w:rsid w:val="00E90DBD"/>
    <w:rsid w:val="00E91D26"/>
    <w:rsid w:val="00E936D4"/>
    <w:rsid w:val="00E9593E"/>
    <w:rsid w:val="00E96286"/>
    <w:rsid w:val="00EA2313"/>
    <w:rsid w:val="00EA4146"/>
    <w:rsid w:val="00EA5225"/>
    <w:rsid w:val="00EA52C4"/>
    <w:rsid w:val="00EA7259"/>
    <w:rsid w:val="00EB02C1"/>
    <w:rsid w:val="00EB06EB"/>
    <w:rsid w:val="00EB239C"/>
    <w:rsid w:val="00EB5E52"/>
    <w:rsid w:val="00EC1E20"/>
    <w:rsid w:val="00EC2279"/>
    <w:rsid w:val="00EC6912"/>
    <w:rsid w:val="00ED1920"/>
    <w:rsid w:val="00ED27C5"/>
    <w:rsid w:val="00ED7DF3"/>
    <w:rsid w:val="00EE0AB4"/>
    <w:rsid w:val="00EE2658"/>
    <w:rsid w:val="00EE6FFE"/>
    <w:rsid w:val="00EF2BB6"/>
    <w:rsid w:val="00EF40CA"/>
    <w:rsid w:val="00EF6DA6"/>
    <w:rsid w:val="00EF7419"/>
    <w:rsid w:val="00EF7CE8"/>
    <w:rsid w:val="00F00867"/>
    <w:rsid w:val="00F00A00"/>
    <w:rsid w:val="00F12314"/>
    <w:rsid w:val="00F12469"/>
    <w:rsid w:val="00F15302"/>
    <w:rsid w:val="00F15385"/>
    <w:rsid w:val="00F237E6"/>
    <w:rsid w:val="00F27342"/>
    <w:rsid w:val="00F37A8D"/>
    <w:rsid w:val="00F401BE"/>
    <w:rsid w:val="00F42F27"/>
    <w:rsid w:val="00F4395F"/>
    <w:rsid w:val="00F45320"/>
    <w:rsid w:val="00F54D6A"/>
    <w:rsid w:val="00F56893"/>
    <w:rsid w:val="00F56A1A"/>
    <w:rsid w:val="00F62D45"/>
    <w:rsid w:val="00F66ADC"/>
    <w:rsid w:val="00F66C46"/>
    <w:rsid w:val="00F71B9C"/>
    <w:rsid w:val="00F72229"/>
    <w:rsid w:val="00F733BF"/>
    <w:rsid w:val="00F74DDF"/>
    <w:rsid w:val="00F77CB3"/>
    <w:rsid w:val="00F80120"/>
    <w:rsid w:val="00F80959"/>
    <w:rsid w:val="00F874E4"/>
    <w:rsid w:val="00F91EE7"/>
    <w:rsid w:val="00F91FF2"/>
    <w:rsid w:val="00F93D7F"/>
    <w:rsid w:val="00F962AE"/>
    <w:rsid w:val="00FA491F"/>
    <w:rsid w:val="00FA702B"/>
    <w:rsid w:val="00FA7A0D"/>
    <w:rsid w:val="00FB500B"/>
    <w:rsid w:val="00FC1272"/>
    <w:rsid w:val="00FC15FB"/>
    <w:rsid w:val="00FC23CF"/>
    <w:rsid w:val="00FD0F1C"/>
    <w:rsid w:val="00FD62EA"/>
    <w:rsid w:val="00FD75DA"/>
    <w:rsid w:val="00FE0D28"/>
    <w:rsid w:val="00FE0E4F"/>
    <w:rsid w:val="00FE132B"/>
    <w:rsid w:val="00FE3F4F"/>
    <w:rsid w:val="00FF1CCF"/>
    <w:rsid w:val="00FF659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744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E0"/>
    <w:pPr>
      <w:suppressAutoHyphens/>
      <w:spacing w:before="160" w:after="160" w:line="360" w:lineRule="auto"/>
    </w:pPr>
    <w:rPr>
      <w:sz w:val="22"/>
    </w:rPr>
  </w:style>
  <w:style w:type="paragraph" w:styleId="Heading1">
    <w:name w:val="heading 1"/>
    <w:basedOn w:val="Normal"/>
    <w:next w:val="Normal"/>
    <w:link w:val="Heading1Char"/>
    <w:uiPriority w:val="99"/>
    <w:qFormat/>
    <w:rsid w:val="003429E3"/>
    <w:pPr>
      <w:keepNext/>
      <w:spacing w:before="240" w:after="60" w:line="240" w:lineRule="auto"/>
      <w:outlineLvl w:val="0"/>
    </w:pPr>
    <w:rPr>
      <w:b/>
      <w:bCs/>
      <w:kern w:val="32"/>
      <w:sz w:val="36"/>
      <w:szCs w:val="32"/>
    </w:rPr>
  </w:style>
  <w:style w:type="paragraph" w:styleId="Heading2">
    <w:name w:val="heading 2"/>
    <w:basedOn w:val="Normal"/>
    <w:next w:val="Normal"/>
    <w:link w:val="Heading2Char"/>
    <w:uiPriority w:val="99"/>
    <w:unhideWhenUsed/>
    <w:qFormat/>
    <w:rsid w:val="00173049"/>
    <w:pPr>
      <w:keepNext/>
      <w:spacing w:before="240" w:after="120" w:line="240" w:lineRule="auto"/>
      <w:outlineLvl w:val="1"/>
    </w:pPr>
    <w:rPr>
      <w:b/>
      <w:bCs/>
      <w:iCs/>
      <w:sz w:val="32"/>
      <w:szCs w:val="28"/>
    </w:rPr>
  </w:style>
  <w:style w:type="paragraph" w:styleId="Heading3">
    <w:name w:val="heading 3"/>
    <w:basedOn w:val="Normal"/>
    <w:next w:val="Normal"/>
    <w:link w:val="Heading3Char"/>
    <w:uiPriority w:val="9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pPr>
      <w:spacing w:before="120" w:after="120"/>
    </w:pPr>
  </w:style>
  <w:style w:type="paragraph" w:customStyle="1" w:styleId="TitleTitlePage">
    <w:name w:val="Title (Title Page)"/>
    <w:basedOn w:val="Normal"/>
    <w:uiPriority w:val="99"/>
    <w:rsid w:val="00AE75F2"/>
    <w:pPr>
      <w:widowControl w:val="0"/>
      <w:autoSpaceDE w:val="0"/>
      <w:autoSpaceDN w:val="0"/>
      <w:adjustRightInd w:val="0"/>
      <w:spacing w:before="120"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before="120"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spacing w:before="120" w:after="120"/>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spacing w:before="120" w:after="120"/>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before="120" w:after="120"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3429E3"/>
    <w:rPr>
      <w:b/>
      <w:bCs/>
      <w:kern w:val="32"/>
      <w:sz w:val="36"/>
      <w:szCs w:val="32"/>
    </w:rPr>
  </w:style>
  <w:style w:type="paragraph" w:styleId="Title">
    <w:name w:val="Title"/>
    <w:basedOn w:val="Normal"/>
    <w:next w:val="Normal"/>
    <w:link w:val="TitleChar"/>
    <w:uiPriority w:val="99"/>
    <w:qFormat/>
    <w:rsid w:val="003429E3"/>
    <w:pPr>
      <w:spacing w:before="120" w:after="240" w:line="240" w:lineRule="auto"/>
      <w:outlineLvl w:val="0"/>
    </w:pPr>
    <w:rPr>
      <w:b/>
      <w:bCs/>
      <w:kern w:val="28"/>
      <w:sz w:val="44"/>
      <w:szCs w:val="32"/>
    </w:rPr>
  </w:style>
  <w:style w:type="character" w:customStyle="1" w:styleId="TitleChar">
    <w:name w:val="Title Char"/>
    <w:link w:val="Title"/>
    <w:uiPriority w:val="99"/>
    <w:rsid w:val="003429E3"/>
    <w:rPr>
      <w:b/>
      <w:bCs/>
      <w:kern w:val="28"/>
      <w:sz w:val="44"/>
      <w:szCs w:val="32"/>
    </w:rPr>
  </w:style>
  <w:style w:type="character" w:styleId="Strong">
    <w:name w:val="Strong"/>
    <w:uiPriority w:val="22"/>
    <w:qFormat/>
    <w:rsid w:val="002B1984"/>
    <w:rPr>
      <w:b/>
      <w:bCs/>
    </w:rPr>
  </w:style>
  <w:style w:type="character" w:customStyle="1" w:styleId="Heading2Char">
    <w:name w:val="Heading 2 Char"/>
    <w:link w:val="Heading2"/>
    <w:uiPriority w:val="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872369"/>
    <w:pPr>
      <w:numPr>
        <w:ilvl w:val="1"/>
        <w:numId w:val="1"/>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spacing w:before="120" w:after="120"/>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872369"/>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next w:val="Numbered"/>
    <w:link w:val="Heading1NumberedChar"/>
    <w:qFormat/>
    <w:rsid w:val="0028752B"/>
    <w:pPr>
      <w:pageBreakBefore/>
      <w:numPr>
        <w:numId w:val="1"/>
      </w:numPr>
      <w:tabs>
        <w:tab w:val="left" w:pos="851"/>
      </w:tabs>
      <w:suppressAutoHyphens/>
      <w:spacing w:after="120"/>
      <w:ind w:left="992" w:hanging="992"/>
    </w:pPr>
    <w:rPr>
      <w:b/>
      <w:bCs/>
      <w:kern w:val="32"/>
      <w:sz w:val="48"/>
      <w:szCs w:val="32"/>
    </w:rPr>
  </w:style>
  <w:style w:type="paragraph" w:customStyle="1" w:styleId="Bullets">
    <w:name w:val="Bullets"/>
    <w:basedOn w:val="Normal"/>
    <w:qFormat/>
    <w:rsid w:val="005628E0"/>
    <w:pPr>
      <w:numPr>
        <w:numId w:val="2"/>
      </w:numPr>
      <w:spacing w:before="60" w:after="60"/>
      <w:ind w:left="924" w:hanging="357"/>
    </w:pPr>
  </w:style>
  <w:style w:type="character" w:customStyle="1" w:styleId="Heading1NumberedChar">
    <w:name w:val="Heading 1 Numbered Char"/>
    <w:link w:val="Heading1Numbered"/>
    <w:rsid w:val="0028752B"/>
    <w:rPr>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99"/>
    <w:qFormat/>
    <w:rsid w:val="003F2250"/>
    <w:pPr>
      <w:spacing w:before="200" w:after="120"/>
      <w:ind w:left="720"/>
    </w:pPr>
    <w:rPr>
      <w:iCs/>
    </w:rPr>
  </w:style>
  <w:style w:type="character" w:customStyle="1" w:styleId="QuoteChar">
    <w:name w:val="Quote Char"/>
    <w:link w:val="Quote"/>
    <w:uiPriority w:val="99"/>
    <w:rsid w:val="003F2250"/>
    <w:rPr>
      <w:iCs/>
      <w:sz w:val="22"/>
    </w:rPr>
  </w:style>
  <w:style w:type="paragraph" w:customStyle="1" w:styleId="Footnote">
    <w:name w:val="Footnote"/>
    <w:uiPriority w:val="99"/>
    <w:qFormat/>
    <w:rsid w:val="00AC4FBB"/>
    <w:pPr>
      <w:tabs>
        <w:tab w:val="left" w:pos="454"/>
      </w:tabs>
      <w:suppressAutoHyphens/>
      <w:spacing w:line="288" w:lineRule="auto"/>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before="120" w:after="120"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uiPriority w:val="99"/>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before="120"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before="120"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color w:val="000000"/>
      <w:vertAlign w:val="superscript"/>
      <w:lang w:val="en-AU"/>
      <w14:textOutline w14:w="9525" w14:cap="flat" w14:cmpd="sng" w14:algn="ctr">
        <w14:solidFill>
          <w14:srgbClr w14:val="000000"/>
        </w14:solidFill>
        <w14:prstDash w14:val="solid"/>
        <w14:round/>
      </w14:textOutline>
      <w14:textFill>
        <w14:noFill/>
      </w14:textFill>
    </w:rPr>
  </w:style>
  <w:style w:type="character" w:customStyle="1" w:styleId="TableBold">
    <w:name w:val="Table Bold"/>
    <w:uiPriority w:val="99"/>
    <w:rsid w:val="00C107C1"/>
  </w:style>
  <w:style w:type="paragraph" w:styleId="FootnoteText">
    <w:name w:val="footnote text"/>
    <w:basedOn w:val="Normal"/>
    <w:link w:val="FootnoteTextChar"/>
    <w:uiPriority w:val="99"/>
    <w:semiHidden/>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color w:val="000000"/>
      <w14:textOutline w14:w="9525" w14:cap="flat" w14:cmpd="sng" w14:algn="ctr">
        <w14:solidFill>
          <w14:srgbClr w14:val="000000"/>
        </w14:solidFill>
        <w14:prstDash w14:val="solid"/>
        <w14:round/>
      </w14:textOutline>
      <w14:textFill>
        <w14:noFill/>
      </w14:textFill>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eastAsiaTheme="minorEastAsia"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eastAsiaTheme="minorEastAsia" w:hAnsi="ITC Franklin Gothic Demi Italic" w:cs="ITC Franklin Gothic Demi Italic"/>
      <w:i/>
      <w:iCs/>
      <w:color w:val="000000"/>
      <w:sz w:val="28"/>
      <w:szCs w:val="28"/>
      <w:lang w:val="en-US"/>
    </w:rPr>
  </w:style>
  <w:style w:type="paragraph" w:customStyle="1" w:styleId="BodyPrebullet">
    <w:name w:val="Body Prebullet"/>
    <w:basedOn w:val="NoParagraphStyle"/>
    <w:uiPriority w:val="99"/>
    <w:rsid w:val="00F00A00"/>
    <w:pPr>
      <w:suppressAutoHyphens/>
      <w:spacing w:after="70" w:line="280" w:lineRule="atLeast"/>
    </w:pPr>
    <w:rPr>
      <w:rFonts w:ascii="ITC Franklin Gothic Std Book" w:eastAsiaTheme="minorEastAsia" w:hAnsi="ITC Franklin Gothic Std Book" w:cs="ITC Franklin Gothic Std Book"/>
      <w:sz w:val="22"/>
      <w:szCs w:val="22"/>
      <w:lang w:val="en-US"/>
    </w:rPr>
  </w:style>
  <w:style w:type="paragraph" w:customStyle="1" w:styleId="Body">
    <w:name w:val="Body"/>
    <w:basedOn w:val="NoParagraphStyle"/>
    <w:uiPriority w:val="99"/>
    <w:rsid w:val="00F00A00"/>
    <w:pPr>
      <w:suppressAutoHyphens/>
      <w:spacing w:after="140" w:line="280" w:lineRule="atLeast"/>
    </w:pPr>
    <w:rPr>
      <w:rFonts w:ascii="ITC Franklin Gothic Std Book" w:eastAsiaTheme="minorEastAsia" w:hAnsi="ITC Franklin Gothic Std Book" w:cs="ITC Franklin Gothic Std Book"/>
      <w:sz w:val="22"/>
      <w:szCs w:val="22"/>
      <w:lang w:val="en-US"/>
    </w:rPr>
  </w:style>
  <w:style w:type="paragraph" w:customStyle="1" w:styleId="Bullet">
    <w:name w:val="Bullet"/>
    <w:basedOn w:val="NoParagraphStyle"/>
    <w:uiPriority w:val="99"/>
    <w:rsid w:val="00F00A00"/>
    <w:pPr>
      <w:tabs>
        <w:tab w:val="left" w:pos="482"/>
      </w:tabs>
      <w:suppressAutoHyphens/>
      <w:spacing w:after="70" w:line="280" w:lineRule="atLeast"/>
      <w:ind w:left="460" w:hanging="200"/>
    </w:pPr>
    <w:rPr>
      <w:rFonts w:ascii="ITC Franklin Gothic Std Book" w:eastAsiaTheme="minorEastAsia" w:hAnsi="ITC Franklin Gothic Std Book" w:cs="ITC Franklin Gothic Std Book"/>
      <w:sz w:val="22"/>
      <w:szCs w:val="22"/>
      <w:lang w:val="en-US"/>
    </w:rPr>
  </w:style>
  <w:style w:type="paragraph" w:customStyle="1" w:styleId="BulletLast">
    <w:name w:val="Bullet Last"/>
    <w:basedOn w:val="NoParagraphStyle"/>
    <w:uiPriority w:val="99"/>
    <w:rsid w:val="00F00A00"/>
    <w:pPr>
      <w:tabs>
        <w:tab w:val="left" w:pos="360"/>
      </w:tabs>
      <w:suppressAutoHyphens/>
      <w:spacing w:after="140" w:line="280" w:lineRule="atLeast"/>
      <w:ind w:left="460" w:hanging="200"/>
    </w:pPr>
    <w:rPr>
      <w:rFonts w:ascii="ITC Franklin Gothic Std Book" w:eastAsiaTheme="minorEastAsia" w:hAnsi="ITC Franklin Gothic Std Book" w:cs="ITC Franklin Gothic Std Book"/>
      <w:sz w:val="22"/>
      <w:szCs w:val="22"/>
      <w:lang w:val="en-US"/>
    </w:rPr>
  </w:style>
  <w:style w:type="paragraph" w:customStyle="1" w:styleId="Anchor">
    <w:name w:val="Anchor"/>
    <w:basedOn w:val="NoParagraphStyle"/>
    <w:uiPriority w:val="99"/>
    <w:rsid w:val="00F00A00"/>
    <w:pPr>
      <w:suppressAutoHyphens/>
      <w:spacing w:line="125" w:lineRule="atLeast"/>
    </w:pPr>
    <w:rPr>
      <w:rFonts w:ascii="ITC Franklin Gothic Std Book" w:eastAsiaTheme="minorEastAsia" w:hAnsi="ITC Franklin Gothic Std Book" w:cs="ITC Franklin Gothic Std Book"/>
      <w:sz w:val="13"/>
      <w:szCs w:val="13"/>
      <w:lang w:val="en-US"/>
    </w:rPr>
  </w:style>
  <w:style w:type="paragraph" w:customStyle="1" w:styleId="Note">
    <w:name w:val="Note"/>
    <w:basedOn w:val="Normal"/>
    <w:uiPriority w:val="99"/>
    <w:rsid w:val="00210D5D"/>
    <w:pPr>
      <w:widowControl w:val="0"/>
      <w:tabs>
        <w:tab w:val="left" w:pos="380"/>
      </w:tabs>
      <w:autoSpaceDE w:val="0"/>
      <w:autoSpaceDN w:val="0"/>
      <w:adjustRightInd w:val="0"/>
      <w:spacing w:before="120" w:after="120"/>
      <w:ind w:left="240" w:right="240"/>
      <w:textAlignment w:val="center"/>
    </w:pPr>
    <w:rPr>
      <w:rFonts w:eastAsiaTheme="minorEastAsia" w:cs="ITC Franklin Gothic Std Book"/>
      <w:color w:val="000000"/>
      <w:sz w:val="20"/>
      <w:szCs w:val="20"/>
      <w:lang w:val="en-US"/>
    </w:rPr>
  </w:style>
  <w:style w:type="paragraph" w:customStyle="1" w:styleId="References">
    <w:name w:val="References"/>
    <w:basedOn w:val="NoParagraphStyle"/>
    <w:uiPriority w:val="99"/>
    <w:rsid w:val="00F00A00"/>
    <w:pPr>
      <w:suppressAutoHyphens/>
      <w:spacing w:after="68" w:line="260" w:lineRule="atLeast"/>
    </w:pPr>
    <w:rPr>
      <w:rFonts w:ascii="ITC Franklin Gothic Std Book" w:eastAsiaTheme="minorEastAsia" w:hAnsi="ITC Franklin Gothic Std Book" w:cs="ITC Franklin Gothic Std Book"/>
      <w:sz w:val="22"/>
      <w:szCs w:val="22"/>
      <w:lang w:val="en-US"/>
    </w:rPr>
  </w:style>
  <w:style w:type="paragraph" w:customStyle="1" w:styleId="Footnote1-10">
    <w:name w:val="Footnote 1-10"/>
    <w:basedOn w:val="Normal"/>
    <w:uiPriority w:val="99"/>
    <w:rsid w:val="00F00A00"/>
    <w:pPr>
      <w:widowControl w:val="0"/>
      <w:tabs>
        <w:tab w:val="left" w:pos="380"/>
      </w:tabs>
      <w:autoSpaceDE w:val="0"/>
      <w:autoSpaceDN w:val="0"/>
      <w:adjustRightInd w:val="0"/>
      <w:spacing w:before="0" w:after="100" w:line="220" w:lineRule="atLeast"/>
      <w:ind w:left="255" w:hanging="255"/>
      <w:textAlignment w:val="center"/>
    </w:pPr>
    <w:rPr>
      <w:rFonts w:ascii="ITC Franklin Gothic Std Book" w:eastAsiaTheme="minorEastAsia" w:hAnsi="ITC Franklin Gothic Std Book" w:cs="ITC Franklin Gothic Std Book"/>
      <w:color w:val="000000"/>
      <w:sz w:val="18"/>
      <w:szCs w:val="18"/>
      <w:lang w:val="en-US"/>
    </w:rPr>
  </w:style>
  <w:style w:type="paragraph" w:customStyle="1" w:styleId="FootnoteNumbered">
    <w:name w:val="Footnote Numbered"/>
    <w:basedOn w:val="NoParagraphStyle"/>
    <w:uiPriority w:val="99"/>
    <w:rsid w:val="00F00A00"/>
    <w:pPr>
      <w:tabs>
        <w:tab w:val="left" w:pos="380"/>
      </w:tabs>
      <w:suppressAutoHyphens/>
      <w:spacing w:after="68" w:line="220" w:lineRule="atLeast"/>
      <w:ind w:left="850" w:hanging="170"/>
    </w:pPr>
    <w:rPr>
      <w:rFonts w:ascii="ITC Franklin Gothic Std Book" w:eastAsiaTheme="minorEastAsia" w:hAnsi="ITC Franklin Gothic Std Book" w:cs="ITC Franklin Gothic Std Book"/>
      <w:sz w:val="18"/>
      <w:szCs w:val="18"/>
      <w:lang w:val="en-US"/>
    </w:rPr>
  </w:style>
  <w:style w:type="paragraph" w:customStyle="1" w:styleId="TableHeading1">
    <w:name w:val="Table Heading 1"/>
    <w:basedOn w:val="NoParagraphStyle"/>
    <w:uiPriority w:val="99"/>
    <w:rsid w:val="00F00A00"/>
    <w:pPr>
      <w:suppressAutoHyphens/>
      <w:spacing w:line="210" w:lineRule="atLeast"/>
    </w:pPr>
    <w:rPr>
      <w:rFonts w:ascii="ITC Franklin Gothic Std Book" w:eastAsiaTheme="minorEastAsia" w:hAnsi="ITC Franklin Gothic Std Book" w:cs="ITC Franklin Gothic Std Book"/>
      <w:color w:val="2E4486"/>
      <w:sz w:val="19"/>
      <w:szCs w:val="19"/>
      <w:lang w:val="en-US"/>
    </w:rPr>
  </w:style>
  <w:style w:type="paragraph" w:customStyle="1" w:styleId="TableHeading1RightAlign">
    <w:name w:val="Table Heading 1 Right Align"/>
    <w:basedOn w:val="NoParagraphStyle"/>
    <w:uiPriority w:val="99"/>
    <w:rsid w:val="00F00A00"/>
    <w:pPr>
      <w:suppressAutoHyphens/>
      <w:spacing w:line="210" w:lineRule="atLeast"/>
      <w:jc w:val="right"/>
    </w:pPr>
    <w:rPr>
      <w:rFonts w:ascii="ITC Franklin Gothic Std Book" w:eastAsiaTheme="minorEastAsia" w:hAnsi="ITC Franklin Gothic Std Book" w:cs="ITC Franklin Gothic Std Book"/>
      <w:color w:val="2E4486"/>
      <w:sz w:val="19"/>
      <w:szCs w:val="19"/>
      <w:lang w:val="en-US"/>
    </w:rPr>
  </w:style>
  <w:style w:type="paragraph" w:customStyle="1" w:styleId="TableBodyRight">
    <w:name w:val="Table Body Right"/>
    <w:basedOn w:val="NoParagraphStyle"/>
    <w:uiPriority w:val="99"/>
    <w:rsid w:val="00F00A00"/>
    <w:pPr>
      <w:suppressAutoHyphens/>
      <w:spacing w:line="210" w:lineRule="atLeast"/>
      <w:jc w:val="right"/>
    </w:pPr>
    <w:rPr>
      <w:rFonts w:ascii="ITC Franklin Gothic Std Book" w:eastAsiaTheme="minorEastAsia" w:hAnsi="ITC Franklin Gothic Std Book" w:cs="ITC Franklin Gothic Std Book"/>
      <w:sz w:val="19"/>
      <w:szCs w:val="19"/>
      <w:lang w:val="en-US"/>
    </w:rPr>
  </w:style>
  <w:style w:type="character" w:customStyle="1" w:styleId="Figurenumber">
    <w:name w:val="Figure number"/>
    <w:uiPriority w:val="99"/>
    <w:rsid w:val="00F00A00"/>
    <w:rPr>
      <w:color w:val="2E4486"/>
    </w:rPr>
  </w:style>
  <w:style w:type="paragraph" w:customStyle="1" w:styleId="Imprint">
    <w:name w:val="Imprint"/>
    <w:basedOn w:val="Normal"/>
    <w:uiPriority w:val="99"/>
    <w:rsid w:val="00A40B1D"/>
    <w:pPr>
      <w:widowControl w:val="0"/>
      <w:autoSpaceDE w:val="0"/>
      <w:autoSpaceDN w:val="0"/>
      <w:adjustRightInd w:val="0"/>
      <w:spacing w:before="0" w:after="60" w:line="240" w:lineRule="atLeast"/>
    </w:pPr>
    <w:rPr>
      <w:rFonts w:ascii="ITC Franklin Gothic Std Book" w:eastAsiaTheme="minorEastAsia" w:hAnsi="ITC Franklin Gothic Std Book" w:cs="ITC Franklin Gothic Std Book"/>
      <w:color w:val="000000"/>
      <w:sz w:val="18"/>
      <w:szCs w:val="18"/>
      <w:lang w:val="en-US"/>
    </w:rPr>
  </w:style>
  <w:style w:type="paragraph" w:customStyle="1" w:styleId="FootnoteBullet">
    <w:name w:val="Footnote Bullet"/>
    <w:basedOn w:val="Footnote"/>
    <w:qFormat/>
    <w:rsid w:val="006865C5"/>
    <w:pPr>
      <w:numPr>
        <w:numId w:val="8"/>
      </w:numPr>
    </w:pPr>
  </w:style>
  <w:style w:type="paragraph" w:customStyle="1" w:styleId="CalloutText">
    <w:name w:val="Callout Text"/>
    <w:basedOn w:val="Body"/>
    <w:uiPriority w:val="99"/>
    <w:rsid w:val="000D0F25"/>
    <w:pPr>
      <w:spacing w:after="40" w:line="240" w:lineRule="atLeast"/>
    </w:pPr>
    <w:rPr>
      <w:rFonts w:ascii="Franklin Gothic Medium" w:hAnsi="Franklin Gothic Medium" w:cs="Franklin Gothic Medium"/>
      <w:color w:val="FFFFFF"/>
      <w:sz w:val="20"/>
      <w:szCs w:val="20"/>
    </w:rPr>
  </w:style>
  <w:style w:type="paragraph" w:customStyle="1" w:styleId="CalloutBullet">
    <w:name w:val="Callout Bullet"/>
    <w:basedOn w:val="CalloutText"/>
    <w:uiPriority w:val="99"/>
    <w:rsid w:val="000D0F25"/>
    <w:pPr>
      <w:ind w:left="454"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52803178">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480117541">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51718855">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75646402">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42112851">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79487687">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482846306">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5046858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29397283">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1971596256">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6675</Words>
  <Characters>34045</Characters>
  <Application>Microsoft Office Word</Application>
  <DocSecurity>0</DocSecurity>
  <Lines>1134</Lines>
  <Paragraphs>727</Paragraphs>
  <ScaleCrop>false</ScaleCrop>
  <HeadingPairs>
    <vt:vector size="2" baseType="variant">
      <vt:variant>
        <vt:lpstr>Title</vt:lpstr>
      </vt:variant>
      <vt:variant>
        <vt:i4>1</vt:i4>
      </vt:variant>
    </vt:vector>
  </HeadingPairs>
  <TitlesOfParts>
    <vt:vector size="1" baseType="lpstr">
      <vt:lpstr>Serious Offending by People Serving a Community Correction Order: 2018–19 / Sentencing Advisory Council</vt:lpstr>
    </vt:vector>
  </TitlesOfParts>
  <Manager/>
  <Company/>
  <LinksUpToDate>false</LinksUpToDate>
  <CharactersWithSpaces>39993</CharactersWithSpaces>
  <SharedDoc>false</SharedDoc>
  <HyperlinkBase/>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Offending by People Serving a Community Correction Order: 2018–19</dc:title>
  <dc:subject/>
  <dc:creator/>
  <cp:keywords/>
  <dc:description/>
  <cp:lastModifiedBy/>
  <cp:revision>1</cp:revision>
  <dcterms:created xsi:type="dcterms:W3CDTF">2020-06-23T02:27:00Z</dcterms:created>
  <dcterms:modified xsi:type="dcterms:W3CDTF">2020-06-26T03:56:00Z</dcterms:modified>
  <cp:category/>
</cp:coreProperties>
</file>