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D5FD1" w14:textId="77777777" w:rsidR="00373CAB" w:rsidRPr="004459DC" w:rsidRDefault="00373CAB" w:rsidP="004459DC">
      <w:pPr>
        <w:pStyle w:val="Title"/>
      </w:pPr>
      <w:r w:rsidRPr="004459DC">
        <w:t xml:space="preserve">Threat offences in Victoria </w:t>
      </w:r>
      <w:r w:rsidRPr="00C23F14">
        <w:t>Factsheet</w:t>
      </w:r>
    </w:p>
    <w:p w14:paraId="22DF74A7" w14:textId="77777777" w:rsidR="00373CAB" w:rsidRDefault="00373CAB" w:rsidP="004459DC">
      <w:pPr>
        <w:pStyle w:val="Heading1"/>
      </w:pPr>
      <w:r w:rsidRPr="004459DC">
        <w:t>Threat</w:t>
      </w:r>
      <w:r>
        <w:t xml:space="preserve"> offences in Victoria</w:t>
      </w:r>
    </w:p>
    <w:p w14:paraId="718AF585" w14:textId="77777777" w:rsidR="00373CAB" w:rsidRDefault="00373CAB" w:rsidP="000F216E">
      <w:r>
        <w:t>There are five main types of threat offences in Victoria:</w:t>
      </w:r>
    </w:p>
    <w:p w14:paraId="7AF9DAC3" w14:textId="77777777" w:rsidR="00373CAB" w:rsidRDefault="00373CAB" w:rsidP="000F216E">
      <w:pPr>
        <w:pStyle w:val="ListParagraph"/>
        <w:numPr>
          <w:ilvl w:val="0"/>
          <w:numId w:val="8"/>
        </w:numPr>
      </w:pPr>
      <w:r>
        <w:t xml:space="preserve">threats to kill </w:t>
      </w:r>
    </w:p>
    <w:p w14:paraId="5E4A56F6" w14:textId="77777777" w:rsidR="00373CAB" w:rsidRDefault="00373CAB" w:rsidP="000F216E">
      <w:pPr>
        <w:pStyle w:val="ListParagraph"/>
        <w:numPr>
          <w:ilvl w:val="0"/>
          <w:numId w:val="8"/>
        </w:numPr>
      </w:pPr>
      <w:r>
        <w:t>threats to inflict serious injury</w:t>
      </w:r>
    </w:p>
    <w:p w14:paraId="64F6F966" w14:textId="77777777" w:rsidR="00373CAB" w:rsidRDefault="00373CAB" w:rsidP="000F216E">
      <w:pPr>
        <w:pStyle w:val="ListParagraph"/>
        <w:numPr>
          <w:ilvl w:val="0"/>
          <w:numId w:val="8"/>
        </w:numPr>
      </w:pPr>
      <w:r>
        <w:t>threats to commit a sexual offence</w:t>
      </w:r>
    </w:p>
    <w:p w14:paraId="71CABCAE" w14:textId="77777777" w:rsidR="00373CAB" w:rsidRDefault="00373CAB" w:rsidP="000F216E">
      <w:pPr>
        <w:pStyle w:val="ListParagraph"/>
        <w:numPr>
          <w:ilvl w:val="0"/>
          <w:numId w:val="8"/>
        </w:numPr>
      </w:pPr>
      <w:r>
        <w:t>threats to destroy or damage property</w:t>
      </w:r>
    </w:p>
    <w:p w14:paraId="09B55E5E" w14:textId="77777777" w:rsidR="00373CAB" w:rsidRDefault="00373CAB" w:rsidP="000F216E">
      <w:pPr>
        <w:pStyle w:val="ListParagraph"/>
        <w:numPr>
          <w:ilvl w:val="0"/>
          <w:numId w:val="8"/>
        </w:numPr>
      </w:pPr>
      <w:r>
        <w:t>threats to assault an emergency worker</w:t>
      </w:r>
    </w:p>
    <w:p w14:paraId="0DF1F912" w14:textId="77777777" w:rsidR="00373CAB" w:rsidRDefault="00373CAB" w:rsidP="000A4ABB">
      <w:pPr>
        <w:pStyle w:val="Heading1"/>
      </w:pPr>
      <w:r>
        <w:t xml:space="preserve">Why do threat offences matter? </w:t>
      </w:r>
    </w:p>
    <w:p w14:paraId="16ECCE81" w14:textId="77777777" w:rsidR="00373CAB" w:rsidRDefault="00373CAB" w:rsidP="000F216E">
      <w:r>
        <w:t>Threat offences can:</w:t>
      </w:r>
    </w:p>
    <w:p w14:paraId="15BAEFBA" w14:textId="77777777" w:rsidR="00373CAB" w:rsidRDefault="00373CAB" w:rsidP="000F216E">
      <w:pPr>
        <w:pStyle w:val="ListParagraph"/>
        <w:numPr>
          <w:ilvl w:val="0"/>
          <w:numId w:val="8"/>
        </w:numPr>
      </w:pPr>
      <w:r>
        <w:t xml:space="preserve">cause </w:t>
      </w:r>
      <w:r w:rsidRPr="00C23F14">
        <w:rPr>
          <w:rStyle w:val="Strong"/>
        </w:rPr>
        <w:t>fear</w:t>
      </w:r>
      <w:r>
        <w:t xml:space="preserve"> </w:t>
      </w:r>
    </w:p>
    <w:p w14:paraId="3F8B6346" w14:textId="77777777" w:rsidR="00373CAB" w:rsidRDefault="00373CAB" w:rsidP="000F216E">
      <w:pPr>
        <w:pStyle w:val="ListParagraph"/>
        <w:numPr>
          <w:ilvl w:val="0"/>
          <w:numId w:val="8"/>
        </w:numPr>
      </w:pPr>
      <w:r>
        <w:t xml:space="preserve">affect the victim’s </w:t>
      </w:r>
      <w:r w:rsidRPr="00C23F14">
        <w:rPr>
          <w:rStyle w:val="Strong"/>
        </w:rPr>
        <w:t>choices</w:t>
      </w:r>
    </w:p>
    <w:p w14:paraId="616C50D1" w14:textId="77777777" w:rsidR="00373CAB" w:rsidRDefault="00373CAB" w:rsidP="000F216E">
      <w:pPr>
        <w:pStyle w:val="ListParagraph"/>
        <w:numPr>
          <w:ilvl w:val="0"/>
          <w:numId w:val="8"/>
        </w:numPr>
      </w:pPr>
      <w:r>
        <w:t xml:space="preserve">indicate a risk of </w:t>
      </w:r>
      <w:r w:rsidRPr="00C23F14">
        <w:rPr>
          <w:rStyle w:val="Strong"/>
        </w:rPr>
        <w:t xml:space="preserve">future harm </w:t>
      </w:r>
      <w:r>
        <w:t>to the victim or to others</w:t>
      </w:r>
    </w:p>
    <w:p w14:paraId="13653A58" w14:textId="77777777" w:rsidR="00373CAB" w:rsidRDefault="00373CAB" w:rsidP="00373CAB">
      <w:pPr>
        <w:pStyle w:val="Heading1"/>
      </w:pPr>
      <w:r>
        <w:t xml:space="preserve">How many threat offences are sentenced in Victoria? </w:t>
      </w:r>
    </w:p>
    <w:p w14:paraId="2D7C0255" w14:textId="614F1FC6" w:rsidR="00373CAB" w:rsidRDefault="00373CAB" w:rsidP="004459DC">
      <w:r>
        <w:t xml:space="preserve">In the 5 years from 2015 to 2019, courts sentenced 18,775 threat offences in Victoria. More than half of these offences were threats to kill. </w:t>
      </w:r>
    </w:p>
    <w:p w14:paraId="3382D0CA" w14:textId="11508671" w:rsidR="0029701E" w:rsidRDefault="00264D47" w:rsidP="0029701E">
      <w:pPr>
        <w:pStyle w:val="Caption"/>
      </w:pPr>
      <w:r>
        <w:t>Percentage of threat offences sentenced in Victoria</w:t>
      </w:r>
    </w:p>
    <w:tbl>
      <w:tblPr>
        <w:tblStyle w:val="Table"/>
        <w:tblW w:w="5000" w:type="pct"/>
        <w:tblLook w:val="04A0" w:firstRow="1" w:lastRow="0" w:firstColumn="1" w:lastColumn="0" w:noHBand="0" w:noVBand="1"/>
      </w:tblPr>
      <w:tblGrid>
        <w:gridCol w:w="4508"/>
        <w:gridCol w:w="4508"/>
      </w:tblGrid>
      <w:tr w:rsidR="006110C1" w14:paraId="706FA83F" w14:textId="77777777" w:rsidTr="00D26E0F">
        <w:trPr>
          <w:tblHeader/>
        </w:trPr>
        <w:tc>
          <w:tcPr>
            <w:tcW w:w="2500" w:type="pct"/>
          </w:tcPr>
          <w:p w14:paraId="327EDEA2" w14:textId="701F8997" w:rsidR="006110C1" w:rsidRDefault="006110C1" w:rsidP="003B313A">
            <w:pPr>
              <w:pStyle w:val="TableHeading"/>
            </w:pPr>
            <w:r>
              <w:t>Offence</w:t>
            </w:r>
          </w:p>
        </w:tc>
        <w:tc>
          <w:tcPr>
            <w:tcW w:w="2500" w:type="pct"/>
          </w:tcPr>
          <w:p w14:paraId="482FC03F" w14:textId="47FC328E" w:rsidR="006110C1" w:rsidRDefault="006110C1" w:rsidP="003B313A">
            <w:pPr>
              <w:pStyle w:val="TableHeading"/>
            </w:pPr>
            <w:r>
              <w:t>Percentage</w:t>
            </w:r>
          </w:p>
        </w:tc>
      </w:tr>
      <w:tr w:rsidR="006110C1" w14:paraId="687C6C57" w14:textId="77777777" w:rsidTr="003B313A">
        <w:tc>
          <w:tcPr>
            <w:tcW w:w="2500" w:type="pct"/>
          </w:tcPr>
          <w:p w14:paraId="069673B3" w14:textId="4FA30507" w:rsidR="006110C1" w:rsidRDefault="006110C1" w:rsidP="003B313A">
            <w:pPr>
              <w:pStyle w:val="TableBody"/>
            </w:pPr>
            <w:r>
              <w:t>Threat to kill</w:t>
            </w:r>
          </w:p>
        </w:tc>
        <w:tc>
          <w:tcPr>
            <w:tcW w:w="2500" w:type="pct"/>
          </w:tcPr>
          <w:p w14:paraId="54E1426A" w14:textId="7F5993A3" w:rsidR="006110C1" w:rsidRDefault="006110C1" w:rsidP="003B313A">
            <w:pPr>
              <w:pStyle w:val="TableBody"/>
            </w:pPr>
            <w:r>
              <w:t>54%</w:t>
            </w:r>
          </w:p>
        </w:tc>
      </w:tr>
      <w:tr w:rsidR="006110C1" w14:paraId="6CD252FB" w14:textId="77777777" w:rsidTr="003B313A">
        <w:tc>
          <w:tcPr>
            <w:tcW w:w="2500" w:type="pct"/>
          </w:tcPr>
          <w:p w14:paraId="0855291D" w14:textId="6F52EC7B" w:rsidR="006110C1" w:rsidRDefault="006110C1" w:rsidP="003B313A">
            <w:pPr>
              <w:pStyle w:val="TableBody"/>
            </w:pPr>
            <w:r>
              <w:t>Threat to inflict serious injury</w:t>
            </w:r>
          </w:p>
        </w:tc>
        <w:tc>
          <w:tcPr>
            <w:tcW w:w="2500" w:type="pct"/>
          </w:tcPr>
          <w:p w14:paraId="4616F967" w14:textId="2AE24FD5" w:rsidR="006110C1" w:rsidRDefault="006110C1" w:rsidP="003B313A">
            <w:pPr>
              <w:pStyle w:val="TableBody"/>
            </w:pPr>
            <w:r>
              <w:t>31%</w:t>
            </w:r>
          </w:p>
        </w:tc>
      </w:tr>
      <w:tr w:rsidR="006110C1" w14:paraId="0D18CCEF" w14:textId="77777777" w:rsidTr="003B313A">
        <w:tc>
          <w:tcPr>
            <w:tcW w:w="2500" w:type="pct"/>
          </w:tcPr>
          <w:p w14:paraId="5BC65F71" w14:textId="1497D018" w:rsidR="006110C1" w:rsidRDefault="006110C1" w:rsidP="003B313A">
            <w:pPr>
              <w:pStyle w:val="TableBody"/>
            </w:pPr>
            <w:r>
              <w:t>Threat to destroy or damage property</w:t>
            </w:r>
          </w:p>
        </w:tc>
        <w:tc>
          <w:tcPr>
            <w:tcW w:w="2500" w:type="pct"/>
          </w:tcPr>
          <w:p w14:paraId="6448606B" w14:textId="0451BF66" w:rsidR="006110C1" w:rsidRDefault="006110C1" w:rsidP="003B313A">
            <w:pPr>
              <w:pStyle w:val="TableBody"/>
            </w:pPr>
            <w:r>
              <w:t>12%</w:t>
            </w:r>
          </w:p>
        </w:tc>
      </w:tr>
      <w:tr w:rsidR="006110C1" w14:paraId="0E355BD6" w14:textId="77777777" w:rsidTr="003B313A">
        <w:tc>
          <w:tcPr>
            <w:tcW w:w="2500" w:type="pct"/>
          </w:tcPr>
          <w:p w14:paraId="0B7AAE9D" w14:textId="5C75186D" w:rsidR="006110C1" w:rsidRDefault="006110C1" w:rsidP="003B313A">
            <w:pPr>
              <w:pStyle w:val="TableBody"/>
            </w:pPr>
            <w:r>
              <w:t>Other</w:t>
            </w:r>
          </w:p>
        </w:tc>
        <w:tc>
          <w:tcPr>
            <w:tcW w:w="2500" w:type="pct"/>
          </w:tcPr>
          <w:p w14:paraId="7C8982F1" w14:textId="3F3C4F96" w:rsidR="006110C1" w:rsidRDefault="006110C1" w:rsidP="003B313A">
            <w:pPr>
              <w:pStyle w:val="TableBody"/>
            </w:pPr>
            <w:r>
              <w:t>2%</w:t>
            </w:r>
          </w:p>
        </w:tc>
      </w:tr>
    </w:tbl>
    <w:p w14:paraId="097251D8" w14:textId="77777777" w:rsidR="00373CAB" w:rsidRDefault="00373CAB" w:rsidP="00373CAB">
      <w:pPr>
        <w:pStyle w:val="Heading1"/>
      </w:pPr>
      <w:r>
        <w:t>Threats and family violence</w:t>
      </w:r>
    </w:p>
    <w:p w14:paraId="01BA9294" w14:textId="465825BE" w:rsidR="00373CAB" w:rsidRDefault="00373CAB" w:rsidP="004459DC">
      <w:r>
        <w:t xml:space="preserve">Most sentenced threat offences are linked to family violence. </w:t>
      </w:r>
    </w:p>
    <w:p w14:paraId="14B82CEE" w14:textId="65CC5EC2" w:rsidR="006361A8" w:rsidRDefault="006361A8" w:rsidP="006361A8">
      <w:pPr>
        <w:pStyle w:val="Caption"/>
      </w:pPr>
      <w:r>
        <w:t xml:space="preserve">Percentage of threat offences </w:t>
      </w:r>
      <w:r>
        <w:t>related to family violence</w:t>
      </w:r>
    </w:p>
    <w:tbl>
      <w:tblPr>
        <w:tblStyle w:val="Table"/>
        <w:tblW w:w="5000" w:type="pct"/>
        <w:tblLook w:val="04A0" w:firstRow="1" w:lastRow="0" w:firstColumn="1" w:lastColumn="0" w:noHBand="0" w:noVBand="1"/>
      </w:tblPr>
      <w:tblGrid>
        <w:gridCol w:w="4508"/>
        <w:gridCol w:w="4508"/>
      </w:tblGrid>
      <w:tr w:rsidR="00845E62" w14:paraId="09348AE8" w14:textId="77777777" w:rsidTr="007D14E7">
        <w:trPr>
          <w:tblHeader/>
        </w:trPr>
        <w:tc>
          <w:tcPr>
            <w:tcW w:w="2500" w:type="pct"/>
          </w:tcPr>
          <w:p w14:paraId="02A9F0C2" w14:textId="480236E1" w:rsidR="00845E62" w:rsidRDefault="0098686A" w:rsidP="0098686A">
            <w:pPr>
              <w:pStyle w:val="TableHeading"/>
            </w:pPr>
            <w:r>
              <w:t>Link to family violence</w:t>
            </w:r>
          </w:p>
        </w:tc>
        <w:tc>
          <w:tcPr>
            <w:tcW w:w="2500" w:type="pct"/>
          </w:tcPr>
          <w:p w14:paraId="4C85E7F1" w14:textId="0C384D5B" w:rsidR="00845E62" w:rsidRDefault="00845E62" w:rsidP="0098686A">
            <w:pPr>
              <w:pStyle w:val="TableHeading"/>
            </w:pPr>
            <w:r>
              <w:t>Percentage</w:t>
            </w:r>
          </w:p>
        </w:tc>
      </w:tr>
      <w:tr w:rsidR="00845E62" w14:paraId="3F3C369F" w14:textId="77777777" w:rsidTr="007B4C32">
        <w:tc>
          <w:tcPr>
            <w:tcW w:w="2500" w:type="pct"/>
          </w:tcPr>
          <w:p w14:paraId="3FC18BBF" w14:textId="30215AA2" w:rsidR="00845E62" w:rsidRDefault="00845E62" w:rsidP="0098686A">
            <w:pPr>
              <w:pStyle w:val="TableBody"/>
            </w:pPr>
            <w:r>
              <w:t>Family violence related</w:t>
            </w:r>
          </w:p>
        </w:tc>
        <w:tc>
          <w:tcPr>
            <w:tcW w:w="2500" w:type="pct"/>
          </w:tcPr>
          <w:p w14:paraId="7F1AF154" w14:textId="1C83D199" w:rsidR="00845E62" w:rsidRDefault="00845E62" w:rsidP="0098686A">
            <w:pPr>
              <w:pStyle w:val="TableBody"/>
            </w:pPr>
            <w:r>
              <w:t>58%</w:t>
            </w:r>
          </w:p>
        </w:tc>
      </w:tr>
      <w:tr w:rsidR="00845E62" w14:paraId="7F13066F" w14:textId="77777777" w:rsidTr="007B4C32">
        <w:tc>
          <w:tcPr>
            <w:tcW w:w="2500" w:type="pct"/>
          </w:tcPr>
          <w:p w14:paraId="040851D3" w14:textId="38BFDD7B" w:rsidR="00845E62" w:rsidRDefault="00845E62" w:rsidP="0098686A">
            <w:pPr>
              <w:pStyle w:val="TableBody"/>
            </w:pPr>
            <w:r>
              <w:t>Non-family violence related</w:t>
            </w:r>
          </w:p>
        </w:tc>
        <w:tc>
          <w:tcPr>
            <w:tcW w:w="2500" w:type="pct"/>
          </w:tcPr>
          <w:p w14:paraId="4E37B9E2" w14:textId="0D840C37" w:rsidR="00845E62" w:rsidRDefault="00845E62" w:rsidP="0098686A">
            <w:pPr>
              <w:pStyle w:val="TableBody"/>
            </w:pPr>
            <w:r>
              <w:t>42%</w:t>
            </w:r>
          </w:p>
        </w:tc>
      </w:tr>
    </w:tbl>
    <w:p w14:paraId="6D95F9B3" w14:textId="77777777" w:rsidR="00373CAB" w:rsidRDefault="00373CAB" w:rsidP="00373CAB">
      <w:pPr>
        <w:pStyle w:val="Heading1"/>
        <w:pageBreakBefore/>
      </w:pPr>
      <w:r>
        <w:lastRenderedPageBreak/>
        <w:t>Sentencing outcomes</w:t>
      </w:r>
    </w:p>
    <w:p w14:paraId="2D99423D" w14:textId="7442648B" w:rsidR="00373CAB" w:rsidRDefault="00373CAB" w:rsidP="004459DC">
      <w:r>
        <w:t>Imprisonment was the most common sentence imposed for threat offences in the Magistrates’ Court and the higher courts. Community correction orders were also common.</w:t>
      </w:r>
    </w:p>
    <w:p w14:paraId="32182B66" w14:textId="797C7DCB" w:rsidR="00247FB2" w:rsidRDefault="00247FB2" w:rsidP="00247FB2">
      <w:pPr>
        <w:pStyle w:val="Caption"/>
      </w:pPr>
      <w:r>
        <w:t>Sentencing outcomes for threat offences in Victoria</w:t>
      </w:r>
    </w:p>
    <w:tbl>
      <w:tblPr>
        <w:tblStyle w:val="Table"/>
        <w:tblW w:w="0" w:type="auto"/>
        <w:tblLook w:val="04A0" w:firstRow="1" w:lastRow="0" w:firstColumn="1" w:lastColumn="0" w:noHBand="0" w:noVBand="1"/>
      </w:tblPr>
      <w:tblGrid>
        <w:gridCol w:w="3005"/>
        <w:gridCol w:w="3005"/>
        <w:gridCol w:w="3006"/>
      </w:tblGrid>
      <w:tr w:rsidR="00247FB2" w14:paraId="5B218448" w14:textId="77777777" w:rsidTr="00CF2B14">
        <w:trPr>
          <w:tblHeader/>
        </w:trPr>
        <w:tc>
          <w:tcPr>
            <w:tcW w:w="3005" w:type="dxa"/>
          </w:tcPr>
          <w:p w14:paraId="6308A738" w14:textId="36A1F8EA" w:rsidR="00247FB2" w:rsidRDefault="00247FB2" w:rsidP="005127AB">
            <w:pPr>
              <w:pStyle w:val="TableHeading"/>
            </w:pPr>
            <w:r>
              <w:t>Sentencing outcome</w:t>
            </w:r>
          </w:p>
        </w:tc>
        <w:tc>
          <w:tcPr>
            <w:tcW w:w="3005" w:type="dxa"/>
          </w:tcPr>
          <w:p w14:paraId="5E03F52B" w14:textId="5A20C75A" w:rsidR="00247FB2" w:rsidRDefault="00247FB2" w:rsidP="005127AB">
            <w:pPr>
              <w:pStyle w:val="TableHeading"/>
            </w:pPr>
            <w:r>
              <w:t>Court level</w:t>
            </w:r>
          </w:p>
        </w:tc>
        <w:tc>
          <w:tcPr>
            <w:tcW w:w="3006" w:type="dxa"/>
          </w:tcPr>
          <w:p w14:paraId="58E16D0D" w14:textId="7DE8BF7F" w:rsidR="00247FB2" w:rsidRDefault="00247FB2" w:rsidP="005127AB">
            <w:pPr>
              <w:pStyle w:val="TableHeading"/>
            </w:pPr>
            <w:r>
              <w:t>Percentage</w:t>
            </w:r>
          </w:p>
        </w:tc>
      </w:tr>
      <w:tr w:rsidR="00247FB2" w14:paraId="0E0E168D" w14:textId="77777777" w:rsidTr="005127AB">
        <w:tc>
          <w:tcPr>
            <w:tcW w:w="3005" w:type="dxa"/>
          </w:tcPr>
          <w:p w14:paraId="2FDCA1F6" w14:textId="7D8B90AC" w:rsidR="00247FB2" w:rsidRDefault="00247FB2" w:rsidP="005127AB">
            <w:pPr>
              <w:pStyle w:val="TableBody"/>
            </w:pPr>
            <w:r>
              <w:t>Imprisonment</w:t>
            </w:r>
          </w:p>
        </w:tc>
        <w:tc>
          <w:tcPr>
            <w:tcW w:w="3005" w:type="dxa"/>
          </w:tcPr>
          <w:p w14:paraId="3E3E321C" w14:textId="0C47133A" w:rsidR="00247FB2" w:rsidRDefault="00247FB2" w:rsidP="005127AB">
            <w:pPr>
              <w:pStyle w:val="TableBody"/>
            </w:pPr>
            <w:r>
              <w:t>Higher courts</w:t>
            </w:r>
          </w:p>
        </w:tc>
        <w:tc>
          <w:tcPr>
            <w:tcW w:w="3006" w:type="dxa"/>
          </w:tcPr>
          <w:p w14:paraId="73152A8B" w14:textId="0C793649" w:rsidR="00247FB2" w:rsidRDefault="00247FB2" w:rsidP="005127AB">
            <w:pPr>
              <w:pStyle w:val="TableBody"/>
            </w:pPr>
            <w:r>
              <w:t>75%</w:t>
            </w:r>
          </w:p>
        </w:tc>
      </w:tr>
      <w:tr w:rsidR="00247FB2" w14:paraId="32E17D4D" w14:textId="77777777" w:rsidTr="005127AB">
        <w:tc>
          <w:tcPr>
            <w:tcW w:w="3005" w:type="dxa"/>
          </w:tcPr>
          <w:p w14:paraId="4D83E308" w14:textId="5010729D" w:rsidR="00247FB2" w:rsidRDefault="00247FB2" w:rsidP="005127AB">
            <w:pPr>
              <w:pStyle w:val="TableBody"/>
            </w:pPr>
            <w:r>
              <w:t>Imprisonment</w:t>
            </w:r>
          </w:p>
        </w:tc>
        <w:tc>
          <w:tcPr>
            <w:tcW w:w="3005" w:type="dxa"/>
          </w:tcPr>
          <w:p w14:paraId="57A99281" w14:textId="020275FD" w:rsidR="00247FB2" w:rsidRDefault="00247FB2" w:rsidP="005127AB">
            <w:pPr>
              <w:pStyle w:val="TableBody"/>
            </w:pPr>
            <w:r>
              <w:t>Magistrates’ Court</w:t>
            </w:r>
          </w:p>
        </w:tc>
        <w:tc>
          <w:tcPr>
            <w:tcW w:w="3006" w:type="dxa"/>
          </w:tcPr>
          <w:p w14:paraId="1F664E95" w14:textId="41A63D0E" w:rsidR="00247FB2" w:rsidRDefault="00247FB2" w:rsidP="005127AB">
            <w:pPr>
              <w:pStyle w:val="TableBody"/>
            </w:pPr>
            <w:r>
              <w:t>35%</w:t>
            </w:r>
          </w:p>
        </w:tc>
      </w:tr>
      <w:tr w:rsidR="00247FB2" w14:paraId="539EF453" w14:textId="77777777" w:rsidTr="005127AB">
        <w:tc>
          <w:tcPr>
            <w:tcW w:w="3005" w:type="dxa"/>
          </w:tcPr>
          <w:p w14:paraId="0F90BE47" w14:textId="6F540668" w:rsidR="00247FB2" w:rsidRDefault="00247FB2" w:rsidP="005127AB">
            <w:pPr>
              <w:pStyle w:val="TableBody"/>
            </w:pPr>
            <w:r>
              <w:t>Community correction order</w:t>
            </w:r>
          </w:p>
        </w:tc>
        <w:tc>
          <w:tcPr>
            <w:tcW w:w="3005" w:type="dxa"/>
          </w:tcPr>
          <w:p w14:paraId="3EE07253" w14:textId="5B5D5C96" w:rsidR="00247FB2" w:rsidRDefault="00247FB2" w:rsidP="005127AB">
            <w:pPr>
              <w:pStyle w:val="TableBody"/>
            </w:pPr>
            <w:r>
              <w:t>Higher courts</w:t>
            </w:r>
          </w:p>
        </w:tc>
        <w:tc>
          <w:tcPr>
            <w:tcW w:w="3006" w:type="dxa"/>
          </w:tcPr>
          <w:p w14:paraId="438EAD66" w14:textId="05C2D2E0" w:rsidR="00247FB2" w:rsidRDefault="00247FB2" w:rsidP="005127AB">
            <w:pPr>
              <w:pStyle w:val="TableBody"/>
            </w:pPr>
            <w:r>
              <w:t>12%</w:t>
            </w:r>
          </w:p>
        </w:tc>
      </w:tr>
      <w:tr w:rsidR="00247FB2" w14:paraId="26241F63" w14:textId="77777777" w:rsidTr="005127AB">
        <w:tc>
          <w:tcPr>
            <w:tcW w:w="3005" w:type="dxa"/>
          </w:tcPr>
          <w:p w14:paraId="140FFEEE" w14:textId="0524316A" w:rsidR="00247FB2" w:rsidRDefault="00247FB2" w:rsidP="005127AB">
            <w:pPr>
              <w:pStyle w:val="TableBody"/>
            </w:pPr>
            <w:r>
              <w:t>Community correction order</w:t>
            </w:r>
          </w:p>
        </w:tc>
        <w:tc>
          <w:tcPr>
            <w:tcW w:w="3005" w:type="dxa"/>
          </w:tcPr>
          <w:p w14:paraId="44B39DB8" w14:textId="186FA28D" w:rsidR="00247FB2" w:rsidRDefault="00247FB2" w:rsidP="005127AB">
            <w:pPr>
              <w:pStyle w:val="TableBody"/>
            </w:pPr>
            <w:r>
              <w:t>Magistrates’ Court</w:t>
            </w:r>
          </w:p>
        </w:tc>
        <w:tc>
          <w:tcPr>
            <w:tcW w:w="3006" w:type="dxa"/>
          </w:tcPr>
          <w:p w14:paraId="39B66A98" w14:textId="78559D2D" w:rsidR="00247FB2" w:rsidRDefault="00247FB2" w:rsidP="005127AB">
            <w:pPr>
              <w:pStyle w:val="TableBody"/>
            </w:pPr>
            <w:r>
              <w:t>31%</w:t>
            </w:r>
          </w:p>
        </w:tc>
      </w:tr>
      <w:tr w:rsidR="00247FB2" w14:paraId="5A86BDDD" w14:textId="77777777" w:rsidTr="005127AB">
        <w:tc>
          <w:tcPr>
            <w:tcW w:w="3005" w:type="dxa"/>
          </w:tcPr>
          <w:p w14:paraId="52D4EE75" w14:textId="16493F4A" w:rsidR="00247FB2" w:rsidRDefault="00247FB2" w:rsidP="005127AB">
            <w:pPr>
              <w:pStyle w:val="TableBody"/>
            </w:pPr>
            <w:r>
              <w:t>Other</w:t>
            </w:r>
          </w:p>
        </w:tc>
        <w:tc>
          <w:tcPr>
            <w:tcW w:w="3005" w:type="dxa"/>
          </w:tcPr>
          <w:p w14:paraId="4DCCE202" w14:textId="19980628" w:rsidR="00247FB2" w:rsidRDefault="00247FB2" w:rsidP="005127AB">
            <w:pPr>
              <w:pStyle w:val="TableBody"/>
            </w:pPr>
            <w:r>
              <w:t>Higher courts</w:t>
            </w:r>
          </w:p>
        </w:tc>
        <w:tc>
          <w:tcPr>
            <w:tcW w:w="3006" w:type="dxa"/>
          </w:tcPr>
          <w:p w14:paraId="480748F5" w14:textId="7C713E7C" w:rsidR="00247FB2" w:rsidRDefault="00247FB2" w:rsidP="005127AB">
            <w:pPr>
              <w:pStyle w:val="TableBody"/>
            </w:pPr>
            <w:r>
              <w:t>13%</w:t>
            </w:r>
          </w:p>
        </w:tc>
      </w:tr>
      <w:tr w:rsidR="00247FB2" w14:paraId="68A045CD" w14:textId="77777777" w:rsidTr="005127AB">
        <w:tc>
          <w:tcPr>
            <w:tcW w:w="3005" w:type="dxa"/>
          </w:tcPr>
          <w:p w14:paraId="3067068B" w14:textId="011930B4" w:rsidR="00247FB2" w:rsidRDefault="00247FB2" w:rsidP="005127AB">
            <w:pPr>
              <w:pStyle w:val="TableBody"/>
            </w:pPr>
            <w:r>
              <w:t>Other</w:t>
            </w:r>
          </w:p>
        </w:tc>
        <w:tc>
          <w:tcPr>
            <w:tcW w:w="3005" w:type="dxa"/>
          </w:tcPr>
          <w:p w14:paraId="7B72E0E7" w14:textId="505A409F" w:rsidR="00247FB2" w:rsidRDefault="001E25E1" w:rsidP="005127AB">
            <w:pPr>
              <w:pStyle w:val="TableBody"/>
            </w:pPr>
            <w:r>
              <w:t>Magistrates</w:t>
            </w:r>
            <w:r w:rsidR="00247FB2">
              <w:t>’ Court</w:t>
            </w:r>
          </w:p>
        </w:tc>
        <w:tc>
          <w:tcPr>
            <w:tcW w:w="3006" w:type="dxa"/>
          </w:tcPr>
          <w:p w14:paraId="012AF908" w14:textId="5E8F21A9" w:rsidR="00247FB2" w:rsidRDefault="006F61A5" w:rsidP="005127AB">
            <w:pPr>
              <w:pStyle w:val="TableBody"/>
            </w:pPr>
            <w:r>
              <w:t>3</w:t>
            </w:r>
            <w:r w:rsidR="00247FB2">
              <w:t>4%</w:t>
            </w:r>
          </w:p>
        </w:tc>
      </w:tr>
    </w:tbl>
    <w:p w14:paraId="6B8EF274" w14:textId="77777777" w:rsidR="00373CAB" w:rsidRDefault="00373CAB" w:rsidP="00284651">
      <w:pPr>
        <w:pStyle w:val="Heading1"/>
      </w:pPr>
      <w:r>
        <w:t>Co-sentenced offences</w:t>
      </w:r>
    </w:p>
    <w:p w14:paraId="65F8333D" w14:textId="6ED538BA" w:rsidR="00373CAB" w:rsidRDefault="00373CAB" w:rsidP="004459DC">
      <w:r>
        <w:t xml:space="preserve">On average, 7.6 offences were sentenced in each threat case, and most threat cases involved non-threat offences as well as threat offences. Only 8% of threat cases consisted of a single threat offence only.  </w:t>
      </w:r>
    </w:p>
    <w:p w14:paraId="04EE39BA" w14:textId="551ADED6" w:rsidR="005F062F" w:rsidRDefault="005F062F" w:rsidP="005F062F">
      <w:pPr>
        <w:pStyle w:val="Caption"/>
      </w:pPr>
      <w:r>
        <w:t>Percentage of co-sentenced offences</w:t>
      </w:r>
    </w:p>
    <w:tbl>
      <w:tblPr>
        <w:tblStyle w:val="Table"/>
        <w:tblW w:w="5000" w:type="pct"/>
        <w:tblLook w:val="04A0" w:firstRow="1" w:lastRow="0" w:firstColumn="1" w:lastColumn="0" w:noHBand="0" w:noVBand="1"/>
      </w:tblPr>
      <w:tblGrid>
        <w:gridCol w:w="4508"/>
        <w:gridCol w:w="4508"/>
      </w:tblGrid>
      <w:tr w:rsidR="00CB3DE5" w14:paraId="43FF0D29" w14:textId="77777777" w:rsidTr="00796B8F">
        <w:trPr>
          <w:tblHeader/>
        </w:trPr>
        <w:tc>
          <w:tcPr>
            <w:tcW w:w="2500" w:type="pct"/>
          </w:tcPr>
          <w:p w14:paraId="00607C6B" w14:textId="421705D1" w:rsidR="00CB3DE5" w:rsidRDefault="00CB3DE5" w:rsidP="007678F3">
            <w:pPr>
              <w:pStyle w:val="TableHeading"/>
            </w:pPr>
            <w:r>
              <w:t>Number of charges/threats</w:t>
            </w:r>
          </w:p>
        </w:tc>
        <w:tc>
          <w:tcPr>
            <w:tcW w:w="2500" w:type="pct"/>
          </w:tcPr>
          <w:p w14:paraId="1091CA00" w14:textId="14BC8CA3" w:rsidR="00CB3DE5" w:rsidRDefault="00CB3DE5" w:rsidP="007678F3">
            <w:pPr>
              <w:pStyle w:val="TableHeading"/>
            </w:pPr>
            <w:r>
              <w:t>Percentage</w:t>
            </w:r>
          </w:p>
        </w:tc>
      </w:tr>
      <w:tr w:rsidR="00CB3DE5" w14:paraId="09A5B8FB" w14:textId="77777777" w:rsidTr="00796B8F">
        <w:tc>
          <w:tcPr>
            <w:tcW w:w="2500" w:type="pct"/>
          </w:tcPr>
          <w:p w14:paraId="2AA8B7B7" w14:textId="4D4ABAB0" w:rsidR="00CB3DE5" w:rsidRDefault="00CB3DE5" w:rsidP="007678F3">
            <w:pPr>
              <w:pStyle w:val="TableBody"/>
            </w:pPr>
            <w:r>
              <w:t>More than 1 charge</w:t>
            </w:r>
          </w:p>
        </w:tc>
        <w:tc>
          <w:tcPr>
            <w:tcW w:w="2500" w:type="pct"/>
          </w:tcPr>
          <w:p w14:paraId="259CC106" w14:textId="65A9A72B" w:rsidR="00CB3DE5" w:rsidRDefault="00CB3DE5" w:rsidP="007678F3">
            <w:pPr>
              <w:pStyle w:val="TableBody"/>
            </w:pPr>
            <w:r>
              <w:t>92%</w:t>
            </w:r>
          </w:p>
        </w:tc>
      </w:tr>
      <w:tr w:rsidR="00CB3DE5" w14:paraId="4FD2C32B" w14:textId="77777777" w:rsidTr="00796B8F">
        <w:tc>
          <w:tcPr>
            <w:tcW w:w="2500" w:type="pct"/>
          </w:tcPr>
          <w:p w14:paraId="35B638B2" w14:textId="3FCDBCD1" w:rsidR="00CB3DE5" w:rsidRDefault="00CB3DE5" w:rsidP="007678F3">
            <w:pPr>
              <w:pStyle w:val="TableBody"/>
            </w:pPr>
            <w:r>
              <w:t xml:space="preserve">More than </w:t>
            </w:r>
            <w:r w:rsidR="008E7900">
              <w:t>1</w:t>
            </w:r>
            <w:r>
              <w:t xml:space="preserve"> threat</w:t>
            </w:r>
          </w:p>
        </w:tc>
        <w:tc>
          <w:tcPr>
            <w:tcW w:w="2500" w:type="pct"/>
          </w:tcPr>
          <w:p w14:paraId="2AA9D164" w14:textId="0ABEAA62" w:rsidR="00CB3DE5" w:rsidRDefault="00CB3DE5" w:rsidP="007678F3">
            <w:pPr>
              <w:pStyle w:val="TableBody"/>
            </w:pPr>
            <w:r>
              <w:t>24%</w:t>
            </w:r>
          </w:p>
        </w:tc>
      </w:tr>
    </w:tbl>
    <w:p w14:paraId="7DD2A8F6" w14:textId="77777777" w:rsidR="00373CAB" w:rsidRDefault="00373CAB" w:rsidP="00373CAB">
      <w:pPr>
        <w:pStyle w:val="Heading1"/>
      </w:pPr>
      <w:r>
        <w:t>Threats and reoffending</w:t>
      </w:r>
    </w:p>
    <w:p w14:paraId="15A8E499" w14:textId="6F8A77CE" w:rsidR="00373CAB" w:rsidRDefault="00373CAB" w:rsidP="004459DC">
      <w:r>
        <w:t xml:space="preserve">People sentenced for threat offences had very high rates of prior and subsequent offences. More than half of all people sentenced for a threat offence in 2015 or 2016 were sentenced on another occasion within the 3 years </w:t>
      </w:r>
      <w:r w:rsidRPr="00C23F14">
        <w:rPr>
          <w:rStyle w:val="Emphasis"/>
        </w:rPr>
        <w:t>before</w:t>
      </w:r>
      <w:r>
        <w:t xml:space="preserve"> and 3 years </w:t>
      </w:r>
      <w:r w:rsidRPr="00C23F14">
        <w:rPr>
          <w:rStyle w:val="Emphasis"/>
        </w:rPr>
        <w:t>after</w:t>
      </w:r>
      <w:r>
        <w:t xml:space="preserve"> being sentenced for the threat. </w:t>
      </w:r>
    </w:p>
    <w:p w14:paraId="2E231FA9" w14:textId="3F5A5612" w:rsidR="004652B3" w:rsidRDefault="004652B3" w:rsidP="004652B3">
      <w:pPr>
        <w:pStyle w:val="Caption"/>
      </w:pPr>
      <w:r>
        <w:t>Percentage of people who had previously offended before</w:t>
      </w:r>
      <w:r w:rsidR="004210F7">
        <w:t xml:space="preserve"> and reoffended after </w:t>
      </w:r>
      <w:r>
        <w:t xml:space="preserve">being sentenced for a threat offence </w:t>
      </w:r>
    </w:p>
    <w:tbl>
      <w:tblPr>
        <w:tblStyle w:val="Table"/>
        <w:tblW w:w="5000" w:type="pct"/>
        <w:tblLayout w:type="fixed"/>
        <w:tblLook w:val="04A0" w:firstRow="1" w:lastRow="0" w:firstColumn="1" w:lastColumn="0" w:noHBand="0" w:noVBand="1"/>
      </w:tblPr>
      <w:tblGrid>
        <w:gridCol w:w="2254"/>
        <w:gridCol w:w="2254"/>
        <w:gridCol w:w="2254"/>
        <w:gridCol w:w="2254"/>
      </w:tblGrid>
      <w:tr w:rsidR="006A12E5" w:rsidRPr="008E35D1" w14:paraId="1C936FE5" w14:textId="77777777" w:rsidTr="007678F3">
        <w:trPr>
          <w:trHeight w:val="290"/>
          <w:tblHeader/>
        </w:trPr>
        <w:tc>
          <w:tcPr>
            <w:tcW w:w="1250" w:type="pct"/>
            <w:noWrap/>
          </w:tcPr>
          <w:p w14:paraId="351FBD86" w14:textId="75E2C77A" w:rsidR="006A12E5" w:rsidRPr="008E35D1" w:rsidRDefault="00E16870" w:rsidP="007678F3">
            <w:pPr>
              <w:pStyle w:val="TableHeading"/>
            </w:pPr>
            <w:r>
              <w:t>Offending prior to 2015-2016</w:t>
            </w:r>
          </w:p>
        </w:tc>
        <w:tc>
          <w:tcPr>
            <w:tcW w:w="1250" w:type="pct"/>
            <w:noWrap/>
          </w:tcPr>
          <w:p w14:paraId="1DB699FE" w14:textId="77777777" w:rsidR="006A12E5" w:rsidRPr="008E35D1" w:rsidRDefault="006A12E5" w:rsidP="007678F3">
            <w:pPr>
              <w:pStyle w:val="TableHeading"/>
            </w:pPr>
            <w:r>
              <w:t>Percentage</w:t>
            </w:r>
          </w:p>
        </w:tc>
        <w:tc>
          <w:tcPr>
            <w:tcW w:w="1250" w:type="pct"/>
          </w:tcPr>
          <w:p w14:paraId="013E76BA" w14:textId="20ADA240" w:rsidR="006A12E5" w:rsidRPr="008E35D1" w:rsidRDefault="006A12E5" w:rsidP="007678F3">
            <w:pPr>
              <w:pStyle w:val="TableHeading"/>
            </w:pPr>
            <w:r w:rsidRPr="008E35D1">
              <w:t>Reoffending</w:t>
            </w:r>
            <w:r>
              <w:t xml:space="preserve"> </w:t>
            </w:r>
            <w:r w:rsidR="00E16870">
              <w:t>after 2015-2016</w:t>
            </w:r>
          </w:p>
        </w:tc>
        <w:tc>
          <w:tcPr>
            <w:tcW w:w="1250" w:type="pct"/>
          </w:tcPr>
          <w:p w14:paraId="545D5BB1" w14:textId="77777777" w:rsidR="006A12E5" w:rsidRPr="008E35D1" w:rsidRDefault="006A12E5" w:rsidP="007678F3">
            <w:pPr>
              <w:pStyle w:val="TableHeading"/>
            </w:pPr>
            <w:r>
              <w:t>Percentage</w:t>
            </w:r>
          </w:p>
        </w:tc>
      </w:tr>
      <w:tr w:rsidR="001146E3" w:rsidRPr="008E35D1" w14:paraId="100F9DDB" w14:textId="77777777" w:rsidTr="001146E3">
        <w:trPr>
          <w:trHeight w:val="290"/>
        </w:trPr>
        <w:tc>
          <w:tcPr>
            <w:tcW w:w="1250" w:type="pct"/>
            <w:noWrap/>
          </w:tcPr>
          <w:p w14:paraId="5F3853EB" w14:textId="276A8D05" w:rsidR="001146E3" w:rsidRPr="008E35D1" w:rsidRDefault="001146E3" w:rsidP="001146E3">
            <w:pPr>
              <w:pStyle w:val="TableBody"/>
            </w:pPr>
            <w:r w:rsidRPr="008E35D1">
              <w:t>1 year</w:t>
            </w:r>
            <w:r w:rsidR="00E331BF">
              <w:t xml:space="preserve"> before</w:t>
            </w:r>
          </w:p>
        </w:tc>
        <w:tc>
          <w:tcPr>
            <w:tcW w:w="1250" w:type="pct"/>
            <w:noWrap/>
          </w:tcPr>
          <w:p w14:paraId="0EF85343" w14:textId="4D6CEA71" w:rsidR="001146E3" w:rsidRPr="008E35D1" w:rsidRDefault="001146E3" w:rsidP="001146E3">
            <w:pPr>
              <w:pStyle w:val="TableBody"/>
            </w:pPr>
            <w:r w:rsidRPr="008E35D1">
              <w:t>2</w:t>
            </w:r>
            <w:r w:rsidR="005E578A">
              <w:t>8</w:t>
            </w:r>
            <w:r w:rsidRPr="008E35D1">
              <w:t>%</w:t>
            </w:r>
          </w:p>
        </w:tc>
        <w:tc>
          <w:tcPr>
            <w:tcW w:w="1250" w:type="pct"/>
          </w:tcPr>
          <w:p w14:paraId="679EF29A" w14:textId="61BD6A4B" w:rsidR="001146E3" w:rsidRPr="008E35D1" w:rsidRDefault="001146E3" w:rsidP="001146E3">
            <w:pPr>
              <w:pStyle w:val="TableBody"/>
            </w:pPr>
            <w:r w:rsidRPr="008E35D1">
              <w:t>1 year</w:t>
            </w:r>
            <w:r w:rsidR="00E331BF">
              <w:t xml:space="preserve"> after</w:t>
            </w:r>
          </w:p>
        </w:tc>
        <w:tc>
          <w:tcPr>
            <w:tcW w:w="1250" w:type="pct"/>
          </w:tcPr>
          <w:p w14:paraId="57CDDFCD" w14:textId="13E48A0F" w:rsidR="001146E3" w:rsidRPr="008E35D1" w:rsidRDefault="001146E3" w:rsidP="001146E3">
            <w:pPr>
              <w:pStyle w:val="TableBody"/>
            </w:pPr>
            <w:r w:rsidRPr="008E35D1">
              <w:t>3</w:t>
            </w:r>
            <w:r w:rsidR="008F761C">
              <w:t>2</w:t>
            </w:r>
            <w:r w:rsidRPr="008E35D1">
              <w:t>%</w:t>
            </w:r>
          </w:p>
        </w:tc>
      </w:tr>
      <w:tr w:rsidR="006A12E5" w:rsidRPr="008E35D1" w14:paraId="3759BB67" w14:textId="77777777" w:rsidTr="007678F3">
        <w:trPr>
          <w:trHeight w:val="290"/>
        </w:trPr>
        <w:tc>
          <w:tcPr>
            <w:tcW w:w="1250" w:type="pct"/>
            <w:noWrap/>
            <w:hideMark/>
          </w:tcPr>
          <w:p w14:paraId="4227A0FE" w14:textId="3F6EE020" w:rsidR="006A12E5" w:rsidRPr="008E35D1" w:rsidRDefault="006A12E5" w:rsidP="007678F3">
            <w:pPr>
              <w:pStyle w:val="TableBody"/>
            </w:pPr>
            <w:r w:rsidRPr="008E35D1">
              <w:t>2 years</w:t>
            </w:r>
            <w:r w:rsidR="00E331BF">
              <w:t xml:space="preserve"> </w:t>
            </w:r>
            <w:r w:rsidR="00E331BF">
              <w:t>before</w:t>
            </w:r>
          </w:p>
        </w:tc>
        <w:tc>
          <w:tcPr>
            <w:tcW w:w="1250" w:type="pct"/>
            <w:noWrap/>
            <w:hideMark/>
          </w:tcPr>
          <w:p w14:paraId="0558003A" w14:textId="70075E33" w:rsidR="006A12E5" w:rsidRPr="008E35D1" w:rsidRDefault="006A12E5" w:rsidP="007678F3">
            <w:pPr>
              <w:pStyle w:val="TableBody"/>
            </w:pPr>
            <w:r w:rsidRPr="008E35D1">
              <w:t>4</w:t>
            </w:r>
            <w:r w:rsidR="005E578A">
              <w:t>3</w:t>
            </w:r>
            <w:r w:rsidRPr="008E35D1">
              <w:t>%</w:t>
            </w:r>
          </w:p>
        </w:tc>
        <w:tc>
          <w:tcPr>
            <w:tcW w:w="1250" w:type="pct"/>
          </w:tcPr>
          <w:p w14:paraId="1C0D5D48" w14:textId="181A98F1" w:rsidR="006A12E5" w:rsidRPr="008E35D1" w:rsidRDefault="006A12E5" w:rsidP="007678F3">
            <w:pPr>
              <w:pStyle w:val="TableBody"/>
            </w:pPr>
            <w:r w:rsidRPr="008E35D1">
              <w:t>2 years</w:t>
            </w:r>
            <w:r w:rsidR="00E331BF">
              <w:t xml:space="preserve"> </w:t>
            </w:r>
            <w:r w:rsidR="00E331BF">
              <w:t>after</w:t>
            </w:r>
          </w:p>
        </w:tc>
        <w:tc>
          <w:tcPr>
            <w:tcW w:w="1250" w:type="pct"/>
          </w:tcPr>
          <w:p w14:paraId="47C04D13" w14:textId="76F08D5A" w:rsidR="006A12E5" w:rsidRPr="008E35D1" w:rsidRDefault="006A12E5" w:rsidP="007678F3">
            <w:pPr>
              <w:pStyle w:val="TableBody"/>
            </w:pPr>
            <w:r w:rsidRPr="008E35D1">
              <w:t>49%</w:t>
            </w:r>
          </w:p>
        </w:tc>
      </w:tr>
      <w:tr w:rsidR="001146E3" w:rsidRPr="008E35D1" w14:paraId="0A201B5A" w14:textId="77777777" w:rsidTr="001146E3">
        <w:trPr>
          <w:trHeight w:val="290"/>
        </w:trPr>
        <w:tc>
          <w:tcPr>
            <w:tcW w:w="1250" w:type="pct"/>
            <w:noWrap/>
          </w:tcPr>
          <w:p w14:paraId="08772EAB" w14:textId="55659B14" w:rsidR="001146E3" w:rsidRPr="008E35D1" w:rsidRDefault="001146E3" w:rsidP="001146E3">
            <w:pPr>
              <w:pStyle w:val="TableBody"/>
            </w:pPr>
            <w:r w:rsidRPr="008E35D1">
              <w:t>3 years</w:t>
            </w:r>
            <w:r w:rsidR="00E331BF">
              <w:t xml:space="preserve"> </w:t>
            </w:r>
            <w:r w:rsidR="00E331BF">
              <w:t>before</w:t>
            </w:r>
          </w:p>
        </w:tc>
        <w:tc>
          <w:tcPr>
            <w:tcW w:w="1250" w:type="pct"/>
            <w:noWrap/>
          </w:tcPr>
          <w:p w14:paraId="5F461E33" w14:textId="19255893" w:rsidR="001146E3" w:rsidRPr="008E35D1" w:rsidRDefault="001146E3" w:rsidP="001146E3">
            <w:pPr>
              <w:pStyle w:val="TableBody"/>
            </w:pPr>
            <w:r w:rsidRPr="008E35D1">
              <w:t>5</w:t>
            </w:r>
            <w:r w:rsidR="005E578A">
              <w:t>2</w:t>
            </w:r>
            <w:r w:rsidRPr="008E35D1">
              <w:t>%</w:t>
            </w:r>
          </w:p>
        </w:tc>
        <w:tc>
          <w:tcPr>
            <w:tcW w:w="1250" w:type="pct"/>
          </w:tcPr>
          <w:p w14:paraId="200180B1" w14:textId="3322751F" w:rsidR="001146E3" w:rsidRPr="008E35D1" w:rsidRDefault="001146E3" w:rsidP="001146E3">
            <w:pPr>
              <w:pStyle w:val="TableBody"/>
            </w:pPr>
            <w:r w:rsidRPr="008E35D1">
              <w:t>3 years</w:t>
            </w:r>
            <w:r w:rsidR="00E331BF">
              <w:t xml:space="preserve"> </w:t>
            </w:r>
            <w:r w:rsidR="00E331BF">
              <w:t>after</w:t>
            </w:r>
          </w:p>
        </w:tc>
        <w:tc>
          <w:tcPr>
            <w:tcW w:w="1250" w:type="pct"/>
          </w:tcPr>
          <w:p w14:paraId="74B2CAEF" w14:textId="16BFE154" w:rsidR="001146E3" w:rsidRPr="008E35D1" w:rsidRDefault="001146E3" w:rsidP="001146E3">
            <w:pPr>
              <w:pStyle w:val="TableBody"/>
            </w:pPr>
            <w:r w:rsidRPr="008E35D1">
              <w:t>5</w:t>
            </w:r>
            <w:r w:rsidR="008F761C">
              <w:t>8</w:t>
            </w:r>
            <w:r w:rsidRPr="008E35D1">
              <w:t>%</w:t>
            </w:r>
          </w:p>
        </w:tc>
      </w:tr>
    </w:tbl>
    <w:p w14:paraId="114DF5AC" w14:textId="77777777" w:rsidR="00373CAB" w:rsidRDefault="00373CAB" w:rsidP="00373CAB">
      <w:pPr>
        <w:pStyle w:val="Heading1"/>
      </w:pPr>
      <w:r>
        <w:lastRenderedPageBreak/>
        <w:t xml:space="preserve">Who reoffended? </w:t>
      </w:r>
    </w:p>
    <w:p w14:paraId="76D68898" w14:textId="77777777" w:rsidR="00373CAB" w:rsidRDefault="00373CAB" w:rsidP="004459DC">
      <w:r>
        <w:t xml:space="preserve">People with a recent criminal history, especially a history of violent offending, were far more likely than people without a recent criminal history to be sentenced for other offending in the next 3 years. </w:t>
      </w:r>
    </w:p>
    <w:p w14:paraId="1F432981" w14:textId="77777777" w:rsidR="00373CAB" w:rsidRDefault="00373CAB" w:rsidP="004459DC">
      <w:r>
        <w:t xml:space="preserve">Men were also more likely than women to reoffend, and children were more likely than adults to reoffend. There was little difference in reoffending rates between family violence offenders and non-family violence offenders. </w:t>
      </w:r>
    </w:p>
    <w:p w14:paraId="6E9BFE1F" w14:textId="6706B5A3" w:rsidR="00373CAB" w:rsidRDefault="00401E59" w:rsidP="00401E59">
      <w:pPr>
        <w:pStyle w:val="Caption"/>
      </w:pPr>
      <w:r>
        <w:t>People who reoffended</w:t>
      </w:r>
      <w:r w:rsidR="00F87B10">
        <w:t xml:space="preserve"> after being sentenced for a threat offence</w:t>
      </w:r>
    </w:p>
    <w:tbl>
      <w:tblPr>
        <w:tblStyle w:val="Table"/>
        <w:tblW w:w="5000" w:type="pct"/>
        <w:tblLayout w:type="fixed"/>
        <w:tblLook w:val="04A0" w:firstRow="1" w:lastRow="0" w:firstColumn="1" w:lastColumn="0" w:noHBand="0" w:noVBand="1"/>
      </w:tblPr>
      <w:tblGrid>
        <w:gridCol w:w="4508"/>
        <w:gridCol w:w="4508"/>
      </w:tblGrid>
      <w:tr w:rsidR="00F87B10" w:rsidRPr="008E35D1" w14:paraId="18DF6FEF" w14:textId="77777777" w:rsidTr="007678F3">
        <w:trPr>
          <w:trHeight w:val="290"/>
          <w:tblHeader/>
        </w:trPr>
        <w:tc>
          <w:tcPr>
            <w:tcW w:w="1250" w:type="pct"/>
            <w:noWrap/>
          </w:tcPr>
          <w:p w14:paraId="5FD27004" w14:textId="0E728DBB" w:rsidR="00F87B10" w:rsidRPr="008E35D1" w:rsidRDefault="00F87B10" w:rsidP="007678F3">
            <w:pPr>
              <w:pStyle w:val="TableHeading"/>
            </w:pPr>
            <w:r>
              <w:t>People who reoffended</w:t>
            </w:r>
          </w:p>
        </w:tc>
        <w:tc>
          <w:tcPr>
            <w:tcW w:w="1250" w:type="pct"/>
            <w:noWrap/>
          </w:tcPr>
          <w:p w14:paraId="27203008" w14:textId="648B4311" w:rsidR="00F87B10" w:rsidRPr="008E35D1" w:rsidRDefault="00F87B10" w:rsidP="007678F3">
            <w:pPr>
              <w:pStyle w:val="TableHeading"/>
            </w:pPr>
            <w:r>
              <w:t>Percentage</w:t>
            </w:r>
          </w:p>
        </w:tc>
      </w:tr>
      <w:tr w:rsidR="00F87B10" w:rsidRPr="008E35D1" w14:paraId="7D7350A7" w14:textId="77777777" w:rsidTr="007678F3">
        <w:trPr>
          <w:trHeight w:val="290"/>
        </w:trPr>
        <w:tc>
          <w:tcPr>
            <w:tcW w:w="1250" w:type="pct"/>
            <w:noWrap/>
          </w:tcPr>
          <w:p w14:paraId="4ED5F32C" w14:textId="1ED5CDA4" w:rsidR="00F87B10" w:rsidRPr="008E35D1" w:rsidRDefault="00D17112" w:rsidP="007678F3">
            <w:pPr>
              <w:pStyle w:val="TableBody"/>
            </w:pPr>
            <w:r>
              <w:t>People not sentenced in the previous 3 years</w:t>
            </w:r>
          </w:p>
        </w:tc>
        <w:tc>
          <w:tcPr>
            <w:tcW w:w="1250" w:type="pct"/>
            <w:noWrap/>
          </w:tcPr>
          <w:p w14:paraId="00DEC68A" w14:textId="2192FCEE" w:rsidR="00F87B10" w:rsidRPr="008E35D1" w:rsidRDefault="00D17112" w:rsidP="007678F3">
            <w:pPr>
              <w:pStyle w:val="TableBody"/>
            </w:pPr>
            <w:r>
              <w:t>40%</w:t>
            </w:r>
          </w:p>
        </w:tc>
      </w:tr>
      <w:tr w:rsidR="00F87B10" w:rsidRPr="008E35D1" w14:paraId="7D1AB891" w14:textId="77777777" w:rsidTr="007678F3">
        <w:trPr>
          <w:trHeight w:val="290"/>
        </w:trPr>
        <w:tc>
          <w:tcPr>
            <w:tcW w:w="1250" w:type="pct"/>
            <w:noWrap/>
            <w:hideMark/>
          </w:tcPr>
          <w:p w14:paraId="4BEA2389" w14:textId="66F54A33" w:rsidR="00F87B10" w:rsidRPr="008E35D1" w:rsidRDefault="00D17112" w:rsidP="007678F3">
            <w:pPr>
              <w:pStyle w:val="TableBody"/>
            </w:pPr>
            <w:r>
              <w:t>People sentenced in the previous 3 years</w:t>
            </w:r>
          </w:p>
        </w:tc>
        <w:tc>
          <w:tcPr>
            <w:tcW w:w="1250" w:type="pct"/>
            <w:noWrap/>
            <w:hideMark/>
          </w:tcPr>
          <w:p w14:paraId="7062105D" w14:textId="65392326" w:rsidR="00F87B10" w:rsidRPr="008E35D1" w:rsidRDefault="00D17112" w:rsidP="007678F3">
            <w:pPr>
              <w:pStyle w:val="TableBody"/>
            </w:pPr>
            <w:r>
              <w:t>74%</w:t>
            </w:r>
          </w:p>
        </w:tc>
      </w:tr>
      <w:tr w:rsidR="00F87B10" w:rsidRPr="008E35D1" w14:paraId="00B77F58" w14:textId="77777777" w:rsidTr="007678F3">
        <w:trPr>
          <w:trHeight w:val="290"/>
        </w:trPr>
        <w:tc>
          <w:tcPr>
            <w:tcW w:w="1250" w:type="pct"/>
            <w:noWrap/>
          </w:tcPr>
          <w:p w14:paraId="05278B64" w14:textId="1B9E79B8" w:rsidR="00F87B10" w:rsidRPr="008E35D1" w:rsidRDefault="00D17112" w:rsidP="007678F3">
            <w:pPr>
              <w:pStyle w:val="TableBody"/>
            </w:pPr>
            <w:r>
              <w:t>Female offenders</w:t>
            </w:r>
          </w:p>
        </w:tc>
        <w:tc>
          <w:tcPr>
            <w:tcW w:w="1250" w:type="pct"/>
            <w:noWrap/>
          </w:tcPr>
          <w:p w14:paraId="591B206B" w14:textId="6B0DE8FE" w:rsidR="00F87B10" w:rsidRPr="008E35D1" w:rsidRDefault="00D17112" w:rsidP="007678F3">
            <w:pPr>
              <w:pStyle w:val="TableBody"/>
            </w:pPr>
            <w:r>
              <w:t>48%</w:t>
            </w:r>
          </w:p>
        </w:tc>
      </w:tr>
      <w:tr w:rsidR="00D17112" w:rsidRPr="008E35D1" w14:paraId="6C34A913" w14:textId="77777777" w:rsidTr="007678F3">
        <w:trPr>
          <w:trHeight w:val="290"/>
        </w:trPr>
        <w:tc>
          <w:tcPr>
            <w:tcW w:w="1250" w:type="pct"/>
            <w:noWrap/>
          </w:tcPr>
          <w:p w14:paraId="1C34EB9E" w14:textId="01CB7F2B" w:rsidR="00D17112" w:rsidRDefault="00D17112" w:rsidP="007678F3">
            <w:pPr>
              <w:pStyle w:val="TableBody"/>
            </w:pPr>
            <w:r>
              <w:t>Male offenders</w:t>
            </w:r>
          </w:p>
        </w:tc>
        <w:tc>
          <w:tcPr>
            <w:tcW w:w="1250" w:type="pct"/>
            <w:noWrap/>
          </w:tcPr>
          <w:p w14:paraId="353FD0A9" w14:textId="7A21FB6F" w:rsidR="00D17112" w:rsidRDefault="00D17112" w:rsidP="007678F3">
            <w:pPr>
              <w:pStyle w:val="TableBody"/>
            </w:pPr>
            <w:r>
              <w:t>58%</w:t>
            </w:r>
          </w:p>
        </w:tc>
      </w:tr>
      <w:tr w:rsidR="00D17112" w:rsidRPr="008E35D1" w14:paraId="3ABE31EA" w14:textId="77777777" w:rsidTr="007678F3">
        <w:trPr>
          <w:trHeight w:val="290"/>
        </w:trPr>
        <w:tc>
          <w:tcPr>
            <w:tcW w:w="1250" w:type="pct"/>
            <w:noWrap/>
          </w:tcPr>
          <w:p w14:paraId="2D342366" w14:textId="22A8D327" w:rsidR="00D17112" w:rsidRDefault="00D17112" w:rsidP="007678F3">
            <w:pPr>
              <w:pStyle w:val="TableBody"/>
            </w:pPr>
            <w:r>
              <w:t>Adults (18+)</w:t>
            </w:r>
          </w:p>
        </w:tc>
        <w:tc>
          <w:tcPr>
            <w:tcW w:w="1250" w:type="pct"/>
            <w:noWrap/>
          </w:tcPr>
          <w:p w14:paraId="443EDD57" w14:textId="1048F3EE" w:rsidR="00D17112" w:rsidRDefault="00D17112" w:rsidP="007678F3">
            <w:pPr>
              <w:pStyle w:val="TableBody"/>
            </w:pPr>
            <w:r>
              <w:t>56%</w:t>
            </w:r>
          </w:p>
        </w:tc>
      </w:tr>
      <w:tr w:rsidR="00D17112" w:rsidRPr="008E35D1" w14:paraId="3E1966B9" w14:textId="77777777" w:rsidTr="007678F3">
        <w:trPr>
          <w:trHeight w:val="290"/>
        </w:trPr>
        <w:tc>
          <w:tcPr>
            <w:tcW w:w="1250" w:type="pct"/>
            <w:noWrap/>
          </w:tcPr>
          <w:p w14:paraId="3C4C1CB1" w14:textId="6BAE6D79" w:rsidR="00D17112" w:rsidRDefault="00D17112" w:rsidP="007678F3">
            <w:pPr>
              <w:pStyle w:val="TableBody"/>
            </w:pPr>
            <w:r>
              <w:t>Children (under 18)</w:t>
            </w:r>
          </w:p>
        </w:tc>
        <w:tc>
          <w:tcPr>
            <w:tcW w:w="1250" w:type="pct"/>
            <w:noWrap/>
          </w:tcPr>
          <w:p w14:paraId="4EF5931C" w14:textId="55961713" w:rsidR="00D17112" w:rsidRDefault="00D17112" w:rsidP="007678F3">
            <w:pPr>
              <w:pStyle w:val="TableBody"/>
            </w:pPr>
            <w:r>
              <w:t>80%</w:t>
            </w:r>
          </w:p>
        </w:tc>
      </w:tr>
      <w:tr w:rsidR="00D17112" w:rsidRPr="008E35D1" w14:paraId="3A009507" w14:textId="77777777" w:rsidTr="007678F3">
        <w:trPr>
          <w:trHeight w:val="290"/>
        </w:trPr>
        <w:tc>
          <w:tcPr>
            <w:tcW w:w="1250" w:type="pct"/>
            <w:noWrap/>
          </w:tcPr>
          <w:p w14:paraId="02C9E2F7" w14:textId="0A51B89D" w:rsidR="00D17112" w:rsidRDefault="00D17112" w:rsidP="007678F3">
            <w:pPr>
              <w:pStyle w:val="TableBody"/>
            </w:pPr>
            <w:r>
              <w:t>Non-family violence offenders</w:t>
            </w:r>
          </w:p>
        </w:tc>
        <w:tc>
          <w:tcPr>
            <w:tcW w:w="1250" w:type="pct"/>
            <w:noWrap/>
          </w:tcPr>
          <w:p w14:paraId="1614E0CB" w14:textId="4AFF3ED1" w:rsidR="00D17112" w:rsidRDefault="00D17112" w:rsidP="007678F3">
            <w:pPr>
              <w:pStyle w:val="TableBody"/>
            </w:pPr>
            <w:r>
              <w:t>56%</w:t>
            </w:r>
          </w:p>
        </w:tc>
      </w:tr>
      <w:tr w:rsidR="00D17112" w:rsidRPr="008E35D1" w14:paraId="2CBDACC3" w14:textId="77777777" w:rsidTr="007678F3">
        <w:trPr>
          <w:trHeight w:val="290"/>
        </w:trPr>
        <w:tc>
          <w:tcPr>
            <w:tcW w:w="1250" w:type="pct"/>
            <w:noWrap/>
          </w:tcPr>
          <w:p w14:paraId="7FB2812D" w14:textId="78A54CDB" w:rsidR="00D17112" w:rsidRDefault="00D17112" w:rsidP="007678F3">
            <w:pPr>
              <w:pStyle w:val="TableBody"/>
            </w:pPr>
            <w:r>
              <w:t>Family violence offenders</w:t>
            </w:r>
          </w:p>
        </w:tc>
        <w:tc>
          <w:tcPr>
            <w:tcW w:w="1250" w:type="pct"/>
            <w:noWrap/>
          </w:tcPr>
          <w:p w14:paraId="7E12A7D6" w14:textId="4D87BEE1" w:rsidR="00D17112" w:rsidRDefault="00D17112" w:rsidP="007678F3">
            <w:pPr>
              <w:pStyle w:val="TableBody"/>
            </w:pPr>
            <w:r>
              <w:t>59%</w:t>
            </w:r>
          </w:p>
        </w:tc>
      </w:tr>
    </w:tbl>
    <w:p w14:paraId="3F54E27F" w14:textId="77777777" w:rsidR="002E35E9" w:rsidRPr="00087791" w:rsidRDefault="002E35E9" w:rsidP="00087791"/>
    <w:sectPr w:rsidR="002E35E9" w:rsidRPr="00087791" w:rsidSect="00D6349A">
      <w:headerReference w:type="default" r:id="rId8"/>
      <w:footerReference w:type="default" r:id="rId9"/>
      <w:pgSz w:w="11906" w:h="16838"/>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9F0E6" w14:textId="77777777" w:rsidR="00415244" w:rsidRDefault="00415244">
      <w:pPr>
        <w:spacing w:after="0" w:line="240" w:lineRule="auto"/>
      </w:pPr>
      <w:r>
        <w:separator/>
      </w:r>
    </w:p>
  </w:endnote>
  <w:endnote w:type="continuationSeparator" w:id="0">
    <w:p w14:paraId="002E2A92" w14:textId="77777777" w:rsidR="00415244" w:rsidRDefault="00415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Regular">
    <w:altName w:val="Arial"/>
    <w:panose1 w:val="00000000000000000000"/>
    <w:charset w:val="00"/>
    <w:family w:val="auto"/>
    <w:notTrueType/>
    <w:pitch w:val="default"/>
    <w:sig w:usb0="00000003" w:usb1="00000000" w:usb2="00000000" w:usb3="00000000" w:csb0="00000001" w:csb1="00000000"/>
  </w:font>
  <w:font w:name="ITC Franklin Gothic Book">
    <w:altName w:val="Calibri"/>
    <w:panose1 w:val="00000000000000000000"/>
    <w:charset w:val="00"/>
    <w:family w:val="swiss"/>
    <w:notTrueType/>
    <w:pitch w:val="variable"/>
    <w:sig w:usb0="00000003" w:usb1="00000000" w:usb2="00000000" w:usb3="00000000" w:csb0="00000001" w:csb1="00000000"/>
  </w:font>
  <w:font w:name="Gill Sans Std">
    <w:panose1 w:val="020B0502020104020203"/>
    <w:charset w:val="00"/>
    <w:family w:val="swiss"/>
    <w:notTrueType/>
    <w:pitch w:val="variable"/>
    <w:sig w:usb0="00000003" w:usb1="00000000" w:usb2="00000000" w:usb3="00000000" w:csb0="00000001" w:csb1="00000000"/>
  </w:font>
  <w:font w:name="Gill Sans Std Light">
    <w:panose1 w:val="020B0302020104020203"/>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ITC Franklin Gothic Demi">
    <w:altName w:val="Calibri"/>
    <w:panose1 w:val="00000000000000000000"/>
    <w:charset w:val="00"/>
    <w:family w:val="auto"/>
    <w:notTrueType/>
    <w:pitch w:val="default"/>
    <w:sig w:usb0="00000003" w:usb1="00000000" w:usb2="00000000" w:usb3="00000000" w:csb0="00000001" w:csb1="00000000"/>
  </w:font>
  <w:font w:name="ITC Franklin Gothic">
    <w:altName w:val="Calibri"/>
    <w:panose1 w:val="00000000000000000000"/>
    <w:charset w:val="00"/>
    <w:family w:val="auto"/>
    <w:notTrueType/>
    <w:pitch w:val="default"/>
    <w:sig w:usb0="00000003" w:usb1="00000000" w:usb2="00000000" w:usb3="00000000" w:csb0="00000001" w:csb1="00000000"/>
  </w:font>
  <w:font w:name="ITC Franklin Gothic Demi Italic">
    <w:altName w:val="Calibri"/>
    <w:panose1 w:val="00000000000000000000"/>
    <w:charset w:val="00"/>
    <w:family w:val="auto"/>
    <w:notTrueType/>
    <w:pitch w:val="default"/>
    <w:sig w:usb0="00000003" w:usb1="00000000" w:usb2="00000000" w:usb3="00000000" w:csb0="00000001" w:csb1="00000000"/>
  </w:font>
  <w:font w:name="ITC Franklin Gothic Std Book">
    <w:panose1 w:val="020B05040305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A6AF2" w14:textId="77777777" w:rsidR="00553AA8" w:rsidRDefault="00553AA8" w:rsidP="006A24A4">
    <w:pPr>
      <w:pStyle w:val="Footer"/>
      <w:ind w:left="4513" w:hanging="4513"/>
      <w:jc w:val="center"/>
    </w:pPr>
    <w:r>
      <w:fldChar w:fldCharType="begin"/>
    </w:r>
    <w:r>
      <w:instrText xml:space="preserve"> PAGE   \* MERGEFORMAT </w:instrText>
    </w:r>
    <w:r>
      <w:fldChar w:fldCharType="separate"/>
    </w:r>
    <w:r>
      <w:rPr>
        <w:noProof/>
      </w:rPr>
      <w:t>115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3CFDB" w14:textId="77777777" w:rsidR="00415244" w:rsidRDefault="00415244">
      <w:pPr>
        <w:spacing w:after="0" w:line="240" w:lineRule="auto"/>
      </w:pPr>
      <w:r>
        <w:separator/>
      </w:r>
    </w:p>
  </w:footnote>
  <w:footnote w:type="continuationSeparator" w:id="0">
    <w:p w14:paraId="3BB7210F" w14:textId="77777777" w:rsidR="00415244" w:rsidRDefault="00415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4EF36" w14:textId="5679FC2D" w:rsidR="00553AA8" w:rsidRPr="004C4F65" w:rsidRDefault="00910B32" w:rsidP="004C4F65">
    <w:pPr>
      <w:rPr>
        <w:sz w:val="20"/>
        <w:szCs w:val="20"/>
      </w:rPr>
    </w:pPr>
    <w:r>
      <w:rPr>
        <w:i/>
        <w:iCs/>
        <w:sz w:val="20"/>
        <w:szCs w:val="20"/>
      </w:rPr>
      <w:t>Threat Offences in Victoria Factsheet</w:t>
    </w:r>
    <w:r w:rsidR="00553AA8" w:rsidRPr="004C4F65">
      <w:rPr>
        <w:sz w:val="20"/>
        <w:szCs w:val="20"/>
      </w:rPr>
      <w:t xml:space="preserve"> </w:t>
    </w:r>
    <w:r w:rsidR="00553AA8" w:rsidRPr="004C4F65">
      <w:rPr>
        <w:rFonts w:cs="Arial"/>
        <w:sz w:val="20"/>
        <w:szCs w:val="20"/>
      </w:rPr>
      <w:t>●</w:t>
    </w:r>
    <w:r w:rsidR="00553AA8" w:rsidRPr="004C4F65">
      <w:rPr>
        <w:sz w:val="20"/>
        <w:szCs w:val="20"/>
      </w:rPr>
      <w:t xml:space="preserve"> </w:t>
    </w:r>
    <w:r>
      <w:rPr>
        <w:sz w:val="20"/>
        <w:szCs w:val="20"/>
      </w:rPr>
      <w:t>June 2021</w:t>
    </w:r>
    <w:r w:rsidR="00553AA8" w:rsidRPr="004C4F65">
      <w:rPr>
        <w:sz w:val="20"/>
        <w:szCs w:val="20"/>
      </w:rPr>
      <w:t xml:space="preserve"> </w:t>
    </w:r>
    <w:r w:rsidR="00553AA8" w:rsidRPr="004C4F65">
      <w:rPr>
        <w:rFonts w:cs="Arial"/>
        <w:sz w:val="20"/>
        <w:szCs w:val="20"/>
      </w:rPr>
      <w:t>●</w:t>
    </w:r>
    <w:r w:rsidR="00553AA8" w:rsidRPr="004C4F65">
      <w:rPr>
        <w:sz w:val="20"/>
        <w:szCs w:val="20"/>
      </w:rPr>
      <w:t xml:space="preserve"> Sentencing Advisory Council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2497F"/>
    <w:multiLevelType w:val="hybridMultilevel"/>
    <w:tmpl w:val="28268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2D3B80"/>
    <w:multiLevelType w:val="hybridMultilevel"/>
    <w:tmpl w:val="CA0EF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906CDB"/>
    <w:multiLevelType w:val="hybridMultilevel"/>
    <w:tmpl w:val="53624E08"/>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1D11449"/>
    <w:multiLevelType w:val="hybridMultilevel"/>
    <w:tmpl w:val="BFBE8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EE10FE"/>
    <w:multiLevelType w:val="hybridMultilevel"/>
    <w:tmpl w:val="62D62B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FBD2207"/>
    <w:multiLevelType w:val="hybridMultilevel"/>
    <w:tmpl w:val="1F7E7B3A"/>
    <w:lvl w:ilvl="0" w:tplc="B6348BB6">
      <w:start w:val="1"/>
      <w:numFmt w:val="bullet"/>
      <w:pStyle w:val="Bullets"/>
      <w:lvlText w:val=""/>
      <w:lvlJc w:val="left"/>
      <w:pPr>
        <w:ind w:left="1296" w:hanging="360"/>
      </w:pPr>
      <w:rPr>
        <w:rFonts w:ascii="Symbol" w:hAnsi="Symbol" w:hint="default"/>
      </w:rPr>
    </w:lvl>
    <w:lvl w:ilvl="1" w:tplc="0C090003">
      <w:start w:val="1"/>
      <w:numFmt w:val="bullet"/>
      <w:lvlText w:val="o"/>
      <w:lvlJc w:val="left"/>
      <w:pPr>
        <w:ind w:left="2016" w:hanging="360"/>
      </w:pPr>
      <w:rPr>
        <w:rFonts w:ascii="Courier New" w:hAnsi="Courier New" w:cs="Courier New" w:hint="default"/>
      </w:rPr>
    </w:lvl>
    <w:lvl w:ilvl="2" w:tplc="0C090005" w:tentative="1">
      <w:start w:val="1"/>
      <w:numFmt w:val="bullet"/>
      <w:lvlText w:val=""/>
      <w:lvlJc w:val="left"/>
      <w:pPr>
        <w:ind w:left="2736" w:hanging="360"/>
      </w:pPr>
      <w:rPr>
        <w:rFonts w:ascii="Wingdings" w:hAnsi="Wingdings" w:hint="default"/>
      </w:rPr>
    </w:lvl>
    <w:lvl w:ilvl="3" w:tplc="0C090001" w:tentative="1">
      <w:start w:val="1"/>
      <w:numFmt w:val="bullet"/>
      <w:lvlText w:val=""/>
      <w:lvlJc w:val="left"/>
      <w:pPr>
        <w:ind w:left="3456" w:hanging="360"/>
      </w:pPr>
      <w:rPr>
        <w:rFonts w:ascii="Symbol" w:hAnsi="Symbol" w:hint="default"/>
      </w:rPr>
    </w:lvl>
    <w:lvl w:ilvl="4" w:tplc="0C090003" w:tentative="1">
      <w:start w:val="1"/>
      <w:numFmt w:val="bullet"/>
      <w:lvlText w:val="o"/>
      <w:lvlJc w:val="left"/>
      <w:pPr>
        <w:ind w:left="4176" w:hanging="360"/>
      </w:pPr>
      <w:rPr>
        <w:rFonts w:ascii="Courier New" w:hAnsi="Courier New" w:cs="Courier New" w:hint="default"/>
      </w:rPr>
    </w:lvl>
    <w:lvl w:ilvl="5" w:tplc="0C090005" w:tentative="1">
      <w:start w:val="1"/>
      <w:numFmt w:val="bullet"/>
      <w:lvlText w:val=""/>
      <w:lvlJc w:val="left"/>
      <w:pPr>
        <w:ind w:left="4896" w:hanging="360"/>
      </w:pPr>
      <w:rPr>
        <w:rFonts w:ascii="Wingdings" w:hAnsi="Wingdings" w:hint="default"/>
      </w:rPr>
    </w:lvl>
    <w:lvl w:ilvl="6" w:tplc="0C090001" w:tentative="1">
      <w:start w:val="1"/>
      <w:numFmt w:val="bullet"/>
      <w:lvlText w:val=""/>
      <w:lvlJc w:val="left"/>
      <w:pPr>
        <w:ind w:left="5616" w:hanging="360"/>
      </w:pPr>
      <w:rPr>
        <w:rFonts w:ascii="Symbol" w:hAnsi="Symbol" w:hint="default"/>
      </w:rPr>
    </w:lvl>
    <w:lvl w:ilvl="7" w:tplc="0C090003" w:tentative="1">
      <w:start w:val="1"/>
      <w:numFmt w:val="bullet"/>
      <w:lvlText w:val="o"/>
      <w:lvlJc w:val="left"/>
      <w:pPr>
        <w:ind w:left="6336" w:hanging="360"/>
      </w:pPr>
      <w:rPr>
        <w:rFonts w:ascii="Courier New" w:hAnsi="Courier New" w:cs="Courier New" w:hint="default"/>
      </w:rPr>
    </w:lvl>
    <w:lvl w:ilvl="8" w:tplc="0C090005" w:tentative="1">
      <w:start w:val="1"/>
      <w:numFmt w:val="bullet"/>
      <w:lvlText w:val=""/>
      <w:lvlJc w:val="left"/>
      <w:pPr>
        <w:ind w:left="7056" w:hanging="360"/>
      </w:pPr>
      <w:rPr>
        <w:rFonts w:ascii="Wingdings" w:hAnsi="Wingdings" w:hint="default"/>
      </w:rPr>
    </w:lvl>
  </w:abstractNum>
  <w:abstractNum w:abstractNumId="6" w15:restartNumberingAfterBreak="0">
    <w:nsid w:val="59724048"/>
    <w:multiLevelType w:val="multilevel"/>
    <w:tmpl w:val="16FABB18"/>
    <w:lvl w:ilvl="0">
      <w:start w:val="1"/>
      <w:numFmt w:val="decimal"/>
      <w:pStyle w:val="Heading1Numbered"/>
      <w:lvlText w:val="%1"/>
      <w:lvlJc w:val="left"/>
      <w:pPr>
        <w:ind w:left="432" w:hanging="432"/>
      </w:pPr>
      <w:rPr>
        <w:rFonts w:hint="default"/>
      </w:rPr>
    </w:lvl>
    <w:lvl w:ilvl="1">
      <w:start w:val="1"/>
      <w:numFmt w:val="decimal"/>
      <w:pStyle w:val="Numbered"/>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79517581"/>
    <w:multiLevelType w:val="hybridMultilevel"/>
    <w:tmpl w:val="62D62B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7"/>
  </w:num>
  <w:num w:numId="5">
    <w:abstractNumId w:val="0"/>
  </w:num>
  <w:num w:numId="6">
    <w:abstractNumId w:val="3"/>
  </w:num>
  <w:num w:numId="7">
    <w:abstractNumId w:val="4"/>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992"/>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49A"/>
    <w:rsid w:val="00005983"/>
    <w:rsid w:val="00005C26"/>
    <w:rsid w:val="00007C8C"/>
    <w:rsid w:val="00014E52"/>
    <w:rsid w:val="00014F2C"/>
    <w:rsid w:val="000171EF"/>
    <w:rsid w:val="00026071"/>
    <w:rsid w:val="000319F4"/>
    <w:rsid w:val="00031D5F"/>
    <w:rsid w:val="00034AE6"/>
    <w:rsid w:val="00035413"/>
    <w:rsid w:val="000427AA"/>
    <w:rsid w:val="00050B03"/>
    <w:rsid w:val="00050B8A"/>
    <w:rsid w:val="00050BF8"/>
    <w:rsid w:val="00050EE9"/>
    <w:rsid w:val="00053A2E"/>
    <w:rsid w:val="00057C77"/>
    <w:rsid w:val="0006596C"/>
    <w:rsid w:val="00066093"/>
    <w:rsid w:val="00066A46"/>
    <w:rsid w:val="00067FA5"/>
    <w:rsid w:val="000706AC"/>
    <w:rsid w:val="00072BF5"/>
    <w:rsid w:val="0007307E"/>
    <w:rsid w:val="0007454B"/>
    <w:rsid w:val="00075ECD"/>
    <w:rsid w:val="000802AD"/>
    <w:rsid w:val="00083BE5"/>
    <w:rsid w:val="000841B0"/>
    <w:rsid w:val="00084687"/>
    <w:rsid w:val="000853D4"/>
    <w:rsid w:val="00086F87"/>
    <w:rsid w:val="00087791"/>
    <w:rsid w:val="00090773"/>
    <w:rsid w:val="00091E82"/>
    <w:rsid w:val="00094B2B"/>
    <w:rsid w:val="000A3913"/>
    <w:rsid w:val="000A4ABB"/>
    <w:rsid w:val="000B028C"/>
    <w:rsid w:val="000B1B6C"/>
    <w:rsid w:val="000B45FD"/>
    <w:rsid w:val="000B4F53"/>
    <w:rsid w:val="000B634A"/>
    <w:rsid w:val="000C2770"/>
    <w:rsid w:val="000C5A4C"/>
    <w:rsid w:val="000C68BF"/>
    <w:rsid w:val="000D0266"/>
    <w:rsid w:val="000D1F9C"/>
    <w:rsid w:val="000D4AB1"/>
    <w:rsid w:val="000D4ACB"/>
    <w:rsid w:val="000E1D9C"/>
    <w:rsid w:val="000E2235"/>
    <w:rsid w:val="000E2800"/>
    <w:rsid w:val="000F216E"/>
    <w:rsid w:val="000F454E"/>
    <w:rsid w:val="00105B94"/>
    <w:rsid w:val="00106679"/>
    <w:rsid w:val="00107BCD"/>
    <w:rsid w:val="00111982"/>
    <w:rsid w:val="001123B9"/>
    <w:rsid w:val="001146E3"/>
    <w:rsid w:val="00114896"/>
    <w:rsid w:val="00120452"/>
    <w:rsid w:val="00125046"/>
    <w:rsid w:val="00125E7F"/>
    <w:rsid w:val="0012645E"/>
    <w:rsid w:val="00131244"/>
    <w:rsid w:val="00135356"/>
    <w:rsid w:val="00135C30"/>
    <w:rsid w:val="001405EA"/>
    <w:rsid w:val="0014068F"/>
    <w:rsid w:val="00141DAC"/>
    <w:rsid w:val="001446F6"/>
    <w:rsid w:val="001459BF"/>
    <w:rsid w:val="001463DE"/>
    <w:rsid w:val="00146630"/>
    <w:rsid w:val="00150C14"/>
    <w:rsid w:val="00150DBB"/>
    <w:rsid w:val="00152192"/>
    <w:rsid w:val="00160502"/>
    <w:rsid w:val="001615C7"/>
    <w:rsid w:val="00165B10"/>
    <w:rsid w:val="00173049"/>
    <w:rsid w:val="00175A75"/>
    <w:rsid w:val="00175B23"/>
    <w:rsid w:val="00177475"/>
    <w:rsid w:val="00177B78"/>
    <w:rsid w:val="00181117"/>
    <w:rsid w:val="001833B4"/>
    <w:rsid w:val="0018415B"/>
    <w:rsid w:val="001917EB"/>
    <w:rsid w:val="00191E69"/>
    <w:rsid w:val="00193059"/>
    <w:rsid w:val="00193952"/>
    <w:rsid w:val="00196BD3"/>
    <w:rsid w:val="001970F5"/>
    <w:rsid w:val="001A0831"/>
    <w:rsid w:val="001A72C5"/>
    <w:rsid w:val="001B2460"/>
    <w:rsid w:val="001B255C"/>
    <w:rsid w:val="001B7F6F"/>
    <w:rsid w:val="001C0E85"/>
    <w:rsid w:val="001D3B29"/>
    <w:rsid w:val="001D4674"/>
    <w:rsid w:val="001E0CC8"/>
    <w:rsid w:val="001E25E1"/>
    <w:rsid w:val="001E3774"/>
    <w:rsid w:val="001E4E27"/>
    <w:rsid w:val="001E54C9"/>
    <w:rsid w:val="001E6C0C"/>
    <w:rsid w:val="001F471E"/>
    <w:rsid w:val="001F7595"/>
    <w:rsid w:val="001F7BAD"/>
    <w:rsid w:val="00203831"/>
    <w:rsid w:val="00206AF3"/>
    <w:rsid w:val="00207E1C"/>
    <w:rsid w:val="00212F61"/>
    <w:rsid w:val="00217FD7"/>
    <w:rsid w:val="002209C8"/>
    <w:rsid w:val="00220B05"/>
    <w:rsid w:val="002220B3"/>
    <w:rsid w:val="002225C5"/>
    <w:rsid w:val="002323A3"/>
    <w:rsid w:val="00236601"/>
    <w:rsid w:val="00237CDC"/>
    <w:rsid w:val="00247FB2"/>
    <w:rsid w:val="0025199A"/>
    <w:rsid w:val="002546D0"/>
    <w:rsid w:val="00257443"/>
    <w:rsid w:val="00263161"/>
    <w:rsid w:val="00264D47"/>
    <w:rsid w:val="00266788"/>
    <w:rsid w:val="00270C5B"/>
    <w:rsid w:val="00272FAB"/>
    <w:rsid w:val="00282BBF"/>
    <w:rsid w:val="00283226"/>
    <w:rsid w:val="00283254"/>
    <w:rsid w:val="00284651"/>
    <w:rsid w:val="00286947"/>
    <w:rsid w:val="00287374"/>
    <w:rsid w:val="0028752B"/>
    <w:rsid w:val="00292143"/>
    <w:rsid w:val="002940A2"/>
    <w:rsid w:val="00294202"/>
    <w:rsid w:val="0029701E"/>
    <w:rsid w:val="002A0E65"/>
    <w:rsid w:val="002A2B29"/>
    <w:rsid w:val="002A32E7"/>
    <w:rsid w:val="002A466E"/>
    <w:rsid w:val="002B0695"/>
    <w:rsid w:val="002B1984"/>
    <w:rsid w:val="002B19E1"/>
    <w:rsid w:val="002B2B70"/>
    <w:rsid w:val="002B73A2"/>
    <w:rsid w:val="002C2130"/>
    <w:rsid w:val="002C24B1"/>
    <w:rsid w:val="002C2CA7"/>
    <w:rsid w:val="002C2F57"/>
    <w:rsid w:val="002C3862"/>
    <w:rsid w:val="002C4F89"/>
    <w:rsid w:val="002D0B8A"/>
    <w:rsid w:val="002D322E"/>
    <w:rsid w:val="002D32D6"/>
    <w:rsid w:val="002D3764"/>
    <w:rsid w:val="002D579F"/>
    <w:rsid w:val="002D6557"/>
    <w:rsid w:val="002E35E9"/>
    <w:rsid w:val="002E564C"/>
    <w:rsid w:val="002E7B69"/>
    <w:rsid w:val="002F0CCB"/>
    <w:rsid w:val="002F2DB3"/>
    <w:rsid w:val="002F48E4"/>
    <w:rsid w:val="002F7907"/>
    <w:rsid w:val="0030606D"/>
    <w:rsid w:val="00306BA2"/>
    <w:rsid w:val="00307BF1"/>
    <w:rsid w:val="00307F8D"/>
    <w:rsid w:val="0031200C"/>
    <w:rsid w:val="00315385"/>
    <w:rsid w:val="00315675"/>
    <w:rsid w:val="00315FC2"/>
    <w:rsid w:val="003220B1"/>
    <w:rsid w:val="003245F2"/>
    <w:rsid w:val="0032633A"/>
    <w:rsid w:val="00331208"/>
    <w:rsid w:val="003316F3"/>
    <w:rsid w:val="00331878"/>
    <w:rsid w:val="003330BE"/>
    <w:rsid w:val="00334D30"/>
    <w:rsid w:val="00337A67"/>
    <w:rsid w:val="00342CAB"/>
    <w:rsid w:val="00346383"/>
    <w:rsid w:val="00347C2A"/>
    <w:rsid w:val="00351B54"/>
    <w:rsid w:val="00352D71"/>
    <w:rsid w:val="00354898"/>
    <w:rsid w:val="003564D1"/>
    <w:rsid w:val="0036597D"/>
    <w:rsid w:val="00365FDF"/>
    <w:rsid w:val="003700BC"/>
    <w:rsid w:val="00370D1B"/>
    <w:rsid w:val="003724FA"/>
    <w:rsid w:val="00372C51"/>
    <w:rsid w:val="00373CAB"/>
    <w:rsid w:val="00375ED2"/>
    <w:rsid w:val="00377D92"/>
    <w:rsid w:val="00383796"/>
    <w:rsid w:val="0038711E"/>
    <w:rsid w:val="0039053D"/>
    <w:rsid w:val="00392E08"/>
    <w:rsid w:val="003948B9"/>
    <w:rsid w:val="00395F6D"/>
    <w:rsid w:val="003A5A87"/>
    <w:rsid w:val="003B1BD7"/>
    <w:rsid w:val="003B313A"/>
    <w:rsid w:val="003B442C"/>
    <w:rsid w:val="003B4F5C"/>
    <w:rsid w:val="003B6E5E"/>
    <w:rsid w:val="003C3218"/>
    <w:rsid w:val="003C3859"/>
    <w:rsid w:val="003D5C43"/>
    <w:rsid w:val="003F33A3"/>
    <w:rsid w:val="003F4090"/>
    <w:rsid w:val="003F7D3A"/>
    <w:rsid w:val="00400CEB"/>
    <w:rsid w:val="00401C3E"/>
    <w:rsid w:val="00401E59"/>
    <w:rsid w:val="004055B5"/>
    <w:rsid w:val="00405F78"/>
    <w:rsid w:val="004106B3"/>
    <w:rsid w:val="004137CE"/>
    <w:rsid w:val="00415244"/>
    <w:rsid w:val="00415FFD"/>
    <w:rsid w:val="0042101E"/>
    <w:rsid w:val="004210F7"/>
    <w:rsid w:val="00423332"/>
    <w:rsid w:val="00426FD2"/>
    <w:rsid w:val="00433B52"/>
    <w:rsid w:val="00437797"/>
    <w:rsid w:val="004459DC"/>
    <w:rsid w:val="004520D1"/>
    <w:rsid w:val="00457D97"/>
    <w:rsid w:val="004652B3"/>
    <w:rsid w:val="004665B1"/>
    <w:rsid w:val="00470753"/>
    <w:rsid w:val="0047446E"/>
    <w:rsid w:val="00475FBD"/>
    <w:rsid w:val="00480D98"/>
    <w:rsid w:val="00481FD8"/>
    <w:rsid w:val="0048637D"/>
    <w:rsid w:val="00487398"/>
    <w:rsid w:val="00487F5F"/>
    <w:rsid w:val="00490430"/>
    <w:rsid w:val="0049264A"/>
    <w:rsid w:val="004936FB"/>
    <w:rsid w:val="00495415"/>
    <w:rsid w:val="00496282"/>
    <w:rsid w:val="00497483"/>
    <w:rsid w:val="004A0D39"/>
    <w:rsid w:val="004A2CF3"/>
    <w:rsid w:val="004A358D"/>
    <w:rsid w:val="004A4D79"/>
    <w:rsid w:val="004A62A0"/>
    <w:rsid w:val="004B068E"/>
    <w:rsid w:val="004B0C4E"/>
    <w:rsid w:val="004B12EE"/>
    <w:rsid w:val="004B3DC2"/>
    <w:rsid w:val="004B4B98"/>
    <w:rsid w:val="004B599A"/>
    <w:rsid w:val="004C1909"/>
    <w:rsid w:val="004C4F65"/>
    <w:rsid w:val="004C52D3"/>
    <w:rsid w:val="004D0185"/>
    <w:rsid w:val="004D055D"/>
    <w:rsid w:val="004D05B8"/>
    <w:rsid w:val="004D43CF"/>
    <w:rsid w:val="004D5EE2"/>
    <w:rsid w:val="004D77B3"/>
    <w:rsid w:val="004D7804"/>
    <w:rsid w:val="004E0049"/>
    <w:rsid w:val="004E42C7"/>
    <w:rsid w:val="004E6367"/>
    <w:rsid w:val="004F73C6"/>
    <w:rsid w:val="004F73F4"/>
    <w:rsid w:val="005016C9"/>
    <w:rsid w:val="005033AB"/>
    <w:rsid w:val="005127AB"/>
    <w:rsid w:val="00513540"/>
    <w:rsid w:val="00523664"/>
    <w:rsid w:val="00523CF1"/>
    <w:rsid w:val="00526D86"/>
    <w:rsid w:val="00527848"/>
    <w:rsid w:val="00527C8C"/>
    <w:rsid w:val="00533377"/>
    <w:rsid w:val="005373CC"/>
    <w:rsid w:val="00542BCC"/>
    <w:rsid w:val="00552ED1"/>
    <w:rsid w:val="00553AA8"/>
    <w:rsid w:val="00554B0F"/>
    <w:rsid w:val="0056002A"/>
    <w:rsid w:val="0056748A"/>
    <w:rsid w:val="0057222A"/>
    <w:rsid w:val="00580AF1"/>
    <w:rsid w:val="0058328D"/>
    <w:rsid w:val="00585E11"/>
    <w:rsid w:val="0059183C"/>
    <w:rsid w:val="005A1A70"/>
    <w:rsid w:val="005A2DD8"/>
    <w:rsid w:val="005A3418"/>
    <w:rsid w:val="005A3FCE"/>
    <w:rsid w:val="005A4851"/>
    <w:rsid w:val="005A5FC3"/>
    <w:rsid w:val="005A69E7"/>
    <w:rsid w:val="005A6AD2"/>
    <w:rsid w:val="005B3F45"/>
    <w:rsid w:val="005B7138"/>
    <w:rsid w:val="005C16F8"/>
    <w:rsid w:val="005C7673"/>
    <w:rsid w:val="005D00F7"/>
    <w:rsid w:val="005D1C21"/>
    <w:rsid w:val="005D3C51"/>
    <w:rsid w:val="005D47B9"/>
    <w:rsid w:val="005D56D5"/>
    <w:rsid w:val="005D72E6"/>
    <w:rsid w:val="005D7FEE"/>
    <w:rsid w:val="005E03B9"/>
    <w:rsid w:val="005E08D5"/>
    <w:rsid w:val="005E1829"/>
    <w:rsid w:val="005E444F"/>
    <w:rsid w:val="005E578A"/>
    <w:rsid w:val="005F062F"/>
    <w:rsid w:val="005F13DF"/>
    <w:rsid w:val="005F2AE7"/>
    <w:rsid w:val="005F438A"/>
    <w:rsid w:val="005F6FA9"/>
    <w:rsid w:val="00600D96"/>
    <w:rsid w:val="006110C1"/>
    <w:rsid w:val="00613286"/>
    <w:rsid w:val="00615D12"/>
    <w:rsid w:val="006171C6"/>
    <w:rsid w:val="00620DC8"/>
    <w:rsid w:val="00621735"/>
    <w:rsid w:val="0062388D"/>
    <w:rsid w:val="00623C6B"/>
    <w:rsid w:val="006267C3"/>
    <w:rsid w:val="0063162A"/>
    <w:rsid w:val="00632D14"/>
    <w:rsid w:val="00633044"/>
    <w:rsid w:val="0063308C"/>
    <w:rsid w:val="00633FF7"/>
    <w:rsid w:val="00634244"/>
    <w:rsid w:val="00635F73"/>
    <w:rsid w:val="006361A8"/>
    <w:rsid w:val="00636B72"/>
    <w:rsid w:val="00637285"/>
    <w:rsid w:val="00641DA6"/>
    <w:rsid w:val="006427FE"/>
    <w:rsid w:val="0064397B"/>
    <w:rsid w:val="00643AE3"/>
    <w:rsid w:val="00647091"/>
    <w:rsid w:val="0065042D"/>
    <w:rsid w:val="00654B4A"/>
    <w:rsid w:val="00655103"/>
    <w:rsid w:val="00657CB1"/>
    <w:rsid w:val="00663B6B"/>
    <w:rsid w:val="00664763"/>
    <w:rsid w:val="00665523"/>
    <w:rsid w:val="006666D0"/>
    <w:rsid w:val="00672D86"/>
    <w:rsid w:val="00672E9A"/>
    <w:rsid w:val="00675B85"/>
    <w:rsid w:val="00683D32"/>
    <w:rsid w:val="006848BC"/>
    <w:rsid w:val="00685547"/>
    <w:rsid w:val="00685BD2"/>
    <w:rsid w:val="006871CA"/>
    <w:rsid w:val="00690765"/>
    <w:rsid w:val="00690FCB"/>
    <w:rsid w:val="00696D03"/>
    <w:rsid w:val="006A0EDE"/>
    <w:rsid w:val="006A12E5"/>
    <w:rsid w:val="006A24A4"/>
    <w:rsid w:val="006B291B"/>
    <w:rsid w:val="006B72F4"/>
    <w:rsid w:val="006D1BC1"/>
    <w:rsid w:val="006D1D12"/>
    <w:rsid w:val="006D202C"/>
    <w:rsid w:val="006D5104"/>
    <w:rsid w:val="006E68EC"/>
    <w:rsid w:val="006E77B6"/>
    <w:rsid w:val="006F2FEF"/>
    <w:rsid w:val="006F3F36"/>
    <w:rsid w:val="006F4619"/>
    <w:rsid w:val="006F61A5"/>
    <w:rsid w:val="006F6A5C"/>
    <w:rsid w:val="006F77A5"/>
    <w:rsid w:val="007010B5"/>
    <w:rsid w:val="0070203B"/>
    <w:rsid w:val="00703380"/>
    <w:rsid w:val="007044B7"/>
    <w:rsid w:val="0070601D"/>
    <w:rsid w:val="00707B92"/>
    <w:rsid w:val="0071116E"/>
    <w:rsid w:val="00711AFB"/>
    <w:rsid w:val="00712490"/>
    <w:rsid w:val="00716DAB"/>
    <w:rsid w:val="00720224"/>
    <w:rsid w:val="00720D8A"/>
    <w:rsid w:val="00720DFC"/>
    <w:rsid w:val="00721534"/>
    <w:rsid w:val="00721731"/>
    <w:rsid w:val="007238AB"/>
    <w:rsid w:val="00727C4C"/>
    <w:rsid w:val="00733B0D"/>
    <w:rsid w:val="007355EA"/>
    <w:rsid w:val="00735DF1"/>
    <w:rsid w:val="00741722"/>
    <w:rsid w:val="00741AD3"/>
    <w:rsid w:val="00742CAD"/>
    <w:rsid w:val="00744633"/>
    <w:rsid w:val="007455E8"/>
    <w:rsid w:val="00750C7D"/>
    <w:rsid w:val="0075182F"/>
    <w:rsid w:val="0076421D"/>
    <w:rsid w:val="00764EE8"/>
    <w:rsid w:val="00767052"/>
    <w:rsid w:val="007715AB"/>
    <w:rsid w:val="00771A2E"/>
    <w:rsid w:val="00771DA7"/>
    <w:rsid w:val="00776366"/>
    <w:rsid w:val="00782856"/>
    <w:rsid w:val="00783F29"/>
    <w:rsid w:val="00785F1D"/>
    <w:rsid w:val="00786CC9"/>
    <w:rsid w:val="007906A8"/>
    <w:rsid w:val="00790C4F"/>
    <w:rsid w:val="00791C21"/>
    <w:rsid w:val="00792D4E"/>
    <w:rsid w:val="00794DFA"/>
    <w:rsid w:val="0079520A"/>
    <w:rsid w:val="00796B8F"/>
    <w:rsid w:val="0079735B"/>
    <w:rsid w:val="00797752"/>
    <w:rsid w:val="007977A7"/>
    <w:rsid w:val="007B1693"/>
    <w:rsid w:val="007B298F"/>
    <w:rsid w:val="007B4C32"/>
    <w:rsid w:val="007B6AFF"/>
    <w:rsid w:val="007B7B5A"/>
    <w:rsid w:val="007C1944"/>
    <w:rsid w:val="007C2B98"/>
    <w:rsid w:val="007C4BB5"/>
    <w:rsid w:val="007C4F31"/>
    <w:rsid w:val="007C667F"/>
    <w:rsid w:val="007D14E7"/>
    <w:rsid w:val="007D1915"/>
    <w:rsid w:val="007D570A"/>
    <w:rsid w:val="007E07CD"/>
    <w:rsid w:val="007E570C"/>
    <w:rsid w:val="007E5CA6"/>
    <w:rsid w:val="007E6020"/>
    <w:rsid w:val="007E7774"/>
    <w:rsid w:val="007F25B8"/>
    <w:rsid w:val="007F2D1D"/>
    <w:rsid w:val="007F3862"/>
    <w:rsid w:val="007F4552"/>
    <w:rsid w:val="007F486D"/>
    <w:rsid w:val="007F4973"/>
    <w:rsid w:val="007F5C95"/>
    <w:rsid w:val="007F6F1F"/>
    <w:rsid w:val="007F788C"/>
    <w:rsid w:val="008018CA"/>
    <w:rsid w:val="00807D88"/>
    <w:rsid w:val="00810254"/>
    <w:rsid w:val="00810E0F"/>
    <w:rsid w:val="0081315E"/>
    <w:rsid w:val="00814C4B"/>
    <w:rsid w:val="00816FA3"/>
    <w:rsid w:val="008179EA"/>
    <w:rsid w:val="00826EE0"/>
    <w:rsid w:val="00831580"/>
    <w:rsid w:val="00831665"/>
    <w:rsid w:val="00831DDA"/>
    <w:rsid w:val="00834BC4"/>
    <w:rsid w:val="00840142"/>
    <w:rsid w:val="00842583"/>
    <w:rsid w:val="00844898"/>
    <w:rsid w:val="00845E62"/>
    <w:rsid w:val="008479CF"/>
    <w:rsid w:val="00851822"/>
    <w:rsid w:val="00854A59"/>
    <w:rsid w:val="00856D9A"/>
    <w:rsid w:val="00860690"/>
    <w:rsid w:val="008631EF"/>
    <w:rsid w:val="00866DDA"/>
    <w:rsid w:val="0086723D"/>
    <w:rsid w:val="00870A4C"/>
    <w:rsid w:val="00872369"/>
    <w:rsid w:val="00875A2F"/>
    <w:rsid w:val="00880689"/>
    <w:rsid w:val="00885021"/>
    <w:rsid w:val="0088705B"/>
    <w:rsid w:val="00893FFA"/>
    <w:rsid w:val="00894253"/>
    <w:rsid w:val="00896433"/>
    <w:rsid w:val="0089673C"/>
    <w:rsid w:val="00896AE3"/>
    <w:rsid w:val="00896B8D"/>
    <w:rsid w:val="008A19D0"/>
    <w:rsid w:val="008A1C48"/>
    <w:rsid w:val="008A2083"/>
    <w:rsid w:val="008A365A"/>
    <w:rsid w:val="008B2CBA"/>
    <w:rsid w:val="008B2E75"/>
    <w:rsid w:val="008B5525"/>
    <w:rsid w:val="008C0CC7"/>
    <w:rsid w:val="008C2429"/>
    <w:rsid w:val="008C52BC"/>
    <w:rsid w:val="008C5716"/>
    <w:rsid w:val="008C5B57"/>
    <w:rsid w:val="008D0DB8"/>
    <w:rsid w:val="008D152C"/>
    <w:rsid w:val="008D384B"/>
    <w:rsid w:val="008D4CA6"/>
    <w:rsid w:val="008D503F"/>
    <w:rsid w:val="008D512A"/>
    <w:rsid w:val="008E0C9A"/>
    <w:rsid w:val="008E23B0"/>
    <w:rsid w:val="008E470B"/>
    <w:rsid w:val="008E7900"/>
    <w:rsid w:val="008F0875"/>
    <w:rsid w:val="008F2266"/>
    <w:rsid w:val="008F42B4"/>
    <w:rsid w:val="008F608B"/>
    <w:rsid w:val="008F761C"/>
    <w:rsid w:val="008F7BBD"/>
    <w:rsid w:val="00900627"/>
    <w:rsid w:val="00903B30"/>
    <w:rsid w:val="0090480F"/>
    <w:rsid w:val="009051A3"/>
    <w:rsid w:val="00910B32"/>
    <w:rsid w:val="0091246C"/>
    <w:rsid w:val="00914BC1"/>
    <w:rsid w:val="00915C56"/>
    <w:rsid w:val="00925344"/>
    <w:rsid w:val="009253CB"/>
    <w:rsid w:val="00926C73"/>
    <w:rsid w:val="00934533"/>
    <w:rsid w:val="00934E7C"/>
    <w:rsid w:val="00944548"/>
    <w:rsid w:val="0094526B"/>
    <w:rsid w:val="0094576D"/>
    <w:rsid w:val="00946381"/>
    <w:rsid w:val="009503C4"/>
    <w:rsid w:val="00951DEC"/>
    <w:rsid w:val="00952035"/>
    <w:rsid w:val="00957F3A"/>
    <w:rsid w:val="00960344"/>
    <w:rsid w:val="009603FA"/>
    <w:rsid w:val="00962272"/>
    <w:rsid w:val="00962ED1"/>
    <w:rsid w:val="00963820"/>
    <w:rsid w:val="00964755"/>
    <w:rsid w:val="00971658"/>
    <w:rsid w:val="00973F7B"/>
    <w:rsid w:val="0097436A"/>
    <w:rsid w:val="0097443C"/>
    <w:rsid w:val="00980B55"/>
    <w:rsid w:val="00980D06"/>
    <w:rsid w:val="00981F27"/>
    <w:rsid w:val="0098349A"/>
    <w:rsid w:val="00983D8C"/>
    <w:rsid w:val="0098431B"/>
    <w:rsid w:val="0098686A"/>
    <w:rsid w:val="00987F92"/>
    <w:rsid w:val="00992587"/>
    <w:rsid w:val="009939F2"/>
    <w:rsid w:val="00993C9B"/>
    <w:rsid w:val="009967EC"/>
    <w:rsid w:val="0099739A"/>
    <w:rsid w:val="009A0D71"/>
    <w:rsid w:val="009A0E17"/>
    <w:rsid w:val="009A49FB"/>
    <w:rsid w:val="009B167C"/>
    <w:rsid w:val="009B171E"/>
    <w:rsid w:val="009B1AE1"/>
    <w:rsid w:val="009B438E"/>
    <w:rsid w:val="009B5DA7"/>
    <w:rsid w:val="009C07C4"/>
    <w:rsid w:val="009C21E2"/>
    <w:rsid w:val="009C2A37"/>
    <w:rsid w:val="009C2C77"/>
    <w:rsid w:val="009C32E2"/>
    <w:rsid w:val="009C630D"/>
    <w:rsid w:val="009C6CA9"/>
    <w:rsid w:val="009D0FD7"/>
    <w:rsid w:val="009D1FE4"/>
    <w:rsid w:val="009E504A"/>
    <w:rsid w:val="009E5334"/>
    <w:rsid w:val="009E6778"/>
    <w:rsid w:val="009F05B7"/>
    <w:rsid w:val="009F12CA"/>
    <w:rsid w:val="009F489E"/>
    <w:rsid w:val="009F64B8"/>
    <w:rsid w:val="00A022F7"/>
    <w:rsid w:val="00A03A42"/>
    <w:rsid w:val="00A03AF9"/>
    <w:rsid w:val="00A042E9"/>
    <w:rsid w:val="00A051EB"/>
    <w:rsid w:val="00A06F72"/>
    <w:rsid w:val="00A16780"/>
    <w:rsid w:val="00A27F38"/>
    <w:rsid w:val="00A43237"/>
    <w:rsid w:val="00A46CFB"/>
    <w:rsid w:val="00A5049B"/>
    <w:rsid w:val="00A51A6D"/>
    <w:rsid w:val="00A52977"/>
    <w:rsid w:val="00A53215"/>
    <w:rsid w:val="00A55A15"/>
    <w:rsid w:val="00A55C00"/>
    <w:rsid w:val="00A55E95"/>
    <w:rsid w:val="00A562D5"/>
    <w:rsid w:val="00A607D3"/>
    <w:rsid w:val="00A615CD"/>
    <w:rsid w:val="00A63AA7"/>
    <w:rsid w:val="00A64327"/>
    <w:rsid w:val="00A679FC"/>
    <w:rsid w:val="00A67FE8"/>
    <w:rsid w:val="00A73E41"/>
    <w:rsid w:val="00A813A8"/>
    <w:rsid w:val="00A82835"/>
    <w:rsid w:val="00A83355"/>
    <w:rsid w:val="00A83BE4"/>
    <w:rsid w:val="00A8473C"/>
    <w:rsid w:val="00A901DA"/>
    <w:rsid w:val="00A92113"/>
    <w:rsid w:val="00A94AEB"/>
    <w:rsid w:val="00A96DDD"/>
    <w:rsid w:val="00AA4752"/>
    <w:rsid w:val="00AA4AB9"/>
    <w:rsid w:val="00AA507D"/>
    <w:rsid w:val="00AB01E6"/>
    <w:rsid w:val="00AB44EA"/>
    <w:rsid w:val="00AC09D3"/>
    <w:rsid w:val="00AC411F"/>
    <w:rsid w:val="00AC54F2"/>
    <w:rsid w:val="00AC562F"/>
    <w:rsid w:val="00AC6BA7"/>
    <w:rsid w:val="00AD21D4"/>
    <w:rsid w:val="00AE0DB0"/>
    <w:rsid w:val="00AE163C"/>
    <w:rsid w:val="00AE239B"/>
    <w:rsid w:val="00AE29F6"/>
    <w:rsid w:val="00AE3961"/>
    <w:rsid w:val="00AE45CF"/>
    <w:rsid w:val="00AE4821"/>
    <w:rsid w:val="00AE6277"/>
    <w:rsid w:val="00AE62CA"/>
    <w:rsid w:val="00AE709F"/>
    <w:rsid w:val="00AE75F2"/>
    <w:rsid w:val="00AF0E38"/>
    <w:rsid w:val="00AF1625"/>
    <w:rsid w:val="00AF3D37"/>
    <w:rsid w:val="00B01E33"/>
    <w:rsid w:val="00B052EE"/>
    <w:rsid w:val="00B060F0"/>
    <w:rsid w:val="00B07B3F"/>
    <w:rsid w:val="00B125D2"/>
    <w:rsid w:val="00B17325"/>
    <w:rsid w:val="00B263DE"/>
    <w:rsid w:val="00B27213"/>
    <w:rsid w:val="00B31474"/>
    <w:rsid w:val="00B32A86"/>
    <w:rsid w:val="00B33911"/>
    <w:rsid w:val="00B411B4"/>
    <w:rsid w:val="00B42032"/>
    <w:rsid w:val="00B453F8"/>
    <w:rsid w:val="00B45EF1"/>
    <w:rsid w:val="00B46C7E"/>
    <w:rsid w:val="00B535F9"/>
    <w:rsid w:val="00B5475A"/>
    <w:rsid w:val="00B54A0D"/>
    <w:rsid w:val="00B57D3D"/>
    <w:rsid w:val="00B6312C"/>
    <w:rsid w:val="00B6486F"/>
    <w:rsid w:val="00B64EB6"/>
    <w:rsid w:val="00B65462"/>
    <w:rsid w:val="00B816DB"/>
    <w:rsid w:val="00B81D74"/>
    <w:rsid w:val="00B83458"/>
    <w:rsid w:val="00B83836"/>
    <w:rsid w:val="00B84113"/>
    <w:rsid w:val="00B85A6F"/>
    <w:rsid w:val="00B86FA5"/>
    <w:rsid w:val="00B916C0"/>
    <w:rsid w:val="00B96A98"/>
    <w:rsid w:val="00BA1D48"/>
    <w:rsid w:val="00BA2CFA"/>
    <w:rsid w:val="00BA67A0"/>
    <w:rsid w:val="00BA78E0"/>
    <w:rsid w:val="00BB2009"/>
    <w:rsid w:val="00BB426A"/>
    <w:rsid w:val="00BB74B5"/>
    <w:rsid w:val="00BC2F03"/>
    <w:rsid w:val="00BC75DB"/>
    <w:rsid w:val="00BD5932"/>
    <w:rsid w:val="00BD6763"/>
    <w:rsid w:val="00BD6F15"/>
    <w:rsid w:val="00BD77D4"/>
    <w:rsid w:val="00BE7636"/>
    <w:rsid w:val="00BF1330"/>
    <w:rsid w:val="00BF40A7"/>
    <w:rsid w:val="00BF776D"/>
    <w:rsid w:val="00BF7C3B"/>
    <w:rsid w:val="00C0128D"/>
    <w:rsid w:val="00C02165"/>
    <w:rsid w:val="00C027AD"/>
    <w:rsid w:val="00C03334"/>
    <w:rsid w:val="00C045F1"/>
    <w:rsid w:val="00C05CC1"/>
    <w:rsid w:val="00C0646D"/>
    <w:rsid w:val="00C107C1"/>
    <w:rsid w:val="00C14D08"/>
    <w:rsid w:val="00C1793F"/>
    <w:rsid w:val="00C21DDF"/>
    <w:rsid w:val="00C22333"/>
    <w:rsid w:val="00C2337E"/>
    <w:rsid w:val="00C23F14"/>
    <w:rsid w:val="00C26E23"/>
    <w:rsid w:val="00C279BA"/>
    <w:rsid w:val="00C30CC5"/>
    <w:rsid w:val="00C33A79"/>
    <w:rsid w:val="00C41513"/>
    <w:rsid w:val="00C4698B"/>
    <w:rsid w:val="00C54DC6"/>
    <w:rsid w:val="00C63F33"/>
    <w:rsid w:val="00C643FA"/>
    <w:rsid w:val="00C718DD"/>
    <w:rsid w:val="00C71FD8"/>
    <w:rsid w:val="00C7257B"/>
    <w:rsid w:val="00C74393"/>
    <w:rsid w:val="00C75B09"/>
    <w:rsid w:val="00C75F41"/>
    <w:rsid w:val="00C821A8"/>
    <w:rsid w:val="00C83123"/>
    <w:rsid w:val="00C8645E"/>
    <w:rsid w:val="00C90739"/>
    <w:rsid w:val="00C9259E"/>
    <w:rsid w:val="00C9506C"/>
    <w:rsid w:val="00C9725F"/>
    <w:rsid w:val="00CA128D"/>
    <w:rsid w:val="00CA202C"/>
    <w:rsid w:val="00CA24A7"/>
    <w:rsid w:val="00CA4604"/>
    <w:rsid w:val="00CA4B44"/>
    <w:rsid w:val="00CA741A"/>
    <w:rsid w:val="00CB1778"/>
    <w:rsid w:val="00CB30E6"/>
    <w:rsid w:val="00CB3DE5"/>
    <w:rsid w:val="00CC349F"/>
    <w:rsid w:val="00CC48DF"/>
    <w:rsid w:val="00CD484B"/>
    <w:rsid w:val="00CD7B7B"/>
    <w:rsid w:val="00CE02E1"/>
    <w:rsid w:val="00CE1A93"/>
    <w:rsid w:val="00CE2625"/>
    <w:rsid w:val="00CE2DDE"/>
    <w:rsid w:val="00CE666D"/>
    <w:rsid w:val="00CE750F"/>
    <w:rsid w:val="00CF0E8D"/>
    <w:rsid w:val="00CF2128"/>
    <w:rsid w:val="00CF2B14"/>
    <w:rsid w:val="00CF2BE9"/>
    <w:rsid w:val="00D0164B"/>
    <w:rsid w:val="00D01F24"/>
    <w:rsid w:val="00D02489"/>
    <w:rsid w:val="00D044F2"/>
    <w:rsid w:val="00D055AC"/>
    <w:rsid w:val="00D05B7A"/>
    <w:rsid w:val="00D10620"/>
    <w:rsid w:val="00D17112"/>
    <w:rsid w:val="00D17D3A"/>
    <w:rsid w:val="00D20ED6"/>
    <w:rsid w:val="00D22FF4"/>
    <w:rsid w:val="00D267FD"/>
    <w:rsid w:val="00D26E0F"/>
    <w:rsid w:val="00D27704"/>
    <w:rsid w:val="00D307AF"/>
    <w:rsid w:val="00D31660"/>
    <w:rsid w:val="00D31FD8"/>
    <w:rsid w:val="00D3245A"/>
    <w:rsid w:val="00D347C8"/>
    <w:rsid w:val="00D36673"/>
    <w:rsid w:val="00D435FE"/>
    <w:rsid w:val="00D446E8"/>
    <w:rsid w:val="00D44EDE"/>
    <w:rsid w:val="00D468C0"/>
    <w:rsid w:val="00D53537"/>
    <w:rsid w:val="00D5582E"/>
    <w:rsid w:val="00D603F8"/>
    <w:rsid w:val="00D60F99"/>
    <w:rsid w:val="00D614A0"/>
    <w:rsid w:val="00D61A83"/>
    <w:rsid w:val="00D6349A"/>
    <w:rsid w:val="00D64E5E"/>
    <w:rsid w:val="00D72302"/>
    <w:rsid w:val="00D7328F"/>
    <w:rsid w:val="00D75BAA"/>
    <w:rsid w:val="00D8020D"/>
    <w:rsid w:val="00D8626C"/>
    <w:rsid w:val="00D9381D"/>
    <w:rsid w:val="00D93830"/>
    <w:rsid w:val="00D95E1D"/>
    <w:rsid w:val="00DA0C0B"/>
    <w:rsid w:val="00DA2423"/>
    <w:rsid w:val="00DB30FB"/>
    <w:rsid w:val="00DB3F3E"/>
    <w:rsid w:val="00DB57AC"/>
    <w:rsid w:val="00DB7446"/>
    <w:rsid w:val="00DC0AE0"/>
    <w:rsid w:val="00DC4EB8"/>
    <w:rsid w:val="00DE0768"/>
    <w:rsid w:val="00DF104E"/>
    <w:rsid w:val="00DF2480"/>
    <w:rsid w:val="00DF49DB"/>
    <w:rsid w:val="00DF5A63"/>
    <w:rsid w:val="00DF5EED"/>
    <w:rsid w:val="00E032FC"/>
    <w:rsid w:val="00E074D3"/>
    <w:rsid w:val="00E079F4"/>
    <w:rsid w:val="00E07D69"/>
    <w:rsid w:val="00E16870"/>
    <w:rsid w:val="00E3033C"/>
    <w:rsid w:val="00E30677"/>
    <w:rsid w:val="00E331BF"/>
    <w:rsid w:val="00E341AD"/>
    <w:rsid w:val="00E3517D"/>
    <w:rsid w:val="00E364D1"/>
    <w:rsid w:val="00E3672A"/>
    <w:rsid w:val="00E36735"/>
    <w:rsid w:val="00E4049C"/>
    <w:rsid w:val="00E442FB"/>
    <w:rsid w:val="00E458E1"/>
    <w:rsid w:val="00E52CBB"/>
    <w:rsid w:val="00E536D1"/>
    <w:rsid w:val="00E53ABC"/>
    <w:rsid w:val="00E54D22"/>
    <w:rsid w:val="00E556D9"/>
    <w:rsid w:val="00E55EDC"/>
    <w:rsid w:val="00E562BF"/>
    <w:rsid w:val="00E64525"/>
    <w:rsid w:val="00E64819"/>
    <w:rsid w:val="00E66128"/>
    <w:rsid w:val="00E705AE"/>
    <w:rsid w:val="00E712DD"/>
    <w:rsid w:val="00E715F0"/>
    <w:rsid w:val="00E736B3"/>
    <w:rsid w:val="00E73E8F"/>
    <w:rsid w:val="00E742E5"/>
    <w:rsid w:val="00E760E7"/>
    <w:rsid w:val="00E848FE"/>
    <w:rsid w:val="00E90DBD"/>
    <w:rsid w:val="00E90F0A"/>
    <w:rsid w:val="00E936D4"/>
    <w:rsid w:val="00E9593E"/>
    <w:rsid w:val="00E96286"/>
    <w:rsid w:val="00EA2313"/>
    <w:rsid w:val="00EA4146"/>
    <w:rsid w:val="00EA50A3"/>
    <w:rsid w:val="00EA5225"/>
    <w:rsid w:val="00EA52C4"/>
    <w:rsid w:val="00EA7259"/>
    <w:rsid w:val="00EB06EB"/>
    <w:rsid w:val="00EB239C"/>
    <w:rsid w:val="00EC1E20"/>
    <w:rsid w:val="00EC6912"/>
    <w:rsid w:val="00ED1891"/>
    <w:rsid w:val="00ED27C5"/>
    <w:rsid w:val="00ED7DF3"/>
    <w:rsid w:val="00EE0A98"/>
    <w:rsid w:val="00EE2658"/>
    <w:rsid w:val="00EE6FFE"/>
    <w:rsid w:val="00EF2BB6"/>
    <w:rsid w:val="00EF40CA"/>
    <w:rsid w:val="00EF6DA6"/>
    <w:rsid w:val="00EF7419"/>
    <w:rsid w:val="00EF7CE8"/>
    <w:rsid w:val="00F00867"/>
    <w:rsid w:val="00F12314"/>
    <w:rsid w:val="00F12469"/>
    <w:rsid w:val="00F15302"/>
    <w:rsid w:val="00F15385"/>
    <w:rsid w:val="00F22BF4"/>
    <w:rsid w:val="00F237E6"/>
    <w:rsid w:val="00F24F16"/>
    <w:rsid w:val="00F27342"/>
    <w:rsid w:val="00F349F2"/>
    <w:rsid w:val="00F37A8D"/>
    <w:rsid w:val="00F401BE"/>
    <w:rsid w:val="00F42F27"/>
    <w:rsid w:val="00F4395F"/>
    <w:rsid w:val="00F54D6A"/>
    <w:rsid w:val="00F56885"/>
    <w:rsid w:val="00F56893"/>
    <w:rsid w:val="00F56A1A"/>
    <w:rsid w:val="00F62D45"/>
    <w:rsid w:val="00F67BC8"/>
    <w:rsid w:val="00F71B9C"/>
    <w:rsid w:val="00F72229"/>
    <w:rsid w:val="00F733BF"/>
    <w:rsid w:val="00F74DDF"/>
    <w:rsid w:val="00F77CB3"/>
    <w:rsid w:val="00F80959"/>
    <w:rsid w:val="00F874E4"/>
    <w:rsid w:val="00F87B10"/>
    <w:rsid w:val="00F91EE7"/>
    <w:rsid w:val="00F91FF2"/>
    <w:rsid w:val="00F93D7F"/>
    <w:rsid w:val="00F9594C"/>
    <w:rsid w:val="00F962AE"/>
    <w:rsid w:val="00FA491F"/>
    <w:rsid w:val="00FA702B"/>
    <w:rsid w:val="00FA7A0D"/>
    <w:rsid w:val="00FB500B"/>
    <w:rsid w:val="00FC1272"/>
    <w:rsid w:val="00FC15FB"/>
    <w:rsid w:val="00FC23CF"/>
    <w:rsid w:val="00FD0F1C"/>
    <w:rsid w:val="00FD75DA"/>
    <w:rsid w:val="00FE0D28"/>
    <w:rsid w:val="00FE132B"/>
    <w:rsid w:val="00FE3F4F"/>
    <w:rsid w:val="00FE74B5"/>
    <w:rsid w:val="00FF6596"/>
    <w:rsid w:val="00FF76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174455"/>
  <w14:defaultImageDpi w14:val="96"/>
  <w15:docId w15:val="{7C68DAC2-1497-49F5-A55C-41A28EAD6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imes New Roman" w:hAnsi="Verdana" w:cs="Times New Roman"/>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03B"/>
    <w:pPr>
      <w:suppressAutoHyphens/>
      <w:spacing w:before="160" w:after="160" w:line="360" w:lineRule="auto"/>
    </w:pPr>
  </w:style>
  <w:style w:type="paragraph" w:styleId="Heading1">
    <w:name w:val="heading 1"/>
    <w:basedOn w:val="Normal"/>
    <w:next w:val="Normal"/>
    <w:link w:val="Heading1Char"/>
    <w:uiPriority w:val="99"/>
    <w:qFormat/>
    <w:rsid w:val="00D468C0"/>
    <w:pPr>
      <w:keepNext/>
      <w:spacing w:before="240" w:after="60" w:line="240" w:lineRule="auto"/>
      <w:outlineLvl w:val="0"/>
    </w:pPr>
    <w:rPr>
      <w:b/>
      <w:bCs/>
      <w:kern w:val="32"/>
      <w:sz w:val="36"/>
      <w:szCs w:val="32"/>
    </w:rPr>
  </w:style>
  <w:style w:type="paragraph" w:styleId="Heading2">
    <w:name w:val="heading 2"/>
    <w:basedOn w:val="Normal"/>
    <w:next w:val="Normal"/>
    <w:link w:val="Heading2Char"/>
    <w:uiPriority w:val="99"/>
    <w:unhideWhenUsed/>
    <w:qFormat/>
    <w:rsid w:val="00173049"/>
    <w:pPr>
      <w:keepNext/>
      <w:spacing w:before="240" w:after="120" w:line="240" w:lineRule="auto"/>
      <w:outlineLvl w:val="1"/>
    </w:pPr>
    <w:rPr>
      <w:b/>
      <w:bCs/>
      <w:iCs/>
      <w:sz w:val="32"/>
      <w:szCs w:val="28"/>
    </w:rPr>
  </w:style>
  <w:style w:type="paragraph" w:styleId="Heading3">
    <w:name w:val="heading 3"/>
    <w:basedOn w:val="Normal"/>
    <w:next w:val="Normal"/>
    <w:link w:val="Heading3Char"/>
    <w:uiPriority w:val="9"/>
    <w:unhideWhenUsed/>
    <w:qFormat/>
    <w:rsid w:val="00C0128D"/>
    <w:pPr>
      <w:keepNext/>
      <w:spacing w:before="240" w:after="60" w:line="240" w:lineRule="auto"/>
      <w:outlineLvl w:val="2"/>
    </w:pPr>
    <w:rPr>
      <w:b/>
      <w:bCs/>
      <w:sz w:val="26"/>
      <w:szCs w:val="26"/>
    </w:rPr>
  </w:style>
  <w:style w:type="paragraph" w:styleId="Heading4">
    <w:name w:val="heading 4"/>
    <w:basedOn w:val="Normal"/>
    <w:next w:val="Normal"/>
    <w:link w:val="Heading4Char"/>
    <w:uiPriority w:val="9"/>
    <w:unhideWhenUsed/>
    <w:qFormat/>
    <w:rsid w:val="008A1C48"/>
    <w:pPr>
      <w:keepNext/>
      <w:spacing w:before="240" w:after="60"/>
      <w:outlineLvl w:val="3"/>
    </w:pPr>
    <w:rPr>
      <w:b/>
      <w:bCs/>
      <w:i/>
      <w:szCs w:val="28"/>
    </w:rPr>
  </w:style>
  <w:style w:type="paragraph" w:styleId="Heading5">
    <w:name w:val="heading 5"/>
    <w:basedOn w:val="Normal"/>
    <w:next w:val="Normal"/>
    <w:link w:val="Heading5Char"/>
    <w:uiPriority w:val="9"/>
    <w:semiHidden/>
    <w:unhideWhenUsed/>
    <w:qFormat/>
    <w:rsid w:val="00703380"/>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703380"/>
    <w:pPr>
      <w:numPr>
        <w:ilvl w:val="5"/>
        <w:numId w:val="1"/>
      </w:numPr>
      <w:spacing w:before="240" w:after="60"/>
      <w:outlineLvl w:val="5"/>
    </w:pPr>
    <w:rPr>
      <w:rFonts w:ascii="Calibri" w:hAnsi="Calibri"/>
      <w:b/>
      <w:bCs/>
    </w:rPr>
  </w:style>
  <w:style w:type="paragraph" w:styleId="Heading7">
    <w:name w:val="heading 7"/>
    <w:basedOn w:val="Normal"/>
    <w:next w:val="Normal"/>
    <w:link w:val="Heading7Char"/>
    <w:uiPriority w:val="9"/>
    <w:semiHidden/>
    <w:unhideWhenUsed/>
    <w:qFormat/>
    <w:rsid w:val="00703380"/>
    <w:pPr>
      <w:numPr>
        <w:ilvl w:val="6"/>
        <w:numId w:val="1"/>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703380"/>
    <w:pPr>
      <w:numPr>
        <w:ilvl w:val="7"/>
        <w:numId w:val="1"/>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703380"/>
    <w:pPr>
      <w:numPr>
        <w:ilvl w:val="8"/>
        <w:numId w:val="1"/>
      </w:numPr>
      <w:spacing w:before="240" w:after="60"/>
      <w:outlineLvl w:val="8"/>
    </w:pPr>
    <w:rPr>
      <w:rFonts w:ascii="Calibri Light"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Helvetica Regular" w:hAnsi="Helvetica Regular" w:cs="Helvetica Regular"/>
      <w:color w:val="000000"/>
      <w:lang w:val="en-GB"/>
    </w:rPr>
  </w:style>
  <w:style w:type="paragraph" w:customStyle="1" w:styleId="SectionTitleTitlePage">
    <w:name w:val="Section Title (Title Page)"/>
    <w:basedOn w:val="NoParagraphStyle"/>
    <w:uiPriority w:val="99"/>
    <w:pPr>
      <w:pageBreakBefore/>
      <w:suppressAutoHyphens/>
      <w:spacing w:after="520" w:line="680" w:lineRule="atLeast"/>
    </w:pPr>
    <w:rPr>
      <w:rFonts w:ascii="ITC Franklin Gothic Book" w:hAnsi="ITC Franklin Gothic Book" w:cs="ITC Franklin Gothic Book"/>
      <w:color w:val="246754"/>
      <w:sz w:val="60"/>
      <w:szCs w:val="60"/>
      <w:lang w:val="en-US"/>
    </w:rPr>
  </w:style>
  <w:style w:type="paragraph" w:customStyle="1" w:styleId="AnchorGeneralStyles">
    <w:name w:val="Anchor (General Styles)"/>
    <w:basedOn w:val="NoParagraphStyle"/>
    <w:uiPriority w:val="99"/>
    <w:pPr>
      <w:suppressAutoHyphens/>
      <w:spacing w:line="130" w:lineRule="atLeast"/>
    </w:pPr>
    <w:rPr>
      <w:rFonts w:ascii="Gill Sans Std" w:hAnsi="Gill Sans Std" w:cs="Gill Sans Std"/>
      <w:sz w:val="13"/>
      <w:szCs w:val="13"/>
    </w:rPr>
  </w:style>
  <w:style w:type="paragraph" w:customStyle="1" w:styleId="BodynumberedGeneralStyles">
    <w:name w:val="Body numbered (General Styles)"/>
    <w:basedOn w:val="NoParagraphStyle"/>
    <w:uiPriority w:val="99"/>
    <w:pPr>
      <w:tabs>
        <w:tab w:val="left" w:pos="907"/>
      </w:tabs>
      <w:suppressAutoHyphens/>
      <w:spacing w:after="113" w:line="260" w:lineRule="atLeast"/>
      <w:ind w:left="737" w:hanging="737"/>
    </w:pPr>
    <w:rPr>
      <w:rFonts w:ascii="Gill Sans Std Light" w:hAnsi="Gill Sans Std Light" w:cs="Gill Sans Std Light"/>
      <w:sz w:val="21"/>
      <w:szCs w:val="21"/>
      <w:lang w:val="en-US"/>
    </w:rPr>
  </w:style>
  <w:style w:type="paragraph" w:customStyle="1" w:styleId="Body11Pre-bulletBodyParas">
    <w:name w:val="Body 1.1 Pre-bullet (Body Paras)"/>
    <w:basedOn w:val="BodynumberedGeneralStyles"/>
    <w:uiPriority w:val="99"/>
    <w:pPr>
      <w:spacing w:after="57" w:line="270" w:lineRule="atLeast"/>
      <w:ind w:left="454" w:hanging="454"/>
    </w:pPr>
  </w:style>
  <w:style w:type="paragraph" w:customStyle="1" w:styleId="BodyGeneralStyles">
    <w:name w:val="Body (General Styles)"/>
    <w:basedOn w:val="NoParagraphStyle"/>
    <w:uiPriority w:val="99"/>
    <w:pPr>
      <w:suppressAutoHyphens/>
      <w:spacing w:after="135" w:line="270" w:lineRule="atLeast"/>
    </w:pPr>
    <w:rPr>
      <w:rFonts w:ascii="Gill Sans Std Light" w:hAnsi="Gill Sans Std Light" w:cs="Gill Sans Std Light"/>
      <w:sz w:val="21"/>
      <w:szCs w:val="21"/>
      <w:lang w:val="en-US"/>
    </w:rPr>
  </w:style>
  <w:style w:type="paragraph" w:customStyle="1" w:styleId="BulletindentGeneralStyles">
    <w:name w:val="Bullet indent (General Styles)"/>
    <w:basedOn w:val="BodyGeneralStyles"/>
    <w:uiPriority w:val="99"/>
    <w:pPr>
      <w:tabs>
        <w:tab w:val="left" w:pos="907"/>
      </w:tabs>
      <w:spacing w:after="57"/>
      <w:ind w:left="850" w:hanging="227"/>
    </w:pPr>
  </w:style>
  <w:style w:type="paragraph" w:customStyle="1" w:styleId="BulletindentlastGeneralStyles">
    <w:name w:val="Bullet indent last (General Styles)"/>
    <w:basedOn w:val="BulletindentGeneralStyles"/>
    <w:uiPriority w:val="99"/>
    <w:pPr>
      <w:spacing w:after="135"/>
    </w:pPr>
  </w:style>
  <w:style w:type="paragraph" w:customStyle="1" w:styleId="Body11BodyParas">
    <w:name w:val="Body 1.1 (Body Paras)"/>
    <w:basedOn w:val="BodynumberedGeneralStyles"/>
    <w:uiPriority w:val="99"/>
    <w:pPr>
      <w:spacing w:after="130" w:line="270" w:lineRule="atLeast"/>
      <w:ind w:left="510" w:hanging="510"/>
    </w:pPr>
  </w:style>
  <w:style w:type="paragraph" w:customStyle="1" w:styleId="Heading1GeneralStyles">
    <w:name w:val="Heading 1 (General Styles)"/>
    <w:basedOn w:val="NoParagraphStyle"/>
    <w:uiPriority w:val="99"/>
    <w:pPr>
      <w:suppressAutoHyphens/>
      <w:spacing w:before="270" w:after="135" w:line="400" w:lineRule="atLeast"/>
    </w:pPr>
    <w:rPr>
      <w:rFonts w:ascii="ITC Franklin Gothic Book" w:hAnsi="ITC Franklin Gothic Book" w:cs="ITC Franklin Gothic Book"/>
      <w:color w:val="55565A"/>
      <w:sz w:val="36"/>
      <w:szCs w:val="36"/>
      <w:lang w:val="en-US"/>
    </w:rPr>
  </w:style>
  <w:style w:type="paragraph" w:customStyle="1" w:styleId="Body21Pre-bulletBodyParas">
    <w:name w:val="Body 2.1 Pre-bullet (Body Paras)"/>
    <w:basedOn w:val="Body11BodyParas"/>
    <w:uiPriority w:val="99"/>
    <w:pPr>
      <w:spacing w:after="57"/>
    </w:pPr>
  </w:style>
  <w:style w:type="paragraph" w:customStyle="1" w:styleId="Body21BodyParas">
    <w:name w:val="Body 2.1 (Body Paras)"/>
    <w:basedOn w:val="Body11BodyParas"/>
    <w:uiPriority w:val="99"/>
  </w:style>
  <w:style w:type="paragraph" w:customStyle="1" w:styleId="Heading2GeneralStyles">
    <w:name w:val="Heading 2 (General Styles)"/>
    <w:basedOn w:val="NoParagraphStyle"/>
    <w:uiPriority w:val="99"/>
    <w:pPr>
      <w:suppressAutoHyphens/>
      <w:spacing w:before="260" w:after="130" w:line="320" w:lineRule="atLeast"/>
    </w:pPr>
    <w:rPr>
      <w:rFonts w:ascii="ITC Franklin Gothic Book" w:hAnsi="ITC Franklin Gothic Book" w:cs="ITC Franklin Gothic Book"/>
      <w:color w:val="246754"/>
      <w:sz w:val="28"/>
      <w:szCs w:val="28"/>
      <w:lang w:val="en-US"/>
    </w:rPr>
  </w:style>
  <w:style w:type="paragraph" w:customStyle="1" w:styleId="QuoteGeneralStyles">
    <w:name w:val="Quote (General Styles)"/>
    <w:basedOn w:val="BodyGeneralStyles"/>
    <w:uiPriority w:val="99"/>
    <w:pPr>
      <w:ind w:left="794" w:right="57"/>
    </w:pPr>
    <w:rPr>
      <w:sz w:val="19"/>
      <w:szCs w:val="19"/>
    </w:rPr>
  </w:style>
  <w:style w:type="paragraph" w:customStyle="1" w:styleId="Heading3GeneralStyles">
    <w:name w:val="Heading 3 (General Styles)"/>
    <w:basedOn w:val="NoParagraphStyle"/>
    <w:uiPriority w:val="99"/>
    <w:pPr>
      <w:suppressAutoHyphens/>
      <w:spacing w:before="170" w:after="57" w:line="290" w:lineRule="atLeast"/>
    </w:pPr>
    <w:rPr>
      <w:rFonts w:ascii="ITC Franklin Gothic Book" w:hAnsi="ITC Franklin Gothic Book" w:cs="ITC Franklin Gothic Book"/>
      <w:color w:val="55565A"/>
      <w:sz w:val="25"/>
      <w:szCs w:val="25"/>
      <w:lang w:val="en-US"/>
    </w:rPr>
  </w:style>
  <w:style w:type="paragraph" w:customStyle="1" w:styleId="FigureTableTitleFiguresTable">
    <w:name w:val="Figure / Table Title (Figures / Table)"/>
    <w:basedOn w:val="BodyGeneralStyles"/>
    <w:uiPriority w:val="99"/>
    <w:pPr>
      <w:tabs>
        <w:tab w:val="left" w:pos="907"/>
      </w:tabs>
      <w:spacing w:before="113" w:line="200" w:lineRule="atLeast"/>
    </w:pPr>
    <w:rPr>
      <w:rFonts w:ascii="Franklin Gothic Medium" w:hAnsi="Franklin Gothic Medium" w:cs="Franklin Gothic Medium"/>
      <w:sz w:val="16"/>
      <w:szCs w:val="16"/>
    </w:rPr>
  </w:style>
  <w:style w:type="paragraph" w:customStyle="1" w:styleId="Body31BodyParas">
    <w:name w:val="Body 3.1 (Body Paras)"/>
    <w:basedOn w:val="Body11BodyParas"/>
    <w:uiPriority w:val="99"/>
  </w:style>
  <w:style w:type="paragraph" w:customStyle="1" w:styleId="Footnote1-99Footnote">
    <w:name w:val="Footnote 1-99 (Footnote)"/>
    <w:basedOn w:val="NoParagraphStyle"/>
    <w:uiPriority w:val="99"/>
    <w:pPr>
      <w:tabs>
        <w:tab w:val="left" w:pos="255"/>
      </w:tabs>
      <w:suppressAutoHyphens/>
      <w:spacing w:after="113" w:line="180" w:lineRule="atLeast"/>
      <w:ind w:left="255" w:hanging="255"/>
    </w:pPr>
    <w:rPr>
      <w:rFonts w:ascii="Gill Sans Std Light" w:hAnsi="Gill Sans Std Light" w:cs="Gill Sans Std Light"/>
      <w:sz w:val="15"/>
      <w:szCs w:val="15"/>
      <w:lang w:val="en-US"/>
    </w:rPr>
  </w:style>
  <w:style w:type="paragraph" w:customStyle="1" w:styleId="Body31Pre-bulletBodyParas">
    <w:name w:val="Body 3.1 Pre-bullet (Body Paras)"/>
    <w:basedOn w:val="Body11BodyParas"/>
    <w:uiPriority w:val="99"/>
    <w:pPr>
      <w:spacing w:after="58"/>
    </w:pPr>
  </w:style>
  <w:style w:type="paragraph" w:customStyle="1" w:styleId="BodyindentGeneralStyles">
    <w:name w:val="Body indent (General Styles)"/>
    <w:basedOn w:val="BodyGeneralStyles"/>
    <w:uiPriority w:val="99"/>
    <w:pPr>
      <w:ind w:left="510"/>
    </w:pPr>
  </w:style>
  <w:style w:type="paragraph" w:customStyle="1" w:styleId="Body41Pre-BulletBodyParas">
    <w:name w:val="Body 4.1 Pre-Bullet (Body Paras)"/>
    <w:basedOn w:val="Body11BodyParas"/>
    <w:uiPriority w:val="99"/>
    <w:pPr>
      <w:spacing w:after="58"/>
    </w:pPr>
  </w:style>
  <w:style w:type="paragraph" w:customStyle="1" w:styleId="Body41BodyParas">
    <w:name w:val="Body 4.1 (Body Paras)"/>
    <w:basedOn w:val="Body11BodyParas"/>
    <w:uiPriority w:val="99"/>
  </w:style>
  <w:style w:type="paragraph" w:customStyle="1" w:styleId="Body51Pre-bulletBodyParas">
    <w:name w:val="Body 5.1 Pre-bullet (Body Paras)"/>
    <w:basedOn w:val="Body11BodyParas"/>
    <w:uiPriority w:val="99"/>
    <w:pPr>
      <w:spacing w:after="58"/>
    </w:pPr>
  </w:style>
  <w:style w:type="paragraph" w:customStyle="1" w:styleId="Body51BodyParas">
    <w:name w:val="Body 5.1 (Body Paras)"/>
    <w:basedOn w:val="Body11BodyParas"/>
    <w:uiPriority w:val="99"/>
  </w:style>
  <w:style w:type="paragraph" w:customStyle="1" w:styleId="Body61Pre-bulletBodyParas">
    <w:name w:val="Body 6.1 Pre-bullet (Body Paras)"/>
    <w:basedOn w:val="Body11BodyParas"/>
    <w:uiPriority w:val="99"/>
    <w:pPr>
      <w:spacing w:after="58"/>
    </w:pPr>
  </w:style>
  <w:style w:type="paragraph" w:customStyle="1" w:styleId="Body61BodyParas">
    <w:name w:val="Body 6.1 (Body Paras)"/>
    <w:basedOn w:val="Body11BodyParas"/>
    <w:uiPriority w:val="99"/>
  </w:style>
  <w:style w:type="paragraph" w:customStyle="1" w:styleId="Body71BodyParas">
    <w:name w:val="Body 7.1 (Body Paras)"/>
    <w:basedOn w:val="Body11BodyParas"/>
    <w:uiPriority w:val="99"/>
  </w:style>
  <w:style w:type="paragraph" w:customStyle="1" w:styleId="Body71Pre-bulletBodyParas">
    <w:name w:val="Body 7.1 Pre-bullet (Body Paras)"/>
    <w:basedOn w:val="Body11BodyParas"/>
    <w:uiPriority w:val="99"/>
    <w:pPr>
      <w:spacing w:after="58"/>
    </w:pPr>
  </w:style>
  <w:style w:type="paragraph" w:customStyle="1" w:styleId="GlossaryEntryGeneralStyles">
    <w:name w:val="Glossary Entry (General Styles)"/>
    <w:basedOn w:val="NoParagraphStyle"/>
    <w:uiPriority w:val="99"/>
    <w:pPr>
      <w:suppressAutoHyphens/>
      <w:spacing w:line="230" w:lineRule="atLeast"/>
    </w:pPr>
    <w:rPr>
      <w:rFonts w:ascii="ITC Franklin Gothic Book" w:hAnsi="ITC Franklin Gothic Book" w:cs="ITC Franklin Gothic Book"/>
      <w:color w:val="246754"/>
      <w:sz w:val="20"/>
      <w:szCs w:val="20"/>
      <w:lang w:val="en-US"/>
    </w:rPr>
  </w:style>
  <w:style w:type="paragraph" w:customStyle="1" w:styleId="BodyPre-bulletGeneralStyles">
    <w:name w:val="Body Pre-bullet (General Styles)"/>
    <w:basedOn w:val="NoParagraphStyle"/>
    <w:uiPriority w:val="99"/>
    <w:pPr>
      <w:suppressAutoHyphens/>
      <w:spacing w:after="57" w:line="270" w:lineRule="atLeast"/>
    </w:pPr>
    <w:rPr>
      <w:rFonts w:ascii="Gill Sans Std Light" w:hAnsi="Gill Sans Std Light" w:cs="Gill Sans Std Light"/>
      <w:sz w:val="21"/>
      <w:szCs w:val="21"/>
      <w:lang w:val="en-US"/>
    </w:rPr>
  </w:style>
  <w:style w:type="paragraph" w:customStyle="1" w:styleId="BulletGeneralStyles">
    <w:name w:val="Bullet (General Styles)"/>
    <w:basedOn w:val="BodyGeneralStyles"/>
    <w:uiPriority w:val="99"/>
    <w:pPr>
      <w:tabs>
        <w:tab w:val="left" w:pos="907"/>
      </w:tabs>
      <w:spacing w:after="57"/>
      <w:ind w:left="360" w:hanging="170"/>
    </w:pPr>
  </w:style>
  <w:style w:type="paragraph" w:customStyle="1" w:styleId="TableHeadingLeftFiguresTable">
    <w:name w:val="Table Heading Left (Figures / Table)"/>
    <w:basedOn w:val="BodyGeneralStyles"/>
    <w:uiPriority w:val="99"/>
    <w:pPr>
      <w:spacing w:line="240" w:lineRule="atLeast"/>
    </w:pPr>
    <w:rPr>
      <w:rFonts w:ascii="ITC Franklin Gothic Book" w:hAnsi="ITC Franklin Gothic Book" w:cs="ITC Franklin Gothic Book"/>
      <w:color w:val="246754"/>
      <w:sz w:val="18"/>
      <w:szCs w:val="18"/>
    </w:rPr>
  </w:style>
  <w:style w:type="paragraph" w:customStyle="1" w:styleId="TableBodyLeftFiguresTable">
    <w:name w:val="Table Body Left (Figures / Table)"/>
    <w:basedOn w:val="NoParagraphStyle"/>
    <w:uiPriority w:val="99"/>
    <w:pPr>
      <w:suppressAutoHyphens/>
      <w:spacing w:after="135" w:line="240" w:lineRule="atLeast"/>
    </w:pPr>
    <w:rPr>
      <w:rFonts w:ascii="ITC Franklin Gothic Book" w:hAnsi="ITC Franklin Gothic Book" w:cs="ITC Franklin Gothic Book"/>
      <w:sz w:val="18"/>
      <w:szCs w:val="18"/>
      <w:lang w:val="en-US"/>
    </w:rPr>
  </w:style>
  <w:style w:type="paragraph" w:customStyle="1" w:styleId="TableBodyRightFiguresTable">
    <w:name w:val="Table Body Right (Figures / Table)"/>
    <w:basedOn w:val="BodyGeneralStyles"/>
    <w:uiPriority w:val="99"/>
    <w:pPr>
      <w:spacing w:line="240" w:lineRule="atLeast"/>
      <w:jc w:val="right"/>
    </w:pPr>
    <w:rPr>
      <w:rFonts w:ascii="ITC Franklin Gothic Book" w:hAnsi="ITC Franklin Gothic Book" w:cs="ITC Franklin Gothic Book"/>
      <w:sz w:val="18"/>
      <w:szCs w:val="18"/>
    </w:rPr>
  </w:style>
  <w:style w:type="paragraph" w:customStyle="1" w:styleId="TableBodyPre-bulletFiguresTable">
    <w:name w:val="Table Body Pre-bullet (Figures / Table)"/>
    <w:basedOn w:val="NoParagraphStyle"/>
    <w:uiPriority w:val="99"/>
    <w:pPr>
      <w:suppressAutoHyphens/>
      <w:spacing w:after="60" w:line="240" w:lineRule="atLeast"/>
    </w:pPr>
    <w:rPr>
      <w:rFonts w:ascii="ITC Franklin Gothic Book" w:hAnsi="ITC Franklin Gothic Book" w:cs="ITC Franklin Gothic Book"/>
      <w:sz w:val="18"/>
      <w:szCs w:val="18"/>
      <w:lang w:val="en-US"/>
    </w:rPr>
  </w:style>
  <w:style w:type="paragraph" w:customStyle="1" w:styleId="TableBulletFiguresTable">
    <w:name w:val="Table Bullet (Figures / Table)"/>
    <w:basedOn w:val="NoParagraphStyle"/>
    <w:uiPriority w:val="99"/>
    <w:pPr>
      <w:suppressAutoHyphens/>
      <w:spacing w:after="40" w:line="240" w:lineRule="atLeast"/>
      <w:ind w:left="198" w:hanging="198"/>
    </w:pPr>
    <w:rPr>
      <w:rFonts w:ascii="ITC Franklin Gothic Book" w:hAnsi="ITC Franklin Gothic Book" w:cs="ITC Franklin Gothic Book"/>
      <w:sz w:val="18"/>
      <w:szCs w:val="18"/>
      <w:lang w:val="en-US"/>
    </w:rPr>
  </w:style>
  <w:style w:type="paragraph" w:customStyle="1" w:styleId="TableHeadingRightFiguresTable">
    <w:name w:val="Table Heading Right (Figures / Table)"/>
    <w:basedOn w:val="BodyGeneralStyles"/>
    <w:uiPriority w:val="99"/>
    <w:pPr>
      <w:spacing w:line="240" w:lineRule="atLeast"/>
      <w:jc w:val="right"/>
    </w:pPr>
    <w:rPr>
      <w:rFonts w:ascii="ITC Franklin Gothic Book" w:hAnsi="ITC Franklin Gothic Book" w:cs="ITC Franklin Gothic Book"/>
      <w:color w:val="246754"/>
      <w:sz w:val="18"/>
      <w:szCs w:val="18"/>
    </w:rPr>
  </w:style>
  <w:style w:type="paragraph" w:customStyle="1" w:styleId="Footnote100-999Footnote">
    <w:name w:val="Footnote 100-999 (Footnote)"/>
    <w:basedOn w:val="NoParagraphStyle"/>
    <w:uiPriority w:val="99"/>
    <w:pPr>
      <w:tabs>
        <w:tab w:val="left" w:pos="369"/>
      </w:tabs>
      <w:suppressAutoHyphens/>
      <w:spacing w:after="113" w:line="180" w:lineRule="atLeast"/>
      <w:ind w:left="369" w:hanging="369"/>
    </w:pPr>
    <w:rPr>
      <w:rFonts w:ascii="Gill Sans Std Light" w:hAnsi="Gill Sans Std Light" w:cs="Gill Sans Std Light"/>
      <w:sz w:val="15"/>
      <w:szCs w:val="15"/>
      <w:lang w:val="en-US"/>
    </w:rPr>
  </w:style>
  <w:style w:type="character" w:customStyle="1" w:styleId="LightItalic">
    <w:name w:val="Light Italic"/>
    <w:uiPriority w:val="99"/>
    <w:rPr>
      <w:rFonts w:ascii="Gill Sans Std Light" w:hAnsi="Gill Sans Std Light" w:cs="Gill Sans Std Light"/>
      <w:i/>
      <w:iCs/>
      <w:lang w:val="en-AU"/>
    </w:rPr>
  </w:style>
  <w:style w:type="character" w:customStyle="1" w:styleId="Superscript">
    <w:name w:val="Superscript"/>
    <w:uiPriority w:val="99"/>
    <w:rPr>
      <w:vertAlign w:val="superscript"/>
    </w:rPr>
  </w:style>
  <w:style w:type="paragraph" w:styleId="TOC1">
    <w:name w:val="toc 1"/>
    <w:basedOn w:val="Normal"/>
    <w:next w:val="Normal"/>
    <w:autoRedefine/>
    <w:uiPriority w:val="39"/>
    <w:unhideWhenUsed/>
    <w:rsid w:val="00CE666D"/>
    <w:pPr>
      <w:spacing w:before="120" w:after="120"/>
    </w:pPr>
  </w:style>
  <w:style w:type="paragraph" w:customStyle="1" w:styleId="TitleTitlePage">
    <w:name w:val="Title (Title Page)"/>
    <w:basedOn w:val="Normal"/>
    <w:uiPriority w:val="99"/>
    <w:rsid w:val="00AE75F2"/>
    <w:pPr>
      <w:widowControl w:val="0"/>
      <w:autoSpaceDE w:val="0"/>
      <w:autoSpaceDN w:val="0"/>
      <w:adjustRightInd w:val="0"/>
      <w:spacing w:before="120" w:after="0" w:line="680" w:lineRule="atLeast"/>
      <w:textAlignment w:val="center"/>
    </w:pPr>
    <w:rPr>
      <w:rFonts w:ascii="ITC Franklin Gothic Book" w:hAnsi="ITC Franklin Gothic Book" w:cs="ITC Franklin Gothic Book"/>
      <w:color w:val="55565A"/>
      <w:sz w:val="60"/>
      <w:szCs w:val="60"/>
      <w:lang w:val="en-US"/>
    </w:rPr>
  </w:style>
  <w:style w:type="paragraph" w:customStyle="1" w:styleId="SubtitleTitlePage">
    <w:name w:val="Subtitle (Title Page)"/>
    <w:basedOn w:val="TitleTitlePage"/>
    <w:uiPriority w:val="99"/>
    <w:rsid w:val="00AE75F2"/>
    <w:pPr>
      <w:spacing w:after="540"/>
    </w:pPr>
    <w:rPr>
      <w:color w:val="246754"/>
    </w:rPr>
  </w:style>
  <w:style w:type="paragraph" w:customStyle="1" w:styleId="ContributorsheaderImprintandContributors">
    <w:name w:val="Contributors header (Imprint and Contributors)"/>
    <w:basedOn w:val="Normal"/>
    <w:uiPriority w:val="99"/>
    <w:rsid w:val="00AE75F2"/>
    <w:pPr>
      <w:widowControl w:val="0"/>
      <w:autoSpaceDE w:val="0"/>
      <w:autoSpaceDN w:val="0"/>
      <w:adjustRightInd w:val="0"/>
      <w:spacing w:before="270" w:after="0" w:line="270" w:lineRule="atLeast"/>
    </w:pPr>
    <w:rPr>
      <w:rFonts w:ascii="ITC Franklin Gothic Book" w:hAnsi="ITC Franklin Gothic Book" w:cs="ITC Franklin Gothic Book"/>
      <w:color w:val="246754"/>
      <w:sz w:val="21"/>
      <w:szCs w:val="21"/>
      <w:lang w:val="en-US"/>
    </w:rPr>
  </w:style>
  <w:style w:type="paragraph" w:customStyle="1" w:styleId="ContributorslistImprintandContributors">
    <w:name w:val="Contributors list (Imprint and Contributors)"/>
    <w:basedOn w:val="Normal"/>
    <w:uiPriority w:val="99"/>
    <w:rsid w:val="00AE75F2"/>
    <w:pPr>
      <w:widowControl w:val="0"/>
      <w:autoSpaceDE w:val="0"/>
      <w:autoSpaceDN w:val="0"/>
      <w:adjustRightInd w:val="0"/>
      <w:spacing w:before="120" w:after="0" w:line="270" w:lineRule="atLeast"/>
    </w:pPr>
    <w:rPr>
      <w:rFonts w:ascii="Gill Sans Std Light" w:hAnsi="Gill Sans Std Light" w:cs="Gill Sans Std Light"/>
      <w:color w:val="000000"/>
      <w:sz w:val="21"/>
      <w:szCs w:val="21"/>
      <w:lang w:val="en-US"/>
    </w:rPr>
  </w:style>
  <w:style w:type="paragraph" w:styleId="Header">
    <w:name w:val="header"/>
    <w:basedOn w:val="Normal"/>
    <w:link w:val="HeaderChar"/>
    <w:uiPriority w:val="99"/>
    <w:unhideWhenUsed/>
    <w:rsid w:val="00632D14"/>
    <w:pPr>
      <w:tabs>
        <w:tab w:val="center" w:pos="4513"/>
        <w:tab w:val="right" w:pos="9026"/>
      </w:tabs>
      <w:spacing w:before="120" w:after="120"/>
    </w:pPr>
  </w:style>
  <w:style w:type="character" w:customStyle="1" w:styleId="HeaderChar">
    <w:name w:val="Header Char"/>
    <w:basedOn w:val="DefaultParagraphFont"/>
    <w:link w:val="Header"/>
    <w:uiPriority w:val="99"/>
    <w:rsid w:val="00632D14"/>
  </w:style>
  <w:style w:type="paragraph" w:styleId="Footer">
    <w:name w:val="footer"/>
    <w:basedOn w:val="Normal"/>
    <w:link w:val="FooterChar"/>
    <w:uiPriority w:val="99"/>
    <w:unhideWhenUsed/>
    <w:rsid w:val="00632D14"/>
    <w:pPr>
      <w:tabs>
        <w:tab w:val="center" w:pos="4513"/>
        <w:tab w:val="right" w:pos="9026"/>
      </w:tabs>
      <w:spacing w:before="120" w:after="120"/>
    </w:pPr>
  </w:style>
  <w:style w:type="character" w:customStyle="1" w:styleId="FooterChar">
    <w:name w:val="Footer Char"/>
    <w:basedOn w:val="DefaultParagraphFont"/>
    <w:link w:val="Footer"/>
    <w:uiPriority w:val="99"/>
    <w:rsid w:val="00632D14"/>
  </w:style>
  <w:style w:type="character" w:styleId="Hyperlink">
    <w:name w:val="Hyperlink"/>
    <w:uiPriority w:val="99"/>
    <w:unhideWhenUsed/>
    <w:rsid w:val="00CE666D"/>
    <w:rPr>
      <w:color w:val="0563C1"/>
      <w:u w:val="single"/>
    </w:rPr>
  </w:style>
  <w:style w:type="paragraph" w:customStyle="1" w:styleId="ImprintImprintandContributors">
    <w:name w:val="Imprint (Imprint and Contributors)"/>
    <w:basedOn w:val="Normal"/>
    <w:uiPriority w:val="99"/>
    <w:rsid w:val="00B83836"/>
    <w:pPr>
      <w:widowControl w:val="0"/>
      <w:autoSpaceDE w:val="0"/>
      <w:autoSpaceDN w:val="0"/>
      <w:adjustRightInd w:val="0"/>
      <w:spacing w:before="120" w:after="120" w:line="240" w:lineRule="atLeast"/>
    </w:pPr>
    <w:rPr>
      <w:rFonts w:ascii="Gill Sans Std Light" w:hAnsi="Gill Sans Std Light" w:cs="Gill Sans Std Light"/>
      <w:color w:val="000000"/>
      <w:sz w:val="18"/>
      <w:szCs w:val="18"/>
      <w:lang w:val="en-US"/>
    </w:rPr>
  </w:style>
  <w:style w:type="paragraph" w:customStyle="1" w:styleId="Subtitle2TitlePage">
    <w:name w:val="Subtitle 2 (Title Page)"/>
    <w:basedOn w:val="NoParagraphStyle"/>
    <w:uiPriority w:val="99"/>
    <w:rsid w:val="005B7138"/>
    <w:pPr>
      <w:suppressAutoHyphens/>
      <w:spacing w:line="400" w:lineRule="atLeast"/>
    </w:pPr>
    <w:rPr>
      <w:rFonts w:ascii="ITC Franklin Gothic Book" w:hAnsi="ITC Franklin Gothic Book" w:cs="ITC Franklin Gothic Book"/>
      <w:color w:val="55565A"/>
      <w:sz w:val="36"/>
      <w:szCs w:val="36"/>
      <w:lang w:val="en-US"/>
    </w:rPr>
  </w:style>
  <w:style w:type="character" w:customStyle="1" w:styleId="Heading1Char">
    <w:name w:val="Heading 1 Char"/>
    <w:link w:val="Heading1"/>
    <w:uiPriority w:val="99"/>
    <w:rsid w:val="00D468C0"/>
    <w:rPr>
      <w:b/>
      <w:bCs/>
      <w:kern w:val="32"/>
      <w:sz w:val="36"/>
      <w:szCs w:val="32"/>
    </w:rPr>
  </w:style>
  <w:style w:type="paragraph" w:styleId="Title">
    <w:name w:val="Title"/>
    <w:basedOn w:val="Normal"/>
    <w:next w:val="Normal"/>
    <w:link w:val="TitleChar"/>
    <w:uiPriority w:val="99"/>
    <w:qFormat/>
    <w:rsid w:val="0090480F"/>
    <w:pPr>
      <w:spacing w:before="120" w:after="240" w:line="240" w:lineRule="auto"/>
      <w:outlineLvl w:val="0"/>
    </w:pPr>
    <w:rPr>
      <w:b/>
      <w:bCs/>
      <w:kern w:val="28"/>
      <w:sz w:val="40"/>
      <w:szCs w:val="32"/>
    </w:rPr>
  </w:style>
  <w:style w:type="character" w:customStyle="1" w:styleId="TitleChar">
    <w:name w:val="Title Char"/>
    <w:link w:val="Title"/>
    <w:uiPriority w:val="99"/>
    <w:rsid w:val="0090480F"/>
    <w:rPr>
      <w:b/>
      <w:bCs/>
      <w:kern w:val="28"/>
      <w:sz w:val="40"/>
      <w:szCs w:val="32"/>
    </w:rPr>
  </w:style>
  <w:style w:type="character" w:styleId="Strong">
    <w:name w:val="Strong"/>
    <w:uiPriority w:val="22"/>
    <w:qFormat/>
    <w:rsid w:val="002B1984"/>
    <w:rPr>
      <w:b/>
      <w:bCs/>
    </w:rPr>
  </w:style>
  <w:style w:type="character" w:customStyle="1" w:styleId="Heading2Char">
    <w:name w:val="Heading 2 Char"/>
    <w:link w:val="Heading2"/>
    <w:uiPriority w:val="99"/>
    <w:rsid w:val="00173049"/>
    <w:rPr>
      <w:b/>
      <w:bCs/>
      <w:iCs/>
      <w:sz w:val="32"/>
      <w:szCs w:val="28"/>
    </w:rPr>
  </w:style>
  <w:style w:type="character" w:styleId="Emphasis">
    <w:name w:val="Emphasis"/>
    <w:uiPriority w:val="20"/>
    <w:qFormat/>
    <w:rsid w:val="009E5334"/>
    <w:rPr>
      <w:i/>
      <w:iCs/>
    </w:rPr>
  </w:style>
  <w:style w:type="paragraph" w:customStyle="1" w:styleId="Numbered">
    <w:name w:val="Numbered"/>
    <w:basedOn w:val="NormalIndent"/>
    <w:link w:val="NumberedChar"/>
    <w:qFormat/>
    <w:rsid w:val="00872369"/>
    <w:pPr>
      <w:numPr>
        <w:ilvl w:val="1"/>
        <w:numId w:val="1"/>
      </w:numPr>
      <w:tabs>
        <w:tab w:val="left" w:pos="851"/>
      </w:tabs>
      <w:ind w:left="851" w:hanging="851"/>
    </w:pPr>
  </w:style>
  <w:style w:type="character" w:customStyle="1" w:styleId="Heading3Char">
    <w:name w:val="Heading 3 Char"/>
    <w:link w:val="Heading3"/>
    <w:uiPriority w:val="9"/>
    <w:rsid w:val="00C0128D"/>
    <w:rPr>
      <w:rFonts w:ascii="Verdana" w:eastAsia="Times New Roman" w:hAnsi="Verdana" w:cs="Times New Roman"/>
      <w:b/>
      <w:bCs/>
      <w:sz w:val="26"/>
      <w:szCs w:val="26"/>
    </w:rPr>
  </w:style>
  <w:style w:type="paragraph" w:styleId="NormalIndent">
    <w:name w:val="Normal Indent"/>
    <w:basedOn w:val="Normal"/>
    <w:link w:val="NormalIndentChar"/>
    <w:uiPriority w:val="99"/>
    <w:semiHidden/>
    <w:unhideWhenUsed/>
    <w:rsid w:val="005E444F"/>
    <w:pPr>
      <w:spacing w:before="120" w:after="120"/>
      <w:ind w:left="720"/>
    </w:pPr>
  </w:style>
  <w:style w:type="character" w:customStyle="1" w:styleId="NormalIndentChar">
    <w:name w:val="Normal Indent Char"/>
    <w:link w:val="NormalIndent"/>
    <w:uiPriority w:val="99"/>
    <w:semiHidden/>
    <w:rsid w:val="005E444F"/>
    <w:rPr>
      <w:rFonts w:ascii="Verdana" w:hAnsi="Verdana"/>
      <w:sz w:val="24"/>
      <w:szCs w:val="22"/>
    </w:rPr>
  </w:style>
  <w:style w:type="character" w:customStyle="1" w:styleId="NumberedChar">
    <w:name w:val="Numbered Char"/>
    <w:link w:val="Numbered"/>
    <w:rsid w:val="00872369"/>
  </w:style>
  <w:style w:type="character" w:customStyle="1" w:styleId="Heading4Char">
    <w:name w:val="Heading 4 Char"/>
    <w:link w:val="Heading4"/>
    <w:uiPriority w:val="9"/>
    <w:rsid w:val="008A1C48"/>
    <w:rPr>
      <w:b/>
      <w:bCs/>
      <w:i/>
      <w:szCs w:val="28"/>
    </w:rPr>
  </w:style>
  <w:style w:type="character" w:customStyle="1" w:styleId="Heading5Char">
    <w:name w:val="Heading 5 Char"/>
    <w:link w:val="Heading5"/>
    <w:uiPriority w:val="9"/>
    <w:semiHidden/>
    <w:rsid w:val="00703380"/>
    <w:rPr>
      <w:rFonts w:ascii="Calibri" w:hAnsi="Calibri"/>
      <w:b/>
      <w:bCs/>
      <w:i/>
      <w:iCs/>
      <w:sz w:val="26"/>
      <w:szCs w:val="26"/>
    </w:rPr>
  </w:style>
  <w:style w:type="character" w:customStyle="1" w:styleId="Heading6Char">
    <w:name w:val="Heading 6 Char"/>
    <w:link w:val="Heading6"/>
    <w:uiPriority w:val="9"/>
    <w:semiHidden/>
    <w:rsid w:val="00703380"/>
    <w:rPr>
      <w:rFonts w:ascii="Calibri" w:hAnsi="Calibri"/>
      <w:b/>
      <w:bCs/>
    </w:rPr>
  </w:style>
  <w:style w:type="character" w:customStyle="1" w:styleId="Heading7Char">
    <w:name w:val="Heading 7 Char"/>
    <w:link w:val="Heading7"/>
    <w:uiPriority w:val="9"/>
    <w:semiHidden/>
    <w:rsid w:val="00703380"/>
    <w:rPr>
      <w:rFonts w:ascii="Calibri" w:hAnsi="Calibri"/>
    </w:rPr>
  </w:style>
  <w:style w:type="character" w:customStyle="1" w:styleId="Heading8Char">
    <w:name w:val="Heading 8 Char"/>
    <w:link w:val="Heading8"/>
    <w:uiPriority w:val="9"/>
    <w:semiHidden/>
    <w:rsid w:val="00703380"/>
    <w:rPr>
      <w:rFonts w:ascii="Calibri" w:hAnsi="Calibri"/>
      <w:i/>
      <w:iCs/>
    </w:rPr>
  </w:style>
  <w:style w:type="character" w:customStyle="1" w:styleId="Heading9Char">
    <w:name w:val="Heading 9 Char"/>
    <w:link w:val="Heading9"/>
    <w:uiPriority w:val="9"/>
    <w:semiHidden/>
    <w:rsid w:val="00703380"/>
    <w:rPr>
      <w:rFonts w:ascii="Calibri Light" w:hAnsi="Calibri Light"/>
    </w:rPr>
  </w:style>
  <w:style w:type="paragraph" w:customStyle="1" w:styleId="Heading1Numbered">
    <w:name w:val="Heading 1 Numbered"/>
    <w:next w:val="Numbered"/>
    <w:link w:val="Heading1NumberedChar"/>
    <w:qFormat/>
    <w:rsid w:val="00C9725F"/>
    <w:pPr>
      <w:pageBreakBefore/>
      <w:numPr>
        <w:numId w:val="1"/>
      </w:numPr>
      <w:tabs>
        <w:tab w:val="left" w:pos="992"/>
      </w:tabs>
      <w:suppressAutoHyphens/>
      <w:spacing w:after="240"/>
      <w:ind w:left="992" w:hanging="992"/>
    </w:pPr>
    <w:rPr>
      <w:b/>
      <w:bCs/>
      <w:kern w:val="32"/>
      <w:sz w:val="48"/>
      <w:szCs w:val="32"/>
    </w:rPr>
  </w:style>
  <w:style w:type="paragraph" w:customStyle="1" w:styleId="Bullets">
    <w:name w:val="Bullets"/>
    <w:basedOn w:val="Normal"/>
    <w:qFormat/>
    <w:rsid w:val="00B64EB6"/>
    <w:pPr>
      <w:numPr>
        <w:numId w:val="2"/>
      </w:numPr>
      <w:spacing w:before="60" w:after="60"/>
    </w:pPr>
  </w:style>
  <w:style w:type="character" w:customStyle="1" w:styleId="Heading1NumberedChar">
    <w:name w:val="Heading 1 Numbered Char"/>
    <w:link w:val="Heading1Numbered"/>
    <w:rsid w:val="00C9725F"/>
    <w:rPr>
      <w:b/>
      <w:bCs/>
      <w:kern w:val="32"/>
      <w:sz w:val="48"/>
      <w:szCs w:val="32"/>
    </w:rPr>
  </w:style>
  <w:style w:type="paragraph" w:styleId="NoSpacing">
    <w:name w:val="No Spacing"/>
    <w:uiPriority w:val="1"/>
    <w:qFormat/>
    <w:rsid w:val="00951DEC"/>
  </w:style>
  <w:style w:type="paragraph" w:styleId="Quote">
    <w:name w:val="Quote"/>
    <w:basedOn w:val="Normal"/>
    <w:next w:val="Normal"/>
    <w:link w:val="QuoteChar"/>
    <w:uiPriority w:val="29"/>
    <w:qFormat/>
    <w:rsid w:val="00415FFD"/>
    <w:pPr>
      <w:spacing w:before="200" w:after="120"/>
      <w:ind w:left="1134"/>
    </w:pPr>
    <w:rPr>
      <w:iCs/>
    </w:rPr>
  </w:style>
  <w:style w:type="character" w:customStyle="1" w:styleId="QuoteChar">
    <w:name w:val="Quote Char"/>
    <w:link w:val="Quote"/>
    <w:uiPriority w:val="29"/>
    <w:rsid w:val="00415FFD"/>
    <w:rPr>
      <w:rFonts w:ascii="Verdana" w:hAnsi="Verdana"/>
      <w:iCs/>
      <w:sz w:val="22"/>
      <w:szCs w:val="22"/>
    </w:rPr>
  </w:style>
  <w:style w:type="paragraph" w:customStyle="1" w:styleId="Footnote">
    <w:name w:val="Footnote"/>
    <w:qFormat/>
    <w:rsid w:val="009A49FB"/>
    <w:pPr>
      <w:tabs>
        <w:tab w:val="left" w:pos="454"/>
      </w:tabs>
      <w:suppressAutoHyphens/>
      <w:ind w:left="454" w:hanging="454"/>
    </w:pPr>
    <w:rPr>
      <w:rFonts w:cs="Gill Sans Std Light"/>
      <w:color w:val="000000"/>
      <w:sz w:val="20"/>
      <w:szCs w:val="15"/>
      <w:lang w:val="en-US"/>
    </w:rPr>
  </w:style>
  <w:style w:type="paragraph" w:styleId="Caption">
    <w:name w:val="caption"/>
    <w:basedOn w:val="Normal"/>
    <w:next w:val="Normal"/>
    <w:uiPriority w:val="35"/>
    <w:unhideWhenUsed/>
    <w:qFormat/>
    <w:rsid w:val="00D10620"/>
    <w:pPr>
      <w:keepNext/>
      <w:spacing w:before="120" w:after="120" w:line="240" w:lineRule="auto"/>
    </w:pPr>
    <w:rPr>
      <w:b/>
      <w:bCs/>
      <w:sz w:val="20"/>
      <w:szCs w:val="20"/>
    </w:rPr>
  </w:style>
  <w:style w:type="paragraph" w:customStyle="1" w:styleId="TableHeading">
    <w:name w:val="Table Heading"/>
    <w:qFormat/>
    <w:rsid w:val="00F56A1A"/>
    <w:pPr>
      <w:suppressAutoHyphens/>
    </w:pPr>
    <w:rPr>
      <w:rFonts w:cs="ITC Franklin Gothic Book"/>
      <w:b/>
      <w:sz w:val="20"/>
      <w:szCs w:val="18"/>
      <w:lang w:val="en-US"/>
    </w:rPr>
  </w:style>
  <w:style w:type="paragraph" w:customStyle="1" w:styleId="TableBody">
    <w:name w:val="Table Body"/>
    <w:qFormat/>
    <w:rsid w:val="00F56A1A"/>
    <w:pPr>
      <w:suppressAutoHyphens/>
    </w:pPr>
    <w:rPr>
      <w:rFonts w:cs="ITC Franklin Gothic Book"/>
      <w:color w:val="000000"/>
      <w:sz w:val="20"/>
      <w:szCs w:val="18"/>
      <w:lang w:val="en-US"/>
    </w:rPr>
  </w:style>
  <w:style w:type="paragraph" w:customStyle="1" w:styleId="Grid">
    <w:name w:val="Grid"/>
    <w:basedOn w:val="BodyGeneralStyles"/>
    <w:rsid w:val="00B052EE"/>
    <w:pPr>
      <w:spacing w:after="0" w:line="240" w:lineRule="auto"/>
    </w:pPr>
    <w:rPr>
      <w:sz w:val="16"/>
      <w:szCs w:val="16"/>
    </w:rPr>
  </w:style>
  <w:style w:type="table" w:styleId="TableGrid1">
    <w:name w:val="Table Grid 1"/>
    <w:uiPriority w:val="99"/>
    <w:semiHidden/>
    <w:unhideWhenUsed/>
    <w:rsid w:val="00263161"/>
    <w:pPr>
      <w:suppressAutoHyphens/>
      <w:spacing w:before="120" w:after="120" w:line="36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rPr>
      <w:cantSplit/>
    </w:trPr>
    <w:tcPr>
      <w:shd w:val="clear" w:color="auto" w:fill="auto"/>
      <w:tcMar>
        <w:top w:w="57" w:type="dxa"/>
        <w:left w:w="57" w:type="dxa"/>
        <w:bottom w:w="57" w:type="dxa"/>
        <w:right w:w="57" w:type="dxa"/>
      </w:tcMar>
    </w:tcPr>
  </w:style>
  <w:style w:type="table" w:styleId="TableGrid">
    <w:name w:val="Table Grid"/>
    <w:basedOn w:val="TableNormal"/>
    <w:uiPriority w:val="39"/>
    <w:rsid w:val="00EF7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basedOn w:val="TableNormal"/>
    <w:uiPriority w:val="99"/>
    <w:rsid w:val="00EF741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ontributorssubheaderImprintandContributors">
    <w:name w:val="Contributors subheader (Imprint and Contributors)"/>
    <w:basedOn w:val="NoParagraphStyle"/>
    <w:uiPriority w:val="99"/>
    <w:rsid w:val="005C16F8"/>
    <w:pPr>
      <w:suppressAutoHyphens/>
      <w:spacing w:before="270" w:line="270" w:lineRule="atLeast"/>
    </w:pPr>
    <w:rPr>
      <w:rFonts w:ascii="ITC Franklin Gothic Book" w:hAnsi="ITC Franklin Gothic Book" w:cs="ITC Franklin Gothic Book"/>
      <w:color w:val="55565A"/>
      <w:sz w:val="21"/>
      <w:szCs w:val="21"/>
      <w:lang w:val="en-US"/>
    </w:rPr>
  </w:style>
  <w:style w:type="paragraph" w:customStyle="1" w:styleId="Body11PrebulletBodyParas">
    <w:name w:val="Body 1.1 Prebullet (Body Paras)"/>
    <w:basedOn w:val="BodynumberedGeneralStyles"/>
    <w:uiPriority w:val="99"/>
    <w:rsid w:val="005C16F8"/>
    <w:pPr>
      <w:spacing w:after="57" w:line="270" w:lineRule="atLeast"/>
      <w:ind w:left="510" w:hanging="510"/>
    </w:pPr>
  </w:style>
  <w:style w:type="paragraph" w:customStyle="1" w:styleId="Body21BodyParas0">
    <w:name w:val="Body 2.1+ (Body Paras)"/>
    <w:basedOn w:val="BodynumberedGeneralStyles"/>
    <w:uiPriority w:val="99"/>
    <w:rsid w:val="005C16F8"/>
    <w:pPr>
      <w:spacing w:after="130" w:line="270" w:lineRule="atLeast"/>
      <w:ind w:left="510" w:hanging="510"/>
    </w:pPr>
  </w:style>
  <w:style w:type="paragraph" w:customStyle="1" w:styleId="Body21PrebulletBodyParas">
    <w:name w:val="Body 2.1 Prebullet (Body Paras)"/>
    <w:basedOn w:val="BodynumberedGeneralStyles"/>
    <w:uiPriority w:val="99"/>
    <w:rsid w:val="005C16F8"/>
    <w:pPr>
      <w:spacing w:after="57" w:line="270" w:lineRule="atLeast"/>
      <w:ind w:left="510" w:hanging="510"/>
    </w:pPr>
  </w:style>
  <w:style w:type="paragraph" w:customStyle="1" w:styleId="Body31BodyParas0">
    <w:name w:val="Body 3.1+ (Body Paras)"/>
    <w:basedOn w:val="BodynumberedGeneralStyles"/>
    <w:uiPriority w:val="99"/>
    <w:rsid w:val="005C16F8"/>
    <w:pPr>
      <w:spacing w:after="130" w:line="270" w:lineRule="atLeast"/>
      <w:ind w:left="510" w:hanging="510"/>
    </w:pPr>
  </w:style>
  <w:style w:type="paragraph" w:customStyle="1" w:styleId="Body31PrebulletBodyParas">
    <w:name w:val="Body 3.1 Prebullet (Body Paras)"/>
    <w:basedOn w:val="BodynumberedGeneralStyles"/>
    <w:uiPriority w:val="99"/>
    <w:rsid w:val="005C16F8"/>
    <w:pPr>
      <w:spacing w:after="57" w:line="270" w:lineRule="atLeast"/>
      <w:ind w:left="510" w:hanging="510"/>
    </w:pPr>
  </w:style>
  <w:style w:type="paragraph" w:customStyle="1" w:styleId="Body41PrebulletBodyParas">
    <w:name w:val="Body 4.1 Prebullet (Body Paras)"/>
    <w:basedOn w:val="BodynumberedGeneralStyles"/>
    <w:uiPriority w:val="99"/>
    <w:rsid w:val="005C16F8"/>
    <w:pPr>
      <w:spacing w:after="57" w:line="270" w:lineRule="atLeast"/>
      <w:ind w:left="510" w:hanging="510"/>
    </w:pPr>
  </w:style>
  <w:style w:type="paragraph" w:customStyle="1" w:styleId="SubbulletindentGeneralStyles">
    <w:name w:val="Subbullet indent (General Styles)"/>
    <w:basedOn w:val="BodyGeneralStyles"/>
    <w:uiPriority w:val="99"/>
    <w:rsid w:val="005C16F8"/>
    <w:pPr>
      <w:tabs>
        <w:tab w:val="left" w:pos="907"/>
      </w:tabs>
      <w:spacing w:after="57"/>
      <w:ind w:left="1191" w:hanging="198"/>
    </w:pPr>
  </w:style>
  <w:style w:type="paragraph" w:customStyle="1" w:styleId="SubbulletindentlastGeneralStyles">
    <w:name w:val="Subbullet indent last (General Styles)"/>
    <w:basedOn w:val="BodyGeneralStyles"/>
    <w:uiPriority w:val="99"/>
    <w:rsid w:val="005C16F8"/>
    <w:pPr>
      <w:tabs>
        <w:tab w:val="left" w:pos="907"/>
      </w:tabs>
      <w:ind w:left="1191" w:hanging="198"/>
    </w:pPr>
  </w:style>
  <w:style w:type="paragraph" w:customStyle="1" w:styleId="Body41BodyParas0">
    <w:name w:val="Body 4.1+ (Body Paras)"/>
    <w:basedOn w:val="BodynumberedGeneralStyles"/>
    <w:uiPriority w:val="99"/>
    <w:rsid w:val="005C16F8"/>
    <w:pPr>
      <w:spacing w:after="130" w:line="270" w:lineRule="atLeast"/>
      <w:ind w:left="510" w:hanging="510"/>
    </w:pPr>
  </w:style>
  <w:style w:type="character" w:customStyle="1" w:styleId="Coloured">
    <w:name w:val="Coloured"/>
    <w:uiPriority w:val="99"/>
    <w:rsid w:val="005C16F8"/>
    <w:rPr>
      <w:color w:val="80B0E5"/>
    </w:rPr>
  </w:style>
  <w:style w:type="character" w:customStyle="1" w:styleId="Figure">
    <w:name w:val="Figure"/>
    <w:uiPriority w:val="99"/>
    <w:rsid w:val="005C16F8"/>
    <w:rPr>
      <w:rFonts w:ascii="ITC Franklin Gothic Book" w:hAnsi="ITC Franklin Gothic Book" w:cs="ITC Franklin Gothic Book"/>
      <w:color w:val="80B0E5"/>
    </w:rPr>
  </w:style>
  <w:style w:type="character" w:customStyle="1" w:styleId="DemiItalic">
    <w:name w:val="Demi Italic"/>
    <w:uiPriority w:val="99"/>
    <w:rsid w:val="005C16F8"/>
    <w:rPr>
      <w:i/>
      <w:iCs/>
      <w:lang w:val="en-AU"/>
    </w:rPr>
  </w:style>
  <w:style w:type="paragraph" w:styleId="TOCHeading">
    <w:name w:val="TOC Heading"/>
    <w:basedOn w:val="Heading1"/>
    <w:next w:val="Normal"/>
    <w:uiPriority w:val="39"/>
    <w:unhideWhenUsed/>
    <w:qFormat/>
    <w:rsid w:val="00AE709F"/>
    <w:pPr>
      <w:keepLines/>
      <w:spacing w:after="0" w:line="259" w:lineRule="auto"/>
      <w:outlineLvl w:val="9"/>
    </w:pPr>
    <w:rPr>
      <w:rFonts w:ascii="Calibri Light" w:hAnsi="Calibri Light"/>
      <w:b w:val="0"/>
      <w:bCs w:val="0"/>
      <w:color w:val="2E74B5"/>
      <w:kern w:val="0"/>
      <w:sz w:val="32"/>
      <w:lang w:val="en-US" w:eastAsia="en-US"/>
    </w:rPr>
  </w:style>
  <w:style w:type="paragraph" w:styleId="TOC2">
    <w:name w:val="toc 2"/>
    <w:basedOn w:val="Normal"/>
    <w:next w:val="Normal"/>
    <w:autoRedefine/>
    <w:uiPriority w:val="39"/>
    <w:unhideWhenUsed/>
    <w:rsid w:val="00AE709F"/>
    <w:pPr>
      <w:spacing w:before="120" w:after="100"/>
      <w:ind w:left="220"/>
    </w:pPr>
    <w:rPr>
      <w:rFonts w:ascii="Calibri" w:hAnsi="Calibri"/>
      <w:lang w:val="en-US" w:eastAsia="en-US"/>
    </w:rPr>
  </w:style>
  <w:style w:type="paragraph" w:styleId="TOC3">
    <w:name w:val="toc 3"/>
    <w:basedOn w:val="Normal"/>
    <w:next w:val="Normal"/>
    <w:autoRedefine/>
    <w:uiPriority w:val="39"/>
    <w:unhideWhenUsed/>
    <w:rsid w:val="00AE709F"/>
    <w:pPr>
      <w:spacing w:before="120" w:after="100"/>
      <w:ind w:left="440"/>
    </w:pPr>
    <w:rPr>
      <w:rFonts w:ascii="Calibri" w:hAnsi="Calibri"/>
      <w:lang w:val="en-US" w:eastAsia="en-US"/>
    </w:rPr>
  </w:style>
  <w:style w:type="paragraph" w:customStyle="1" w:styleId="Contributorsheader2ImprintandContributors">
    <w:name w:val="Contributors header 2 (Imprint and Contributors)"/>
    <w:basedOn w:val="NoParagraphStyle"/>
    <w:uiPriority w:val="99"/>
    <w:rsid w:val="00C107C1"/>
    <w:pPr>
      <w:suppressAutoHyphens/>
      <w:spacing w:before="130" w:line="270" w:lineRule="atLeast"/>
    </w:pPr>
    <w:rPr>
      <w:rFonts w:ascii="ITC Franklin Gothic Book" w:eastAsiaTheme="minorEastAsia" w:hAnsi="ITC Franklin Gothic Book" w:cs="ITC Franklin Gothic Book"/>
      <w:color w:val="555559"/>
      <w:sz w:val="21"/>
      <w:szCs w:val="21"/>
      <w:lang w:val="en-US"/>
    </w:rPr>
  </w:style>
  <w:style w:type="paragraph" w:customStyle="1" w:styleId="ABCGeneralStyles">
    <w:name w:val="ABC (General Styles)"/>
    <w:basedOn w:val="BodyGeneralStyles"/>
    <w:uiPriority w:val="99"/>
    <w:rsid w:val="00C107C1"/>
    <w:pPr>
      <w:spacing w:after="57"/>
      <w:ind w:left="600" w:hanging="360"/>
    </w:pPr>
    <w:rPr>
      <w:rFonts w:eastAsiaTheme="minorEastAsia"/>
    </w:rPr>
  </w:style>
  <w:style w:type="paragraph" w:customStyle="1" w:styleId="NumberedGeneralStyles">
    <w:name w:val="Numbered (General Styles)"/>
    <w:basedOn w:val="ABCGeneralStyles"/>
    <w:uiPriority w:val="99"/>
    <w:rsid w:val="00C107C1"/>
    <w:pPr>
      <w:ind w:left="720"/>
    </w:pPr>
  </w:style>
  <w:style w:type="paragraph" w:customStyle="1" w:styleId="BodyPrebulletGeneralStyles">
    <w:name w:val="Body Prebullet (General Styles)"/>
    <w:basedOn w:val="BodyGeneralStyles"/>
    <w:uiPriority w:val="99"/>
    <w:rsid w:val="00C107C1"/>
    <w:pPr>
      <w:spacing w:after="57"/>
    </w:pPr>
    <w:rPr>
      <w:rFonts w:eastAsiaTheme="minorEastAsia"/>
    </w:rPr>
  </w:style>
  <w:style w:type="paragraph" w:customStyle="1" w:styleId="BulletlastGeneralStyles">
    <w:name w:val="Bullet last (General Styles)"/>
    <w:basedOn w:val="BulletGeneralStyles"/>
    <w:uiPriority w:val="99"/>
    <w:rsid w:val="00C107C1"/>
    <w:pPr>
      <w:spacing w:after="130"/>
    </w:pPr>
    <w:rPr>
      <w:rFonts w:eastAsiaTheme="minorEastAsia"/>
    </w:rPr>
  </w:style>
  <w:style w:type="paragraph" w:customStyle="1" w:styleId="QuoteindentGeneralStyles">
    <w:name w:val="Quote indent (General Styles)"/>
    <w:basedOn w:val="BodyGeneralStyles"/>
    <w:uiPriority w:val="99"/>
    <w:rsid w:val="00C107C1"/>
    <w:pPr>
      <w:ind w:left="1304" w:right="57"/>
    </w:pPr>
    <w:rPr>
      <w:rFonts w:eastAsiaTheme="minorEastAsia"/>
      <w:sz w:val="19"/>
      <w:szCs w:val="19"/>
    </w:rPr>
  </w:style>
  <w:style w:type="paragraph" w:customStyle="1" w:styleId="RecommendationHeadingAGeneralStyles">
    <w:name w:val="Recommendation Heading A (General Styles)"/>
    <w:basedOn w:val="NoParagraphStyle"/>
    <w:uiPriority w:val="99"/>
    <w:rsid w:val="00C107C1"/>
    <w:pPr>
      <w:keepNext/>
      <w:keepLines/>
      <w:pBdr>
        <w:top w:val="single" w:sz="96" w:space="0" w:color="7594CC"/>
      </w:pBdr>
      <w:suppressAutoHyphens/>
      <w:spacing w:before="240" w:after="260" w:line="320" w:lineRule="atLeast"/>
      <w:ind w:left="120"/>
    </w:pPr>
    <w:rPr>
      <w:rFonts w:ascii="Franklin Gothic Medium" w:eastAsiaTheme="minorEastAsia" w:hAnsi="Franklin Gothic Medium" w:cs="Franklin Gothic Medium"/>
      <w:color w:val="FFFFFF"/>
      <w:sz w:val="28"/>
      <w:szCs w:val="28"/>
      <w:lang w:val="en-US"/>
    </w:rPr>
  </w:style>
  <w:style w:type="paragraph" w:customStyle="1" w:styleId="RecommendationBodyGeneralStyles">
    <w:name w:val="Recommendation Body (General Styles)"/>
    <w:basedOn w:val="BodyGeneralStyles"/>
    <w:uiPriority w:val="99"/>
    <w:rsid w:val="00C107C1"/>
    <w:pPr>
      <w:spacing w:after="130"/>
      <w:ind w:left="120"/>
    </w:pPr>
    <w:rPr>
      <w:rFonts w:eastAsiaTheme="minorEastAsia"/>
    </w:rPr>
  </w:style>
  <w:style w:type="paragraph" w:customStyle="1" w:styleId="RecommendationABCGeneralStyles">
    <w:name w:val="Recommendation ABC (General Styles)"/>
    <w:basedOn w:val="BodyGeneralStyles"/>
    <w:uiPriority w:val="99"/>
    <w:rsid w:val="00C107C1"/>
    <w:pPr>
      <w:tabs>
        <w:tab w:val="left" w:pos="907"/>
      </w:tabs>
      <w:spacing w:after="57"/>
      <w:ind w:left="600" w:hanging="320"/>
    </w:pPr>
    <w:rPr>
      <w:rFonts w:eastAsiaTheme="minorEastAsia"/>
    </w:rPr>
  </w:style>
  <w:style w:type="paragraph" w:customStyle="1" w:styleId="RecommendationHeadingGeneralStyles">
    <w:name w:val="Recommendation Heading (General Styles)"/>
    <w:basedOn w:val="NoParagraphStyle"/>
    <w:uiPriority w:val="99"/>
    <w:rsid w:val="00C107C1"/>
    <w:pPr>
      <w:keepNext/>
      <w:keepLines/>
      <w:pBdr>
        <w:top w:val="single" w:sz="96" w:space="0" w:color="7594CC"/>
      </w:pBdr>
      <w:suppressAutoHyphens/>
      <w:spacing w:before="240" w:after="260" w:line="320" w:lineRule="atLeast"/>
      <w:ind w:left="120"/>
    </w:pPr>
    <w:rPr>
      <w:rFonts w:ascii="Franklin Gothic Medium" w:eastAsiaTheme="minorEastAsia" w:hAnsi="Franklin Gothic Medium" w:cs="Franklin Gothic Medium"/>
      <w:color w:val="FFFFFF"/>
      <w:sz w:val="28"/>
      <w:szCs w:val="28"/>
      <w:lang w:val="en-US"/>
    </w:rPr>
  </w:style>
  <w:style w:type="paragraph" w:customStyle="1" w:styleId="RecommendationLastGeneralStyles">
    <w:name w:val="Recommendation Last (General Styles)"/>
    <w:basedOn w:val="RecommendationABCGeneralStyles"/>
    <w:uiPriority w:val="99"/>
    <w:rsid w:val="00C107C1"/>
    <w:pPr>
      <w:pBdr>
        <w:bottom w:val="single" w:sz="16" w:space="13" w:color="7594CC"/>
      </w:pBdr>
      <w:ind w:left="120" w:firstLine="0"/>
    </w:pPr>
  </w:style>
  <w:style w:type="paragraph" w:customStyle="1" w:styleId="QuotebulletGeneralStyles">
    <w:name w:val="Quote bullet (General Styles)"/>
    <w:basedOn w:val="NoParagraphStyle"/>
    <w:uiPriority w:val="99"/>
    <w:rsid w:val="00C107C1"/>
    <w:pPr>
      <w:tabs>
        <w:tab w:val="left" w:pos="1440"/>
      </w:tabs>
      <w:suppressAutoHyphens/>
      <w:spacing w:after="40" w:line="270" w:lineRule="atLeast"/>
      <w:ind w:left="1134" w:right="357" w:hanging="198"/>
      <w:jc w:val="both"/>
    </w:pPr>
    <w:rPr>
      <w:rFonts w:ascii="Gill Sans Std Light" w:eastAsiaTheme="minorEastAsia" w:hAnsi="Gill Sans Std Light" w:cs="Gill Sans Std Light"/>
      <w:sz w:val="19"/>
      <w:szCs w:val="19"/>
      <w:lang w:val="en-AU"/>
    </w:rPr>
  </w:style>
  <w:style w:type="paragraph" w:customStyle="1" w:styleId="QuotebulletlastGeneralStyles">
    <w:name w:val="Quote bullet last (General Styles)"/>
    <w:basedOn w:val="NoParagraphStyle"/>
    <w:uiPriority w:val="99"/>
    <w:rsid w:val="00C107C1"/>
    <w:pPr>
      <w:tabs>
        <w:tab w:val="left" w:pos="1440"/>
      </w:tabs>
      <w:suppressAutoHyphens/>
      <w:spacing w:after="135" w:line="270" w:lineRule="atLeast"/>
      <w:ind w:left="1134" w:right="357" w:hanging="198"/>
      <w:jc w:val="both"/>
    </w:pPr>
    <w:rPr>
      <w:rFonts w:ascii="Gill Sans Std Light" w:eastAsiaTheme="minorEastAsia" w:hAnsi="Gill Sans Std Light" w:cs="Gill Sans Std Light"/>
      <w:sz w:val="19"/>
      <w:szCs w:val="19"/>
      <w:lang w:val="en-AU"/>
    </w:rPr>
  </w:style>
  <w:style w:type="paragraph" w:customStyle="1" w:styleId="ABCindentGeneralStyles">
    <w:name w:val="ABC indent (General Styles)"/>
    <w:basedOn w:val="BodyGeneralStyles"/>
    <w:uiPriority w:val="99"/>
    <w:rsid w:val="00C107C1"/>
    <w:pPr>
      <w:spacing w:after="57"/>
      <w:ind w:left="1260" w:hanging="400"/>
    </w:pPr>
    <w:rPr>
      <w:rFonts w:eastAsiaTheme="minorEastAsia"/>
    </w:rPr>
  </w:style>
  <w:style w:type="paragraph" w:customStyle="1" w:styleId="ABCindentlastGeneralStyles">
    <w:name w:val="ABC indent last (General Styles)"/>
    <w:basedOn w:val="BodyGeneralStyles"/>
    <w:uiPriority w:val="99"/>
    <w:rsid w:val="00C107C1"/>
    <w:pPr>
      <w:spacing w:after="130"/>
      <w:ind w:left="1260" w:hanging="400"/>
    </w:pPr>
    <w:rPr>
      <w:rFonts w:eastAsiaTheme="minorEastAsia"/>
    </w:rPr>
  </w:style>
  <w:style w:type="paragraph" w:customStyle="1" w:styleId="NumberedIndentGeneralStyles">
    <w:name w:val="Numbered Indent (General Styles)"/>
    <w:basedOn w:val="BodyGeneralStyles"/>
    <w:uiPriority w:val="99"/>
    <w:rsid w:val="00C107C1"/>
    <w:pPr>
      <w:tabs>
        <w:tab w:val="left" w:pos="907"/>
      </w:tabs>
      <w:spacing w:after="57"/>
      <w:ind w:left="1077" w:hanging="227"/>
    </w:pPr>
    <w:rPr>
      <w:rFonts w:eastAsiaTheme="minorEastAsia"/>
    </w:rPr>
  </w:style>
  <w:style w:type="paragraph" w:customStyle="1" w:styleId="NumberedIndentLastGeneralStyles">
    <w:name w:val="Numbered Indent Last (General Styles)"/>
    <w:basedOn w:val="BodyGeneralStyles"/>
    <w:uiPriority w:val="99"/>
    <w:rsid w:val="00C107C1"/>
    <w:pPr>
      <w:tabs>
        <w:tab w:val="left" w:pos="907"/>
      </w:tabs>
      <w:spacing w:after="130"/>
      <w:ind w:left="1077" w:hanging="227"/>
    </w:pPr>
    <w:rPr>
      <w:rFonts w:eastAsiaTheme="minorEastAsia"/>
    </w:rPr>
  </w:style>
  <w:style w:type="paragraph" w:customStyle="1" w:styleId="SubSubbulletindentGeneralStyles">
    <w:name w:val="Sub Subbullet indent (General Styles)"/>
    <w:basedOn w:val="BodyGeneralStyles"/>
    <w:uiPriority w:val="99"/>
    <w:rsid w:val="00C107C1"/>
    <w:pPr>
      <w:tabs>
        <w:tab w:val="left" w:pos="907"/>
      </w:tabs>
      <w:spacing w:after="57"/>
      <w:ind w:left="1701" w:hanging="198"/>
    </w:pPr>
    <w:rPr>
      <w:rFonts w:eastAsiaTheme="minorEastAsia"/>
    </w:rPr>
  </w:style>
  <w:style w:type="paragraph" w:customStyle="1" w:styleId="TableNoteGeneralStyles">
    <w:name w:val="Table Note (General Styles)"/>
    <w:basedOn w:val="NoParagraphStyle"/>
    <w:uiPriority w:val="99"/>
    <w:rsid w:val="00C107C1"/>
    <w:pPr>
      <w:tabs>
        <w:tab w:val="left" w:pos="255"/>
      </w:tabs>
      <w:suppressAutoHyphens/>
      <w:spacing w:after="113" w:line="190" w:lineRule="atLeast"/>
      <w:ind w:left="227" w:hanging="227"/>
    </w:pPr>
    <w:rPr>
      <w:rFonts w:ascii="Gill Sans Std Light" w:eastAsiaTheme="minorEastAsia" w:hAnsi="Gill Sans Std Light" w:cs="Gill Sans Std Light"/>
      <w:sz w:val="16"/>
      <w:szCs w:val="16"/>
      <w:lang w:val="en-US"/>
    </w:rPr>
  </w:style>
  <w:style w:type="paragraph" w:customStyle="1" w:styleId="RecommendationBodyPrebulletGeneralStyles">
    <w:name w:val="Recommendation Body Prebullet (General Styles)"/>
    <w:basedOn w:val="BodyGeneralStyles"/>
    <w:uiPriority w:val="99"/>
    <w:rsid w:val="00C107C1"/>
    <w:pPr>
      <w:spacing w:after="57"/>
      <w:ind w:left="120"/>
    </w:pPr>
    <w:rPr>
      <w:rFonts w:eastAsiaTheme="minorEastAsia"/>
    </w:rPr>
  </w:style>
  <w:style w:type="paragraph" w:customStyle="1" w:styleId="Body51PrebulletBodyParas">
    <w:name w:val="Body 5.1 Prebullet (Body Paras)"/>
    <w:basedOn w:val="NoParagraphStyle"/>
    <w:uiPriority w:val="99"/>
    <w:rsid w:val="00C107C1"/>
    <w:pPr>
      <w:tabs>
        <w:tab w:val="left" w:pos="907"/>
      </w:tabs>
      <w:suppressAutoHyphens/>
      <w:spacing w:after="57" w:line="270" w:lineRule="atLeast"/>
      <w:ind w:left="600" w:hanging="600"/>
    </w:pPr>
    <w:rPr>
      <w:rFonts w:ascii="Gill Sans Std Light" w:eastAsiaTheme="minorEastAsia" w:hAnsi="Gill Sans Std Light" w:cs="Gill Sans Std Light"/>
      <w:sz w:val="21"/>
      <w:szCs w:val="21"/>
      <w:lang w:val="en-US"/>
    </w:rPr>
  </w:style>
  <w:style w:type="paragraph" w:customStyle="1" w:styleId="Body51BodyParas0">
    <w:name w:val="Body 5.1+ (Body Paras)"/>
    <w:basedOn w:val="NoParagraphStyle"/>
    <w:uiPriority w:val="99"/>
    <w:rsid w:val="00C107C1"/>
    <w:pPr>
      <w:tabs>
        <w:tab w:val="left" w:pos="907"/>
      </w:tabs>
      <w:suppressAutoHyphens/>
      <w:spacing w:after="130" w:line="270" w:lineRule="atLeast"/>
      <w:ind w:left="600" w:hanging="600"/>
    </w:pPr>
    <w:rPr>
      <w:rFonts w:ascii="Gill Sans Std Light" w:eastAsiaTheme="minorEastAsia" w:hAnsi="Gill Sans Std Light" w:cs="Gill Sans Std Light"/>
      <w:sz w:val="21"/>
      <w:szCs w:val="21"/>
      <w:lang w:val="en-US"/>
    </w:rPr>
  </w:style>
  <w:style w:type="paragraph" w:customStyle="1" w:styleId="Body61BodyParas0">
    <w:name w:val="Body 6.1+ (Body Paras)"/>
    <w:basedOn w:val="NoParagraphStyle"/>
    <w:uiPriority w:val="99"/>
    <w:rsid w:val="00C107C1"/>
    <w:pPr>
      <w:tabs>
        <w:tab w:val="left" w:pos="907"/>
      </w:tabs>
      <w:suppressAutoHyphens/>
      <w:spacing w:after="130" w:line="270" w:lineRule="atLeast"/>
      <w:ind w:left="600" w:hanging="600"/>
    </w:pPr>
    <w:rPr>
      <w:rFonts w:ascii="Gill Sans Std Light" w:eastAsiaTheme="minorEastAsia" w:hAnsi="Gill Sans Std Light" w:cs="Gill Sans Std Light"/>
      <w:sz w:val="21"/>
      <w:szCs w:val="21"/>
      <w:lang w:val="en-US"/>
    </w:rPr>
  </w:style>
  <w:style w:type="paragraph" w:customStyle="1" w:styleId="Body61PrebulletBodyParas">
    <w:name w:val="Body 6.1 Prebullet (Body Paras)"/>
    <w:basedOn w:val="NoParagraphStyle"/>
    <w:uiPriority w:val="99"/>
    <w:rsid w:val="00C107C1"/>
    <w:pPr>
      <w:tabs>
        <w:tab w:val="left" w:pos="907"/>
      </w:tabs>
      <w:suppressAutoHyphens/>
      <w:spacing w:after="57" w:line="270" w:lineRule="atLeast"/>
      <w:ind w:left="600" w:hanging="600"/>
    </w:pPr>
    <w:rPr>
      <w:rFonts w:ascii="Gill Sans Std Light" w:eastAsiaTheme="minorEastAsia" w:hAnsi="Gill Sans Std Light" w:cs="Gill Sans Std Light"/>
      <w:sz w:val="21"/>
      <w:szCs w:val="21"/>
      <w:lang w:val="en-US"/>
    </w:rPr>
  </w:style>
  <w:style w:type="paragraph" w:customStyle="1" w:styleId="Body71BodyParas0">
    <w:name w:val="Body 7.1+ (Body Paras)"/>
    <w:basedOn w:val="NoParagraphStyle"/>
    <w:uiPriority w:val="99"/>
    <w:rsid w:val="00C107C1"/>
    <w:pPr>
      <w:tabs>
        <w:tab w:val="left" w:pos="907"/>
      </w:tabs>
      <w:suppressAutoHyphens/>
      <w:spacing w:after="130" w:line="270" w:lineRule="atLeast"/>
      <w:ind w:left="600" w:hanging="600"/>
    </w:pPr>
    <w:rPr>
      <w:rFonts w:ascii="Gill Sans Std Light" w:eastAsiaTheme="minorEastAsia" w:hAnsi="Gill Sans Std Light" w:cs="Gill Sans Std Light"/>
      <w:sz w:val="21"/>
      <w:szCs w:val="21"/>
      <w:lang w:val="en-US"/>
    </w:rPr>
  </w:style>
  <w:style w:type="paragraph" w:customStyle="1" w:styleId="Body71PrebulletBodyParas">
    <w:name w:val="Body 7.1 Prebullet (Body Paras)"/>
    <w:basedOn w:val="NoParagraphStyle"/>
    <w:uiPriority w:val="99"/>
    <w:rsid w:val="00C107C1"/>
    <w:pPr>
      <w:tabs>
        <w:tab w:val="left" w:pos="907"/>
      </w:tabs>
      <w:suppressAutoHyphens/>
      <w:spacing w:after="57" w:line="270" w:lineRule="atLeast"/>
      <w:ind w:left="600" w:hanging="600"/>
    </w:pPr>
    <w:rPr>
      <w:rFonts w:ascii="Gill Sans Std Light" w:eastAsiaTheme="minorEastAsia" w:hAnsi="Gill Sans Std Light" w:cs="Gill Sans Std Light"/>
      <w:sz w:val="21"/>
      <w:szCs w:val="21"/>
      <w:lang w:val="en-US"/>
    </w:rPr>
  </w:style>
  <w:style w:type="paragraph" w:customStyle="1" w:styleId="Body81BodyParas">
    <w:name w:val="Body 8.1 (Body Paras)"/>
    <w:basedOn w:val="NoParagraphStyle"/>
    <w:uiPriority w:val="99"/>
    <w:rsid w:val="00C107C1"/>
    <w:pPr>
      <w:tabs>
        <w:tab w:val="left" w:pos="907"/>
      </w:tabs>
      <w:suppressAutoHyphens/>
      <w:spacing w:after="130" w:line="270" w:lineRule="atLeast"/>
      <w:ind w:left="600" w:hanging="600"/>
    </w:pPr>
    <w:rPr>
      <w:rFonts w:ascii="Gill Sans Std Light" w:eastAsiaTheme="minorEastAsia" w:hAnsi="Gill Sans Std Light" w:cs="Gill Sans Std Light"/>
      <w:sz w:val="21"/>
      <w:szCs w:val="21"/>
      <w:lang w:val="en-US"/>
    </w:rPr>
  </w:style>
  <w:style w:type="paragraph" w:customStyle="1" w:styleId="Body81BodyParas0">
    <w:name w:val="Body 8.1+ (Body Paras)"/>
    <w:basedOn w:val="NoParagraphStyle"/>
    <w:uiPriority w:val="99"/>
    <w:rsid w:val="00C107C1"/>
    <w:pPr>
      <w:tabs>
        <w:tab w:val="left" w:pos="907"/>
      </w:tabs>
      <w:suppressAutoHyphens/>
      <w:spacing w:after="130" w:line="270" w:lineRule="atLeast"/>
      <w:ind w:left="600" w:hanging="600"/>
    </w:pPr>
    <w:rPr>
      <w:rFonts w:ascii="Gill Sans Std Light" w:eastAsiaTheme="minorEastAsia" w:hAnsi="Gill Sans Std Light" w:cs="Gill Sans Std Light"/>
      <w:sz w:val="21"/>
      <w:szCs w:val="21"/>
      <w:lang w:val="en-US"/>
    </w:rPr>
  </w:style>
  <w:style w:type="paragraph" w:customStyle="1" w:styleId="Body81PrebulletBodyParas">
    <w:name w:val="Body 8.1 Prebullet (Body Paras)"/>
    <w:basedOn w:val="NoParagraphStyle"/>
    <w:uiPriority w:val="99"/>
    <w:rsid w:val="00C107C1"/>
    <w:pPr>
      <w:tabs>
        <w:tab w:val="left" w:pos="907"/>
      </w:tabs>
      <w:suppressAutoHyphens/>
      <w:spacing w:after="57" w:line="270" w:lineRule="atLeast"/>
      <w:ind w:left="600" w:hanging="600"/>
    </w:pPr>
    <w:rPr>
      <w:rFonts w:ascii="Gill Sans Std Light" w:eastAsiaTheme="minorEastAsia" w:hAnsi="Gill Sans Std Light" w:cs="Gill Sans Std Light"/>
      <w:sz w:val="21"/>
      <w:szCs w:val="21"/>
      <w:lang w:val="en-US"/>
    </w:rPr>
  </w:style>
  <w:style w:type="character" w:customStyle="1" w:styleId="Bold">
    <w:name w:val="Bold"/>
    <w:uiPriority w:val="99"/>
    <w:rsid w:val="00C107C1"/>
    <w:rPr>
      <w:b/>
      <w:bCs/>
    </w:rPr>
  </w:style>
  <w:style w:type="character" w:customStyle="1" w:styleId="Italic">
    <w:name w:val="Italic"/>
    <w:uiPriority w:val="99"/>
    <w:rsid w:val="00C107C1"/>
    <w:rPr>
      <w:i/>
      <w:iCs/>
      <w:lang w:val="en-AU"/>
    </w:rPr>
  </w:style>
  <w:style w:type="character" w:customStyle="1" w:styleId="WhiteFootnote">
    <w:name w:val="White Footnote"/>
    <w:basedOn w:val="Superscript"/>
    <w:uiPriority w:val="99"/>
    <w:rsid w:val="00C107C1"/>
    <w:rPr>
      <w:b/>
      <w:bCs/>
      <w:outline/>
      <w:vertAlign w:val="superscript"/>
      <w:lang w:val="en-AU"/>
    </w:rPr>
  </w:style>
  <w:style w:type="character" w:customStyle="1" w:styleId="TableBold">
    <w:name w:val="Table Bold"/>
    <w:uiPriority w:val="99"/>
    <w:rsid w:val="00C107C1"/>
  </w:style>
  <w:style w:type="paragraph" w:styleId="FootnoteText">
    <w:name w:val="footnote text"/>
    <w:basedOn w:val="Normal"/>
    <w:link w:val="FootnoteTextChar"/>
    <w:uiPriority w:val="99"/>
    <w:semiHidden/>
    <w:unhideWhenUsed/>
    <w:rsid w:val="00050B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0BF8"/>
    <w:rPr>
      <w:rFonts w:asciiTheme="minorHAnsi" w:eastAsiaTheme="minorEastAsia" w:hAnsiTheme="minorHAnsi" w:cstheme="minorBidi"/>
      <w:sz w:val="20"/>
      <w:szCs w:val="20"/>
    </w:rPr>
  </w:style>
  <w:style w:type="character" w:styleId="FootnoteReference">
    <w:name w:val="footnote reference"/>
    <w:basedOn w:val="DefaultParagraphFont"/>
    <w:uiPriority w:val="99"/>
    <w:semiHidden/>
    <w:unhideWhenUsed/>
    <w:rsid w:val="00050BF8"/>
    <w:rPr>
      <w:vertAlign w:val="superscript"/>
    </w:rPr>
  </w:style>
  <w:style w:type="paragraph" w:customStyle="1" w:styleId="BodyFranklinGothicFranklinGothicSection">
    <w:name w:val="Body Franklin Gothic (Franklin Gothic Section)"/>
    <w:basedOn w:val="BodyGeneralStyles"/>
    <w:uiPriority w:val="99"/>
    <w:rsid w:val="000D1F9C"/>
    <w:pPr>
      <w:widowControl/>
      <w:spacing w:line="280" w:lineRule="atLeast"/>
    </w:pPr>
    <w:rPr>
      <w:rFonts w:ascii="ITC Franklin Gothic Book" w:hAnsi="ITC Franklin Gothic Book" w:cs="ITC Franklin Gothic Book"/>
      <w:sz w:val="20"/>
      <w:szCs w:val="20"/>
    </w:rPr>
  </w:style>
  <w:style w:type="character" w:customStyle="1" w:styleId="Demi">
    <w:name w:val="Demi"/>
    <w:uiPriority w:val="99"/>
    <w:rsid w:val="000D1F9C"/>
  </w:style>
  <w:style w:type="paragraph" w:customStyle="1" w:styleId="Heading1FranklinGothicFranklinGothicSection">
    <w:name w:val="Heading 1 Franklin Gothic (Franklin Gothic Section)"/>
    <w:basedOn w:val="NoParagraphStyle"/>
    <w:uiPriority w:val="99"/>
    <w:rsid w:val="007C1944"/>
    <w:pPr>
      <w:widowControl/>
      <w:suppressAutoHyphens/>
      <w:spacing w:before="270" w:after="135" w:line="280" w:lineRule="atLeast"/>
    </w:pPr>
    <w:rPr>
      <w:rFonts w:ascii="Franklin Gothic Medium" w:hAnsi="Franklin Gothic Medium" w:cs="Franklin Gothic Medium"/>
      <w:lang w:val="en-US"/>
    </w:rPr>
  </w:style>
  <w:style w:type="paragraph" w:customStyle="1" w:styleId="GothicBulletFranklinGothicSection">
    <w:name w:val="Gothic Bullet (Franklin Gothic Section)"/>
    <w:basedOn w:val="BodyFranklinGothicFranklinGothicSection"/>
    <w:uiPriority w:val="99"/>
    <w:rsid w:val="007C1944"/>
    <w:pPr>
      <w:spacing w:after="60"/>
      <w:ind w:left="360" w:hanging="240"/>
    </w:pPr>
  </w:style>
  <w:style w:type="paragraph" w:customStyle="1" w:styleId="GothicSubbulletFranklinGothicSection">
    <w:name w:val="Gothic Subbullet (Franklin Gothic Section)"/>
    <w:basedOn w:val="GothicBulletFranklinGothicSection"/>
    <w:uiPriority w:val="99"/>
    <w:rsid w:val="007C1944"/>
    <w:pPr>
      <w:ind w:left="720"/>
    </w:pPr>
  </w:style>
  <w:style w:type="paragraph" w:customStyle="1" w:styleId="SourceFranklinGothicSection">
    <w:name w:val="Source (Franklin Gothic Section)"/>
    <w:basedOn w:val="BodyFranklinGothicFranklinGothicSection"/>
    <w:uiPriority w:val="99"/>
    <w:rsid w:val="007C1944"/>
    <w:pPr>
      <w:spacing w:line="220" w:lineRule="atLeast"/>
    </w:pPr>
    <w:rPr>
      <w:sz w:val="18"/>
      <w:szCs w:val="18"/>
    </w:rPr>
  </w:style>
  <w:style w:type="paragraph" w:customStyle="1" w:styleId="GothicABCFranklinGothicSection">
    <w:name w:val="Gothic ABC (Franklin Gothic Section)"/>
    <w:basedOn w:val="GothicBulletFranklinGothicSection"/>
    <w:uiPriority w:val="99"/>
    <w:rsid w:val="003B6E5E"/>
    <w:pPr>
      <w:ind w:left="567" w:hanging="397"/>
    </w:pPr>
  </w:style>
  <w:style w:type="character" w:customStyle="1" w:styleId="BookItalic">
    <w:name w:val="Book Italic"/>
    <w:uiPriority w:val="99"/>
    <w:rsid w:val="00B57D3D"/>
    <w:rPr>
      <w:i/>
      <w:iCs/>
      <w:lang w:val="en-AU"/>
    </w:rPr>
  </w:style>
  <w:style w:type="paragraph" w:styleId="ListParagraph">
    <w:name w:val="List Paragraph"/>
    <w:basedOn w:val="Normal"/>
    <w:uiPriority w:val="34"/>
    <w:qFormat/>
    <w:rsid w:val="007238AB"/>
    <w:pPr>
      <w:ind w:left="720"/>
      <w:contextualSpacing/>
    </w:pPr>
  </w:style>
  <w:style w:type="paragraph" w:customStyle="1" w:styleId="BodyRun-inHeadGeneralStyles">
    <w:name w:val="Body Run-in Head (General Styles)"/>
    <w:basedOn w:val="NoParagraphStyle"/>
    <w:uiPriority w:val="99"/>
    <w:rsid w:val="00613286"/>
    <w:pPr>
      <w:keepLines/>
      <w:suppressAutoHyphens/>
      <w:spacing w:before="270" w:after="135" w:line="270" w:lineRule="atLeast"/>
    </w:pPr>
    <w:rPr>
      <w:rFonts w:ascii="Gill Sans Std Light" w:eastAsiaTheme="minorEastAsia" w:hAnsi="Gill Sans Std Light" w:cs="Gill Sans Std Light"/>
      <w:sz w:val="21"/>
      <w:szCs w:val="21"/>
      <w:lang w:val="en-US"/>
    </w:rPr>
  </w:style>
  <w:style w:type="paragraph" w:customStyle="1" w:styleId="BodyindentprebulletGeneralStyles">
    <w:name w:val="Body indent prebullet (General Styles)"/>
    <w:basedOn w:val="BodyGeneralStyles"/>
    <w:uiPriority w:val="99"/>
    <w:rsid w:val="00613286"/>
    <w:pPr>
      <w:spacing w:after="57"/>
      <w:ind w:left="600"/>
    </w:pPr>
    <w:rPr>
      <w:rFonts w:eastAsiaTheme="minorEastAsia"/>
    </w:rPr>
  </w:style>
  <w:style w:type="paragraph" w:customStyle="1" w:styleId="TableHeadingLeft2FiguresTable">
    <w:name w:val="Table Heading Left 2 (Figures / Table)"/>
    <w:basedOn w:val="BodyGeneralStyles"/>
    <w:uiPriority w:val="99"/>
    <w:rsid w:val="00613286"/>
    <w:pPr>
      <w:spacing w:line="240" w:lineRule="atLeast"/>
    </w:pPr>
    <w:rPr>
      <w:rFonts w:ascii="ITC Franklin Gothic Demi" w:eastAsiaTheme="minorEastAsia" w:hAnsi="ITC Franklin Gothic Demi" w:cs="ITC Franklin Gothic Demi"/>
      <w:color w:val="53555A"/>
      <w:sz w:val="18"/>
      <w:szCs w:val="18"/>
    </w:rPr>
  </w:style>
  <w:style w:type="paragraph" w:customStyle="1" w:styleId="TableHeadingRight2FiguresTable">
    <w:name w:val="Table Heading Right 2 (Figures / Table)"/>
    <w:basedOn w:val="BodyGeneralStyles"/>
    <w:uiPriority w:val="99"/>
    <w:rsid w:val="00613286"/>
    <w:pPr>
      <w:spacing w:line="240" w:lineRule="atLeast"/>
      <w:jc w:val="right"/>
    </w:pPr>
    <w:rPr>
      <w:rFonts w:ascii="ITC Franklin Gothic Demi" w:eastAsiaTheme="minorEastAsia" w:hAnsi="ITC Franklin Gothic Demi" w:cs="ITC Franklin Gothic Demi"/>
      <w:color w:val="53555A"/>
      <w:sz w:val="18"/>
      <w:szCs w:val="18"/>
    </w:rPr>
  </w:style>
  <w:style w:type="character" w:customStyle="1" w:styleId="DemiColour">
    <w:name w:val="Demi Colour"/>
    <w:uiPriority w:val="99"/>
    <w:rsid w:val="00613286"/>
    <w:rPr>
      <w:rFonts w:ascii="ITC Franklin Gothic Demi" w:hAnsi="ITC Franklin Gothic Demi" w:cs="ITC Franklin Gothic Demi"/>
      <w:color w:val="7594CC"/>
    </w:rPr>
  </w:style>
  <w:style w:type="character" w:customStyle="1" w:styleId="White">
    <w:name w:val="White"/>
    <w:uiPriority w:val="99"/>
    <w:rsid w:val="00613286"/>
    <w:rPr>
      <w:rFonts w:ascii="ITC Franklin Gothic" w:hAnsi="ITC Franklin Gothic" w:cs="ITC Franklin Gothic"/>
      <w:outline/>
    </w:rPr>
  </w:style>
  <w:style w:type="paragraph" w:customStyle="1" w:styleId="TOCMainTOC">
    <w:name w:val="TOC Main (TOC)"/>
    <w:basedOn w:val="NoParagraphStyle"/>
    <w:uiPriority w:val="99"/>
    <w:rsid w:val="006D1D12"/>
    <w:pPr>
      <w:suppressAutoHyphens/>
      <w:spacing w:before="165" w:after="20" w:line="240" w:lineRule="atLeast"/>
    </w:pPr>
    <w:rPr>
      <w:rFonts w:ascii="ITC Franklin Gothic Demi" w:eastAsiaTheme="minorEastAsia" w:hAnsi="ITC Franklin Gothic Demi" w:cs="ITC Franklin Gothic Demi"/>
      <w:color w:val="7594CC"/>
      <w:sz w:val="18"/>
      <w:szCs w:val="18"/>
      <w:lang w:val="en-US"/>
    </w:rPr>
  </w:style>
  <w:style w:type="paragraph" w:customStyle="1" w:styleId="TOCH1TOC">
    <w:name w:val="TOC H1 (TOC)"/>
    <w:basedOn w:val="NoParagraphStyle"/>
    <w:uiPriority w:val="99"/>
    <w:rsid w:val="006D1D12"/>
    <w:pPr>
      <w:tabs>
        <w:tab w:val="left" w:pos="473"/>
      </w:tabs>
      <w:suppressAutoHyphens/>
      <w:spacing w:after="20" w:line="240" w:lineRule="atLeast"/>
    </w:pPr>
    <w:rPr>
      <w:rFonts w:ascii="ITC Franklin Gothic Book" w:eastAsiaTheme="minorEastAsia" w:hAnsi="ITC Franklin Gothic Book" w:cs="ITC Franklin Gothic Book"/>
      <w:sz w:val="18"/>
      <w:szCs w:val="18"/>
      <w:lang w:val="en-US"/>
    </w:rPr>
  </w:style>
  <w:style w:type="paragraph" w:customStyle="1" w:styleId="TOCH2TOC">
    <w:name w:val="TOC H2 (TOC)"/>
    <w:basedOn w:val="NoParagraphStyle"/>
    <w:uiPriority w:val="99"/>
    <w:rsid w:val="006D1D12"/>
    <w:pPr>
      <w:suppressAutoHyphens/>
      <w:spacing w:after="20" w:line="240" w:lineRule="atLeast"/>
      <w:ind w:left="360"/>
    </w:pPr>
    <w:rPr>
      <w:rFonts w:ascii="ITC Franklin Gothic" w:eastAsiaTheme="minorEastAsia" w:hAnsi="ITC Franklin Gothic" w:cs="ITC Franklin Gothic"/>
      <w:sz w:val="18"/>
      <w:szCs w:val="18"/>
      <w:lang w:val="en-US"/>
    </w:rPr>
  </w:style>
  <w:style w:type="character" w:styleId="PageNumber">
    <w:name w:val="page number"/>
    <w:basedOn w:val="DefaultParagraphFont"/>
    <w:uiPriority w:val="99"/>
    <w:rsid w:val="006D1D12"/>
    <w:rPr>
      <w:rFonts w:ascii="ITC Franklin Gothic Book" w:hAnsi="ITC Franklin Gothic Book" w:cs="ITC Franklin Gothic Book"/>
      <w:color w:val="000000"/>
    </w:rPr>
  </w:style>
  <w:style w:type="paragraph" w:customStyle="1" w:styleId="BodyFranklinGothicNumberedFranklinGothicSection">
    <w:name w:val="Body Franklin Gothic Numbered (Franklin Gothic Section)"/>
    <w:basedOn w:val="BodyGeneralStyles"/>
    <w:uiPriority w:val="99"/>
    <w:rsid w:val="006D1D12"/>
    <w:pPr>
      <w:pageBreakBefore/>
      <w:tabs>
        <w:tab w:val="left" w:pos="360"/>
      </w:tabs>
      <w:spacing w:after="0" w:line="210" w:lineRule="atLeast"/>
      <w:ind w:left="360" w:hanging="360"/>
    </w:pPr>
    <w:rPr>
      <w:rFonts w:ascii="ITC Franklin Gothic Book" w:eastAsiaTheme="minorEastAsia" w:hAnsi="ITC Franklin Gothic Book" w:cs="ITC Franklin Gothic Book"/>
      <w:sz w:val="18"/>
      <w:szCs w:val="18"/>
    </w:rPr>
  </w:style>
  <w:style w:type="paragraph" w:customStyle="1" w:styleId="BodyFranklinGothicNumberedWhiteFranklinGothicSection">
    <w:name w:val="Body Franklin Gothic Numbered White (Franklin Gothic Section)"/>
    <w:basedOn w:val="BodyGeneralStyles"/>
    <w:uiPriority w:val="99"/>
    <w:rsid w:val="006D1D12"/>
    <w:pPr>
      <w:pageBreakBefore/>
      <w:tabs>
        <w:tab w:val="left" w:pos="360"/>
      </w:tabs>
      <w:spacing w:after="0" w:line="210" w:lineRule="atLeast"/>
      <w:ind w:left="360" w:hanging="360"/>
    </w:pPr>
    <w:rPr>
      <w:rFonts w:ascii="ITC Franklin Gothic Demi" w:eastAsiaTheme="minorEastAsia" w:hAnsi="ITC Franklin Gothic Demi" w:cs="ITC Franklin Gothic Demi"/>
      <w:color w:val="FFFFFF"/>
      <w:sz w:val="18"/>
      <w:szCs w:val="18"/>
    </w:rPr>
  </w:style>
  <w:style w:type="paragraph" w:customStyle="1" w:styleId="TableNumber">
    <w:name w:val="Table Number"/>
    <w:basedOn w:val="TableBody"/>
    <w:qFormat/>
    <w:rsid w:val="002A32E7"/>
    <w:pPr>
      <w:spacing w:after="60"/>
    </w:pPr>
  </w:style>
  <w:style w:type="paragraph" w:customStyle="1" w:styleId="FranklinGothicBulletFranklinGothicSection">
    <w:name w:val="Franklin Gothic Bullet (Franklin Gothic Section)"/>
    <w:basedOn w:val="Normal"/>
    <w:uiPriority w:val="99"/>
    <w:rsid w:val="00CA4B44"/>
    <w:pPr>
      <w:widowControl w:val="0"/>
      <w:tabs>
        <w:tab w:val="left" w:pos="907"/>
      </w:tabs>
      <w:autoSpaceDE w:val="0"/>
      <w:autoSpaceDN w:val="0"/>
      <w:adjustRightInd w:val="0"/>
      <w:spacing w:before="0" w:after="57" w:line="260" w:lineRule="atLeast"/>
      <w:ind w:left="360" w:hanging="170"/>
      <w:textAlignment w:val="center"/>
    </w:pPr>
    <w:rPr>
      <w:rFonts w:ascii="ITC Franklin Gothic Book" w:eastAsiaTheme="minorEastAsia" w:hAnsi="ITC Franklin Gothic Book" w:cs="ITC Franklin Gothic Book"/>
      <w:color w:val="000000"/>
      <w:sz w:val="18"/>
      <w:szCs w:val="18"/>
      <w:lang w:val="en-US"/>
    </w:rPr>
  </w:style>
  <w:style w:type="paragraph" w:customStyle="1" w:styleId="Pa63">
    <w:name w:val="Pa63"/>
    <w:basedOn w:val="Normal"/>
    <w:next w:val="Normal"/>
    <w:uiPriority w:val="99"/>
    <w:rsid w:val="00066093"/>
    <w:pPr>
      <w:suppressAutoHyphens w:val="0"/>
      <w:autoSpaceDE w:val="0"/>
      <w:autoSpaceDN w:val="0"/>
      <w:adjustRightInd w:val="0"/>
      <w:spacing w:before="0" w:after="0" w:line="181" w:lineRule="atLeast"/>
    </w:pPr>
    <w:rPr>
      <w:rFonts w:ascii="ITC Franklin Gothic Book" w:hAnsi="ITC Franklin Gothic Book"/>
    </w:rPr>
  </w:style>
  <w:style w:type="paragraph" w:customStyle="1" w:styleId="Pa64">
    <w:name w:val="Pa64"/>
    <w:basedOn w:val="Normal"/>
    <w:next w:val="Normal"/>
    <w:uiPriority w:val="99"/>
    <w:rsid w:val="00066093"/>
    <w:pPr>
      <w:suppressAutoHyphens w:val="0"/>
      <w:autoSpaceDE w:val="0"/>
      <w:autoSpaceDN w:val="0"/>
      <w:adjustRightInd w:val="0"/>
      <w:spacing w:before="0" w:after="0" w:line="181" w:lineRule="atLeast"/>
    </w:pPr>
    <w:rPr>
      <w:rFonts w:ascii="ITC Franklin Gothic Book" w:hAnsi="ITC Franklin Gothic Book"/>
    </w:rPr>
  </w:style>
  <w:style w:type="paragraph" w:customStyle="1" w:styleId="Pa12">
    <w:name w:val="Pa12"/>
    <w:basedOn w:val="Normal"/>
    <w:next w:val="Normal"/>
    <w:uiPriority w:val="99"/>
    <w:rsid w:val="00066093"/>
    <w:pPr>
      <w:suppressAutoHyphens w:val="0"/>
      <w:autoSpaceDE w:val="0"/>
      <w:autoSpaceDN w:val="0"/>
      <w:adjustRightInd w:val="0"/>
      <w:spacing w:before="0" w:after="0" w:line="181" w:lineRule="atLeast"/>
    </w:pPr>
    <w:rPr>
      <w:rFonts w:ascii="ITC Franklin Gothic Book" w:hAnsi="ITC Franklin Gothic Book"/>
    </w:rPr>
  </w:style>
  <w:style w:type="paragraph" w:customStyle="1" w:styleId="FranklinGothlicLargeTextFranklinGothicSection">
    <w:name w:val="Franklin Gothlic Large Text (Franklin Gothic Section)"/>
    <w:basedOn w:val="Normal"/>
    <w:uiPriority w:val="99"/>
    <w:rsid w:val="00F80959"/>
    <w:pPr>
      <w:widowControl w:val="0"/>
      <w:autoSpaceDE w:val="0"/>
      <w:autoSpaceDN w:val="0"/>
      <w:adjustRightInd w:val="0"/>
      <w:spacing w:before="0" w:after="135" w:line="360" w:lineRule="atLeast"/>
      <w:textAlignment w:val="center"/>
    </w:pPr>
    <w:rPr>
      <w:rFonts w:ascii="ITC Franklin Gothic Demi Italic" w:eastAsiaTheme="minorEastAsia" w:hAnsi="ITC Franklin Gothic Demi Italic" w:cs="ITC Franklin Gothic Demi Italic"/>
      <w:i/>
      <w:iCs/>
      <w:color w:val="000000"/>
      <w:sz w:val="28"/>
      <w:szCs w:val="28"/>
      <w:lang w:val="en-US"/>
    </w:rPr>
  </w:style>
  <w:style w:type="paragraph" w:customStyle="1" w:styleId="TableNoteABCGeneralStyles">
    <w:name w:val="Table Note ABC (General Styles)"/>
    <w:basedOn w:val="NoParagraphStyle"/>
    <w:uiPriority w:val="99"/>
    <w:rsid w:val="005A3418"/>
    <w:pPr>
      <w:tabs>
        <w:tab w:val="left" w:pos="283"/>
        <w:tab w:val="left" w:pos="360"/>
      </w:tabs>
      <w:suppressAutoHyphens/>
      <w:spacing w:after="20" w:line="200" w:lineRule="atLeast"/>
      <w:ind w:left="283" w:hanging="283"/>
    </w:pPr>
    <w:rPr>
      <w:rFonts w:ascii="Gill Sans Std Light" w:eastAsiaTheme="minorEastAsia" w:hAnsi="Gill Sans Std Light" w:cs="Gill Sans Std Light"/>
      <w:sz w:val="16"/>
      <w:szCs w:val="16"/>
      <w:lang w:val="en-US"/>
    </w:rPr>
  </w:style>
  <w:style w:type="character" w:customStyle="1" w:styleId="DemiBlack">
    <w:name w:val="Demi Black"/>
    <w:uiPriority w:val="99"/>
    <w:rsid w:val="005A3418"/>
    <w:rPr>
      <w:rFonts w:ascii="ITC Franklin Gothic Std Book" w:hAnsi="ITC Franklin Gothic Std Book" w:cs="ITC Franklin Gothic Std Book"/>
      <w:color w:val="000000"/>
    </w:rPr>
  </w:style>
  <w:style w:type="character" w:customStyle="1" w:styleId="DemiWhite">
    <w:name w:val="Demi White"/>
    <w:uiPriority w:val="99"/>
    <w:rsid w:val="005A3418"/>
    <w:rPr>
      <w:rFonts w:ascii="ITC Franklin Gothic Std Book" w:hAnsi="ITC Franklin Gothic Std Book" w:cs="ITC Franklin Gothic Std Book"/>
      <w:outline/>
    </w:rPr>
  </w:style>
  <w:style w:type="character" w:customStyle="1" w:styleId="FigureNumber">
    <w:name w:val="Figure Number"/>
    <w:uiPriority w:val="99"/>
    <w:rsid w:val="005A3418"/>
    <w:rPr>
      <w:color w:val="3E608F"/>
    </w:rPr>
  </w:style>
  <w:style w:type="character" w:customStyle="1" w:styleId="ProjectColour">
    <w:name w:val="Project Colour"/>
    <w:uiPriority w:val="99"/>
    <w:rsid w:val="00B85A6F"/>
    <w:rPr>
      <w:color w:val="3E608F"/>
    </w:rPr>
  </w:style>
  <w:style w:type="paragraph" w:styleId="Subtitle">
    <w:name w:val="Subtitle"/>
    <w:basedOn w:val="Normal"/>
    <w:next w:val="Normal"/>
    <w:link w:val="SubtitleChar"/>
    <w:uiPriority w:val="11"/>
    <w:qFormat/>
    <w:rsid w:val="0007454B"/>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7454B"/>
    <w:rPr>
      <w:rFonts w:asciiTheme="minorHAnsi" w:eastAsiaTheme="minorEastAsia" w:hAnsiTheme="minorHAnsi" w:cstheme="minorBidi"/>
      <w:color w:val="5A5A5A" w:themeColor="text1" w:themeTint="A5"/>
      <w:spacing w:val="15"/>
      <w:sz w:val="22"/>
      <w:szCs w:val="22"/>
    </w:rPr>
  </w:style>
  <w:style w:type="paragraph" w:customStyle="1" w:styleId="BodyPrebullet">
    <w:name w:val="Body Prebullet"/>
    <w:basedOn w:val="NoParagraphStyle"/>
    <w:uiPriority w:val="99"/>
    <w:rsid w:val="00373CAB"/>
    <w:pPr>
      <w:suppressAutoHyphens/>
      <w:spacing w:after="40" w:line="320" w:lineRule="atLeast"/>
    </w:pPr>
    <w:rPr>
      <w:rFonts w:ascii="ITC Franklin Gothic Std Book" w:eastAsiaTheme="minorEastAsia" w:hAnsi="ITC Franklin Gothic Std Book" w:cs="ITC Franklin Gothic Std Book"/>
      <w:sz w:val="22"/>
      <w:szCs w:val="22"/>
      <w:lang w:val="en-US"/>
    </w:rPr>
  </w:style>
  <w:style w:type="paragraph" w:customStyle="1" w:styleId="Bullet">
    <w:name w:val="Bullet"/>
    <w:basedOn w:val="NoParagraphStyle"/>
    <w:uiPriority w:val="99"/>
    <w:rsid w:val="00373CAB"/>
    <w:pPr>
      <w:tabs>
        <w:tab w:val="left" w:pos="587"/>
        <w:tab w:val="left" w:pos="907"/>
      </w:tabs>
      <w:suppressAutoHyphens/>
      <w:spacing w:after="40" w:line="320" w:lineRule="atLeast"/>
      <w:ind w:left="587" w:hanging="360"/>
    </w:pPr>
    <w:rPr>
      <w:rFonts w:ascii="ITC Franklin Gothic Std Book" w:eastAsiaTheme="minorEastAsia" w:hAnsi="ITC Franklin Gothic Std Book" w:cs="ITC Franklin Gothic Std Book"/>
      <w:sz w:val="22"/>
      <w:szCs w:val="22"/>
      <w:lang w:val="en-US"/>
    </w:rPr>
  </w:style>
  <w:style w:type="paragraph" w:customStyle="1" w:styleId="BulletLast">
    <w:name w:val="Bullet Last"/>
    <w:basedOn w:val="Bullet"/>
    <w:uiPriority w:val="99"/>
    <w:rsid w:val="00373CAB"/>
    <w:pPr>
      <w:spacing w:after="160"/>
    </w:pPr>
  </w:style>
  <w:style w:type="paragraph" w:customStyle="1" w:styleId="Body">
    <w:name w:val="Body"/>
    <w:basedOn w:val="NoParagraphStyle"/>
    <w:uiPriority w:val="99"/>
    <w:rsid w:val="00373CAB"/>
    <w:pPr>
      <w:suppressAutoHyphens/>
      <w:spacing w:after="160" w:line="320" w:lineRule="atLeast"/>
    </w:pPr>
    <w:rPr>
      <w:rFonts w:ascii="ITC Franklin Gothic Std Book" w:eastAsiaTheme="minorEastAsia" w:hAnsi="ITC Franklin Gothic Std Book" w:cs="ITC Franklin Gothic Std Book"/>
      <w:sz w:val="26"/>
      <w:szCs w:val="26"/>
      <w:lang w:val="en-US"/>
    </w:rPr>
  </w:style>
  <w:style w:type="character" w:customStyle="1" w:styleId="Grey">
    <w:name w:val="Grey"/>
    <w:uiPriority w:val="99"/>
    <w:rsid w:val="00373CAB"/>
    <w:rPr>
      <w:color w:val="55565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78886">
      <w:bodyDiv w:val="1"/>
      <w:marLeft w:val="0"/>
      <w:marRight w:val="0"/>
      <w:marTop w:val="0"/>
      <w:marBottom w:val="0"/>
      <w:divBdr>
        <w:top w:val="none" w:sz="0" w:space="0" w:color="auto"/>
        <w:left w:val="none" w:sz="0" w:space="0" w:color="auto"/>
        <w:bottom w:val="none" w:sz="0" w:space="0" w:color="auto"/>
        <w:right w:val="none" w:sz="0" w:space="0" w:color="auto"/>
      </w:divBdr>
    </w:div>
    <w:div w:id="68233506">
      <w:bodyDiv w:val="1"/>
      <w:marLeft w:val="0"/>
      <w:marRight w:val="0"/>
      <w:marTop w:val="0"/>
      <w:marBottom w:val="0"/>
      <w:divBdr>
        <w:top w:val="none" w:sz="0" w:space="0" w:color="auto"/>
        <w:left w:val="none" w:sz="0" w:space="0" w:color="auto"/>
        <w:bottom w:val="none" w:sz="0" w:space="0" w:color="auto"/>
        <w:right w:val="none" w:sz="0" w:space="0" w:color="auto"/>
      </w:divBdr>
    </w:div>
    <w:div w:id="117914533">
      <w:bodyDiv w:val="1"/>
      <w:marLeft w:val="0"/>
      <w:marRight w:val="0"/>
      <w:marTop w:val="0"/>
      <w:marBottom w:val="0"/>
      <w:divBdr>
        <w:top w:val="none" w:sz="0" w:space="0" w:color="auto"/>
        <w:left w:val="none" w:sz="0" w:space="0" w:color="auto"/>
        <w:bottom w:val="none" w:sz="0" w:space="0" w:color="auto"/>
        <w:right w:val="none" w:sz="0" w:space="0" w:color="auto"/>
      </w:divBdr>
    </w:div>
    <w:div w:id="126243955">
      <w:bodyDiv w:val="1"/>
      <w:marLeft w:val="0"/>
      <w:marRight w:val="0"/>
      <w:marTop w:val="0"/>
      <w:marBottom w:val="0"/>
      <w:divBdr>
        <w:top w:val="none" w:sz="0" w:space="0" w:color="auto"/>
        <w:left w:val="none" w:sz="0" w:space="0" w:color="auto"/>
        <w:bottom w:val="none" w:sz="0" w:space="0" w:color="auto"/>
        <w:right w:val="none" w:sz="0" w:space="0" w:color="auto"/>
      </w:divBdr>
    </w:div>
    <w:div w:id="159777461">
      <w:bodyDiv w:val="1"/>
      <w:marLeft w:val="0"/>
      <w:marRight w:val="0"/>
      <w:marTop w:val="0"/>
      <w:marBottom w:val="0"/>
      <w:divBdr>
        <w:top w:val="none" w:sz="0" w:space="0" w:color="auto"/>
        <w:left w:val="none" w:sz="0" w:space="0" w:color="auto"/>
        <w:bottom w:val="none" w:sz="0" w:space="0" w:color="auto"/>
        <w:right w:val="none" w:sz="0" w:space="0" w:color="auto"/>
      </w:divBdr>
    </w:div>
    <w:div w:id="177546379">
      <w:bodyDiv w:val="1"/>
      <w:marLeft w:val="0"/>
      <w:marRight w:val="0"/>
      <w:marTop w:val="0"/>
      <w:marBottom w:val="0"/>
      <w:divBdr>
        <w:top w:val="none" w:sz="0" w:space="0" w:color="auto"/>
        <w:left w:val="none" w:sz="0" w:space="0" w:color="auto"/>
        <w:bottom w:val="none" w:sz="0" w:space="0" w:color="auto"/>
        <w:right w:val="none" w:sz="0" w:space="0" w:color="auto"/>
      </w:divBdr>
    </w:div>
    <w:div w:id="289167735">
      <w:bodyDiv w:val="1"/>
      <w:marLeft w:val="0"/>
      <w:marRight w:val="0"/>
      <w:marTop w:val="0"/>
      <w:marBottom w:val="0"/>
      <w:divBdr>
        <w:top w:val="none" w:sz="0" w:space="0" w:color="auto"/>
        <w:left w:val="none" w:sz="0" w:space="0" w:color="auto"/>
        <w:bottom w:val="none" w:sz="0" w:space="0" w:color="auto"/>
        <w:right w:val="none" w:sz="0" w:space="0" w:color="auto"/>
      </w:divBdr>
    </w:div>
    <w:div w:id="291373497">
      <w:bodyDiv w:val="1"/>
      <w:marLeft w:val="0"/>
      <w:marRight w:val="0"/>
      <w:marTop w:val="0"/>
      <w:marBottom w:val="0"/>
      <w:divBdr>
        <w:top w:val="none" w:sz="0" w:space="0" w:color="auto"/>
        <w:left w:val="none" w:sz="0" w:space="0" w:color="auto"/>
        <w:bottom w:val="none" w:sz="0" w:space="0" w:color="auto"/>
        <w:right w:val="none" w:sz="0" w:space="0" w:color="auto"/>
      </w:divBdr>
    </w:div>
    <w:div w:id="300234194">
      <w:bodyDiv w:val="1"/>
      <w:marLeft w:val="0"/>
      <w:marRight w:val="0"/>
      <w:marTop w:val="0"/>
      <w:marBottom w:val="0"/>
      <w:divBdr>
        <w:top w:val="none" w:sz="0" w:space="0" w:color="auto"/>
        <w:left w:val="none" w:sz="0" w:space="0" w:color="auto"/>
        <w:bottom w:val="none" w:sz="0" w:space="0" w:color="auto"/>
        <w:right w:val="none" w:sz="0" w:space="0" w:color="auto"/>
      </w:divBdr>
    </w:div>
    <w:div w:id="309870076">
      <w:bodyDiv w:val="1"/>
      <w:marLeft w:val="0"/>
      <w:marRight w:val="0"/>
      <w:marTop w:val="0"/>
      <w:marBottom w:val="0"/>
      <w:divBdr>
        <w:top w:val="none" w:sz="0" w:space="0" w:color="auto"/>
        <w:left w:val="none" w:sz="0" w:space="0" w:color="auto"/>
        <w:bottom w:val="none" w:sz="0" w:space="0" w:color="auto"/>
        <w:right w:val="none" w:sz="0" w:space="0" w:color="auto"/>
      </w:divBdr>
    </w:div>
    <w:div w:id="310913766">
      <w:bodyDiv w:val="1"/>
      <w:marLeft w:val="0"/>
      <w:marRight w:val="0"/>
      <w:marTop w:val="0"/>
      <w:marBottom w:val="0"/>
      <w:divBdr>
        <w:top w:val="none" w:sz="0" w:space="0" w:color="auto"/>
        <w:left w:val="none" w:sz="0" w:space="0" w:color="auto"/>
        <w:bottom w:val="none" w:sz="0" w:space="0" w:color="auto"/>
        <w:right w:val="none" w:sz="0" w:space="0" w:color="auto"/>
      </w:divBdr>
    </w:div>
    <w:div w:id="316997878">
      <w:bodyDiv w:val="1"/>
      <w:marLeft w:val="0"/>
      <w:marRight w:val="0"/>
      <w:marTop w:val="0"/>
      <w:marBottom w:val="0"/>
      <w:divBdr>
        <w:top w:val="none" w:sz="0" w:space="0" w:color="auto"/>
        <w:left w:val="none" w:sz="0" w:space="0" w:color="auto"/>
        <w:bottom w:val="none" w:sz="0" w:space="0" w:color="auto"/>
        <w:right w:val="none" w:sz="0" w:space="0" w:color="auto"/>
      </w:divBdr>
    </w:div>
    <w:div w:id="322851807">
      <w:bodyDiv w:val="1"/>
      <w:marLeft w:val="0"/>
      <w:marRight w:val="0"/>
      <w:marTop w:val="0"/>
      <w:marBottom w:val="0"/>
      <w:divBdr>
        <w:top w:val="none" w:sz="0" w:space="0" w:color="auto"/>
        <w:left w:val="none" w:sz="0" w:space="0" w:color="auto"/>
        <w:bottom w:val="none" w:sz="0" w:space="0" w:color="auto"/>
        <w:right w:val="none" w:sz="0" w:space="0" w:color="auto"/>
      </w:divBdr>
    </w:div>
    <w:div w:id="339891757">
      <w:bodyDiv w:val="1"/>
      <w:marLeft w:val="0"/>
      <w:marRight w:val="0"/>
      <w:marTop w:val="0"/>
      <w:marBottom w:val="0"/>
      <w:divBdr>
        <w:top w:val="none" w:sz="0" w:space="0" w:color="auto"/>
        <w:left w:val="none" w:sz="0" w:space="0" w:color="auto"/>
        <w:bottom w:val="none" w:sz="0" w:space="0" w:color="auto"/>
        <w:right w:val="none" w:sz="0" w:space="0" w:color="auto"/>
      </w:divBdr>
    </w:div>
    <w:div w:id="383869941">
      <w:bodyDiv w:val="1"/>
      <w:marLeft w:val="0"/>
      <w:marRight w:val="0"/>
      <w:marTop w:val="0"/>
      <w:marBottom w:val="0"/>
      <w:divBdr>
        <w:top w:val="none" w:sz="0" w:space="0" w:color="auto"/>
        <w:left w:val="none" w:sz="0" w:space="0" w:color="auto"/>
        <w:bottom w:val="none" w:sz="0" w:space="0" w:color="auto"/>
        <w:right w:val="none" w:sz="0" w:space="0" w:color="auto"/>
      </w:divBdr>
    </w:div>
    <w:div w:id="383909937">
      <w:bodyDiv w:val="1"/>
      <w:marLeft w:val="0"/>
      <w:marRight w:val="0"/>
      <w:marTop w:val="0"/>
      <w:marBottom w:val="0"/>
      <w:divBdr>
        <w:top w:val="none" w:sz="0" w:space="0" w:color="auto"/>
        <w:left w:val="none" w:sz="0" w:space="0" w:color="auto"/>
        <w:bottom w:val="none" w:sz="0" w:space="0" w:color="auto"/>
        <w:right w:val="none" w:sz="0" w:space="0" w:color="auto"/>
      </w:divBdr>
    </w:div>
    <w:div w:id="425228017">
      <w:bodyDiv w:val="1"/>
      <w:marLeft w:val="0"/>
      <w:marRight w:val="0"/>
      <w:marTop w:val="0"/>
      <w:marBottom w:val="0"/>
      <w:divBdr>
        <w:top w:val="none" w:sz="0" w:space="0" w:color="auto"/>
        <w:left w:val="none" w:sz="0" w:space="0" w:color="auto"/>
        <w:bottom w:val="none" w:sz="0" w:space="0" w:color="auto"/>
        <w:right w:val="none" w:sz="0" w:space="0" w:color="auto"/>
      </w:divBdr>
    </w:div>
    <w:div w:id="447159759">
      <w:bodyDiv w:val="1"/>
      <w:marLeft w:val="0"/>
      <w:marRight w:val="0"/>
      <w:marTop w:val="0"/>
      <w:marBottom w:val="0"/>
      <w:divBdr>
        <w:top w:val="none" w:sz="0" w:space="0" w:color="auto"/>
        <w:left w:val="none" w:sz="0" w:space="0" w:color="auto"/>
        <w:bottom w:val="none" w:sz="0" w:space="0" w:color="auto"/>
        <w:right w:val="none" w:sz="0" w:space="0" w:color="auto"/>
      </w:divBdr>
    </w:div>
    <w:div w:id="454910518">
      <w:bodyDiv w:val="1"/>
      <w:marLeft w:val="0"/>
      <w:marRight w:val="0"/>
      <w:marTop w:val="0"/>
      <w:marBottom w:val="0"/>
      <w:divBdr>
        <w:top w:val="none" w:sz="0" w:space="0" w:color="auto"/>
        <w:left w:val="none" w:sz="0" w:space="0" w:color="auto"/>
        <w:bottom w:val="none" w:sz="0" w:space="0" w:color="auto"/>
        <w:right w:val="none" w:sz="0" w:space="0" w:color="auto"/>
      </w:divBdr>
    </w:div>
    <w:div w:id="471097515">
      <w:bodyDiv w:val="1"/>
      <w:marLeft w:val="0"/>
      <w:marRight w:val="0"/>
      <w:marTop w:val="0"/>
      <w:marBottom w:val="0"/>
      <w:divBdr>
        <w:top w:val="none" w:sz="0" w:space="0" w:color="auto"/>
        <w:left w:val="none" w:sz="0" w:space="0" w:color="auto"/>
        <w:bottom w:val="none" w:sz="0" w:space="0" w:color="auto"/>
        <w:right w:val="none" w:sz="0" w:space="0" w:color="auto"/>
      </w:divBdr>
    </w:div>
    <w:div w:id="579632705">
      <w:bodyDiv w:val="1"/>
      <w:marLeft w:val="0"/>
      <w:marRight w:val="0"/>
      <w:marTop w:val="0"/>
      <w:marBottom w:val="0"/>
      <w:divBdr>
        <w:top w:val="none" w:sz="0" w:space="0" w:color="auto"/>
        <w:left w:val="none" w:sz="0" w:space="0" w:color="auto"/>
        <w:bottom w:val="none" w:sz="0" w:space="0" w:color="auto"/>
        <w:right w:val="none" w:sz="0" w:space="0" w:color="auto"/>
      </w:divBdr>
    </w:div>
    <w:div w:id="616722735">
      <w:bodyDiv w:val="1"/>
      <w:marLeft w:val="0"/>
      <w:marRight w:val="0"/>
      <w:marTop w:val="0"/>
      <w:marBottom w:val="0"/>
      <w:divBdr>
        <w:top w:val="none" w:sz="0" w:space="0" w:color="auto"/>
        <w:left w:val="none" w:sz="0" w:space="0" w:color="auto"/>
        <w:bottom w:val="none" w:sz="0" w:space="0" w:color="auto"/>
        <w:right w:val="none" w:sz="0" w:space="0" w:color="auto"/>
      </w:divBdr>
    </w:div>
    <w:div w:id="659776344">
      <w:bodyDiv w:val="1"/>
      <w:marLeft w:val="0"/>
      <w:marRight w:val="0"/>
      <w:marTop w:val="0"/>
      <w:marBottom w:val="0"/>
      <w:divBdr>
        <w:top w:val="none" w:sz="0" w:space="0" w:color="auto"/>
        <w:left w:val="none" w:sz="0" w:space="0" w:color="auto"/>
        <w:bottom w:val="none" w:sz="0" w:space="0" w:color="auto"/>
        <w:right w:val="none" w:sz="0" w:space="0" w:color="auto"/>
      </w:divBdr>
    </w:div>
    <w:div w:id="680933441">
      <w:bodyDiv w:val="1"/>
      <w:marLeft w:val="0"/>
      <w:marRight w:val="0"/>
      <w:marTop w:val="0"/>
      <w:marBottom w:val="0"/>
      <w:divBdr>
        <w:top w:val="none" w:sz="0" w:space="0" w:color="auto"/>
        <w:left w:val="none" w:sz="0" w:space="0" w:color="auto"/>
        <w:bottom w:val="none" w:sz="0" w:space="0" w:color="auto"/>
        <w:right w:val="none" w:sz="0" w:space="0" w:color="auto"/>
      </w:divBdr>
    </w:div>
    <w:div w:id="709570870">
      <w:bodyDiv w:val="1"/>
      <w:marLeft w:val="0"/>
      <w:marRight w:val="0"/>
      <w:marTop w:val="0"/>
      <w:marBottom w:val="0"/>
      <w:divBdr>
        <w:top w:val="none" w:sz="0" w:space="0" w:color="auto"/>
        <w:left w:val="none" w:sz="0" w:space="0" w:color="auto"/>
        <w:bottom w:val="none" w:sz="0" w:space="0" w:color="auto"/>
        <w:right w:val="none" w:sz="0" w:space="0" w:color="auto"/>
      </w:divBdr>
    </w:div>
    <w:div w:id="793328173">
      <w:bodyDiv w:val="1"/>
      <w:marLeft w:val="0"/>
      <w:marRight w:val="0"/>
      <w:marTop w:val="0"/>
      <w:marBottom w:val="0"/>
      <w:divBdr>
        <w:top w:val="none" w:sz="0" w:space="0" w:color="auto"/>
        <w:left w:val="none" w:sz="0" w:space="0" w:color="auto"/>
        <w:bottom w:val="none" w:sz="0" w:space="0" w:color="auto"/>
        <w:right w:val="none" w:sz="0" w:space="0" w:color="auto"/>
      </w:divBdr>
    </w:div>
    <w:div w:id="801844922">
      <w:bodyDiv w:val="1"/>
      <w:marLeft w:val="0"/>
      <w:marRight w:val="0"/>
      <w:marTop w:val="0"/>
      <w:marBottom w:val="0"/>
      <w:divBdr>
        <w:top w:val="none" w:sz="0" w:space="0" w:color="auto"/>
        <w:left w:val="none" w:sz="0" w:space="0" w:color="auto"/>
        <w:bottom w:val="none" w:sz="0" w:space="0" w:color="auto"/>
        <w:right w:val="none" w:sz="0" w:space="0" w:color="auto"/>
      </w:divBdr>
    </w:div>
    <w:div w:id="830678666">
      <w:bodyDiv w:val="1"/>
      <w:marLeft w:val="0"/>
      <w:marRight w:val="0"/>
      <w:marTop w:val="0"/>
      <w:marBottom w:val="0"/>
      <w:divBdr>
        <w:top w:val="none" w:sz="0" w:space="0" w:color="auto"/>
        <w:left w:val="none" w:sz="0" w:space="0" w:color="auto"/>
        <w:bottom w:val="none" w:sz="0" w:space="0" w:color="auto"/>
        <w:right w:val="none" w:sz="0" w:space="0" w:color="auto"/>
      </w:divBdr>
    </w:div>
    <w:div w:id="850602420">
      <w:bodyDiv w:val="1"/>
      <w:marLeft w:val="0"/>
      <w:marRight w:val="0"/>
      <w:marTop w:val="0"/>
      <w:marBottom w:val="0"/>
      <w:divBdr>
        <w:top w:val="none" w:sz="0" w:space="0" w:color="auto"/>
        <w:left w:val="none" w:sz="0" w:space="0" w:color="auto"/>
        <w:bottom w:val="none" w:sz="0" w:space="0" w:color="auto"/>
        <w:right w:val="none" w:sz="0" w:space="0" w:color="auto"/>
      </w:divBdr>
    </w:div>
    <w:div w:id="853037540">
      <w:bodyDiv w:val="1"/>
      <w:marLeft w:val="0"/>
      <w:marRight w:val="0"/>
      <w:marTop w:val="0"/>
      <w:marBottom w:val="0"/>
      <w:divBdr>
        <w:top w:val="none" w:sz="0" w:space="0" w:color="auto"/>
        <w:left w:val="none" w:sz="0" w:space="0" w:color="auto"/>
        <w:bottom w:val="none" w:sz="0" w:space="0" w:color="auto"/>
        <w:right w:val="none" w:sz="0" w:space="0" w:color="auto"/>
      </w:divBdr>
    </w:div>
    <w:div w:id="894395367">
      <w:bodyDiv w:val="1"/>
      <w:marLeft w:val="0"/>
      <w:marRight w:val="0"/>
      <w:marTop w:val="0"/>
      <w:marBottom w:val="0"/>
      <w:divBdr>
        <w:top w:val="none" w:sz="0" w:space="0" w:color="auto"/>
        <w:left w:val="none" w:sz="0" w:space="0" w:color="auto"/>
        <w:bottom w:val="none" w:sz="0" w:space="0" w:color="auto"/>
        <w:right w:val="none" w:sz="0" w:space="0" w:color="auto"/>
      </w:divBdr>
    </w:div>
    <w:div w:id="902182954">
      <w:bodyDiv w:val="1"/>
      <w:marLeft w:val="0"/>
      <w:marRight w:val="0"/>
      <w:marTop w:val="0"/>
      <w:marBottom w:val="0"/>
      <w:divBdr>
        <w:top w:val="none" w:sz="0" w:space="0" w:color="auto"/>
        <w:left w:val="none" w:sz="0" w:space="0" w:color="auto"/>
        <w:bottom w:val="none" w:sz="0" w:space="0" w:color="auto"/>
        <w:right w:val="none" w:sz="0" w:space="0" w:color="auto"/>
      </w:divBdr>
    </w:div>
    <w:div w:id="914054751">
      <w:bodyDiv w:val="1"/>
      <w:marLeft w:val="0"/>
      <w:marRight w:val="0"/>
      <w:marTop w:val="0"/>
      <w:marBottom w:val="0"/>
      <w:divBdr>
        <w:top w:val="none" w:sz="0" w:space="0" w:color="auto"/>
        <w:left w:val="none" w:sz="0" w:space="0" w:color="auto"/>
        <w:bottom w:val="none" w:sz="0" w:space="0" w:color="auto"/>
        <w:right w:val="none" w:sz="0" w:space="0" w:color="auto"/>
      </w:divBdr>
    </w:div>
    <w:div w:id="981276058">
      <w:bodyDiv w:val="1"/>
      <w:marLeft w:val="0"/>
      <w:marRight w:val="0"/>
      <w:marTop w:val="0"/>
      <w:marBottom w:val="0"/>
      <w:divBdr>
        <w:top w:val="none" w:sz="0" w:space="0" w:color="auto"/>
        <w:left w:val="none" w:sz="0" w:space="0" w:color="auto"/>
        <w:bottom w:val="none" w:sz="0" w:space="0" w:color="auto"/>
        <w:right w:val="none" w:sz="0" w:space="0" w:color="auto"/>
      </w:divBdr>
    </w:div>
    <w:div w:id="1045762154">
      <w:bodyDiv w:val="1"/>
      <w:marLeft w:val="0"/>
      <w:marRight w:val="0"/>
      <w:marTop w:val="0"/>
      <w:marBottom w:val="0"/>
      <w:divBdr>
        <w:top w:val="none" w:sz="0" w:space="0" w:color="auto"/>
        <w:left w:val="none" w:sz="0" w:space="0" w:color="auto"/>
        <w:bottom w:val="none" w:sz="0" w:space="0" w:color="auto"/>
        <w:right w:val="none" w:sz="0" w:space="0" w:color="auto"/>
      </w:divBdr>
    </w:div>
    <w:div w:id="1055815836">
      <w:bodyDiv w:val="1"/>
      <w:marLeft w:val="0"/>
      <w:marRight w:val="0"/>
      <w:marTop w:val="0"/>
      <w:marBottom w:val="0"/>
      <w:divBdr>
        <w:top w:val="none" w:sz="0" w:space="0" w:color="auto"/>
        <w:left w:val="none" w:sz="0" w:space="0" w:color="auto"/>
        <w:bottom w:val="none" w:sz="0" w:space="0" w:color="auto"/>
        <w:right w:val="none" w:sz="0" w:space="0" w:color="auto"/>
      </w:divBdr>
    </w:div>
    <w:div w:id="1065176364">
      <w:bodyDiv w:val="1"/>
      <w:marLeft w:val="0"/>
      <w:marRight w:val="0"/>
      <w:marTop w:val="0"/>
      <w:marBottom w:val="0"/>
      <w:divBdr>
        <w:top w:val="none" w:sz="0" w:space="0" w:color="auto"/>
        <w:left w:val="none" w:sz="0" w:space="0" w:color="auto"/>
        <w:bottom w:val="none" w:sz="0" w:space="0" w:color="auto"/>
        <w:right w:val="none" w:sz="0" w:space="0" w:color="auto"/>
      </w:divBdr>
    </w:div>
    <w:div w:id="1098914772">
      <w:bodyDiv w:val="1"/>
      <w:marLeft w:val="0"/>
      <w:marRight w:val="0"/>
      <w:marTop w:val="0"/>
      <w:marBottom w:val="0"/>
      <w:divBdr>
        <w:top w:val="none" w:sz="0" w:space="0" w:color="auto"/>
        <w:left w:val="none" w:sz="0" w:space="0" w:color="auto"/>
        <w:bottom w:val="none" w:sz="0" w:space="0" w:color="auto"/>
        <w:right w:val="none" w:sz="0" w:space="0" w:color="auto"/>
      </w:divBdr>
    </w:div>
    <w:div w:id="1108891827">
      <w:bodyDiv w:val="1"/>
      <w:marLeft w:val="0"/>
      <w:marRight w:val="0"/>
      <w:marTop w:val="0"/>
      <w:marBottom w:val="0"/>
      <w:divBdr>
        <w:top w:val="none" w:sz="0" w:space="0" w:color="auto"/>
        <w:left w:val="none" w:sz="0" w:space="0" w:color="auto"/>
        <w:bottom w:val="none" w:sz="0" w:space="0" w:color="auto"/>
        <w:right w:val="none" w:sz="0" w:space="0" w:color="auto"/>
      </w:divBdr>
    </w:div>
    <w:div w:id="1198010112">
      <w:bodyDiv w:val="1"/>
      <w:marLeft w:val="0"/>
      <w:marRight w:val="0"/>
      <w:marTop w:val="0"/>
      <w:marBottom w:val="0"/>
      <w:divBdr>
        <w:top w:val="none" w:sz="0" w:space="0" w:color="auto"/>
        <w:left w:val="none" w:sz="0" w:space="0" w:color="auto"/>
        <w:bottom w:val="none" w:sz="0" w:space="0" w:color="auto"/>
        <w:right w:val="none" w:sz="0" w:space="0" w:color="auto"/>
      </w:divBdr>
    </w:div>
    <w:div w:id="1207140317">
      <w:bodyDiv w:val="1"/>
      <w:marLeft w:val="0"/>
      <w:marRight w:val="0"/>
      <w:marTop w:val="0"/>
      <w:marBottom w:val="0"/>
      <w:divBdr>
        <w:top w:val="none" w:sz="0" w:space="0" w:color="auto"/>
        <w:left w:val="none" w:sz="0" w:space="0" w:color="auto"/>
        <w:bottom w:val="none" w:sz="0" w:space="0" w:color="auto"/>
        <w:right w:val="none" w:sz="0" w:space="0" w:color="auto"/>
      </w:divBdr>
    </w:div>
    <w:div w:id="1211839285">
      <w:bodyDiv w:val="1"/>
      <w:marLeft w:val="0"/>
      <w:marRight w:val="0"/>
      <w:marTop w:val="0"/>
      <w:marBottom w:val="0"/>
      <w:divBdr>
        <w:top w:val="none" w:sz="0" w:space="0" w:color="auto"/>
        <w:left w:val="none" w:sz="0" w:space="0" w:color="auto"/>
        <w:bottom w:val="none" w:sz="0" w:space="0" w:color="auto"/>
        <w:right w:val="none" w:sz="0" w:space="0" w:color="auto"/>
      </w:divBdr>
    </w:div>
    <w:div w:id="1226337790">
      <w:bodyDiv w:val="1"/>
      <w:marLeft w:val="0"/>
      <w:marRight w:val="0"/>
      <w:marTop w:val="0"/>
      <w:marBottom w:val="0"/>
      <w:divBdr>
        <w:top w:val="none" w:sz="0" w:space="0" w:color="auto"/>
        <w:left w:val="none" w:sz="0" w:space="0" w:color="auto"/>
        <w:bottom w:val="none" w:sz="0" w:space="0" w:color="auto"/>
        <w:right w:val="none" w:sz="0" w:space="0" w:color="auto"/>
      </w:divBdr>
    </w:div>
    <w:div w:id="1249194459">
      <w:bodyDiv w:val="1"/>
      <w:marLeft w:val="0"/>
      <w:marRight w:val="0"/>
      <w:marTop w:val="0"/>
      <w:marBottom w:val="0"/>
      <w:divBdr>
        <w:top w:val="none" w:sz="0" w:space="0" w:color="auto"/>
        <w:left w:val="none" w:sz="0" w:space="0" w:color="auto"/>
        <w:bottom w:val="none" w:sz="0" w:space="0" w:color="auto"/>
        <w:right w:val="none" w:sz="0" w:space="0" w:color="auto"/>
      </w:divBdr>
    </w:div>
    <w:div w:id="1253928055">
      <w:bodyDiv w:val="1"/>
      <w:marLeft w:val="0"/>
      <w:marRight w:val="0"/>
      <w:marTop w:val="0"/>
      <w:marBottom w:val="0"/>
      <w:divBdr>
        <w:top w:val="none" w:sz="0" w:space="0" w:color="auto"/>
        <w:left w:val="none" w:sz="0" w:space="0" w:color="auto"/>
        <w:bottom w:val="none" w:sz="0" w:space="0" w:color="auto"/>
        <w:right w:val="none" w:sz="0" w:space="0" w:color="auto"/>
      </w:divBdr>
    </w:div>
    <w:div w:id="1282491292">
      <w:bodyDiv w:val="1"/>
      <w:marLeft w:val="0"/>
      <w:marRight w:val="0"/>
      <w:marTop w:val="0"/>
      <w:marBottom w:val="0"/>
      <w:divBdr>
        <w:top w:val="none" w:sz="0" w:space="0" w:color="auto"/>
        <w:left w:val="none" w:sz="0" w:space="0" w:color="auto"/>
        <w:bottom w:val="none" w:sz="0" w:space="0" w:color="auto"/>
        <w:right w:val="none" w:sz="0" w:space="0" w:color="auto"/>
      </w:divBdr>
    </w:div>
    <w:div w:id="1292634655">
      <w:bodyDiv w:val="1"/>
      <w:marLeft w:val="0"/>
      <w:marRight w:val="0"/>
      <w:marTop w:val="0"/>
      <w:marBottom w:val="0"/>
      <w:divBdr>
        <w:top w:val="none" w:sz="0" w:space="0" w:color="auto"/>
        <w:left w:val="none" w:sz="0" w:space="0" w:color="auto"/>
        <w:bottom w:val="none" w:sz="0" w:space="0" w:color="auto"/>
        <w:right w:val="none" w:sz="0" w:space="0" w:color="auto"/>
      </w:divBdr>
    </w:div>
    <w:div w:id="1301421078">
      <w:bodyDiv w:val="1"/>
      <w:marLeft w:val="0"/>
      <w:marRight w:val="0"/>
      <w:marTop w:val="0"/>
      <w:marBottom w:val="0"/>
      <w:divBdr>
        <w:top w:val="none" w:sz="0" w:space="0" w:color="auto"/>
        <w:left w:val="none" w:sz="0" w:space="0" w:color="auto"/>
        <w:bottom w:val="none" w:sz="0" w:space="0" w:color="auto"/>
        <w:right w:val="none" w:sz="0" w:space="0" w:color="auto"/>
      </w:divBdr>
    </w:div>
    <w:div w:id="1302928550">
      <w:bodyDiv w:val="1"/>
      <w:marLeft w:val="0"/>
      <w:marRight w:val="0"/>
      <w:marTop w:val="0"/>
      <w:marBottom w:val="0"/>
      <w:divBdr>
        <w:top w:val="none" w:sz="0" w:space="0" w:color="auto"/>
        <w:left w:val="none" w:sz="0" w:space="0" w:color="auto"/>
        <w:bottom w:val="none" w:sz="0" w:space="0" w:color="auto"/>
        <w:right w:val="none" w:sz="0" w:space="0" w:color="auto"/>
      </w:divBdr>
    </w:div>
    <w:div w:id="1321806955">
      <w:bodyDiv w:val="1"/>
      <w:marLeft w:val="0"/>
      <w:marRight w:val="0"/>
      <w:marTop w:val="0"/>
      <w:marBottom w:val="0"/>
      <w:divBdr>
        <w:top w:val="none" w:sz="0" w:space="0" w:color="auto"/>
        <w:left w:val="none" w:sz="0" w:space="0" w:color="auto"/>
        <w:bottom w:val="none" w:sz="0" w:space="0" w:color="auto"/>
        <w:right w:val="none" w:sz="0" w:space="0" w:color="auto"/>
      </w:divBdr>
    </w:div>
    <w:div w:id="1384716848">
      <w:bodyDiv w:val="1"/>
      <w:marLeft w:val="0"/>
      <w:marRight w:val="0"/>
      <w:marTop w:val="0"/>
      <w:marBottom w:val="0"/>
      <w:divBdr>
        <w:top w:val="none" w:sz="0" w:space="0" w:color="auto"/>
        <w:left w:val="none" w:sz="0" w:space="0" w:color="auto"/>
        <w:bottom w:val="none" w:sz="0" w:space="0" w:color="auto"/>
        <w:right w:val="none" w:sz="0" w:space="0" w:color="auto"/>
      </w:divBdr>
    </w:div>
    <w:div w:id="1403410402">
      <w:bodyDiv w:val="1"/>
      <w:marLeft w:val="0"/>
      <w:marRight w:val="0"/>
      <w:marTop w:val="0"/>
      <w:marBottom w:val="0"/>
      <w:divBdr>
        <w:top w:val="none" w:sz="0" w:space="0" w:color="auto"/>
        <w:left w:val="none" w:sz="0" w:space="0" w:color="auto"/>
        <w:bottom w:val="none" w:sz="0" w:space="0" w:color="auto"/>
        <w:right w:val="none" w:sz="0" w:space="0" w:color="auto"/>
      </w:divBdr>
    </w:div>
    <w:div w:id="1425498555">
      <w:bodyDiv w:val="1"/>
      <w:marLeft w:val="0"/>
      <w:marRight w:val="0"/>
      <w:marTop w:val="0"/>
      <w:marBottom w:val="0"/>
      <w:divBdr>
        <w:top w:val="none" w:sz="0" w:space="0" w:color="auto"/>
        <w:left w:val="none" w:sz="0" w:space="0" w:color="auto"/>
        <w:bottom w:val="none" w:sz="0" w:space="0" w:color="auto"/>
        <w:right w:val="none" w:sz="0" w:space="0" w:color="auto"/>
      </w:divBdr>
    </w:div>
    <w:div w:id="1459378181">
      <w:bodyDiv w:val="1"/>
      <w:marLeft w:val="0"/>
      <w:marRight w:val="0"/>
      <w:marTop w:val="0"/>
      <w:marBottom w:val="0"/>
      <w:divBdr>
        <w:top w:val="none" w:sz="0" w:space="0" w:color="auto"/>
        <w:left w:val="none" w:sz="0" w:space="0" w:color="auto"/>
        <w:bottom w:val="none" w:sz="0" w:space="0" w:color="auto"/>
        <w:right w:val="none" w:sz="0" w:space="0" w:color="auto"/>
      </w:divBdr>
    </w:div>
    <w:div w:id="1476989409">
      <w:bodyDiv w:val="1"/>
      <w:marLeft w:val="0"/>
      <w:marRight w:val="0"/>
      <w:marTop w:val="0"/>
      <w:marBottom w:val="0"/>
      <w:divBdr>
        <w:top w:val="none" w:sz="0" w:space="0" w:color="auto"/>
        <w:left w:val="none" w:sz="0" w:space="0" w:color="auto"/>
        <w:bottom w:val="none" w:sz="0" w:space="0" w:color="auto"/>
        <w:right w:val="none" w:sz="0" w:space="0" w:color="auto"/>
      </w:divBdr>
    </w:div>
    <w:div w:id="1566378242">
      <w:bodyDiv w:val="1"/>
      <w:marLeft w:val="0"/>
      <w:marRight w:val="0"/>
      <w:marTop w:val="0"/>
      <w:marBottom w:val="0"/>
      <w:divBdr>
        <w:top w:val="none" w:sz="0" w:space="0" w:color="auto"/>
        <w:left w:val="none" w:sz="0" w:space="0" w:color="auto"/>
        <w:bottom w:val="none" w:sz="0" w:space="0" w:color="auto"/>
        <w:right w:val="none" w:sz="0" w:space="0" w:color="auto"/>
      </w:divBdr>
    </w:div>
    <w:div w:id="1571498080">
      <w:bodyDiv w:val="1"/>
      <w:marLeft w:val="0"/>
      <w:marRight w:val="0"/>
      <w:marTop w:val="0"/>
      <w:marBottom w:val="0"/>
      <w:divBdr>
        <w:top w:val="none" w:sz="0" w:space="0" w:color="auto"/>
        <w:left w:val="none" w:sz="0" w:space="0" w:color="auto"/>
        <w:bottom w:val="none" w:sz="0" w:space="0" w:color="auto"/>
        <w:right w:val="none" w:sz="0" w:space="0" w:color="auto"/>
      </w:divBdr>
    </w:div>
    <w:div w:id="1653097632">
      <w:bodyDiv w:val="1"/>
      <w:marLeft w:val="0"/>
      <w:marRight w:val="0"/>
      <w:marTop w:val="0"/>
      <w:marBottom w:val="0"/>
      <w:divBdr>
        <w:top w:val="none" w:sz="0" w:space="0" w:color="auto"/>
        <w:left w:val="none" w:sz="0" w:space="0" w:color="auto"/>
        <w:bottom w:val="none" w:sz="0" w:space="0" w:color="auto"/>
        <w:right w:val="none" w:sz="0" w:space="0" w:color="auto"/>
      </w:divBdr>
    </w:div>
    <w:div w:id="1654260672">
      <w:bodyDiv w:val="1"/>
      <w:marLeft w:val="0"/>
      <w:marRight w:val="0"/>
      <w:marTop w:val="0"/>
      <w:marBottom w:val="0"/>
      <w:divBdr>
        <w:top w:val="none" w:sz="0" w:space="0" w:color="auto"/>
        <w:left w:val="none" w:sz="0" w:space="0" w:color="auto"/>
        <w:bottom w:val="none" w:sz="0" w:space="0" w:color="auto"/>
        <w:right w:val="none" w:sz="0" w:space="0" w:color="auto"/>
      </w:divBdr>
    </w:div>
    <w:div w:id="1673801804">
      <w:bodyDiv w:val="1"/>
      <w:marLeft w:val="0"/>
      <w:marRight w:val="0"/>
      <w:marTop w:val="0"/>
      <w:marBottom w:val="0"/>
      <w:divBdr>
        <w:top w:val="none" w:sz="0" w:space="0" w:color="auto"/>
        <w:left w:val="none" w:sz="0" w:space="0" w:color="auto"/>
        <w:bottom w:val="none" w:sz="0" w:space="0" w:color="auto"/>
        <w:right w:val="none" w:sz="0" w:space="0" w:color="auto"/>
      </w:divBdr>
    </w:div>
    <w:div w:id="1708095922">
      <w:bodyDiv w:val="1"/>
      <w:marLeft w:val="0"/>
      <w:marRight w:val="0"/>
      <w:marTop w:val="0"/>
      <w:marBottom w:val="0"/>
      <w:divBdr>
        <w:top w:val="none" w:sz="0" w:space="0" w:color="auto"/>
        <w:left w:val="none" w:sz="0" w:space="0" w:color="auto"/>
        <w:bottom w:val="none" w:sz="0" w:space="0" w:color="auto"/>
        <w:right w:val="none" w:sz="0" w:space="0" w:color="auto"/>
      </w:divBdr>
    </w:div>
    <w:div w:id="1712803588">
      <w:bodyDiv w:val="1"/>
      <w:marLeft w:val="0"/>
      <w:marRight w:val="0"/>
      <w:marTop w:val="0"/>
      <w:marBottom w:val="0"/>
      <w:divBdr>
        <w:top w:val="none" w:sz="0" w:space="0" w:color="auto"/>
        <w:left w:val="none" w:sz="0" w:space="0" w:color="auto"/>
        <w:bottom w:val="none" w:sz="0" w:space="0" w:color="auto"/>
        <w:right w:val="none" w:sz="0" w:space="0" w:color="auto"/>
      </w:divBdr>
    </w:div>
    <w:div w:id="1713265562">
      <w:bodyDiv w:val="1"/>
      <w:marLeft w:val="0"/>
      <w:marRight w:val="0"/>
      <w:marTop w:val="0"/>
      <w:marBottom w:val="0"/>
      <w:divBdr>
        <w:top w:val="none" w:sz="0" w:space="0" w:color="auto"/>
        <w:left w:val="none" w:sz="0" w:space="0" w:color="auto"/>
        <w:bottom w:val="none" w:sz="0" w:space="0" w:color="auto"/>
        <w:right w:val="none" w:sz="0" w:space="0" w:color="auto"/>
      </w:divBdr>
    </w:div>
    <w:div w:id="1746874891">
      <w:bodyDiv w:val="1"/>
      <w:marLeft w:val="0"/>
      <w:marRight w:val="0"/>
      <w:marTop w:val="0"/>
      <w:marBottom w:val="0"/>
      <w:divBdr>
        <w:top w:val="none" w:sz="0" w:space="0" w:color="auto"/>
        <w:left w:val="none" w:sz="0" w:space="0" w:color="auto"/>
        <w:bottom w:val="none" w:sz="0" w:space="0" w:color="auto"/>
        <w:right w:val="none" w:sz="0" w:space="0" w:color="auto"/>
      </w:divBdr>
    </w:div>
    <w:div w:id="1777670894">
      <w:bodyDiv w:val="1"/>
      <w:marLeft w:val="0"/>
      <w:marRight w:val="0"/>
      <w:marTop w:val="0"/>
      <w:marBottom w:val="0"/>
      <w:divBdr>
        <w:top w:val="none" w:sz="0" w:space="0" w:color="auto"/>
        <w:left w:val="none" w:sz="0" w:space="0" w:color="auto"/>
        <w:bottom w:val="none" w:sz="0" w:space="0" w:color="auto"/>
        <w:right w:val="none" w:sz="0" w:space="0" w:color="auto"/>
      </w:divBdr>
    </w:div>
    <w:div w:id="1810973581">
      <w:bodyDiv w:val="1"/>
      <w:marLeft w:val="0"/>
      <w:marRight w:val="0"/>
      <w:marTop w:val="0"/>
      <w:marBottom w:val="0"/>
      <w:divBdr>
        <w:top w:val="none" w:sz="0" w:space="0" w:color="auto"/>
        <w:left w:val="none" w:sz="0" w:space="0" w:color="auto"/>
        <w:bottom w:val="none" w:sz="0" w:space="0" w:color="auto"/>
        <w:right w:val="none" w:sz="0" w:space="0" w:color="auto"/>
      </w:divBdr>
    </w:div>
    <w:div w:id="1813449230">
      <w:bodyDiv w:val="1"/>
      <w:marLeft w:val="0"/>
      <w:marRight w:val="0"/>
      <w:marTop w:val="0"/>
      <w:marBottom w:val="0"/>
      <w:divBdr>
        <w:top w:val="none" w:sz="0" w:space="0" w:color="auto"/>
        <w:left w:val="none" w:sz="0" w:space="0" w:color="auto"/>
        <w:bottom w:val="none" w:sz="0" w:space="0" w:color="auto"/>
        <w:right w:val="none" w:sz="0" w:space="0" w:color="auto"/>
      </w:divBdr>
    </w:div>
    <w:div w:id="1835608701">
      <w:bodyDiv w:val="1"/>
      <w:marLeft w:val="0"/>
      <w:marRight w:val="0"/>
      <w:marTop w:val="0"/>
      <w:marBottom w:val="0"/>
      <w:divBdr>
        <w:top w:val="none" w:sz="0" w:space="0" w:color="auto"/>
        <w:left w:val="none" w:sz="0" w:space="0" w:color="auto"/>
        <w:bottom w:val="none" w:sz="0" w:space="0" w:color="auto"/>
        <w:right w:val="none" w:sz="0" w:space="0" w:color="auto"/>
      </w:divBdr>
    </w:div>
    <w:div w:id="1840538355">
      <w:bodyDiv w:val="1"/>
      <w:marLeft w:val="0"/>
      <w:marRight w:val="0"/>
      <w:marTop w:val="0"/>
      <w:marBottom w:val="0"/>
      <w:divBdr>
        <w:top w:val="none" w:sz="0" w:space="0" w:color="auto"/>
        <w:left w:val="none" w:sz="0" w:space="0" w:color="auto"/>
        <w:bottom w:val="none" w:sz="0" w:space="0" w:color="auto"/>
        <w:right w:val="none" w:sz="0" w:space="0" w:color="auto"/>
      </w:divBdr>
    </w:div>
    <w:div w:id="1859930354">
      <w:bodyDiv w:val="1"/>
      <w:marLeft w:val="0"/>
      <w:marRight w:val="0"/>
      <w:marTop w:val="0"/>
      <w:marBottom w:val="0"/>
      <w:divBdr>
        <w:top w:val="none" w:sz="0" w:space="0" w:color="auto"/>
        <w:left w:val="none" w:sz="0" w:space="0" w:color="auto"/>
        <w:bottom w:val="none" w:sz="0" w:space="0" w:color="auto"/>
        <w:right w:val="none" w:sz="0" w:space="0" w:color="auto"/>
      </w:divBdr>
    </w:div>
    <w:div w:id="1874885063">
      <w:bodyDiv w:val="1"/>
      <w:marLeft w:val="0"/>
      <w:marRight w:val="0"/>
      <w:marTop w:val="0"/>
      <w:marBottom w:val="0"/>
      <w:divBdr>
        <w:top w:val="none" w:sz="0" w:space="0" w:color="auto"/>
        <w:left w:val="none" w:sz="0" w:space="0" w:color="auto"/>
        <w:bottom w:val="none" w:sz="0" w:space="0" w:color="auto"/>
        <w:right w:val="none" w:sz="0" w:space="0" w:color="auto"/>
      </w:divBdr>
    </w:div>
    <w:div w:id="1881087845">
      <w:bodyDiv w:val="1"/>
      <w:marLeft w:val="0"/>
      <w:marRight w:val="0"/>
      <w:marTop w:val="0"/>
      <w:marBottom w:val="0"/>
      <w:divBdr>
        <w:top w:val="none" w:sz="0" w:space="0" w:color="auto"/>
        <w:left w:val="none" w:sz="0" w:space="0" w:color="auto"/>
        <w:bottom w:val="none" w:sz="0" w:space="0" w:color="auto"/>
        <w:right w:val="none" w:sz="0" w:space="0" w:color="auto"/>
      </w:divBdr>
    </w:div>
    <w:div w:id="1883667520">
      <w:bodyDiv w:val="1"/>
      <w:marLeft w:val="0"/>
      <w:marRight w:val="0"/>
      <w:marTop w:val="0"/>
      <w:marBottom w:val="0"/>
      <w:divBdr>
        <w:top w:val="none" w:sz="0" w:space="0" w:color="auto"/>
        <w:left w:val="none" w:sz="0" w:space="0" w:color="auto"/>
        <w:bottom w:val="none" w:sz="0" w:space="0" w:color="auto"/>
        <w:right w:val="none" w:sz="0" w:space="0" w:color="auto"/>
      </w:divBdr>
    </w:div>
    <w:div w:id="1888494714">
      <w:bodyDiv w:val="1"/>
      <w:marLeft w:val="0"/>
      <w:marRight w:val="0"/>
      <w:marTop w:val="0"/>
      <w:marBottom w:val="0"/>
      <w:divBdr>
        <w:top w:val="none" w:sz="0" w:space="0" w:color="auto"/>
        <w:left w:val="none" w:sz="0" w:space="0" w:color="auto"/>
        <w:bottom w:val="none" w:sz="0" w:space="0" w:color="auto"/>
        <w:right w:val="none" w:sz="0" w:space="0" w:color="auto"/>
      </w:divBdr>
    </w:div>
    <w:div w:id="1923879240">
      <w:bodyDiv w:val="1"/>
      <w:marLeft w:val="0"/>
      <w:marRight w:val="0"/>
      <w:marTop w:val="0"/>
      <w:marBottom w:val="0"/>
      <w:divBdr>
        <w:top w:val="none" w:sz="0" w:space="0" w:color="auto"/>
        <w:left w:val="none" w:sz="0" w:space="0" w:color="auto"/>
        <w:bottom w:val="none" w:sz="0" w:space="0" w:color="auto"/>
        <w:right w:val="none" w:sz="0" w:space="0" w:color="auto"/>
      </w:divBdr>
    </w:div>
    <w:div w:id="1938055205">
      <w:bodyDiv w:val="1"/>
      <w:marLeft w:val="0"/>
      <w:marRight w:val="0"/>
      <w:marTop w:val="0"/>
      <w:marBottom w:val="0"/>
      <w:divBdr>
        <w:top w:val="none" w:sz="0" w:space="0" w:color="auto"/>
        <w:left w:val="none" w:sz="0" w:space="0" w:color="auto"/>
        <w:bottom w:val="none" w:sz="0" w:space="0" w:color="auto"/>
        <w:right w:val="none" w:sz="0" w:space="0" w:color="auto"/>
      </w:divBdr>
    </w:div>
    <w:div w:id="1938639780">
      <w:bodyDiv w:val="1"/>
      <w:marLeft w:val="0"/>
      <w:marRight w:val="0"/>
      <w:marTop w:val="0"/>
      <w:marBottom w:val="0"/>
      <w:divBdr>
        <w:top w:val="none" w:sz="0" w:space="0" w:color="auto"/>
        <w:left w:val="none" w:sz="0" w:space="0" w:color="auto"/>
        <w:bottom w:val="none" w:sz="0" w:space="0" w:color="auto"/>
        <w:right w:val="none" w:sz="0" w:space="0" w:color="auto"/>
      </w:divBdr>
    </w:div>
    <w:div w:id="2029401262">
      <w:bodyDiv w:val="1"/>
      <w:marLeft w:val="0"/>
      <w:marRight w:val="0"/>
      <w:marTop w:val="0"/>
      <w:marBottom w:val="0"/>
      <w:divBdr>
        <w:top w:val="none" w:sz="0" w:space="0" w:color="auto"/>
        <w:left w:val="none" w:sz="0" w:space="0" w:color="auto"/>
        <w:bottom w:val="none" w:sz="0" w:space="0" w:color="auto"/>
        <w:right w:val="none" w:sz="0" w:space="0" w:color="auto"/>
      </w:divBdr>
    </w:div>
    <w:div w:id="2041466869">
      <w:bodyDiv w:val="1"/>
      <w:marLeft w:val="0"/>
      <w:marRight w:val="0"/>
      <w:marTop w:val="0"/>
      <w:marBottom w:val="0"/>
      <w:divBdr>
        <w:top w:val="none" w:sz="0" w:space="0" w:color="auto"/>
        <w:left w:val="none" w:sz="0" w:space="0" w:color="auto"/>
        <w:bottom w:val="none" w:sz="0" w:space="0" w:color="auto"/>
        <w:right w:val="none" w:sz="0" w:space="0" w:color="auto"/>
      </w:divBdr>
    </w:div>
    <w:div w:id="2052803215">
      <w:bodyDiv w:val="1"/>
      <w:marLeft w:val="0"/>
      <w:marRight w:val="0"/>
      <w:marTop w:val="0"/>
      <w:marBottom w:val="0"/>
      <w:divBdr>
        <w:top w:val="none" w:sz="0" w:space="0" w:color="auto"/>
        <w:left w:val="none" w:sz="0" w:space="0" w:color="auto"/>
        <w:bottom w:val="none" w:sz="0" w:space="0" w:color="auto"/>
        <w:right w:val="none" w:sz="0" w:space="0" w:color="auto"/>
      </w:divBdr>
    </w:div>
    <w:div w:id="209617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E2F97-784C-4568-988D-93C20D27C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Threat_Offences_in_Victoria_Factsheet.docx</Template>
  <TotalTime>28</TotalTime>
  <Pages>3</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Threat Offences in Victoria Factsheet</vt:lpstr>
    </vt:vector>
  </TitlesOfParts>
  <Company>Sentencing Advisory Council</Company>
  <LinksUpToDate>false</LinksUpToDate>
  <CharactersWithSpaces>3315</CharactersWithSpaces>
  <SharedDoc>false</SharedDoc>
  <HLinks>
    <vt:vector size="48" baseType="variant">
      <vt:variant>
        <vt:i4>1572912</vt:i4>
      </vt:variant>
      <vt:variant>
        <vt:i4>44</vt:i4>
      </vt:variant>
      <vt:variant>
        <vt:i4>0</vt:i4>
      </vt:variant>
      <vt:variant>
        <vt:i4>5</vt:i4>
      </vt:variant>
      <vt:variant>
        <vt:lpwstr/>
      </vt:variant>
      <vt:variant>
        <vt:lpwstr>_Toc415058465</vt:lpwstr>
      </vt:variant>
      <vt:variant>
        <vt:i4>1572912</vt:i4>
      </vt:variant>
      <vt:variant>
        <vt:i4>38</vt:i4>
      </vt:variant>
      <vt:variant>
        <vt:i4>0</vt:i4>
      </vt:variant>
      <vt:variant>
        <vt:i4>5</vt:i4>
      </vt:variant>
      <vt:variant>
        <vt:lpwstr/>
      </vt:variant>
      <vt:variant>
        <vt:lpwstr>_Toc415058464</vt:lpwstr>
      </vt:variant>
      <vt:variant>
        <vt:i4>1572912</vt:i4>
      </vt:variant>
      <vt:variant>
        <vt:i4>32</vt:i4>
      </vt:variant>
      <vt:variant>
        <vt:i4>0</vt:i4>
      </vt:variant>
      <vt:variant>
        <vt:i4>5</vt:i4>
      </vt:variant>
      <vt:variant>
        <vt:lpwstr/>
      </vt:variant>
      <vt:variant>
        <vt:lpwstr>_Toc415058463</vt:lpwstr>
      </vt:variant>
      <vt:variant>
        <vt:i4>1572912</vt:i4>
      </vt:variant>
      <vt:variant>
        <vt:i4>26</vt:i4>
      </vt:variant>
      <vt:variant>
        <vt:i4>0</vt:i4>
      </vt:variant>
      <vt:variant>
        <vt:i4>5</vt:i4>
      </vt:variant>
      <vt:variant>
        <vt:lpwstr/>
      </vt:variant>
      <vt:variant>
        <vt:lpwstr>_Toc415058462</vt:lpwstr>
      </vt:variant>
      <vt:variant>
        <vt:i4>1572912</vt:i4>
      </vt:variant>
      <vt:variant>
        <vt:i4>20</vt:i4>
      </vt:variant>
      <vt:variant>
        <vt:i4>0</vt:i4>
      </vt:variant>
      <vt:variant>
        <vt:i4>5</vt:i4>
      </vt:variant>
      <vt:variant>
        <vt:lpwstr/>
      </vt:variant>
      <vt:variant>
        <vt:lpwstr>_Toc415058461</vt:lpwstr>
      </vt:variant>
      <vt:variant>
        <vt:i4>1572912</vt:i4>
      </vt:variant>
      <vt:variant>
        <vt:i4>14</vt:i4>
      </vt:variant>
      <vt:variant>
        <vt:i4>0</vt:i4>
      </vt:variant>
      <vt:variant>
        <vt:i4>5</vt:i4>
      </vt:variant>
      <vt:variant>
        <vt:lpwstr/>
      </vt:variant>
      <vt:variant>
        <vt:lpwstr>_Toc415058460</vt:lpwstr>
      </vt:variant>
      <vt:variant>
        <vt:i4>1769520</vt:i4>
      </vt:variant>
      <vt:variant>
        <vt:i4>8</vt:i4>
      </vt:variant>
      <vt:variant>
        <vt:i4>0</vt:i4>
      </vt:variant>
      <vt:variant>
        <vt:i4>5</vt:i4>
      </vt:variant>
      <vt:variant>
        <vt:lpwstr/>
      </vt:variant>
      <vt:variant>
        <vt:lpwstr>_Toc415058459</vt:lpwstr>
      </vt:variant>
      <vt:variant>
        <vt:i4>1769520</vt:i4>
      </vt:variant>
      <vt:variant>
        <vt:i4>2</vt:i4>
      </vt:variant>
      <vt:variant>
        <vt:i4>0</vt:i4>
      </vt:variant>
      <vt:variant>
        <vt:i4>5</vt:i4>
      </vt:variant>
      <vt:variant>
        <vt:lpwstr/>
      </vt:variant>
      <vt:variant>
        <vt:lpwstr>_Toc415058458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Threat Offences in Victoria Factsheet</dc:title>
  <dc:subject/>
  <dc:creator>Sentencing Advisory Council</dc:creator>
  <cp:keywords/>
  <dc:description/>
  <cp:lastModifiedBy>Catherine M Jeffreys (DJCS)</cp:lastModifiedBy>
  <cp:revision>61</cp:revision>
  <dcterms:created xsi:type="dcterms:W3CDTF">2021-06-24T06:54:00Z</dcterms:created>
  <dcterms:modified xsi:type="dcterms:W3CDTF">2021-06-24T07:24:00Z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-344614904</vt:i4>
  </property>
</Properties>
</file>