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103A" w14:textId="77C4ADB5" w:rsidR="00B85A6F" w:rsidRPr="00D36673" w:rsidRDefault="00B85A6F" w:rsidP="0065042D">
      <w:pPr>
        <w:pStyle w:val="Title"/>
      </w:pPr>
      <w:r w:rsidRPr="00EB1C36">
        <w:t>Threat Offences in Victoria:</w:t>
      </w:r>
      <w:r w:rsidR="0065042D" w:rsidRPr="00EB1C36">
        <w:t xml:space="preserve"> </w:t>
      </w:r>
      <w:r w:rsidRPr="00D36673">
        <w:t>Sentencing Outcomes and Reoffending</w:t>
      </w:r>
    </w:p>
    <w:p w14:paraId="0583C017" w14:textId="324B987E" w:rsidR="00C2337E" w:rsidRPr="00D36673" w:rsidRDefault="00C2337E" w:rsidP="00A92113">
      <w:pPr>
        <w:rPr>
          <w:lang w:val="en-US"/>
        </w:rPr>
      </w:pPr>
      <w:r w:rsidRPr="00D36673">
        <w:rPr>
          <w:lang w:val="en-US"/>
        </w:rPr>
        <w:t>Sentencing Advisory Council</w:t>
      </w:r>
      <w:r w:rsidR="00A92113" w:rsidRPr="00D36673">
        <w:rPr>
          <w:lang w:val="en-US"/>
        </w:rPr>
        <w:t xml:space="preserve">, </w:t>
      </w:r>
      <w:r w:rsidRPr="00D36673">
        <w:rPr>
          <w:lang w:val="en-US"/>
        </w:rPr>
        <w:t>June 2021</w:t>
      </w:r>
    </w:p>
    <w:p w14:paraId="64B99242" w14:textId="3B50E08A" w:rsidR="00727C4C" w:rsidRDefault="00A8473C" w:rsidP="00A92113">
      <w:pPr>
        <w:pStyle w:val="Heading1"/>
      </w:pPr>
      <w:bookmarkStart w:id="0" w:name="_Toc75445775"/>
      <w:r w:rsidRPr="00D36673">
        <w:t>Contents</w:t>
      </w:r>
      <w:bookmarkEnd w:id="0"/>
    </w:p>
    <w:p w14:paraId="20FE0DA5" w14:textId="0FE5EEC4" w:rsidR="003F5FA7" w:rsidRDefault="003F5FA7">
      <w:pPr>
        <w:pStyle w:val="TOC1"/>
        <w:tabs>
          <w:tab w:val="right" w:pos="9016"/>
        </w:tabs>
        <w:rPr>
          <w:rFonts w:asciiTheme="minorHAnsi" w:eastAsiaTheme="minorEastAsia" w:hAnsiTheme="minorHAnsi" w:cstheme="minorBidi"/>
          <w:noProof/>
          <w:sz w:val="22"/>
          <w:szCs w:val="22"/>
        </w:rPr>
      </w:pPr>
      <w:r>
        <w:fldChar w:fldCharType="begin"/>
      </w:r>
      <w:r>
        <w:instrText xml:space="preserve"> TOC \p " " \h \z \t "Heading 1,1,Heading 1 Numbered,1" </w:instrText>
      </w:r>
      <w:r>
        <w:fldChar w:fldCharType="separate"/>
      </w:r>
      <w:hyperlink w:anchor="_Toc75445776" w:history="1">
        <w:r w:rsidRPr="00B25B55">
          <w:rPr>
            <w:rStyle w:val="Hyperlink"/>
            <w:noProof/>
          </w:rPr>
          <w:t>Contributors</w:t>
        </w:r>
        <w:r>
          <w:rPr>
            <w:noProof/>
            <w:webHidden/>
          </w:rPr>
          <w:t xml:space="preserve"> </w:t>
        </w:r>
        <w:r>
          <w:rPr>
            <w:noProof/>
            <w:webHidden/>
          </w:rPr>
          <w:fldChar w:fldCharType="begin"/>
        </w:r>
        <w:r>
          <w:rPr>
            <w:noProof/>
            <w:webHidden/>
          </w:rPr>
          <w:instrText xml:space="preserve"> PAGEREF _Toc75445776 \h </w:instrText>
        </w:r>
        <w:r>
          <w:rPr>
            <w:noProof/>
            <w:webHidden/>
          </w:rPr>
        </w:r>
        <w:r>
          <w:rPr>
            <w:noProof/>
            <w:webHidden/>
          </w:rPr>
          <w:fldChar w:fldCharType="separate"/>
        </w:r>
        <w:r>
          <w:rPr>
            <w:noProof/>
            <w:webHidden/>
          </w:rPr>
          <w:t>2</w:t>
        </w:r>
        <w:r>
          <w:rPr>
            <w:noProof/>
            <w:webHidden/>
          </w:rPr>
          <w:fldChar w:fldCharType="end"/>
        </w:r>
      </w:hyperlink>
    </w:p>
    <w:p w14:paraId="4D5E3062" w14:textId="6F541526" w:rsidR="003F5FA7" w:rsidRDefault="00BC6751">
      <w:pPr>
        <w:pStyle w:val="TOC1"/>
        <w:tabs>
          <w:tab w:val="right" w:pos="9016"/>
        </w:tabs>
        <w:rPr>
          <w:rFonts w:asciiTheme="minorHAnsi" w:eastAsiaTheme="minorEastAsia" w:hAnsiTheme="minorHAnsi" w:cstheme="minorBidi"/>
          <w:noProof/>
          <w:sz w:val="22"/>
          <w:szCs w:val="22"/>
        </w:rPr>
      </w:pPr>
      <w:hyperlink w:anchor="_Toc75445777" w:history="1">
        <w:r w:rsidR="003F5FA7" w:rsidRPr="00B25B55">
          <w:rPr>
            <w:rStyle w:val="Hyperlink"/>
            <w:noProof/>
          </w:rPr>
          <w:t>Executive summary</w:t>
        </w:r>
        <w:r w:rsidR="003F5FA7">
          <w:rPr>
            <w:noProof/>
            <w:webHidden/>
          </w:rPr>
          <w:t xml:space="preserve"> </w:t>
        </w:r>
        <w:r w:rsidR="003F5FA7">
          <w:rPr>
            <w:noProof/>
            <w:webHidden/>
          </w:rPr>
          <w:fldChar w:fldCharType="begin"/>
        </w:r>
        <w:r w:rsidR="003F5FA7">
          <w:rPr>
            <w:noProof/>
            <w:webHidden/>
          </w:rPr>
          <w:instrText xml:space="preserve"> PAGEREF _Toc75445777 \h </w:instrText>
        </w:r>
        <w:r w:rsidR="003F5FA7">
          <w:rPr>
            <w:noProof/>
            <w:webHidden/>
          </w:rPr>
        </w:r>
        <w:r w:rsidR="003F5FA7">
          <w:rPr>
            <w:noProof/>
            <w:webHidden/>
          </w:rPr>
          <w:fldChar w:fldCharType="separate"/>
        </w:r>
        <w:r w:rsidR="003F5FA7">
          <w:rPr>
            <w:noProof/>
            <w:webHidden/>
          </w:rPr>
          <w:t>3</w:t>
        </w:r>
        <w:r w:rsidR="003F5FA7">
          <w:rPr>
            <w:noProof/>
            <w:webHidden/>
          </w:rPr>
          <w:fldChar w:fldCharType="end"/>
        </w:r>
      </w:hyperlink>
    </w:p>
    <w:p w14:paraId="3172F758" w14:textId="6153710A"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78" w:history="1">
        <w:r w:rsidR="003F5FA7" w:rsidRPr="00B25B55">
          <w:rPr>
            <w:rStyle w:val="Hyperlink"/>
            <w:noProof/>
          </w:rPr>
          <w:t>1</w:t>
        </w:r>
        <w:r w:rsidR="003F5FA7">
          <w:rPr>
            <w:rFonts w:asciiTheme="minorHAnsi" w:eastAsiaTheme="minorEastAsia" w:hAnsiTheme="minorHAnsi" w:cstheme="minorBidi"/>
            <w:noProof/>
            <w:sz w:val="22"/>
            <w:szCs w:val="22"/>
          </w:rPr>
          <w:tab/>
        </w:r>
        <w:r w:rsidR="003F5FA7" w:rsidRPr="00B25B55">
          <w:rPr>
            <w:rStyle w:val="Hyperlink"/>
            <w:noProof/>
          </w:rPr>
          <w:t>Introduction</w:t>
        </w:r>
        <w:r w:rsidR="003F5FA7">
          <w:rPr>
            <w:noProof/>
            <w:webHidden/>
          </w:rPr>
          <w:t xml:space="preserve"> </w:t>
        </w:r>
        <w:r w:rsidR="003F5FA7">
          <w:rPr>
            <w:noProof/>
            <w:webHidden/>
          </w:rPr>
          <w:fldChar w:fldCharType="begin"/>
        </w:r>
        <w:r w:rsidR="003F5FA7">
          <w:rPr>
            <w:noProof/>
            <w:webHidden/>
          </w:rPr>
          <w:instrText xml:space="preserve"> PAGEREF _Toc75445778 \h </w:instrText>
        </w:r>
        <w:r w:rsidR="003F5FA7">
          <w:rPr>
            <w:noProof/>
            <w:webHidden/>
          </w:rPr>
        </w:r>
        <w:r w:rsidR="003F5FA7">
          <w:rPr>
            <w:noProof/>
            <w:webHidden/>
          </w:rPr>
          <w:fldChar w:fldCharType="separate"/>
        </w:r>
        <w:r w:rsidR="003F5FA7">
          <w:rPr>
            <w:noProof/>
            <w:webHidden/>
          </w:rPr>
          <w:t>8</w:t>
        </w:r>
        <w:r w:rsidR="003F5FA7">
          <w:rPr>
            <w:noProof/>
            <w:webHidden/>
          </w:rPr>
          <w:fldChar w:fldCharType="end"/>
        </w:r>
      </w:hyperlink>
    </w:p>
    <w:p w14:paraId="2287B959" w14:textId="67A69686"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79" w:history="1">
        <w:r w:rsidR="003F5FA7" w:rsidRPr="00B25B55">
          <w:rPr>
            <w:rStyle w:val="Hyperlink"/>
            <w:noProof/>
          </w:rPr>
          <w:t>2</w:t>
        </w:r>
        <w:r w:rsidR="003F5FA7">
          <w:rPr>
            <w:rFonts w:asciiTheme="minorHAnsi" w:eastAsiaTheme="minorEastAsia" w:hAnsiTheme="minorHAnsi" w:cstheme="minorBidi"/>
            <w:noProof/>
            <w:sz w:val="22"/>
            <w:szCs w:val="22"/>
          </w:rPr>
          <w:tab/>
        </w:r>
        <w:r w:rsidR="003F5FA7" w:rsidRPr="00B25B55">
          <w:rPr>
            <w:rStyle w:val="Hyperlink"/>
            <w:noProof/>
          </w:rPr>
          <w:t>Legal analysis and literature on harm</w:t>
        </w:r>
        <w:r w:rsidR="003F5FA7">
          <w:rPr>
            <w:noProof/>
            <w:webHidden/>
          </w:rPr>
          <w:t xml:space="preserve"> </w:t>
        </w:r>
        <w:r w:rsidR="003F5FA7">
          <w:rPr>
            <w:noProof/>
            <w:webHidden/>
          </w:rPr>
          <w:fldChar w:fldCharType="begin"/>
        </w:r>
        <w:r w:rsidR="003F5FA7">
          <w:rPr>
            <w:noProof/>
            <w:webHidden/>
          </w:rPr>
          <w:instrText xml:space="preserve"> PAGEREF _Toc75445779 \h </w:instrText>
        </w:r>
        <w:r w:rsidR="003F5FA7">
          <w:rPr>
            <w:noProof/>
            <w:webHidden/>
          </w:rPr>
        </w:r>
        <w:r w:rsidR="003F5FA7">
          <w:rPr>
            <w:noProof/>
            <w:webHidden/>
          </w:rPr>
          <w:fldChar w:fldCharType="separate"/>
        </w:r>
        <w:r w:rsidR="003F5FA7">
          <w:rPr>
            <w:noProof/>
            <w:webHidden/>
          </w:rPr>
          <w:t>12</w:t>
        </w:r>
        <w:r w:rsidR="003F5FA7">
          <w:rPr>
            <w:noProof/>
            <w:webHidden/>
          </w:rPr>
          <w:fldChar w:fldCharType="end"/>
        </w:r>
      </w:hyperlink>
    </w:p>
    <w:p w14:paraId="4BDE3EA8" w14:textId="183653C8"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80" w:history="1">
        <w:r w:rsidR="003F5FA7" w:rsidRPr="00B25B55">
          <w:rPr>
            <w:rStyle w:val="Hyperlink"/>
            <w:noProof/>
          </w:rPr>
          <w:t>3</w:t>
        </w:r>
        <w:r w:rsidR="003F5FA7">
          <w:rPr>
            <w:rFonts w:asciiTheme="minorHAnsi" w:eastAsiaTheme="minorEastAsia" w:hAnsiTheme="minorHAnsi" w:cstheme="minorBidi"/>
            <w:noProof/>
            <w:sz w:val="22"/>
            <w:szCs w:val="22"/>
          </w:rPr>
          <w:tab/>
        </w:r>
        <w:r w:rsidR="003F5FA7" w:rsidRPr="00B25B55">
          <w:rPr>
            <w:rStyle w:val="Hyperlink"/>
            <w:noProof/>
          </w:rPr>
          <w:t>Recorded threat offences</w:t>
        </w:r>
        <w:r w:rsidR="003F5FA7">
          <w:rPr>
            <w:noProof/>
            <w:webHidden/>
          </w:rPr>
          <w:t xml:space="preserve"> </w:t>
        </w:r>
        <w:r w:rsidR="003F5FA7">
          <w:rPr>
            <w:noProof/>
            <w:webHidden/>
          </w:rPr>
          <w:fldChar w:fldCharType="begin"/>
        </w:r>
        <w:r w:rsidR="003F5FA7">
          <w:rPr>
            <w:noProof/>
            <w:webHidden/>
          </w:rPr>
          <w:instrText xml:space="preserve"> PAGEREF _Toc75445780 \h </w:instrText>
        </w:r>
        <w:r w:rsidR="003F5FA7">
          <w:rPr>
            <w:noProof/>
            <w:webHidden/>
          </w:rPr>
        </w:r>
        <w:r w:rsidR="003F5FA7">
          <w:rPr>
            <w:noProof/>
            <w:webHidden/>
          </w:rPr>
          <w:fldChar w:fldCharType="separate"/>
        </w:r>
        <w:r w:rsidR="003F5FA7">
          <w:rPr>
            <w:noProof/>
            <w:webHidden/>
          </w:rPr>
          <w:t>35</w:t>
        </w:r>
        <w:r w:rsidR="003F5FA7">
          <w:rPr>
            <w:noProof/>
            <w:webHidden/>
          </w:rPr>
          <w:fldChar w:fldCharType="end"/>
        </w:r>
      </w:hyperlink>
    </w:p>
    <w:p w14:paraId="28169D22" w14:textId="59140BA0"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81" w:history="1">
        <w:r w:rsidR="003F5FA7" w:rsidRPr="00B25B55">
          <w:rPr>
            <w:rStyle w:val="Hyperlink"/>
            <w:noProof/>
          </w:rPr>
          <w:t>4</w:t>
        </w:r>
        <w:r w:rsidR="003F5FA7">
          <w:rPr>
            <w:rFonts w:asciiTheme="minorHAnsi" w:eastAsiaTheme="minorEastAsia" w:hAnsiTheme="minorHAnsi" w:cstheme="minorBidi"/>
            <w:noProof/>
            <w:sz w:val="22"/>
            <w:szCs w:val="22"/>
          </w:rPr>
          <w:tab/>
        </w:r>
        <w:r w:rsidR="003F5FA7" w:rsidRPr="00B25B55">
          <w:rPr>
            <w:rStyle w:val="Hyperlink"/>
            <w:noProof/>
          </w:rPr>
          <w:t>Sentenced threat offences</w:t>
        </w:r>
        <w:r w:rsidR="003F5FA7">
          <w:rPr>
            <w:noProof/>
            <w:webHidden/>
          </w:rPr>
          <w:t xml:space="preserve"> </w:t>
        </w:r>
        <w:r w:rsidR="003F5FA7">
          <w:rPr>
            <w:noProof/>
            <w:webHidden/>
          </w:rPr>
          <w:fldChar w:fldCharType="begin"/>
        </w:r>
        <w:r w:rsidR="003F5FA7">
          <w:rPr>
            <w:noProof/>
            <w:webHidden/>
          </w:rPr>
          <w:instrText xml:space="preserve"> PAGEREF _Toc75445781 \h </w:instrText>
        </w:r>
        <w:r w:rsidR="003F5FA7">
          <w:rPr>
            <w:noProof/>
            <w:webHidden/>
          </w:rPr>
        </w:r>
        <w:r w:rsidR="003F5FA7">
          <w:rPr>
            <w:noProof/>
            <w:webHidden/>
          </w:rPr>
          <w:fldChar w:fldCharType="separate"/>
        </w:r>
        <w:r w:rsidR="003F5FA7">
          <w:rPr>
            <w:noProof/>
            <w:webHidden/>
          </w:rPr>
          <w:t>39</w:t>
        </w:r>
        <w:r w:rsidR="003F5FA7">
          <w:rPr>
            <w:noProof/>
            <w:webHidden/>
          </w:rPr>
          <w:fldChar w:fldCharType="end"/>
        </w:r>
      </w:hyperlink>
    </w:p>
    <w:p w14:paraId="0696DCA0" w14:textId="5A1BE90A"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82" w:history="1">
        <w:r w:rsidR="003F5FA7" w:rsidRPr="00B25B55">
          <w:rPr>
            <w:rStyle w:val="Hyperlink"/>
            <w:noProof/>
          </w:rPr>
          <w:t>5</w:t>
        </w:r>
        <w:r w:rsidR="003F5FA7">
          <w:rPr>
            <w:rFonts w:asciiTheme="minorHAnsi" w:eastAsiaTheme="minorEastAsia" w:hAnsiTheme="minorHAnsi" w:cstheme="minorBidi"/>
            <w:noProof/>
            <w:sz w:val="22"/>
            <w:szCs w:val="22"/>
          </w:rPr>
          <w:tab/>
        </w:r>
        <w:r w:rsidR="003F5FA7" w:rsidRPr="00B25B55">
          <w:rPr>
            <w:rStyle w:val="Hyperlink"/>
            <w:noProof/>
          </w:rPr>
          <w:t>Sentencing outcomes</w:t>
        </w:r>
        <w:r w:rsidR="003F5FA7">
          <w:rPr>
            <w:noProof/>
            <w:webHidden/>
          </w:rPr>
          <w:t xml:space="preserve"> </w:t>
        </w:r>
        <w:r w:rsidR="003F5FA7">
          <w:rPr>
            <w:noProof/>
            <w:webHidden/>
          </w:rPr>
          <w:fldChar w:fldCharType="begin"/>
        </w:r>
        <w:r w:rsidR="003F5FA7">
          <w:rPr>
            <w:noProof/>
            <w:webHidden/>
          </w:rPr>
          <w:instrText xml:space="preserve"> PAGEREF _Toc75445782 \h </w:instrText>
        </w:r>
        <w:r w:rsidR="003F5FA7">
          <w:rPr>
            <w:noProof/>
            <w:webHidden/>
          </w:rPr>
        </w:r>
        <w:r w:rsidR="003F5FA7">
          <w:rPr>
            <w:noProof/>
            <w:webHidden/>
          </w:rPr>
          <w:fldChar w:fldCharType="separate"/>
        </w:r>
        <w:r w:rsidR="003F5FA7">
          <w:rPr>
            <w:noProof/>
            <w:webHidden/>
          </w:rPr>
          <w:t>47</w:t>
        </w:r>
        <w:r w:rsidR="003F5FA7">
          <w:rPr>
            <w:noProof/>
            <w:webHidden/>
          </w:rPr>
          <w:fldChar w:fldCharType="end"/>
        </w:r>
      </w:hyperlink>
    </w:p>
    <w:p w14:paraId="649A8D3C" w14:textId="67173214"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83" w:history="1">
        <w:r w:rsidR="003F5FA7" w:rsidRPr="00B25B55">
          <w:rPr>
            <w:rStyle w:val="Hyperlink"/>
            <w:noProof/>
          </w:rPr>
          <w:t>6</w:t>
        </w:r>
        <w:r w:rsidR="003F5FA7">
          <w:rPr>
            <w:rFonts w:asciiTheme="minorHAnsi" w:eastAsiaTheme="minorEastAsia" w:hAnsiTheme="minorHAnsi" w:cstheme="minorBidi"/>
            <w:noProof/>
            <w:sz w:val="22"/>
            <w:szCs w:val="22"/>
          </w:rPr>
          <w:tab/>
        </w:r>
        <w:r w:rsidR="003F5FA7" w:rsidRPr="00B25B55">
          <w:rPr>
            <w:rStyle w:val="Hyperlink"/>
            <w:noProof/>
          </w:rPr>
          <w:t>Co-sentenced offences</w:t>
        </w:r>
        <w:r w:rsidR="003F5FA7">
          <w:rPr>
            <w:noProof/>
            <w:webHidden/>
          </w:rPr>
          <w:t xml:space="preserve"> </w:t>
        </w:r>
        <w:r w:rsidR="003F5FA7">
          <w:rPr>
            <w:noProof/>
            <w:webHidden/>
          </w:rPr>
          <w:fldChar w:fldCharType="begin"/>
        </w:r>
        <w:r w:rsidR="003F5FA7">
          <w:rPr>
            <w:noProof/>
            <w:webHidden/>
          </w:rPr>
          <w:instrText xml:space="preserve"> PAGEREF _Toc75445783 \h </w:instrText>
        </w:r>
        <w:r w:rsidR="003F5FA7">
          <w:rPr>
            <w:noProof/>
            <w:webHidden/>
          </w:rPr>
        </w:r>
        <w:r w:rsidR="003F5FA7">
          <w:rPr>
            <w:noProof/>
            <w:webHidden/>
          </w:rPr>
          <w:fldChar w:fldCharType="separate"/>
        </w:r>
        <w:r w:rsidR="003F5FA7">
          <w:rPr>
            <w:noProof/>
            <w:webHidden/>
          </w:rPr>
          <w:t>63</w:t>
        </w:r>
        <w:r w:rsidR="003F5FA7">
          <w:rPr>
            <w:noProof/>
            <w:webHidden/>
          </w:rPr>
          <w:fldChar w:fldCharType="end"/>
        </w:r>
      </w:hyperlink>
    </w:p>
    <w:p w14:paraId="18292FF5" w14:textId="45296829"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84" w:history="1">
        <w:r w:rsidR="003F5FA7" w:rsidRPr="00B25B55">
          <w:rPr>
            <w:rStyle w:val="Hyperlink"/>
            <w:noProof/>
          </w:rPr>
          <w:t>7</w:t>
        </w:r>
        <w:r w:rsidR="003F5FA7">
          <w:rPr>
            <w:rFonts w:asciiTheme="minorHAnsi" w:eastAsiaTheme="minorEastAsia" w:hAnsiTheme="minorHAnsi" w:cstheme="minorBidi"/>
            <w:noProof/>
            <w:sz w:val="22"/>
            <w:szCs w:val="22"/>
          </w:rPr>
          <w:tab/>
        </w:r>
        <w:r w:rsidR="003F5FA7" w:rsidRPr="00B25B55">
          <w:rPr>
            <w:rStyle w:val="Hyperlink"/>
            <w:noProof/>
          </w:rPr>
          <w:t>Prior offending and reoffending by threat offenders</w:t>
        </w:r>
        <w:r w:rsidR="003F5FA7">
          <w:rPr>
            <w:noProof/>
            <w:webHidden/>
          </w:rPr>
          <w:t xml:space="preserve"> </w:t>
        </w:r>
        <w:r w:rsidR="003F5FA7">
          <w:rPr>
            <w:noProof/>
            <w:webHidden/>
          </w:rPr>
          <w:fldChar w:fldCharType="begin"/>
        </w:r>
        <w:r w:rsidR="003F5FA7">
          <w:rPr>
            <w:noProof/>
            <w:webHidden/>
          </w:rPr>
          <w:instrText xml:space="preserve"> PAGEREF _Toc75445784 \h </w:instrText>
        </w:r>
        <w:r w:rsidR="003F5FA7">
          <w:rPr>
            <w:noProof/>
            <w:webHidden/>
          </w:rPr>
        </w:r>
        <w:r w:rsidR="003F5FA7">
          <w:rPr>
            <w:noProof/>
            <w:webHidden/>
          </w:rPr>
          <w:fldChar w:fldCharType="separate"/>
        </w:r>
        <w:r w:rsidR="003F5FA7">
          <w:rPr>
            <w:noProof/>
            <w:webHidden/>
          </w:rPr>
          <w:t>72</w:t>
        </w:r>
        <w:r w:rsidR="003F5FA7">
          <w:rPr>
            <w:noProof/>
            <w:webHidden/>
          </w:rPr>
          <w:fldChar w:fldCharType="end"/>
        </w:r>
      </w:hyperlink>
    </w:p>
    <w:p w14:paraId="7F2198D3" w14:textId="25D67838" w:rsidR="003F5FA7" w:rsidRDefault="00BC6751">
      <w:pPr>
        <w:pStyle w:val="TOC1"/>
        <w:tabs>
          <w:tab w:val="left" w:pos="440"/>
          <w:tab w:val="right" w:pos="9016"/>
        </w:tabs>
        <w:rPr>
          <w:rFonts w:asciiTheme="minorHAnsi" w:eastAsiaTheme="minorEastAsia" w:hAnsiTheme="minorHAnsi" w:cstheme="minorBidi"/>
          <w:noProof/>
          <w:sz w:val="22"/>
          <w:szCs w:val="22"/>
        </w:rPr>
      </w:pPr>
      <w:hyperlink w:anchor="_Toc75445785" w:history="1">
        <w:r w:rsidR="003F5FA7" w:rsidRPr="00B25B55">
          <w:rPr>
            <w:rStyle w:val="Hyperlink"/>
            <w:noProof/>
          </w:rPr>
          <w:t>8</w:t>
        </w:r>
        <w:r w:rsidR="003F5FA7">
          <w:rPr>
            <w:rFonts w:asciiTheme="minorHAnsi" w:eastAsiaTheme="minorEastAsia" w:hAnsiTheme="minorHAnsi" w:cstheme="minorBidi"/>
            <w:noProof/>
            <w:sz w:val="22"/>
            <w:szCs w:val="22"/>
          </w:rPr>
          <w:tab/>
        </w:r>
        <w:r w:rsidR="003F5FA7" w:rsidRPr="00B25B55">
          <w:rPr>
            <w:rStyle w:val="Hyperlink"/>
            <w:noProof/>
          </w:rPr>
          <w:t>Concluding remarks</w:t>
        </w:r>
        <w:r w:rsidR="003F5FA7">
          <w:rPr>
            <w:noProof/>
            <w:webHidden/>
          </w:rPr>
          <w:t xml:space="preserve"> </w:t>
        </w:r>
        <w:r w:rsidR="003F5FA7">
          <w:rPr>
            <w:noProof/>
            <w:webHidden/>
          </w:rPr>
          <w:fldChar w:fldCharType="begin"/>
        </w:r>
        <w:r w:rsidR="003F5FA7">
          <w:rPr>
            <w:noProof/>
            <w:webHidden/>
          </w:rPr>
          <w:instrText xml:space="preserve"> PAGEREF _Toc75445785 \h </w:instrText>
        </w:r>
        <w:r w:rsidR="003F5FA7">
          <w:rPr>
            <w:noProof/>
            <w:webHidden/>
          </w:rPr>
        </w:r>
        <w:r w:rsidR="003F5FA7">
          <w:rPr>
            <w:noProof/>
            <w:webHidden/>
          </w:rPr>
          <w:fldChar w:fldCharType="separate"/>
        </w:r>
        <w:r w:rsidR="003F5FA7">
          <w:rPr>
            <w:noProof/>
            <w:webHidden/>
          </w:rPr>
          <w:t>81</w:t>
        </w:r>
        <w:r w:rsidR="003F5FA7">
          <w:rPr>
            <w:noProof/>
            <w:webHidden/>
          </w:rPr>
          <w:fldChar w:fldCharType="end"/>
        </w:r>
      </w:hyperlink>
    </w:p>
    <w:p w14:paraId="46F0DA27" w14:textId="21EAE27A" w:rsidR="003F5FA7" w:rsidRDefault="00BC6751">
      <w:pPr>
        <w:pStyle w:val="TOC1"/>
        <w:tabs>
          <w:tab w:val="right" w:pos="9016"/>
        </w:tabs>
        <w:rPr>
          <w:rFonts w:asciiTheme="minorHAnsi" w:eastAsiaTheme="minorEastAsia" w:hAnsiTheme="minorHAnsi" w:cstheme="minorBidi"/>
          <w:noProof/>
          <w:sz w:val="22"/>
          <w:szCs w:val="22"/>
        </w:rPr>
      </w:pPr>
      <w:hyperlink w:anchor="_Toc75445786" w:history="1">
        <w:r w:rsidR="003F5FA7" w:rsidRPr="00B25B55">
          <w:rPr>
            <w:rStyle w:val="Hyperlink"/>
            <w:noProof/>
          </w:rPr>
          <w:t>Appendix 1: Consultation</w:t>
        </w:r>
        <w:r w:rsidR="003F5FA7">
          <w:rPr>
            <w:noProof/>
            <w:webHidden/>
          </w:rPr>
          <w:t xml:space="preserve"> </w:t>
        </w:r>
        <w:r w:rsidR="003F5FA7">
          <w:rPr>
            <w:noProof/>
            <w:webHidden/>
          </w:rPr>
          <w:fldChar w:fldCharType="begin"/>
        </w:r>
        <w:r w:rsidR="003F5FA7">
          <w:rPr>
            <w:noProof/>
            <w:webHidden/>
          </w:rPr>
          <w:instrText xml:space="preserve"> PAGEREF _Toc75445786 \h </w:instrText>
        </w:r>
        <w:r w:rsidR="003F5FA7">
          <w:rPr>
            <w:noProof/>
            <w:webHidden/>
          </w:rPr>
        </w:r>
        <w:r w:rsidR="003F5FA7">
          <w:rPr>
            <w:noProof/>
            <w:webHidden/>
          </w:rPr>
          <w:fldChar w:fldCharType="separate"/>
        </w:r>
        <w:r w:rsidR="003F5FA7">
          <w:rPr>
            <w:noProof/>
            <w:webHidden/>
          </w:rPr>
          <w:t>85</w:t>
        </w:r>
        <w:r w:rsidR="003F5FA7">
          <w:rPr>
            <w:noProof/>
            <w:webHidden/>
          </w:rPr>
          <w:fldChar w:fldCharType="end"/>
        </w:r>
      </w:hyperlink>
    </w:p>
    <w:p w14:paraId="20EDDB9E" w14:textId="4DACB05D" w:rsidR="003F5FA7" w:rsidRDefault="00BC6751">
      <w:pPr>
        <w:pStyle w:val="TOC1"/>
        <w:tabs>
          <w:tab w:val="right" w:pos="9016"/>
        </w:tabs>
        <w:rPr>
          <w:rFonts w:asciiTheme="minorHAnsi" w:eastAsiaTheme="minorEastAsia" w:hAnsiTheme="minorHAnsi" w:cstheme="minorBidi"/>
          <w:noProof/>
          <w:sz w:val="22"/>
          <w:szCs w:val="22"/>
        </w:rPr>
      </w:pPr>
      <w:hyperlink w:anchor="_Toc75445787" w:history="1">
        <w:r w:rsidR="003F5FA7" w:rsidRPr="00B25B55">
          <w:rPr>
            <w:rStyle w:val="Hyperlink"/>
            <w:noProof/>
          </w:rPr>
          <w:t>Appendix 2: Age and gender of threat offenders</w:t>
        </w:r>
        <w:r w:rsidR="003F5FA7">
          <w:rPr>
            <w:noProof/>
            <w:webHidden/>
          </w:rPr>
          <w:t xml:space="preserve"> </w:t>
        </w:r>
        <w:r w:rsidR="003F5FA7">
          <w:rPr>
            <w:noProof/>
            <w:webHidden/>
          </w:rPr>
          <w:fldChar w:fldCharType="begin"/>
        </w:r>
        <w:r w:rsidR="003F5FA7">
          <w:rPr>
            <w:noProof/>
            <w:webHidden/>
          </w:rPr>
          <w:instrText xml:space="preserve"> PAGEREF _Toc75445787 \h </w:instrText>
        </w:r>
        <w:r w:rsidR="003F5FA7">
          <w:rPr>
            <w:noProof/>
            <w:webHidden/>
          </w:rPr>
        </w:r>
        <w:r w:rsidR="003F5FA7">
          <w:rPr>
            <w:noProof/>
            <w:webHidden/>
          </w:rPr>
          <w:fldChar w:fldCharType="separate"/>
        </w:r>
        <w:r w:rsidR="003F5FA7">
          <w:rPr>
            <w:noProof/>
            <w:webHidden/>
          </w:rPr>
          <w:t>85</w:t>
        </w:r>
        <w:r w:rsidR="003F5FA7">
          <w:rPr>
            <w:noProof/>
            <w:webHidden/>
          </w:rPr>
          <w:fldChar w:fldCharType="end"/>
        </w:r>
      </w:hyperlink>
    </w:p>
    <w:p w14:paraId="600F00E2" w14:textId="798B15A2" w:rsidR="003F5FA7" w:rsidRDefault="00BC6751">
      <w:pPr>
        <w:pStyle w:val="TOC1"/>
        <w:tabs>
          <w:tab w:val="right" w:pos="9016"/>
        </w:tabs>
        <w:rPr>
          <w:rFonts w:asciiTheme="minorHAnsi" w:eastAsiaTheme="minorEastAsia" w:hAnsiTheme="minorHAnsi" w:cstheme="minorBidi"/>
          <w:noProof/>
          <w:sz w:val="22"/>
          <w:szCs w:val="22"/>
        </w:rPr>
      </w:pPr>
      <w:hyperlink w:anchor="_Toc75445788" w:history="1">
        <w:r w:rsidR="003F5FA7" w:rsidRPr="00B25B55">
          <w:rPr>
            <w:rStyle w:val="Hyperlink"/>
            <w:noProof/>
          </w:rPr>
          <w:t>Appendix 3: Methodology</w:t>
        </w:r>
        <w:r w:rsidR="003F5FA7">
          <w:rPr>
            <w:noProof/>
            <w:webHidden/>
          </w:rPr>
          <w:t xml:space="preserve"> </w:t>
        </w:r>
        <w:r w:rsidR="003F5FA7">
          <w:rPr>
            <w:noProof/>
            <w:webHidden/>
          </w:rPr>
          <w:fldChar w:fldCharType="begin"/>
        </w:r>
        <w:r w:rsidR="003F5FA7">
          <w:rPr>
            <w:noProof/>
            <w:webHidden/>
          </w:rPr>
          <w:instrText xml:space="preserve"> PAGEREF _Toc75445788 \h </w:instrText>
        </w:r>
        <w:r w:rsidR="003F5FA7">
          <w:rPr>
            <w:noProof/>
            <w:webHidden/>
          </w:rPr>
        </w:r>
        <w:r w:rsidR="003F5FA7">
          <w:rPr>
            <w:noProof/>
            <w:webHidden/>
          </w:rPr>
          <w:fldChar w:fldCharType="separate"/>
        </w:r>
        <w:r w:rsidR="003F5FA7">
          <w:rPr>
            <w:noProof/>
            <w:webHidden/>
          </w:rPr>
          <w:t>88</w:t>
        </w:r>
        <w:r w:rsidR="003F5FA7">
          <w:rPr>
            <w:noProof/>
            <w:webHidden/>
          </w:rPr>
          <w:fldChar w:fldCharType="end"/>
        </w:r>
      </w:hyperlink>
    </w:p>
    <w:p w14:paraId="3AA1B8B1" w14:textId="269BF577" w:rsidR="003F5FA7" w:rsidRDefault="00BC6751">
      <w:pPr>
        <w:pStyle w:val="TOC1"/>
        <w:tabs>
          <w:tab w:val="right" w:pos="9016"/>
        </w:tabs>
        <w:rPr>
          <w:rFonts w:asciiTheme="minorHAnsi" w:eastAsiaTheme="minorEastAsia" w:hAnsiTheme="minorHAnsi" w:cstheme="minorBidi"/>
          <w:noProof/>
          <w:sz w:val="22"/>
          <w:szCs w:val="22"/>
        </w:rPr>
      </w:pPr>
      <w:hyperlink w:anchor="_Toc75445789" w:history="1">
        <w:r w:rsidR="003F5FA7" w:rsidRPr="00B25B55">
          <w:rPr>
            <w:rStyle w:val="Hyperlink"/>
            <w:noProof/>
          </w:rPr>
          <w:t>Glossary</w:t>
        </w:r>
        <w:r w:rsidR="003F5FA7">
          <w:rPr>
            <w:noProof/>
            <w:webHidden/>
          </w:rPr>
          <w:t xml:space="preserve"> </w:t>
        </w:r>
        <w:r w:rsidR="003F5FA7">
          <w:rPr>
            <w:noProof/>
            <w:webHidden/>
          </w:rPr>
          <w:fldChar w:fldCharType="begin"/>
        </w:r>
        <w:r w:rsidR="003F5FA7">
          <w:rPr>
            <w:noProof/>
            <w:webHidden/>
          </w:rPr>
          <w:instrText xml:space="preserve"> PAGEREF _Toc75445789 \h </w:instrText>
        </w:r>
        <w:r w:rsidR="003F5FA7">
          <w:rPr>
            <w:noProof/>
            <w:webHidden/>
          </w:rPr>
        </w:r>
        <w:r w:rsidR="003F5FA7">
          <w:rPr>
            <w:noProof/>
            <w:webHidden/>
          </w:rPr>
          <w:fldChar w:fldCharType="separate"/>
        </w:r>
        <w:r w:rsidR="003F5FA7">
          <w:rPr>
            <w:noProof/>
            <w:webHidden/>
          </w:rPr>
          <w:t>93</w:t>
        </w:r>
        <w:r w:rsidR="003F5FA7">
          <w:rPr>
            <w:noProof/>
            <w:webHidden/>
          </w:rPr>
          <w:fldChar w:fldCharType="end"/>
        </w:r>
      </w:hyperlink>
    </w:p>
    <w:p w14:paraId="693728ED" w14:textId="54F3DBFC" w:rsidR="003F5FA7" w:rsidRDefault="00BC6751">
      <w:pPr>
        <w:pStyle w:val="TOC1"/>
        <w:tabs>
          <w:tab w:val="right" w:pos="9016"/>
        </w:tabs>
        <w:rPr>
          <w:rFonts w:asciiTheme="minorHAnsi" w:eastAsiaTheme="minorEastAsia" w:hAnsiTheme="minorHAnsi" w:cstheme="minorBidi"/>
          <w:noProof/>
          <w:sz w:val="22"/>
          <w:szCs w:val="22"/>
        </w:rPr>
      </w:pPr>
      <w:hyperlink w:anchor="_Toc75445790" w:history="1">
        <w:r w:rsidR="003F5FA7" w:rsidRPr="00B25B55">
          <w:rPr>
            <w:rStyle w:val="Hyperlink"/>
            <w:noProof/>
          </w:rPr>
          <w:t>References</w:t>
        </w:r>
        <w:r w:rsidR="003F5FA7">
          <w:rPr>
            <w:noProof/>
            <w:webHidden/>
          </w:rPr>
          <w:t xml:space="preserve"> </w:t>
        </w:r>
        <w:r w:rsidR="003F5FA7">
          <w:rPr>
            <w:noProof/>
            <w:webHidden/>
          </w:rPr>
          <w:fldChar w:fldCharType="begin"/>
        </w:r>
        <w:r w:rsidR="003F5FA7">
          <w:rPr>
            <w:noProof/>
            <w:webHidden/>
          </w:rPr>
          <w:instrText xml:space="preserve"> PAGEREF _Toc75445790 \h </w:instrText>
        </w:r>
        <w:r w:rsidR="003F5FA7">
          <w:rPr>
            <w:noProof/>
            <w:webHidden/>
          </w:rPr>
        </w:r>
        <w:r w:rsidR="003F5FA7">
          <w:rPr>
            <w:noProof/>
            <w:webHidden/>
          </w:rPr>
          <w:fldChar w:fldCharType="separate"/>
        </w:r>
        <w:r w:rsidR="003F5FA7">
          <w:rPr>
            <w:noProof/>
            <w:webHidden/>
          </w:rPr>
          <w:t>96</w:t>
        </w:r>
        <w:r w:rsidR="003F5FA7">
          <w:rPr>
            <w:noProof/>
            <w:webHidden/>
          </w:rPr>
          <w:fldChar w:fldCharType="end"/>
        </w:r>
      </w:hyperlink>
    </w:p>
    <w:p w14:paraId="28C2DA1D" w14:textId="042A0902" w:rsidR="00D435FE" w:rsidRPr="00D435FE" w:rsidRDefault="003F5FA7" w:rsidP="00D435FE">
      <w:r>
        <w:fldChar w:fldCharType="end"/>
      </w:r>
    </w:p>
    <w:p w14:paraId="5E17A0C3" w14:textId="77777777" w:rsidR="005A3418" w:rsidRPr="00D36673" w:rsidRDefault="005A3418" w:rsidP="002C24B1">
      <w:pPr>
        <w:pStyle w:val="Heading1"/>
        <w:pageBreakBefore/>
      </w:pPr>
      <w:bookmarkStart w:id="1" w:name="_Toc75445776"/>
      <w:r w:rsidRPr="00D36673">
        <w:lastRenderedPageBreak/>
        <w:t>Contributors</w:t>
      </w:r>
      <w:bookmarkEnd w:id="1"/>
    </w:p>
    <w:p w14:paraId="55317BC4" w14:textId="7C54CE0F" w:rsidR="005A3418" w:rsidRPr="00F349F2" w:rsidRDefault="005A3418" w:rsidP="00826EE0">
      <w:r w:rsidRPr="00826EE0">
        <w:rPr>
          <w:rStyle w:val="Strong"/>
        </w:rPr>
        <w:t>Authors</w:t>
      </w:r>
      <w:r w:rsidR="00826EE0">
        <w:rPr>
          <w:rStyle w:val="Strong"/>
        </w:rPr>
        <w:t xml:space="preserve">: </w:t>
      </w:r>
      <w:r w:rsidRPr="00D36673">
        <w:t>Anna Chalton</w:t>
      </w:r>
      <w:r w:rsidR="00B411B4">
        <w:t xml:space="preserve">, </w:t>
      </w:r>
      <w:r w:rsidRPr="00D36673">
        <w:t>Dugan Dallimore</w:t>
      </w:r>
      <w:r w:rsidR="00B411B4">
        <w:t xml:space="preserve">, </w:t>
      </w:r>
      <w:r w:rsidRPr="00D36673">
        <w:t>Paul McGorrery</w:t>
      </w:r>
    </w:p>
    <w:p w14:paraId="6DC04876" w14:textId="491DF110" w:rsidR="005A3418" w:rsidRPr="00F349F2" w:rsidRDefault="005A3418" w:rsidP="00690FCB">
      <w:r w:rsidRPr="00690FCB">
        <w:rPr>
          <w:rStyle w:val="Strong"/>
        </w:rPr>
        <w:t>Research assistant</w:t>
      </w:r>
      <w:r w:rsidR="00690FCB">
        <w:rPr>
          <w:rStyle w:val="Strong"/>
        </w:rPr>
        <w:t xml:space="preserve">: </w:t>
      </w:r>
      <w:r w:rsidRPr="00690FCB">
        <w:t>Octavian Simu</w:t>
      </w:r>
    </w:p>
    <w:p w14:paraId="04A8BBF3" w14:textId="77777777" w:rsidR="005A3418" w:rsidRPr="00D36673" w:rsidRDefault="005A3418" w:rsidP="0007454B">
      <w:pPr>
        <w:pStyle w:val="Heading2"/>
      </w:pPr>
      <w:r w:rsidRPr="00D36673">
        <w:t>Sentencing Advisory Council</w:t>
      </w:r>
    </w:p>
    <w:p w14:paraId="060CD776" w14:textId="1735EA83" w:rsidR="005A3418" w:rsidRPr="00F349F2" w:rsidRDefault="005A3418" w:rsidP="00690FCB">
      <w:r w:rsidRPr="0007454B">
        <w:rPr>
          <w:rStyle w:val="Strong"/>
        </w:rPr>
        <w:t>Chair</w:t>
      </w:r>
      <w:r w:rsidR="0007454B">
        <w:rPr>
          <w:rStyle w:val="Strong"/>
        </w:rPr>
        <w:t xml:space="preserve">: </w:t>
      </w:r>
      <w:r w:rsidRPr="00690FCB">
        <w:t>Arie Freiberg AM</w:t>
      </w:r>
    </w:p>
    <w:p w14:paraId="1BCFE706" w14:textId="5FA149F2" w:rsidR="005A3418" w:rsidRPr="00F349F2" w:rsidRDefault="005A3418" w:rsidP="00690FCB">
      <w:r w:rsidRPr="0007454B">
        <w:rPr>
          <w:rStyle w:val="Strong"/>
        </w:rPr>
        <w:t>Deputy-Chair</w:t>
      </w:r>
      <w:r w:rsidR="0007454B">
        <w:rPr>
          <w:rStyle w:val="Strong"/>
        </w:rPr>
        <w:t xml:space="preserve">: </w:t>
      </w:r>
      <w:r w:rsidRPr="00690FCB">
        <w:t>Lisa Ward</w:t>
      </w:r>
    </w:p>
    <w:p w14:paraId="3C5A4A76" w14:textId="33E02E10" w:rsidR="005A3418" w:rsidRPr="00690FCB" w:rsidRDefault="005A3418" w:rsidP="0007454B">
      <w:r w:rsidRPr="0007454B">
        <w:rPr>
          <w:rStyle w:val="Strong"/>
        </w:rPr>
        <w:t>Council Directors</w:t>
      </w:r>
      <w:r w:rsidR="0007454B">
        <w:rPr>
          <w:rStyle w:val="Strong"/>
        </w:rPr>
        <w:t xml:space="preserve">: </w:t>
      </w:r>
      <w:r w:rsidRPr="0007454B">
        <w:t>Carmel Arthur</w:t>
      </w:r>
      <w:r w:rsidR="0007454B" w:rsidRPr="0007454B">
        <w:t xml:space="preserve">, </w:t>
      </w:r>
      <w:r w:rsidRPr="0007454B">
        <w:t>Hugh de Kretser</w:t>
      </w:r>
      <w:r w:rsidR="0007454B" w:rsidRPr="0007454B">
        <w:t xml:space="preserve">, </w:t>
      </w:r>
      <w:r w:rsidRPr="0007454B">
        <w:t>Fiona Dowsley</w:t>
      </w:r>
      <w:r w:rsidR="006171C6">
        <w:t xml:space="preserve">, </w:t>
      </w:r>
      <w:r w:rsidRPr="00690FCB">
        <w:t>Helen Fatouros</w:t>
      </w:r>
      <w:r w:rsidR="006171C6">
        <w:t xml:space="preserve">, </w:t>
      </w:r>
      <w:r w:rsidRPr="00690FCB">
        <w:t>David Grace QC AM</w:t>
      </w:r>
      <w:r w:rsidR="006171C6">
        <w:t xml:space="preserve">, </w:t>
      </w:r>
      <w:r w:rsidRPr="00690FCB">
        <w:t>John Griffin PSM</w:t>
      </w:r>
      <w:r w:rsidR="006171C6">
        <w:t xml:space="preserve">, </w:t>
      </w:r>
      <w:r w:rsidRPr="00690FCB">
        <w:t>Sherril Handley</w:t>
      </w:r>
      <w:r w:rsidR="006171C6">
        <w:t xml:space="preserve">, </w:t>
      </w:r>
      <w:r w:rsidRPr="00690FCB">
        <w:t>Brendan Kissane QC</w:t>
      </w:r>
      <w:r w:rsidR="006171C6">
        <w:t xml:space="preserve">, </w:t>
      </w:r>
      <w:r w:rsidRPr="00690FCB">
        <w:t>Susanna Quinn</w:t>
      </w:r>
      <w:r w:rsidR="006171C6">
        <w:t xml:space="preserve">, </w:t>
      </w:r>
      <w:r w:rsidRPr="00690FCB">
        <w:t>Wendy Steendam</w:t>
      </w:r>
      <w:r w:rsidR="006171C6">
        <w:t xml:space="preserve">, </w:t>
      </w:r>
      <w:r w:rsidRPr="00690FCB">
        <w:t>Dan Nicholson</w:t>
      </w:r>
    </w:p>
    <w:p w14:paraId="3C775023" w14:textId="4B0EDF17" w:rsidR="005A3418" w:rsidRPr="00F349F2" w:rsidRDefault="005A3418" w:rsidP="00690FCB">
      <w:r w:rsidRPr="0007454B">
        <w:rPr>
          <w:rStyle w:val="Strong"/>
        </w:rPr>
        <w:t>Chief Executive Officer</w:t>
      </w:r>
      <w:r w:rsidR="00125E7F">
        <w:rPr>
          <w:rStyle w:val="Strong"/>
        </w:rPr>
        <w:t xml:space="preserve">: </w:t>
      </w:r>
      <w:r w:rsidRPr="00690FCB">
        <w:t>Cynthia Marwood</w:t>
      </w:r>
    </w:p>
    <w:p w14:paraId="484A2242" w14:textId="77777777" w:rsidR="005A3418" w:rsidRPr="00D36673" w:rsidRDefault="005A3418" w:rsidP="0081315E">
      <w:pPr>
        <w:pStyle w:val="Heading2"/>
      </w:pPr>
      <w:r w:rsidRPr="00D36673">
        <w:t>Acknowledgments</w:t>
      </w:r>
    </w:p>
    <w:p w14:paraId="5F112C1F" w14:textId="77777777" w:rsidR="005A3418" w:rsidRPr="00D36673" w:rsidRDefault="005A3418" w:rsidP="003724FA">
      <w:r w:rsidRPr="00D36673">
        <w:t xml:space="preserve">The Council would like to thank Court Services Victoria and the Crime Statistics Agency for providing the data used in this report. The Council would also like to thank the following for their invaluable contributions and insights: the Magistrates’ Court of Victoria, Victoria Police, Associate Professor Troy McEwan (Swinburne University of Technology), Victoria Legal Aid, Domestic Violence Victoria, the Department of Justice and Community Safety, and the Office of Public Prosecutions. </w:t>
      </w:r>
    </w:p>
    <w:p w14:paraId="30D67B8D" w14:textId="77777777" w:rsidR="005A3418" w:rsidRPr="00D36673" w:rsidRDefault="005A3418" w:rsidP="00DF2480">
      <w:pPr>
        <w:pStyle w:val="Heading1"/>
        <w:pageBreakBefore/>
      </w:pPr>
      <w:bookmarkStart w:id="2" w:name="_Toc75445777"/>
      <w:r w:rsidRPr="00D36673">
        <w:lastRenderedPageBreak/>
        <w:t>Executive summary</w:t>
      </w:r>
      <w:bookmarkEnd w:id="2"/>
    </w:p>
    <w:p w14:paraId="2F4EA558" w14:textId="77777777" w:rsidR="005A3418" w:rsidRPr="00D36673" w:rsidRDefault="005A3418" w:rsidP="003724FA">
      <w:r w:rsidRPr="00D36673">
        <w:t xml:space="preserve">Threat offences – most notably threats to kill or seriously injure another person – are common and serious. They often occur in breach of court orders, and are frequently linked to family violence and a variety of other offences. To date, however, they have received little attention as a discrete form of offending. </w:t>
      </w:r>
    </w:p>
    <w:p w14:paraId="7729E1A1" w14:textId="77777777" w:rsidR="005A3418" w:rsidRPr="00D36673" w:rsidRDefault="005A3418" w:rsidP="003724FA">
      <w:r w:rsidRPr="00D36673">
        <w:t xml:space="preserve">This report presents the first empirical analysis of threat offences recorded and sentenced in Victoria, along with an analysis of the offending trajectories of sentenced threat offenders. </w:t>
      </w:r>
    </w:p>
    <w:p w14:paraId="1CC1D454" w14:textId="77777777" w:rsidR="005A3418" w:rsidRPr="00D36673" w:rsidRDefault="005A3418" w:rsidP="0086723D">
      <w:pPr>
        <w:pStyle w:val="Heading2"/>
      </w:pPr>
      <w:r w:rsidRPr="00D36673">
        <w:t>Understanding threat offences</w:t>
      </w:r>
    </w:p>
    <w:p w14:paraId="52FB514A" w14:textId="77777777" w:rsidR="005A3418" w:rsidRPr="00D36673" w:rsidRDefault="005A3418" w:rsidP="003724FA">
      <w:r w:rsidRPr="00D36673">
        <w:t xml:space="preserve">This report investigates five threat offences: threat to kill and threat to inflict serious injury (and their Commonwealth counterparts), threat to destroy or damage property, threat to commit a sexual offence, and threat to assault an emergency worker. Their maximum penalties are between five and 10 years’ imprisonment. </w:t>
      </w:r>
    </w:p>
    <w:p w14:paraId="0E6A5542" w14:textId="77777777" w:rsidR="005A3418" w:rsidRPr="00D36673" w:rsidRDefault="005A3418" w:rsidP="003724FA">
      <w:r w:rsidRPr="00D36673">
        <w:t xml:space="preserve">Research suggests that these types of threats not only cause immediate fear to victims but also often involve further and ongoing harms (such as limiting victims’ freedom of choice). They also indicate a risk that the offender will commit violence. These harms are particularly acute when the threatener and the victim are in a close relationship. </w:t>
      </w:r>
    </w:p>
    <w:p w14:paraId="2055827F" w14:textId="77777777" w:rsidR="005A3418" w:rsidRPr="00D36673" w:rsidRDefault="005A3418" w:rsidP="003724FA">
      <w:r w:rsidRPr="00D36673">
        <w:t>A review of case law shows that courts are aware of the harms and risks associated with threat offences. A threat is considered more objectively serious when it is made in person, is explicit, is premeditated, involves a breach of trust, involves the use of a weapon, has had a severe effect on the victim or is supported by circumstances suggesting the threat will be carried out. Courts have also especially recognised the severity of threats in the context of family violence, where such threats are often a breach of trust made in the context of coercive control and associated with a real risk of further offending.</w:t>
      </w:r>
    </w:p>
    <w:p w14:paraId="0B7BFA7D" w14:textId="77777777" w:rsidR="005A3418" w:rsidRPr="00D36673" w:rsidRDefault="005A3418" w:rsidP="0086723D">
      <w:pPr>
        <w:pStyle w:val="Heading2"/>
      </w:pPr>
      <w:r w:rsidRPr="00D36673">
        <w:lastRenderedPageBreak/>
        <w:t>Recorded threat offences in Victoria</w:t>
      </w:r>
    </w:p>
    <w:p w14:paraId="2E45314D" w14:textId="77777777" w:rsidR="005A3418" w:rsidRPr="00D36673" w:rsidRDefault="005A3418" w:rsidP="003724FA">
      <w:r w:rsidRPr="00D36673">
        <w:t>In the eight years to 31 December 2019, police recorded just over 66,000 threat offences in Victoria, with the number recorded each year increasing during that time. Nearly two-thirds (64%) of recorded threat offences were threats to kill, and more than half were associated with family violence.</w:t>
      </w:r>
    </w:p>
    <w:p w14:paraId="2F81310A" w14:textId="77777777" w:rsidR="005A3418" w:rsidRPr="00D36673" w:rsidRDefault="005A3418" w:rsidP="0086723D">
      <w:pPr>
        <w:pStyle w:val="Heading2"/>
      </w:pPr>
      <w:r w:rsidRPr="00D36673">
        <w:t>Sentenced threat offences in Victoria</w:t>
      </w:r>
    </w:p>
    <w:p w14:paraId="0A430CDA" w14:textId="77777777" w:rsidR="005A3418" w:rsidRPr="00D36673" w:rsidRDefault="005A3418" w:rsidP="003724FA">
      <w:r w:rsidRPr="00D36673">
        <w:t xml:space="preserve">In the five years to 31 December 2019 (the reference period), 18,775 threat charges were sentenced in 13,846 cases in Victoria. In 37% of cases, the threat offence was the principal (most serious) offence in the case, while in the other 63% the threat was co-sentenced with a more serious offence. Like recorded threat offences, most </w:t>
      </w:r>
      <w:r w:rsidRPr="00A24E18">
        <w:rPr>
          <w:rStyle w:val="Emphasis"/>
        </w:rPr>
        <w:t>sentenced</w:t>
      </w:r>
      <w:r w:rsidRPr="00D36673">
        <w:t xml:space="preserve"> threat offences were threats to kill (54%) and most were linked to family violence (58%). The vast majority of threat charges were sentenced in the Magistrates’ Court (87%), while 10% were sentenced in the Children’s Court and 3% were sentenced in the higher courts.</w:t>
      </w:r>
    </w:p>
    <w:p w14:paraId="4950ADDC" w14:textId="77777777" w:rsidR="005A3418" w:rsidRPr="00D36673" w:rsidRDefault="005A3418" w:rsidP="003724FA">
      <w:r w:rsidRPr="00D36673">
        <w:t>Most sentenced threat offenders (88%) were males. Their threat offending tended to be more serious: they more commonly were sentenced for threat to kill, more commonly made their threats in a family violence context, and more often were sentenced in the higher courts.</w:t>
      </w:r>
    </w:p>
    <w:p w14:paraId="372AA046" w14:textId="77777777" w:rsidR="005A3418" w:rsidRPr="00D36673" w:rsidRDefault="005A3418" w:rsidP="0086723D">
      <w:pPr>
        <w:pStyle w:val="Heading2"/>
      </w:pPr>
      <w:r w:rsidRPr="00D36673">
        <w:t xml:space="preserve">Sentencing outcomes </w:t>
      </w:r>
    </w:p>
    <w:p w14:paraId="79535E9D" w14:textId="77777777" w:rsidR="005A3418" w:rsidRPr="00D36673" w:rsidRDefault="005A3418" w:rsidP="003724FA">
      <w:r w:rsidRPr="00D36673">
        <w:t xml:space="preserve">In the Magistrates’ Court, the most frequently imposed sentencing outcome was imprisonment (35% of charges), followed by a community correction order (31%). The rate of imprisonment in the Magistrates’ Court increased over time, perhaps due to changes in bail legislation resulting in more short (even time served) prison sentences, as well as increases in the number of threats that occurred in a family violence context. In the Magistrates’ Court, custodial sentences were especially associated with family violence and gender (with men and family violence </w:t>
      </w:r>
      <w:r w:rsidRPr="00D36673">
        <w:lastRenderedPageBreak/>
        <w:t>offenders receiving more prison sentences). This is probably linked to the prevalence of aggravating features in family violence cases involving threats against intimate partners.</w:t>
      </w:r>
    </w:p>
    <w:p w14:paraId="0E61AE4A" w14:textId="77777777" w:rsidR="005A3418" w:rsidRPr="00D36673" w:rsidRDefault="005A3418" w:rsidP="003724FA">
      <w:r w:rsidRPr="00D36673">
        <w:t xml:space="preserve">In the higher courts, three-quarters (75%) of threat charges received prison sentences. </w:t>
      </w:r>
    </w:p>
    <w:p w14:paraId="54680D18" w14:textId="77777777" w:rsidR="005A3418" w:rsidRPr="00D36673" w:rsidRDefault="005A3418" w:rsidP="003724FA">
      <w:r w:rsidRPr="00D36673">
        <w:t xml:space="preserve">In contrast, custodial sentences were rare in the Children’s Court, with just 7% of threat offences receiving a youth justice centre order or youth residential centre order. Moreover, threat cases with a family violence indicator in the Children’s Court received </w:t>
      </w:r>
      <w:r w:rsidRPr="00A24E18">
        <w:rPr>
          <w:rStyle w:val="Emphasis"/>
        </w:rPr>
        <w:t>less</w:t>
      </w:r>
      <w:r w:rsidRPr="00D36673">
        <w:t xml:space="preserve"> serious sentencing outcomes than non-family violence cases. This is most likely because the dynamics of children’s family violence offending differ significantly from the gendered intimate partner dynamics of adult family violence cases in the Magistrates’ Court; family violence sentenced in the Children’s Court often occurs within the parent–child relationship, and child perpetrators tend to be vulnerable.</w:t>
      </w:r>
    </w:p>
    <w:p w14:paraId="36CB451C" w14:textId="77777777" w:rsidR="005A3418" w:rsidRPr="00D36673" w:rsidRDefault="005A3418" w:rsidP="0086723D">
      <w:pPr>
        <w:pStyle w:val="Heading2"/>
      </w:pPr>
      <w:r w:rsidRPr="00D36673">
        <w:t>Offences co-sentenced alongside threats</w:t>
      </w:r>
    </w:p>
    <w:p w14:paraId="2F271286" w14:textId="77777777" w:rsidR="005A3418" w:rsidRPr="00D36673" w:rsidRDefault="005A3418" w:rsidP="003724FA">
      <w:r w:rsidRPr="00D36673">
        <w:t xml:space="preserve">Threat offences are rarely sentenced alone. Just 8% of the 13,846 cases involving threat offences during the reference period had a single offence in total, while the other 92% of cases involved multiple offences. Indeed, there were 105,179 charges sentenced in those cases in total: an average of 7.6 charges per case. </w:t>
      </w:r>
    </w:p>
    <w:p w14:paraId="08FE5FDF" w14:textId="77777777" w:rsidR="005A3418" w:rsidRPr="00D36673" w:rsidRDefault="005A3418" w:rsidP="003724FA">
      <w:r w:rsidRPr="00D36673">
        <w:t xml:space="preserve">Where property damage or violence offences were co-sentenced alongside threat offences, they usually took place on the same day (60% and 76% respectively). Co-sentenced breaches of family violence orders, in contrast, had more often occurred sometime </w:t>
      </w:r>
      <w:r w:rsidRPr="00A24E18">
        <w:rPr>
          <w:rStyle w:val="Emphasis"/>
        </w:rPr>
        <w:t>after</w:t>
      </w:r>
      <w:r w:rsidRPr="00D36673">
        <w:t xml:space="preserve"> the threat offence (39% after compared to 36% on the same day). This suggests that a threat offence is an indicator of future family violence. </w:t>
      </w:r>
    </w:p>
    <w:p w14:paraId="21B0A28A" w14:textId="77777777" w:rsidR="005A3418" w:rsidRPr="00D36673" w:rsidRDefault="005A3418" w:rsidP="003724FA">
      <w:r w:rsidRPr="00D36673">
        <w:t xml:space="preserve">The offence types co-sentenced alongside threat offences varied slightly by jurisdiction. In the Magistrates’ Court, the most common co-sentenced </w:t>
      </w:r>
      <w:r w:rsidRPr="00D36673">
        <w:lastRenderedPageBreak/>
        <w:t xml:space="preserve">offences were assault, bail-related offences, breaches of family violence orders and property damage, each of which was especially prevalent in family violence cases. In the higher courts, more than one-third of threat offenders were co-sentenced with causing injury, followed by property damage and assault. The number of charges per case in the Children’s Court was especially high (averaging 11.5), with the most common offences being assault, property damage and bail-related offences. However, any analysis of co-sentenced offences in the Children’s Court should be regarded with caution as multiple cases are often consolidated and sentenced together. </w:t>
      </w:r>
    </w:p>
    <w:p w14:paraId="10584846" w14:textId="77777777" w:rsidR="005A3418" w:rsidRPr="00D36673" w:rsidRDefault="005A3418" w:rsidP="003724FA">
      <w:r w:rsidRPr="00D36673">
        <w:t xml:space="preserve">Given that assault/causing injury offences and property damage are closely related to the most common types of threat offences (threat to harm and threat to damage property), this profile of co-sentenced offending suggests that many sentenced threat offenders do follow through with threats to damage property or to commit violence. </w:t>
      </w:r>
    </w:p>
    <w:p w14:paraId="25D96B7D" w14:textId="77777777" w:rsidR="005A3418" w:rsidRPr="00D36673" w:rsidRDefault="005A3418" w:rsidP="0086723D">
      <w:pPr>
        <w:pStyle w:val="Heading2"/>
      </w:pPr>
      <w:r w:rsidRPr="00D36673">
        <w:t>Reoffending</w:t>
      </w:r>
    </w:p>
    <w:p w14:paraId="20FD6DE2" w14:textId="77777777" w:rsidR="005A3418" w:rsidRPr="00D36673" w:rsidRDefault="005A3418" w:rsidP="003724FA">
      <w:r w:rsidRPr="00D36673">
        <w:t xml:space="preserve">Threat offenders had very high rates of prior and subsequent offending. One-third were sentenced again within 12 months of being sentenced for a threat offence. Half were sentenced again within two years, and 58% within three years. This reoffending rate is double the rate for all offenders in Victoria. Prior offending rates were also high (52% had been sentenced in the previous three years). Just 30% of threat offenders had neither a prior nor a subsequent offence within three years of their threat offence. </w:t>
      </w:r>
    </w:p>
    <w:p w14:paraId="356D37EA" w14:textId="77777777" w:rsidR="005A3418" w:rsidRPr="00D36673" w:rsidRDefault="005A3418" w:rsidP="003724FA">
      <w:r w:rsidRPr="00D36673">
        <w:t xml:space="preserve">Reoffending rates were higher for children than for adults, and for men than for women; however, there was no substantial difference in reoffending rates between family violence and non-family violence offenders. Prior offending was a strong predictor of subsequent offending. And prior violence was a strong predictor of subsequent violence. The most common subsequent offences were bail-related offences and </w:t>
      </w:r>
      <w:r w:rsidRPr="00D36673">
        <w:lastRenderedPageBreak/>
        <w:t xml:space="preserve">breaches of family violence orders, though violent reoffending was also common (32% of all threat offenders). </w:t>
      </w:r>
    </w:p>
    <w:p w14:paraId="3A06EA6B" w14:textId="77777777" w:rsidR="005A3418" w:rsidRPr="00D36673" w:rsidRDefault="005A3418" w:rsidP="0086723D">
      <w:pPr>
        <w:pStyle w:val="Heading2"/>
      </w:pPr>
      <w:r w:rsidRPr="00D36673">
        <w:t>Implications of findings</w:t>
      </w:r>
    </w:p>
    <w:p w14:paraId="365BDF9E" w14:textId="77777777" w:rsidR="005A3418" w:rsidRPr="00D36673" w:rsidRDefault="005A3418" w:rsidP="003724FA">
      <w:r w:rsidRPr="00D36673">
        <w:t xml:space="preserve">Risk assessment protocols in Victoria frequently flag threats as a significant risk factor for future, ongoing or escalating offending, particularly in a family violence context. Similarly, courts are clearly aware of the seriousness of threat offending; in the adult courts, imprisonment is the most frequently imposed sentence for threat offences, particularly in family violence cases. </w:t>
      </w:r>
    </w:p>
    <w:p w14:paraId="7D9E7494" w14:textId="77777777" w:rsidR="005A3418" w:rsidRPr="00D36673" w:rsidRDefault="005A3418" w:rsidP="003724FA">
      <w:r w:rsidRPr="00D36673">
        <w:t xml:space="preserve">The data in this report confirms the seriousness of threat offending – it is linked to serious harms for victims and frequently occurs in a family violence context. The extraordinarily high reoffending rates associated with threat offending suggest it is perhaps even more of a risk factor for ongoing or escalating offending than previously understood. Many stakeholders consulted by the Council suggested that threat offending, especially where it occurs outside a family violence context, is linked to poverty, homelessness, addiction, neurodisability and other forms of criminogenic need. </w:t>
      </w:r>
    </w:p>
    <w:p w14:paraId="42EB5D35" w14:textId="77777777" w:rsidR="005A3418" w:rsidRPr="00D36673" w:rsidRDefault="005A3418" w:rsidP="003724FA">
      <w:r w:rsidRPr="00D36673">
        <w:t xml:space="preserve">In this context, it appears that more research into threat offending may be useful, where it is treated as a distinct type of offending rather than as a subset of violent offending, the greater numbers of which may obscure the characteristics of threat offending specifically. It may also be useful for those responsible for risk assessment protocols in Victoria – especially, but not exclusively, in family violence risk assessment – to review those protocols in light of the findings in this report and consider further emphasising the significance of threats as a risk factor and/or more clearly distinguishing between threatened and actual violence.    </w:t>
      </w:r>
    </w:p>
    <w:p w14:paraId="5A639571" w14:textId="115EBA31" w:rsidR="005A3418" w:rsidRPr="00D36673" w:rsidRDefault="005A3418" w:rsidP="00957F3A">
      <w:pPr>
        <w:pStyle w:val="Heading1Numbered"/>
      </w:pPr>
      <w:bookmarkStart w:id="3" w:name="_Toc75445778"/>
      <w:r w:rsidRPr="00D36673">
        <w:lastRenderedPageBreak/>
        <w:t>Introduction</w:t>
      </w:r>
      <w:bookmarkEnd w:id="3"/>
    </w:p>
    <w:p w14:paraId="3968EC10" w14:textId="77777777" w:rsidR="005A3418" w:rsidRPr="00D36673" w:rsidRDefault="005A3418" w:rsidP="00D17C3C">
      <w:pPr>
        <w:pStyle w:val="Numbered"/>
        <w:spacing w:before="240"/>
      </w:pPr>
      <w:r w:rsidRPr="00D36673">
        <w:t>Threats to kill or seriously injure another person – as well as other types of threats – are common and very serious. More than 3,000 charges of threat to kill or threat to inflict serious injury are sentenced each year in Victoria (see Figure 1). Over the five years to 31 December 2019 (the reference period), threat offences were present in 3% of cases sentenced in the Magistrates’ Court, 4% of cases sentenced in the higher courts and 7% of cases sentenced in the Children’s Court.</w:t>
      </w:r>
      <w:r w:rsidRPr="00D36673">
        <w:rPr>
          <w:rStyle w:val="Superscript"/>
        </w:rPr>
        <w:footnoteReference w:id="1"/>
      </w:r>
    </w:p>
    <w:p w14:paraId="0934FDC1" w14:textId="77777777" w:rsidR="005A3418" w:rsidRPr="00D36673" w:rsidRDefault="005A3418" w:rsidP="00711AFB">
      <w:pPr>
        <w:pStyle w:val="Caption"/>
      </w:pPr>
      <w:r w:rsidRPr="00C9259E">
        <w:t xml:space="preserve">Figure 1: </w:t>
      </w:r>
      <w:r w:rsidRPr="00D36673">
        <w:t>Number of charges of threat to kill and threat to inflict serious injury sentenced in Victoria, all courts, 2015 to 2019</w:t>
      </w:r>
    </w:p>
    <w:tbl>
      <w:tblPr>
        <w:tblStyle w:val="Table"/>
        <w:tblW w:w="0" w:type="auto"/>
        <w:tblLook w:val="04A0" w:firstRow="1" w:lastRow="0" w:firstColumn="1" w:lastColumn="0" w:noHBand="0" w:noVBand="1"/>
      </w:tblPr>
      <w:tblGrid>
        <w:gridCol w:w="4508"/>
        <w:gridCol w:w="4508"/>
      </w:tblGrid>
      <w:tr w:rsidR="00EB0405" w14:paraId="7E2569CF" w14:textId="77777777" w:rsidTr="004F299F">
        <w:trPr>
          <w:tblHeader/>
        </w:trPr>
        <w:tc>
          <w:tcPr>
            <w:tcW w:w="4508" w:type="dxa"/>
          </w:tcPr>
          <w:p w14:paraId="34D315FD" w14:textId="2665F124" w:rsidR="00EB0405" w:rsidRDefault="00D83583" w:rsidP="00D83583">
            <w:pPr>
              <w:pStyle w:val="TableHeading"/>
            </w:pPr>
            <w:r>
              <w:t>Year</w:t>
            </w:r>
          </w:p>
        </w:tc>
        <w:tc>
          <w:tcPr>
            <w:tcW w:w="4508" w:type="dxa"/>
          </w:tcPr>
          <w:p w14:paraId="20FF5325" w14:textId="6D0935BC" w:rsidR="00EB0405" w:rsidRDefault="00D83583" w:rsidP="00D83583">
            <w:pPr>
              <w:pStyle w:val="TableHeading"/>
            </w:pPr>
            <w:r>
              <w:t>Number of charges</w:t>
            </w:r>
          </w:p>
        </w:tc>
      </w:tr>
      <w:tr w:rsidR="00EB0405" w14:paraId="34BEDB8D" w14:textId="77777777" w:rsidTr="00EB0405">
        <w:tc>
          <w:tcPr>
            <w:tcW w:w="4508" w:type="dxa"/>
          </w:tcPr>
          <w:p w14:paraId="7C593351" w14:textId="3ADCE97A" w:rsidR="00EB0405" w:rsidRDefault="00D83583" w:rsidP="00D83583">
            <w:pPr>
              <w:pStyle w:val="TableBody"/>
            </w:pPr>
            <w:r>
              <w:t>2015</w:t>
            </w:r>
          </w:p>
        </w:tc>
        <w:tc>
          <w:tcPr>
            <w:tcW w:w="4508" w:type="dxa"/>
          </w:tcPr>
          <w:p w14:paraId="051293DB" w14:textId="67A9E4CA" w:rsidR="00EB0405" w:rsidRDefault="00D83583" w:rsidP="00D83583">
            <w:pPr>
              <w:pStyle w:val="TableBody"/>
            </w:pPr>
            <w:r>
              <w:t>3,128</w:t>
            </w:r>
          </w:p>
        </w:tc>
      </w:tr>
      <w:tr w:rsidR="00EB0405" w14:paraId="2824F32B" w14:textId="77777777" w:rsidTr="00EB0405">
        <w:tc>
          <w:tcPr>
            <w:tcW w:w="4508" w:type="dxa"/>
          </w:tcPr>
          <w:p w14:paraId="18F98365" w14:textId="2F20E598" w:rsidR="00EB0405" w:rsidRDefault="00D83583" w:rsidP="00D83583">
            <w:pPr>
              <w:pStyle w:val="TableBody"/>
            </w:pPr>
            <w:r>
              <w:t>2016</w:t>
            </w:r>
          </w:p>
        </w:tc>
        <w:tc>
          <w:tcPr>
            <w:tcW w:w="4508" w:type="dxa"/>
          </w:tcPr>
          <w:p w14:paraId="373284FF" w14:textId="7772C9BA" w:rsidR="00EB0405" w:rsidRDefault="00D83583" w:rsidP="00D83583">
            <w:pPr>
              <w:pStyle w:val="TableBody"/>
            </w:pPr>
            <w:r>
              <w:t>3,358</w:t>
            </w:r>
          </w:p>
        </w:tc>
      </w:tr>
      <w:tr w:rsidR="00EB0405" w14:paraId="79174324" w14:textId="77777777" w:rsidTr="00EB0405">
        <w:tc>
          <w:tcPr>
            <w:tcW w:w="4508" w:type="dxa"/>
          </w:tcPr>
          <w:p w14:paraId="2C918BDE" w14:textId="6E692512" w:rsidR="00EB0405" w:rsidRDefault="00D83583" w:rsidP="00D83583">
            <w:pPr>
              <w:pStyle w:val="TableBody"/>
            </w:pPr>
            <w:r>
              <w:t>2017</w:t>
            </w:r>
          </w:p>
        </w:tc>
        <w:tc>
          <w:tcPr>
            <w:tcW w:w="4508" w:type="dxa"/>
          </w:tcPr>
          <w:p w14:paraId="66AF95EB" w14:textId="6104F94D" w:rsidR="00EB0405" w:rsidRDefault="00D83583" w:rsidP="00D83583">
            <w:pPr>
              <w:pStyle w:val="TableBody"/>
            </w:pPr>
            <w:r>
              <w:t>3,352</w:t>
            </w:r>
          </w:p>
        </w:tc>
      </w:tr>
      <w:tr w:rsidR="00EB0405" w14:paraId="26BC347B" w14:textId="77777777" w:rsidTr="00EB0405">
        <w:tc>
          <w:tcPr>
            <w:tcW w:w="4508" w:type="dxa"/>
          </w:tcPr>
          <w:p w14:paraId="0C77B611" w14:textId="203D14DD" w:rsidR="00EB0405" w:rsidRDefault="00D83583" w:rsidP="00D83583">
            <w:pPr>
              <w:pStyle w:val="TableBody"/>
            </w:pPr>
            <w:r>
              <w:t>2018</w:t>
            </w:r>
          </w:p>
        </w:tc>
        <w:tc>
          <w:tcPr>
            <w:tcW w:w="4508" w:type="dxa"/>
          </w:tcPr>
          <w:p w14:paraId="6790528F" w14:textId="6A6FE21F" w:rsidR="00EB0405" w:rsidRDefault="00D83583" w:rsidP="00D83583">
            <w:pPr>
              <w:pStyle w:val="TableBody"/>
            </w:pPr>
            <w:r>
              <w:t>3,103</w:t>
            </w:r>
          </w:p>
        </w:tc>
      </w:tr>
      <w:tr w:rsidR="00EB0405" w14:paraId="1E42726E" w14:textId="77777777" w:rsidTr="00EB0405">
        <w:tc>
          <w:tcPr>
            <w:tcW w:w="4508" w:type="dxa"/>
          </w:tcPr>
          <w:p w14:paraId="1D36282E" w14:textId="43444933" w:rsidR="00EB0405" w:rsidRDefault="00D83583" w:rsidP="00D83583">
            <w:pPr>
              <w:pStyle w:val="TableBody"/>
            </w:pPr>
            <w:r>
              <w:t>2019</w:t>
            </w:r>
          </w:p>
        </w:tc>
        <w:tc>
          <w:tcPr>
            <w:tcW w:w="4508" w:type="dxa"/>
          </w:tcPr>
          <w:p w14:paraId="41B029DA" w14:textId="417B8FFE" w:rsidR="00EB0405" w:rsidRDefault="00D83583" w:rsidP="00D83583">
            <w:pPr>
              <w:pStyle w:val="TableBody"/>
            </w:pPr>
            <w:r>
              <w:t>3,097</w:t>
            </w:r>
          </w:p>
        </w:tc>
      </w:tr>
    </w:tbl>
    <w:p w14:paraId="428502EF" w14:textId="77777777" w:rsidR="005A3418" w:rsidRPr="00D36673" w:rsidRDefault="005A3418" w:rsidP="001405EA">
      <w:pPr>
        <w:pStyle w:val="Numbered"/>
      </w:pPr>
      <w:r w:rsidRPr="00D36673">
        <w:t>Previous research by the Council has found that threat to kill and threat to inflict serious injury are the two most common serious offences committed by people serving a community correction order.</w:t>
      </w:r>
      <w:r w:rsidRPr="00D36673">
        <w:rPr>
          <w:rStyle w:val="Superscript"/>
        </w:rPr>
        <w:footnoteReference w:id="2"/>
      </w:r>
      <w:r w:rsidRPr="00D36673">
        <w:t xml:space="preserve"> They are common prior and subsequent offences among offenders who breach family violence orders,</w:t>
      </w:r>
      <w:r w:rsidRPr="00D36673">
        <w:rPr>
          <w:rStyle w:val="Superscript"/>
        </w:rPr>
        <w:footnoteReference w:id="3"/>
      </w:r>
      <w:r w:rsidRPr="00D36673">
        <w:t xml:space="preserve"> and among children who reoffend following sentence.</w:t>
      </w:r>
      <w:r w:rsidRPr="00D36673">
        <w:rPr>
          <w:rStyle w:val="Superscript"/>
        </w:rPr>
        <w:footnoteReference w:id="4"/>
      </w:r>
      <w:r w:rsidRPr="00D36673">
        <w:t xml:space="preserve"> Threats are also well-recognised risk factors for future family violence.</w:t>
      </w:r>
      <w:r w:rsidRPr="00D36673">
        <w:rPr>
          <w:rStyle w:val="Superscript"/>
        </w:rPr>
        <w:footnoteReference w:id="5"/>
      </w:r>
      <w:r w:rsidRPr="00D36673">
        <w:t xml:space="preserve"> </w:t>
      </w:r>
    </w:p>
    <w:p w14:paraId="03CE638B" w14:textId="77777777" w:rsidR="005A3418" w:rsidRPr="00D36673" w:rsidRDefault="005A3418" w:rsidP="001405EA">
      <w:pPr>
        <w:pStyle w:val="Numbered"/>
      </w:pPr>
      <w:r w:rsidRPr="00D36673">
        <w:lastRenderedPageBreak/>
        <w:t xml:space="preserve">Despite the evident significance of threat offending, however, analysis of sentencing outcomes for threat offences in Victoria has so far been limited. This report addresses that gap. </w:t>
      </w:r>
    </w:p>
    <w:p w14:paraId="1FCD815F" w14:textId="77777777" w:rsidR="005A3418" w:rsidRPr="00D36673" w:rsidRDefault="005A3418" w:rsidP="0086723D">
      <w:pPr>
        <w:pStyle w:val="Heading2"/>
      </w:pPr>
      <w:r w:rsidRPr="00D36673">
        <w:t>Scope and aims of this report</w:t>
      </w:r>
    </w:p>
    <w:p w14:paraId="29E8E3FE" w14:textId="77777777" w:rsidR="005A3418" w:rsidRPr="00D36673" w:rsidRDefault="005A3418" w:rsidP="001405EA">
      <w:pPr>
        <w:pStyle w:val="Numbered"/>
      </w:pPr>
      <w:r w:rsidRPr="00D36673">
        <w:t>Chapter 2 of this report reviews the legal and criminological literature on the harms and sentencing of threat offending. The report then analyses police and court data for the five years to 31 December 2019 to identify the following:  </w:t>
      </w:r>
    </w:p>
    <w:p w14:paraId="667F4FE0" w14:textId="77777777" w:rsidR="005A3418" w:rsidRPr="00D36673" w:rsidRDefault="005A3418" w:rsidP="00F9594C">
      <w:pPr>
        <w:pStyle w:val="Bullets"/>
      </w:pPr>
      <w:r w:rsidRPr="00193059">
        <w:rPr>
          <w:rStyle w:val="Strong"/>
        </w:rPr>
        <w:t>Prevalence:</w:t>
      </w:r>
      <w:r w:rsidRPr="00D36673">
        <w:t xml:space="preserve"> How many threat offences are recorded by Victoria Police each year? How many threat offences are sentenced by courts each year?</w:t>
      </w:r>
    </w:p>
    <w:p w14:paraId="3D2844F4" w14:textId="77777777" w:rsidR="005A3418" w:rsidRPr="00D36673" w:rsidRDefault="005A3418" w:rsidP="00F9594C">
      <w:pPr>
        <w:pStyle w:val="Bullets"/>
      </w:pPr>
      <w:r w:rsidRPr="00193059">
        <w:rPr>
          <w:rStyle w:val="Strong"/>
        </w:rPr>
        <w:t>Demographics:</w:t>
      </w:r>
      <w:r w:rsidRPr="00D36673">
        <w:t xml:space="preserve"> What was the age and gender of threat offenders, and did age and gender vary between recorded and sentenced threat offences?</w:t>
      </w:r>
    </w:p>
    <w:p w14:paraId="4CEA12CA" w14:textId="77777777" w:rsidR="005A3418" w:rsidRPr="00D36673" w:rsidRDefault="005A3418" w:rsidP="00F9594C">
      <w:pPr>
        <w:pStyle w:val="Bullets"/>
      </w:pPr>
      <w:r w:rsidRPr="00193059">
        <w:rPr>
          <w:rStyle w:val="Strong"/>
        </w:rPr>
        <w:t>Family violence:</w:t>
      </w:r>
      <w:r w:rsidRPr="00D36673">
        <w:t xml:space="preserve"> What proportion of recorded and sentenced threat offences was committed in a context suggestive of family violence? Did this vary between cases involving male and female offenders?</w:t>
      </w:r>
    </w:p>
    <w:p w14:paraId="4ADFBA88" w14:textId="77777777" w:rsidR="005A3418" w:rsidRPr="00D36673" w:rsidRDefault="005A3418" w:rsidP="00F9594C">
      <w:pPr>
        <w:pStyle w:val="Bullets"/>
      </w:pPr>
      <w:r w:rsidRPr="00193059">
        <w:rPr>
          <w:rStyle w:val="Strong"/>
        </w:rPr>
        <w:t xml:space="preserve">Sentencing: </w:t>
      </w:r>
      <w:r w:rsidRPr="00D36673">
        <w:t>What sentences were imposed for threat offences?</w:t>
      </w:r>
    </w:p>
    <w:p w14:paraId="0403C382" w14:textId="77777777" w:rsidR="005A3418" w:rsidRPr="00D36673" w:rsidRDefault="005A3418" w:rsidP="00F9594C">
      <w:pPr>
        <w:pStyle w:val="Bullets"/>
      </w:pPr>
      <w:r w:rsidRPr="00193059">
        <w:rPr>
          <w:rStyle w:val="Strong"/>
        </w:rPr>
        <w:t>Co-sentenced offences:</w:t>
      </w:r>
      <w:r w:rsidRPr="00D36673">
        <w:t xml:space="preserve"> Which offences were most commonly co-sentenced with threat offences? Did these vary between family violence and non-family violence cases, or cases involving men and cases involving women?</w:t>
      </w:r>
    </w:p>
    <w:p w14:paraId="1F700C60" w14:textId="77777777" w:rsidR="005A3418" w:rsidRPr="00D36673" w:rsidRDefault="005A3418" w:rsidP="004C1909">
      <w:pPr>
        <w:pStyle w:val="Bullets"/>
      </w:pPr>
      <w:r w:rsidRPr="00193059">
        <w:rPr>
          <w:rStyle w:val="Strong"/>
        </w:rPr>
        <w:t>Prior and subsequent offending</w:t>
      </w:r>
      <w:r w:rsidRPr="008A19D0">
        <w:t>:</w:t>
      </w:r>
      <w:r w:rsidRPr="00D36673">
        <w:t xml:space="preserve"> Which other offences were committed by threat offenders in the three years before and after their index threat offence? Did offending vary between family violence and non-family violence cases, or cases involving male and female offenders? </w:t>
      </w:r>
    </w:p>
    <w:p w14:paraId="2897708E" w14:textId="77777777" w:rsidR="005A3418" w:rsidRPr="00D36673" w:rsidRDefault="005A3418" w:rsidP="0086723D">
      <w:pPr>
        <w:pStyle w:val="Heading2"/>
      </w:pPr>
      <w:r w:rsidRPr="00D36673">
        <w:lastRenderedPageBreak/>
        <w:t>Emphasis and exclusions</w:t>
      </w:r>
    </w:p>
    <w:p w14:paraId="54C5BB78" w14:textId="77777777" w:rsidR="005A3418" w:rsidRPr="00D36673" w:rsidRDefault="005A3418" w:rsidP="001405EA">
      <w:pPr>
        <w:pStyle w:val="Numbered"/>
      </w:pPr>
      <w:r w:rsidRPr="00D36673">
        <w:t xml:space="preserve">This report focuses primarily on what the Council describes as </w:t>
      </w:r>
      <w:r w:rsidRPr="00A24E18">
        <w:rPr>
          <w:rStyle w:val="Emphasis"/>
        </w:rPr>
        <w:t>pure</w:t>
      </w:r>
      <w:r w:rsidRPr="00D36673">
        <w:t xml:space="preserve"> </w:t>
      </w:r>
      <w:r w:rsidRPr="00A24E18">
        <w:rPr>
          <w:rStyle w:val="Emphasis"/>
        </w:rPr>
        <w:t>threat offences</w:t>
      </w:r>
      <w:r w:rsidRPr="00D36673">
        <w:t>: offences where the threat is the whole underlying offence. These include:</w:t>
      </w:r>
    </w:p>
    <w:p w14:paraId="40B5DA2A" w14:textId="77777777" w:rsidR="005A3418" w:rsidRPr="00D36673" w:rsidRDefault="005A3418" w:rsidP="00F9594C">
      <w:pPr>
        <w:pStyle w:val="Bullets"/>
      </w:pPr>
      <w:r w:rsidRPr="00D36673">
        <w:t>Threat to kill;</w:t>
      </w:r>
      <w:r w:rsidRPr="00D36673">
        <w:rPr>
          <w:rStyle w:val="Superscript"/>
        </w:rPr>
        <w:footnoteReference w:id="6"/>
      </w:r>
    </w:p>
    <w:p w14:paraId="1B7F427E" w14:textId="77777777" w:rsidR="005A3418" w:rsidRPr="00D36673" w:rsidRDefault="005A3418" w:rsidP="00F9594C">
      <w:pPr>
        <w:pStyle w:val="Bullets"/>
      </w:pPr>
      <w:r w:rsidRPr="00D36673">
        <w:t>Threat to inflict serious injury;</w:t>
      </w:r>
      <w:r w:rsidRPr="00D36673">
        <w:rPr>
          <w:rStyle w:val="Superscript"/>
        </w:rPr>
        <w:footnoteReference w:id="7"/>
      </w:r>
    </w:p>
    <w:p w14:paraId="7C26AF51" w14:textId="77777777" w:rsidR="005A3418" w:rsidRPr="00D36673" w:rsidRDefault="005A3418" w:rsidP="00F9594C">
      <w:pPr>
        <w:pStyle w:val="Bullets"/>
      </w:pPr>
      <w:r w:rsidRPr="00D36673">
        <w:t>Threat to destroy or damage property;</w:t>
      </w:r>
      <w:r w:rsidRPr="00D36673">
        <w:rPr>
          <w:rStyle w:val="Superscript"/>
        </w:rPr>
        <w:footnoteReference w:id="8"/>
      </w:r>
    </w:p>
    <w:p w14:paraId="7320A491" w14:textId="77777777" w:rsidR="005A3418" w:rsidRPr="00D36673" w:rsidRDefault="005A3418" w:rsidP="00F9594C">
      <w:pPr>
        <w:pStyle w:val="Bullets"/>
      </w:pPr>
      <w:r w:rsidRPr="00D36673">
        <w:t>Threat to commit a sexual offence;</w:t>
      </w:r>
      <w:r w:rsidRPr="00D36673">
        <w:rPr>
          <w:rStyle w:val="Superscript"/>
        </w:rPr>
        <w:footnoteReference w:id="9"/>
      </w:r>
      <w:r w:rsidRPr="00D36673">
        <w:t xml:space="preserve"> and</w:t>
      </w:r>
    </w:p>
    <w:p w14:paraId="46564F7A" w14:textId="77777777" w:rsidR="005A3418" w:rsidRPr="00D36673" w:rsidRDefault="005A3418" w:rsidP="004C1909">
      <w:pPr>
        <w:pStyle w:val="Bullets"/>
      </w:pPr>
      <w:r w:rsidRPr="00D36673">
        <w:t>Threat to assault an emergency worker.</w:t>
      </w:r>
      <w:r w:rsidRPr="00D36673">
        <w:rPr>
          <w:rStyle w:val="Superscript"/>
        </w:rPr>
        <w:footnoteReference w:id="10"/>
      </w:r>
    </w:p>
    <w:p w14:paraId="7833DE73" w14:textId="77777777" w:rsidR="005A3418" w:rsidRPr="00D36673" w:rsidRDefault="005A3418" w:rsidP="001405EA">
      <w:pPr>
        <w:pStyle w:val="Numbered"/>
      </w:pPr>
      <w:r w:rsidRPr="00D36673">
        <w:t>Terrorism, terrorism-related offences (such as bomb hoaxes), blackmail and extortion are excluded, as these offences involve either additional elements beyond the threat itself or a threat that is not necessarily made against a specific, identifiable victim. Threats to share intimate images are excluded because the Council recently investigated those threats in a separate report.</w:t>
      </w:r>
      <w:r w:rsidRPr="00D36673">
        <w:rPr>
          <w:rStyle w:val="Superscript"/>
        </w:rPr>
        <w:footnoteReference w:id="11"/>
      </w:r>
      <w:r w:rsidRPr="00D36673">
        <w:t xml:space="preserve"> Assaults by threatened imminent application of force (psychic assault) are also excluded because the available data does not distinguish them from assault by application of force.  The latter exclusion is unlikely to result in any significant loss of data for analysis; police data on offences against emergency workers </w:t>
      </w:r>
      <w:r w:rsidRPr="00D36673">
        <w:lastRenderedPageBreak/>
        <w:t>suggests that almost all assaults occur by application of force, rather than by threat of force.</w:t>
      </w:r>
      <w:r w:rsidRPr="00D36673">
        <w:rPr>
          <w:rStyle w:val="Superscript"/>
        </w:rPr>
        <w:footnoteReference w:id="12"/>
      </w:r>
    </w:p>
    <w:p w14:paraId="78E9C787" w14:textId="349049DA" w:rsidR="005A3418" w:rsidRPr="00D36673" w:rsidRDefault="005A3418" w:rsidP="008D503F">
      <w:pPr>
        <w:pStyle w:val="Heading1Numbered"/>
        <w:tabs>
          <w:tab w:val="left" w:pos="851"/>
        </w:tabs>
      </w:pPr>
      <w:bookmarkStart w:id="4" w:name="_Toc75445779"/>
      <w:r w:rsidRPr="00D36673">
        <w:lastRenderedPageBreak/>
        <w:t>Legal analysis and literature on harm</w:t>
      </w:r>
      <w:bookmarkEnd w:id="4"/>
    </w:p>
    <w:p w14:paraId="3B9879A8" w14:textId="77777777" w:rsidR="005A3418" w:rsidRPr="00D36673" w:rsidRDefault="005A3418" w:rsidP="001405EA">
      <w:pPr>
        <w:pStyle w:val="Numbered"/>
      </w:pPr>
      <w:r w:rsidRPr="00D36673">
        <w:t>This chapter outlines the legal context of threat offences in Victoria, including the legislation criminalising threats and the case law on sentencing threat offences.</w:t>
      </w:r>
    </w:p>
    <w:p w14:paraId="6380065C" w14:textId="77777777" w:rsidR="005A3418" w:rsidRPr="00D36673" w:rsidRDefault="005A3418" w:rsidP="001405EA">
      <w:pPr>
        <w:pStyle w:val="Numbered"/>
      </w:pPr>
      <w:r w:rsidRPr="00D36673">
        <w:t xml:space="preserve">This chapter then discusses the nature of the harms involved in threat offending. It identifies three main harms associated with threat offending and discusses the ways in which case law responds to those harms. It also discusses the criminological and psychological research on threat offences, their motivation and their association with future serious offending. </w:t>
      </w:r>
    </w:p>
    <w:p w14:paraId="4180D994" w14:textId="77777777" w:rsidR="005A3418" w:rsidRPr="00D36673" w:rsidRDefault="005A3418" w:rsidP="0086723D">
      <w:pPr>
        <w:pStyle w:val="Heading2"/>
      </w:pPr>
      <w:r w:rsidRPr="00D36673">
        <w:t xml:space="preserve">Offence elements and maximum penalties </w:t>
      </w:r>
    </w:p>
    <w:p w14:paraId="0727DAA9" w14:textId="77777777" w:rsidR="005A3418" w:rsidRPr="00D36673" w:rsidRDefault="005A3418" w:rsidP="001405EA">
      <w:pPr>
        <w:pStyle w:val="Numbered"/>
      </w:pPr>
      <w:r w:rsidRPr="00D36673">
        <w:t>This report addresses five types of threat offences. Table 1 identifies those five types, their associated maximum penalties and (for comparison) the maximum penalties for the substantive counterpart to each threat offence (i.e. the offence committed if the offender intentionally carries out the threatened behaviour).</w:t>
      </w:r>
    </w:p>
    <w:p w14:paraId="4D7D706A" w14:textId="5F757155" w:rsidR="005A3418" w:rsidRPr="00D36673" w:rsidRDefault="005A3418" w:rsidP="005E08AC">
      <w:pPr>
        <w:pStyle w:val="Caption"/>
      </w:pPr>
      <w:r w:rsidRPr="00C9259E">
        <w:t xml:space="preserve">Table 1: </w:t>
      </w:r>
      <w:r w:rsidRPr="00D36673">
        <w:t>Maximum penalties for threat offences and corresponding substantive offences</w:t>
      </w:r>
      <w:r w:rsidRPr="00D36673">
        <w:rPr>
          <w:rStyle w:val="Superscript"/>
        </w:rPr>
        <w:footnoteReference w:id="13"/>
      </w:r>
    </w:p>
    <w:tbl>
      <w:tblPr>
        <w:tblStyle w:val="Table"/>
        <w:tblW w:w="0" w:type="auto"/>
        <w:tblLayout w:type="fixed"/>
        <w:tblLook w:val="0020" w:firstRow="1" w:lastRow="0" w:firstColumn="0" w:lastColumn="0" w:noHBand="0" w:noVBand="0"/>
      </w:tblPr>
      <w:tblGrid>
        <w:gridCol w:w="3402"/>
        <w:gridCol w:w="2041"/>
        <w:gridCol w:w="3402"/>
      </w:tblGrid>
      <w:tr w:rsidR="005A3418" w:rsidRPr="00D36673" w14:paraId="6260FF5D" w14:textId="77777777" w:rsidTr="00E6572F">
        <w:trPr>
          <w:trHeight w:val="60"/>
        </w:trPr>
        <w:tc>
          <w:tcPr>
            <w:tcW w:w="3402" w:type="dxa"/>
          </w:tcPr>
          <w:p w14:paraId="604E7D5B" w14:textId="77777777" w:rsidR="005A3418" w:rsidRPr="00D36673" w:rsidRDefault="005A3418" w:rsidP="005E08AC">
            <w:pPr>
              <w:pStyle w:val="TableHeading"/>
            </w:pPr>
            <w:r w:rsidRPr="00D36673">
              <w:t>Offence description</w:t>
            </w:r>
          </w:p>
        </w:tc>
        <w:tc>
          <w:tcPr>
            <w:tcW w:w="2041" w:type="dxa"/>
          </w:tcPr>
          <w:p w14:paraId="3E2BE6A6" w14:textId="15989369" w:rsidR="005A3418" w:rsidRPr="00D36673" w:rsidRDefault="005A3418" w:rsidP="005E08AC">
            <w:pPr>
              <w:pStyle w:val="TableHeading"/>
            </w:pPr>
            <w:r w:rsidRPr="00D36673">
              <w:t>Maximum penalty</w:t>
            </w:r>
            <w:r w:rsidR="005E08AC">
              <w:t xml:space="preserve"> </w:t>
            </w:r>
            <w:r w:rsidRPr="00D36673">
              <w:t>(threat)</w:t>
            </w:r>
          </w:p>
        </w:tc>
        <w:tc>
          <w:tcPr>
            <w:tcW w:w="3402" w:type="dxa"/>
          </w:tcPr>
          <w:p w14:paraId="353C38EF" w14:textId="651BC949" w:rsidR="005A3418" w:rsidRPr="00D36673" w:rsidRDefault="005A3418" w:rsidP="005E08AC">
            <w:pPr>
              <w:pStyle w:val="TableHeading"/>
            </w:pPr>
            <w:r w:rsidRPr="00D36673">
              <w:t>Maximum penalty</w:t>
            </w:r>
            <w:r w:rsidR="00AC1AE1">
              <w:t xml:space="preserve"> </w:t>
            </w:r>
            <w:r w:rsidRPr="00D36673">
              <w:t>(substantive offence)</w:t>
            </w:r>
          </w:p>
        </w:tc>
      </w:tr>
      <w:tr w:rsidR="005A3418" w:rsidRPr="00D36673" w14:paraId="7034DD40" w14:textId="77777777" w:rsidTr="00E6572F">
        <w:trPr>
          <w:trHeight w:val="60"/>
        </w:trPr>
        <w:tc>
          <w:tcPr>
            <w:tcW w:w="3402" w:type="dxa"/>
          </w:tcPr>
          <w:p w14:paraId="3E318B1F" w14:textId="77777777" w:rsidR="005A3418" w:rsidRPr="00D36673" w:rsidRDefault="005A3418" w:rsidP="00AC33C0">
            <w:pPr>
              <w:pStyle w:val="TableBody"/>
            </w:pPr>
            <w:r w:rsidRPr="00D36673">
              <w:t>Threat to kill</w:t>
            </w:r>
          </w:p>
        </w:tc>
        <w:tc>
          <w:tcPr>
            <w:tcW w:w="2041" w:type="dxa"/>
          </w:tcPr>
          <w:p w14:paraId="0DB2F32A" w14:textId="77777777" w:rsidR="005A3418" w:rsidRPr="00D36673" w:rsidRDefault="005A3418" w:rsidP="00AC33C0">
            <w:pPr>
              <w:pStyle w:val="TableBody"/>
            </w:pPr>
            <w:r w:rsidRPr="00D36673">
              <w:t>10 years</w:t>
            </w:r>
            <w:r w:rsidRPr="002F6D30">
              <w:rPr>
                <w:rStyle w:val="Superscript"/>
              </w:rPr>
              <w:t>(a)</w:t>
            </w:r>
          </w:p>
        </w:tc>
        <w:tc>
          <w:tcPr>
            <w:tcW w:w="3402" w:type="dxa"/>
          </w:tcPr>
          <w:p w14:paraId="25275000" w14:textId="77777777" w:rsidR="005A3418" w:rsidRPr="00D36673" w:rsidRDefault="005A3418" w:rsidP="00AC33C0">
            <w:pPr>
              <w:pStyle w:val="TableBody"/>
            </w:pPr>
            <w:r w:rsidRPr="00D36673">
              <w:t>Life (murder)</w:t>
            </w:r>
            <w:r w:rsidRPr="002F6D30">
              <w:rPr>
                <w:rStyle w:val="Superscript"/>
              </w:rPr>
              <w:t>(b)</w:t>
            </w:r>
          </w:p>
        </w:tc>
      </w:tr>
      <w:tr w:rsidR="005A3418" w:rsidRPr="00D36673" w14:paraId="56FC3604" w14:textId="77777777" w:rsidTr="00E6572F">
        <w:trPr>
          <w:trHeight w:val="60"/>
        </w:trPr>
        <w:tc>
          <w:tcPr>
            <w:tcW w:w="3402" w:type="dxa"/>
          </w:tcPr>
          <w:p w14:paraId="3718C481" w14:textId="77777777" w:rsidR="005A3418" w:rsidRPr="00D36673" w:rsidRDefault="005A3418" w:rsidP="00AC33C0">
            <w:pPr>
              <w:pStyle w:val="TableBody"/>
            </w:pPr>
            <w:r w:rsidRPr="00D36673">
              <w:t>Threat to inflict serious injury</w:t>
            </w:r>
          </w:p>
        </w:tc>
        <w:tc>
          <w:tcPr>
            <w:tcW w:w="2041" w:type="dxa"/>
          </w:tcPr>
          <w:p w14:paraId="4C376433" w14:textId="77777777" w:rsidR="005A3418" w:rsidRPr="00D36673" w:rsidRDefault="005A3418" w:rsidP="00AC33C0">
            <w:pPr>
              <w:pStyle w:val="TableBody"/>
            </w:pPr>
            <w:r w:rsidRPr="00D36673">
              <w:t>5 years (Vic)</w:t>
            </w:r>
            <w:r w:rsidRPr="002F6D30">
              <w:rPr>
                <w:rStyle w:val="Superscript"/>
              </w:rPr>
              <w:t>(c)</w:t>
            </w:r>
            <w:r w:rsidRPr="002F6D30">
              <w:rPr>
                <w:rStyle w:val="Superscript"/>
              </w:rPr>
              <w:br/>
            </w:r>
            <w:r w:rsidRPr="00D36673">
              <w:t>7 years (Cth)</w:t>
            </w:r>
            <w:r w:rsidRPr="002F6D30">
              <w:rPr>
                <w:rStyle w:val="Superscript"/>
              </w:rPr>
              <w:t>(d)</w:t>
            </w:r>
          </w:p>
        </w:tc>
        <w:tc>
          <w:tcPr>
            <w:tcW w:w="3402" w:type="dxa"/>
          </w:tcPr>
          <w:p w14:paraId="040BE27B" w14:textId="77777777" w:rsidR="005A3418" w:rsidRPr="00D36673" w:rsidRDefault="005A3418" w:rsidP="00AC33C0">
            <w:pPr>
              <w:pStyle w:val="TableBody"/>
            </w:pPr>
            <w:r w:rsidRPr="00D36673">
              <w:t>20 years</w:t>
            </w:r>
            <w:r w:rsidRPr="00D36673">
              <w:br/>
              <w:t>(causing serious injury intentionally)</w:t>
            </w:r>
            <w:r w:rsidRPr="002F6D30">
              <w:rPr>
                <w:rStyle w:val="Superscript"/>
              </w:rPr>
              <w:t>(e)</w:t>
            </w:r>
          </w:p>
        </w:tc>
      </w:tr>
      <w:tr w:rsidR="005A3418" w:rsidRPr="00D36673" w14:paraId="7290EEE9" w14:textId="77777777" w:rsidTr="00E6572F">
        <w:trPr>
          <w:trHeight w:val="60"/>
        </w:trPr>
        <w:tc>
          <w:tcPr>
            <w:tcW w:w="3402" w:type="dxa"/>
          </w:tcPr>
          <w:p w14:paraId="24B10D2C" w14:textId="77777777" w:rsidR="005A3418" w:rsidRPr="00D36673" w:rsidRDefault="005A3418" w:rsidP="00AC33C0">
            <w:pPr>
              <w:pStyle w:val="TableBody"/>
            </w:pPr>
            <w:r w:rsidRPr="00D36673">
              <w:t>Threat to commit a sexual offence</w:t>
            </w:r>
          </w:p>
        </w:tc>
        <w:tc>
          <w:tcPr>
            <w:tcW w:w="2041" w:type="dxa"/>
          </w:tcPr>
          <w:p w14:paraId="37532308" w14:textId="77777777" w:rsidR="005A3418" w:rsidRPr="00D36673" w:rsidRDefault="005A3418" w:rsidP="00AC33C0">
            <w:pPr>
              <w:pStyle w:val="TableBody"/>
            </w:pPr>
            <w:r w:rsidRPr="00D36673">
              <w:t>5 years</w:t>
            </w:r>
            <w:r w:rsidRPr="002F6D30">
              <w:rPr>
                <w:rStyle w:val="Superscript"/>
              </w:rPr>
              <w:t>(f)</w:t>
            </w:r>
          </w:p>
        </w:tc>
        <w:tc>
          <w:tcPr>
            <w:tcW w:w="3402" w:type="dxa"/>
          </w:tcPr>
          <w:p w14:paraId="0B73BFC7" w14:textId="77777777" w:rsidR="005A3418" w:rsidRPr="00D36673" w:rsidRDefault="005A3418" w:rsidP="00AC33C0">
            <w:pPr>
              <w:pStyle w:val="TableBody"/>
            </w:pPr>
            <w:r w:rsidRPr="00D36673">
              <w:t>25 years (rape)</w:t>
            </w:r>
            <w:r w:rsidRPr="002F6D30">
              <w:rPr>
                <w:rStyle w:val="Superscript"/>
              </w:rPr>
              <w:t>(g)</w:t>
            </w:r>
            <w:r w:rsidRPr="002F6D30">
              <w:rPr>
                <w:rStyle w:val="Superscript"/>
              </w:rPr>
              <w:br/>
            </w:r>
            <w:r w:rsidRPr="00D36673">
              <w:t>10 years (sexual assault)</w:t>
            </w:r>
            <w:r w:rsidRPr="002F6D30">
              <w:rPr>
                <w:rStyle w:val="Superscript"/>
              </w:rPr>
              <w:t>(h)</w:t>
            </w:r>
          </w:p>
        </w:tc>
      </w:tr>
      <w:tr w:rsidR="005A3418" w:rsidRPr="00D36673" w14:paraId="08EE96CB" w14:textId="77777777" w:rsidTr="00E6572F">
        <w:trPr>
          <w:trHeight w:val="60"/>
        </w:trPr>
        <w:tc>
          <w:tcPr>
            <w:tcW w:w="3402" w:type="dxa"/>
          </w:tcPr>
          <w:p w14:paraId="3D2A54A2" w14:textId="77777777" w:rsidR="005A3418" w:rsidRPr="00D36673" w:rsidRDefault="005A3418" w:rsidP="00AC33C0">
            <w:pPr>
              <w:pStyle w:val="TableBody"/>
            </w:pPr>
            <w:r w:rsidRPr="00D36673">
              <w:t>Threat to destroy or damage property</w:t>
            </w:r>
          </w:p>
        </w:tc>
        <w:tc>
          <w:tcPr>
            <w:tcW w:w="2041" w:type="dxa"/>
          </w:tcPr>
          <w:p w14:paraId="1BFDAB96" w14:textId="77777777" w:rsidR="005A3418" w:rsidRPr="00D36673" w:rsidRDefault="005A3418" w:rsidP="00AC33C0">
            <w:pPr>
              <w:pStyle w:val="TableBody"/>
            </w:pPr>
            <w:r w:rsidRPr="00D36673">
              <w:t>5 years</w:t>
            </w:r>
            <w:r w:rsidRPr="002F6D30">
              <w:rPr>
                <w:rStyle w:val="Superscript"/>
              </w:rPr>
              <w:t>(i)</w:t>
            </w:r>
          </w:p>
        </w:tc>
        <w:tc>
          <w:tcPr>
            <w:tcW w:w="3402" w:type="dxa"/>
          </w:tcPr>
          <w:p w14:paraId="6DAC6012" w14:textId="77777777" w:rsidR="005A3418" w:rsidRPr="00D36673" w:rsidRDefault="005A3418" w:rsidP="00AC33C0">
            <w:pPr>
              <w:pStyle w:val="TableBody"/>
            </w:pPr>
            <w:r w:rsidRPr="00D36673">
              <w:t>10 years (destroy or damage property)</w:t>
            </w:r>
            <w:r w:rsidRPr="002F6D30">
              <w:rPr>
                <w:rStyle w:val="Superscript"/>
              </w:rPr>
              <w:t>(j)</w:t>
            </w:r>
          </w:p>
        </w:tc>
      </w:tr>
      <w:tr w:rsidR="005A3418" w:rsidRPr="00D36673" w14:paraId="581E4C04" w14:textId="77777777" w:rsidTr="00E6572F">
        <w:trPr>
          <w:trHeight w:val="60"/>
        </w:trPr>
        <w:tc>
          <w:tcPr>
            <w:tcW w:w="3402" w:type="dxa"/>
          </w:tcPr>
          <w:p w14:paraId="441B8DC9" w14:textId="77777777" w:rsidR="005A3418" w:rsidRPr="00D36673" w:rsidRDefault="005A3418" w:rsidP="00AC33C0">
            <w:pPr>
              <w:pStyle w:val="TableBody"/>
            </w:pPr>
            <w:r w:rsidRPr="00D36673">
              <w:t>Threat to assault an emergency worker</w:t>
            </w:r>
          </w:p>
        </w:tc>
        <w:tc>
          <w:tcPr>
            <w:tcW w:w="2041" w:type="dxa"/>
          </w:tcPr>
          <w:p w14:paraId="701B4004" w14:textId="77777777" w:rsidR="005A3418" w:rsidRPr="00D36673" w:rsidRDefault="005A3418" w:rsidP="00AC33C0">
            <w:pPr>
              <w:pStyle w:val="TableBody"/>
            </w:pPr>
            <w:r w:rsidRPr="00D36673">
              <w:t>5 years</w:t>
            </w:r>
            <w:r w:rsidRPr="002F6D30">
              <w:rPr>
                <w:rStyle w:val="Superscript"/>
              </w:rPr>
              <w:t>(k)</w:t>
            </w:r>
          </w:p>
        </w:tc>
        <w:tc>
          <w:tcPr>
            <w:tcW w:w="3402" w:type="dxa"/>
          </w:tcPr>
          <w:p w14:paraId="6073DE26" w14:textId="77777777" w:rsidR="005A3418" w:rsidRPr="00D36673" w:rsidRDefault="005A3418" w:rsidP="00AC33C0">
            <w:pPr>
              <w:pStyle w:val="TableBody"/>
            </w:pPr>
            <w:r w:rsidRPr="00D36673">
              <w:t>5 years</w:t>
            </w:r>
            <w:r w:rsidRPr="00D36673">
              <w:br/>
              <w:t>(assault an emergency worker on duty)</w:t>
            </w:r>
            <w:r w:rsidRPr="002F6D30">
              <w:rPr>
                <w:rStyle w:val="Superscript"/>
              </w:rPr>
              <w:t>(l)</w:t>
            </w:r>
          </w:p>
        </w:tc>
      </w:tr>
    </w:tbl>
    <w:p w14:paraId="341CF1F0" w14:textId="77777777" w:rsidR="005A3418" w:rsidRPr="00D36673" w:rsidRDefault="005A3418" w:rsidP="00E50F7E">
      <w:pPr>
        <w:pStyle w:val="Footnote"/>
        <w:numPr>
          <w:ilvl w:val="0"/>
          <w:numId w:val="8"/>
        </w:numPr>
      </w:pPr>
      <w:r w:rsidRPr="00A24E18">
        <w:rPr>
          <w:rStyle w:val="Emphasis"/>
        </w:rPr>
        <w:t xml:space="preserve">Crimes Act 1958 </w:t>
      </w:r>
      <w:r w:rsidRPr="00D36673">
        <w:t xml:space="preserve">(Vic) s 20; </w:t>
      </w:r>
      <w:r w:rsidRPr="00A24E18">
        <w:rPr>
          <w:rStyle w:val="Emphasis"/>
        </w:rPr>
        <w:t xml:space="preserve">Criminal Code Act 1995 </w:t>
      </w:r>
      <w:r w:rsidRPr="00D36673">
        <w:t>(Cth) s 474.15(1).</w:t>
      </w:r>
    </w:p>
    <w:p w14:paraId="557A6332" w14:textId="77777777" w:rsidR="005A3418" w:rsidRPr="00D36673" w:rsidRDefault="005A3418" w:rsidP="00E50F7E">
      <w:pPr>
        <w:pStyle w:val="Footnote"/>
        <w:numPr>
          <w:ilvl w:val="0"/>
          <w:numId w:val="8"/>
        </w:numPr>
      </w:pPr>
      <w:r w:rsidRPr="00A24E18">
        <w:rPr>
          <w:rStyle w:val="Emphasis"/>
        </w:rPr>
        <w:lastRenderedPageBreak/>
        <w:t xml:space="preserve">Crimes Act 1958 </w:t>
      </w:r>
      <w:r w:rsidRPr="00D36673">
        <w:t xml:space="preserve">(Vic) s 3(1)(a). The standard sentence for murder is 25 years in most cases: </w:t>
      </w:r>
      <w:r w:rsidRPr="00A24E18">
        <w:rPr>
          <w:rStyle w:val="Emphasis"/>
        </w:rPr>
        <w:t xml:space="preserve">Crimes Act 1958 </w:t>
      </w:r>
      <w:r w:rsidRPr="00D36673">
        <w:t>(Vic) s 3(2).</w:t>
      </w:r>
    </w:p>
    <w:p w14:paraId="533C5B4A" w14:textId="77777777" w:rsidR="005A3418" w:rsidRPr="00D36673" w:rsidRDefault="005A3418" w:rsidP="00E50F7E">
      <w:pPr>
        <w:pStyle w:val="Footnote"/>
        <w:numPr>
          <w:ilvl w:val="0"/>
          <w:numId w:val="8"/>
        </w:numPr>
      </w:pPr>
      <w:r w:rsidRPr="00A24E18">
        <w:rPr>
          <w:rStyle w:val="Emphasis"/>
        </w:rPr>
        <w:t xml:space="preserve">Crimes Act 1958 </w:t>
      </w:r>
      <w:r w:rsidRPr="00D36673">
        <w:t>(Vic) s 21.</w:t>
      </w:r>
    </w:p>
    <w:p w14:paraId="4D8715D3" w14:textId="77777777" w:rsidR="005A3418" w:rsidRPr="00D36673" w:rsidRDefault="005A3418" w:rsidP="00E50F7E">
      <w:pPr>
        <w:pStyle w:val="Footnote"/>
        <w:numPr>
          <w:ilvl w:val="0"/>
          <w:numId w:val="8"/>
        </w:numPr>
      </w:pPr>
      <w:r w:rsidRPr="00A24E18">
        <w:rPr>
          <w:rStyle w:val="Emphasis"/>
        </w:rPr>
        <w:t xml:space="preserve">Criminal Code Act 1995 </w:t>
      </w:r>
      <w:r w:rsidRPr="00D36673">
        <w:t>(Cth) s 474.15(2).</w:t>
      </w:r>
    </w:p>
    <w:p w14:paraId="525D27BA" w14:textId="77777777" w:rsidR="005A3418" w:rsidRPr="00D36673" w:rsidRDefault="005A3418" w:rsidP="00E50F7E">
      <w:pPr>
        <w:pStyle w:val="Footnote"/>
        <w:numPr>
          <w:ilvl w:val="0"/>
          <w:numId w:val="8"/>
        </w:numPr>
      </w:pPr>
      <w:r w:rsidRPr="00A24E18">
        <w:rPr>
          <w:rStyle w:val="Emphasis"/>
        </w:rPr>
        <w:t xml:space="preserve">Crimes Act 1958 </w:t>
      </w:r>
      <w:r w:rsidRPr="00D36673">
        <w:t xml:space="preserve">(Vic) s 16. Causing serious injury recklessly carries a maximum penalty of 15 years: </w:t>
      </w:r>
      <w:r w:rsidRPr="00A24E18">
        <w:rPr>
          <w:rStyle w:val="Emphasis"/>
        </w:rPr>
        <w:t xml:space="preserve">Crimes Act 1958 </w:t>
      </w:r>
      <w:r w:rsidRPr="00D36673">
        <w:t xml:space="preserve">(Vic) s 17. Causing injury intentionally carries a maximum penalty of 10 years, and causing injury recklessly carries a maximum penalty of five years: </w:t>
      </w:r>
      <w:r w:rsidRPr="00A24E18">
        <w:rPr>
          <w:rStyle w:val="Emphasis"/>
        </w:rPr>
        <w:t xml:space="preserve">Crimes Act 1958 </w:t>
      </w:r>
      <w:r w:rsidRPr="00D36673">
        <w:t>(Vic) s 18.</w:t>
      </w:r>
    </w:p>
    <w:p w14:paraId="5AC9EFDF" w14:textId="77777777" w:rsidR="005A3418" w:rsidRPr="00D36673" w:rsidRDefault="005A3418" w:rsidP="00E50F7E">
      <w:pPr>
        <w:pStyle w:val="Footnote"/>
        <w:numPr>
          <w:ilvl w:val="0"/>
          <w:numId w:val="8"/>
        </w:numPr>
      </w:pPr>
      <w:r w:rsidRPr="00A24E18">
        <w:rPr>
          <w:rStyle w:val="Emphasis"/>
        </w:rPr>
        <w:t xml:space="preserve">Crimes Act 1958 </w:t>
      </w:r>
      <w:r w:rsidRPr="00D36673">
        <w:t xml:space="preserve">(Vic) s 43. While this offence is described as a threat to commit a sexual offence generally, the provision specifies that it is premised specifically on threats to ‘rape or sexually assault’ the victim or another person: </w:t>
      </w:r>
      <w:r w:rsidRPr="00A24E18">
        <w:rPr>
          <w:rStyle w:val="Emphasis"/>
        </w:rPr>
        <w:t xml:space="preserve">Crimes Act 1958 </w:t>
      </w:r>
      <w:r w:rsidRPr="00D36673">
        <w:t>(Vic) s 43(1)(a).</w:t>
      </w:r>
    </w:p>
    <w:p w14:paraId="10042E08" w14:textId="77777777" w:rsidR="005A3418" w:rsidRPr="00D36673" w:rsidRDefault="005A3418" w:rsidP="00E50F7E">
      <w:pPr>
        <w:pStyle w:val="Footnote"/>
        <w:numPr>
          <w:ilvl w:val="0"/>
          <w:numId w:val="8"/>
        </w:numPr>
      </w:pPr>
      <w:r w:rsidRPr="00A24E18">
        <w:rPr>
          <w:rStyle w:val="Emphasis"/>
        </w:rPr>
        <w:t xml:space="preserve">Crimes Act 1958 </w:t>
      </w:r>
      <w:r w:rsidRPr="00D36673">
        <w:t xml:space="preserve">(Vic) s 38(2). The standard sentence for rape is 10 years: </w:t>
      </w:r>
      <w:r w:rsidRPr="00A24E18">
        <w:rPr>
          <w:rStyle w:val="Emphasis"/>
        </w:rPr>
        <w:t xml:space="preserve">Crimes Act 1958 </w:t>
      </w:r>
      <w:r w:rsidRPr="00D36673">
        <w:t>(Vic) s 38(3).</w:t>
      </w:r>
    </w:p>
    <w:p w14:paraId="0B66B197" w14:textId="77777777" w:rsidR="005A3418" w:rsidRPr="00D36673" w:rsidRDefault="005A3418" w:rsidP="00E50F7E">
      <w:pPr>
        <w:pStyle w:val="Footnote"/>
        <w:numPr>
          <w:ilvl w:val="0"/>
          <w:numId w:val="8"/>
        </w:numPr>
      </w:pPr>
      <w:r w:rsidRPr="00A24E18">
        <w:rPr>
          <w:rStyle w:val="Emphasis"/>
        </w:rPr>
        <w:t xml:space="preserve">Crimes Act 1958 </w:t>
      </w:r>
      <w:r w:rsidRPr="00D36673">
        <w:t>(Vic) s 40.</w:t>
      </w:r>
    </w:p>
    <w:p w14:paraId="7DB7A8AC" w14:textId="77777777" w:rsidR="005A3418" w:rsidRPr="00D36673" w:rsidRDefault="005A3418" w:rsidP="00E50F7E">
      <w:pPr>
        <w:pStyle w:val="Footnote"/>
        <w:numPr>
          <w:ilvl w:val="0"/>
          <w:numId w:val="8"/>
        </w:numPr>
      </w:pPr>
      <w:r w:rsidRPr="00A24E18">
        <w:rPr>
          <w:rStyle w:val="Emphasis"/>
        </w:rPr>
        <w:t xml:space="preserve">Crimes Act 1958 </w:t>
      </w:r>
      <w:r w:rsidRPr="00D36673">
        <w:t>(Vic) s 198(a).</w:t>
      </w:r>
    </w:p>
    <w:p w14:paraId="09CEBEE1" w14:textId="77777777" w:rsidR="005A3418" w:rsidRPr="00D36673" w:rsidRDefault="005A3418" w:rsidP="00E50F7E">
      <w:pPr>
        <w:pStyle w:val="Footnote"/>
        <w:numPr>
          <w:ilvl w:val="0"/>
          <w:numId w:val="8"/>
        </w:numPr>
      </w:pPr>
      <w:r w:rsidRPr="00A24E18">
        <w:rPr>
          <w:rStyle w:val="Emphasis"/>
        </w:rPr>
        <w:t xml:space="preserve">Crimes Act 1958 </w:t>
      </w:r>
      <w:r w:rsidRPr="00D36673">
        <w:t>(Vic) s 197(1).</w:t>
      </w:r>
    </w:p>
    <w:p w14:paraId="5B7D82E5" w14:textId="77777777" w:rsidR="005A3418" w:rsidRPr="00D36673" w:rsidRDefault="005A3418" w:rsidP="00E50F7E">
      <w:pPr>
        <w:pStyle w:val="Footnote"/>
        <w:numPr>
          <w:ilvl w:val="0"/>
          <w:numId w:val="8"/>
        </w:numPr>
      </w:pPr>
      <w:r w:rsidRPr="00A24E18">
        <w:rPr>
          <w:rStyle w:val="Emphasis"/>
        </w:rPr>
        <w:t xml:space="preserve">Crimes Act 1958 </w:t>
      </w:r>
      <w:r w:rsidRPr="00D36673">
        <w:t>(Vic) s 31(1).</w:t>
      </w:r>
    </w:p>
    <w:p w14:paraId="79137E21" w14:textId="77777777" w:rsidR="005A3418" w:rsidRPr="00D36673" w:rsidRDefault="005A3418" w:rsidP="00F0080B">
      <w:pPr>
        <w:pStyle w:val="Footnote"/>
        <w:numPr>
          <w:ilvl w:val="0"/>
          <w:numId w:val="8"/>
        </w:numPr>
        <w:spacing w:after="240"/>
      </w:pPr>
      <w:r w:rsidRPr="00A24E18">
        <w:rPr>
          <w:rStyle w:val="Emphasis"/>
        </w:rPr>
        <w:t xml:space="preserve">Crimes Act 1958 </w:t>
      </w:r>
      <w:r w:rsidRPr="00D36673">
        <w:t>(Vic) s 31(1).</w:t>
      </w:r>
    </w:p>
    <w:p w14:paraId="7BDAAA40" w14:textId="77777777" w:rsidR="005A3418" w:rsidRPr="00D36673" w:rsidRDefault="005A3418" w:rsidP="001405EA">
      <w:pPr>
        <w:pStyle w:val="Numbered"/>
      </w:pPr>
      <w:r w:rsidRPr="00D36673">
        <w:t>Each of the above threat offences encompasses a threat made by a person to another person, to harm the victim or a third person.</w:t>
      </w:r>
      <w:r w:rsidRPr="00D36673">
        <w:rPr>
          <w:rStyle w:val="Superscript"/>
        </w:rPr>
        <w:footnoteReference w:id="14"/>
      </w:r>
      <w:r w:rsidRPr="00D36673">
        <w:t xml:space="preserve"> None requires that the victim </w:t>
      </w:r>
      <w:r w:rsidRPr="00A24E18">
        <w:rPr>
          <w:rStyle w:val="Emphasis"/>
        </w:rPr>
        <w:t xml:space="preserve">actually </w:t>
      </w:r>
      <w:r w:rsidRPr="00D36673">
        <w:t>believes that the threat will be carried out, only that the threatener has the requisite state of mind and that the threat expresses the threatened conduct in a sufficiently clear way. For example, a threat to ‘shoot’ a victim may not be sufficiently clear to support a charge of threat to kill; it would, however, support a charge of threat to inflict serious injury.</w:t>
      </w:r>
      <w:r w:rsidRPr="00D36673">
        <w:rPr>
          <w:rStyle w:val="Superscript"/>
        </w:rPr>
        <w:footnoteReference w:id="15"/>
      </w:r>
      <w:r w:rsidRPr="00D36673">
        <w:t xml:space="preserve"> </w:t>
      </w:r>
    </w:p>
    <w:p w14:paraId="0EC2599B" w14:textId="77777777" w:rsidR="005A3418" w:rsidRPr="00D36673" w:rsidRDefault="005A3418" w:rsidP="001405EA">
      <w:pPr>
        <w:pStyle w:val="Numbered"/>
      </w:pPr>
      <w:r w:rsidRPr="00D36673">
        <w:t>Threats may be conditional, so long as they are sufficiently credible to support the mental elements of the offence.</w:t>
      </w:r>
      <w:r w:rsidRPr="00D36673">
        <w:rPr>
          <w:rStyle w:val="Superscript"/>
        </w:rPr>
        <w:footnoteReference w:id="16"/>
      </w:r>
      <w:r w:rsidRPr="00D36673">
        <w:t xml:space="preserve"> Threats </w:t>
      </w:r>
      <w:r w:rsidRPr="00D36673">
        <w:lastRenderedPageBreak/>
        <w:t>may be made by words or conduct or both; they may be explicit or implicit, so long as an intention to carry out the specified conduct is conveyed.</w:t>
      </w:r>
      <w:r w:rsidRPr="00D36673">
        <w:rPr>
          <w:rStyle w:val="Superscript"/>
        </w:rPr>
        <w:footnoteReference w:id="17"/>
      </w:r>
      <w:r w:rsidRPr="00D36673">
        <w:t xml:space="preserve"> This also means that verbal threats that would not otherwise support a threat charge may be rendered sufficiently clear by the surrounding conduct.</w:t>
      </w:r>
      <w:r w:rsidRPr="00D36673">
        <w:rPr>
          <w:rStyle w:val="Superscript"/>
        </w:rPr>
        <w:footnoteReference w:id="18"/>
      </w:r>
      <w:r w:rsidRPr="00D36673">
        <w:t xml:space="preserve"> Finally, it is not necessary for the threatener to be the person who would cause the harm.</w:t>
      </w:r>
      <w:r w:rsidRPr="00D36673">
        <w:rPr>
          <w:rStyle w:val="Superscript"/>
        </w:rPr>
        <w:footnoteReference w:id="19"/>
      </w:r>
    </w:p>
    <w:p w14:paraId="50F448A1" w14:textId="77777777" w:rsidR="005A3418" w:rsidRPr="00D36673" w:rsidRDefault="005A3418" w:rsidP="001405EA">
      <w:pPr>
        <w:pStyle w:val="Numbered"/>
      </w:pPr>
      <w:r w:rsidRPr="00D36673">
        <w:t>The mental</w:t>
      </w:r>
      <w:r w:rsidRPr="00A24E18">
        <w:rPr>
          <w:rStyle w:val="Emphasis"/>
        </w:rPr>
        <w:t xml:space="preserve"> </w:t>
      </w:r>
      <w:r w:rsidRPr="00D36673">
        <w:t>elements of the offences vary. Threat to kill, threat to inflict serious injury and threat to commit a sexual offence require intention or recklessness as to whether the victim believes the threat will be carried out, with recklessness defined as a belief that the victim will probably believe the threat will be carried out.</w:t>
      </w:r>
      <w:r w:rsidRPr="00D36673">
        <w:rPr>
          <w:rStyle w:val="Superscript"/>
        </w:rPr>
        <w:footnoteReference w:id="20"/>
      </w:r>
      <w:r w:rsidRPr="00D36673">
        <w:t xml:space="preserve"> Threat to destroy or damage property, however, requires </w:t>
      </w:r>
      <w:r w:rsidRPr="00D36673">
        <w:lastRenderedPageBreak/>
        <w:t>intention; recklessness about whether the victim believes the threat will be carried out does not suffice.</w:t>
      </w:r>
      <w:r w:rsidRPr="00D36673">
        <w:rPr>
          <w:rStyle w:val="Superscript"/>
        </w:rPr>
        <w:footnoteReference w:id="21"/>
      </w:r>
      <w:r w:rsidRPr="00D36673">
        <w:t xml:space="preserve"> In each case, the mental element distinguishes genuinely criminal threats from the more common joking or exaggerated threats that may arise in ordinary interactions.</w:t>
      </w:r>
      <w:r w:rsidRPr="00D36673">
        <w:rPr>
          <w:rStyle w:val="Superscript"/>
        </w:rPr>
        <w:footnoteReference w:id="22"/>
      </w:r>
    </w:p>
    <w:p w14:paraId="4693209B" w14:textId="77777777" w:rsidR="005A3418" w:rsidRPr="00D36673" w:rsidRDefault="005A3418" w:rsidP="001405EA">
      <w:pPr>
        <w:pStyle w:val="Numbered"/>
      </w:pPr>
      <w:r w:rsidRPr="00D36673">
        <w:t>The offence of threat to commit a sexual offence came into operation on 1 July 2015, replacing the previous offence of threat to assault with intent to rape.</w:t>
      </w:r>
      <w:r w:rsidRPr="00D36673">
        <w:rPr>
          <w:rStyle w:val="Superscript"/>
        </w:rPr>
        <w:footnoteReference w:id="23"/>
      </w:r>
      <w:r w:rsidRPr="00D36673">
        <w:t xml:space="preserve"> The previous offence was considered unclear.</w:t>
      </w:r>
      <w:r w:rsidRPr="00D36673">
        <w:rPr>
          <w:rStyle w:val="Superscript"/>
        </w:rPr>
        <w:footnoteReference w:id="24"/>
      </w:r>
      <w:r w:rsidRPr="00D36673">
        <w:t xml:space="preserve"> Unlike the other offences, threats to destroy or damage property valued over $100,000 are not triable summarily.</w:t>
      </w:r>
      <w:r w:rsidRPr="00D36673">
        <w:rPr>
          <w:rStyle w:val="Superscript"/>
        </w:rPr>
        <w:footnoteReference w:id="25"/>
      </w:r>
    </w:p>
    <w:p w14:paraId="1556A52A" w14:textId="77777777" w:rsidR="005A3418" w:rsidRPr="00D36673" w:rsidRDefault="005A3418" w:rsidP="00F67BC8">
      <w:pPr>
        <w:pStyle w:val="Heading3"/>
      </w:pPr>
      <w:r w:rsidRPr="00D36673">
        <w:t>Threats to assault an emergency worker</w:t>
      </w:r>
    </w:p>
    <w:p w14:paraId="380B0158" w14:textId="77777777" w:rsidR="005A3418" w:rsidRPr="00D36673" w:rsidRDefault="005A3418" w:rsidP="001405EA">
      <w:pPr>
        <w:pStyle w:val="Numbered"/>
      </w:pPr>
      <w:r w:rsidRPr="00D36673">
        <w:t xml:space="preserve">Threats to assault an emergency worker (or anyone assisting an emergency worker) differ from the other threats discussed in this report in that the victim must be a person who has a certain role. The definition of </w:t>
      </w:r>
      <w:r w:rsidRPr="00A24E18">
        <w:rPr>
          <w:rStyle w:val="Emphasis"/>
        </w:rPr>
        <w:t>emergency worker</w:t>
      </w:r>
      <w:r w:rsidRPr="00D36673">
        <w:t xml:space="preserve"> is quite broad. It includes an emergency worker on duty, a youth justice custodial worker on duty, a custodial officer on duty, and any person assisting such a worker on duty.</w:t>
      </w:r>
      <w:r w:rsidRPr="00D36673">
        <w:rPr>
          <w:rStyle w:val="Superscript"/>
        </w:rPr>
        <w:footnoteReference w:id="26"/>
      </w:r>
    </w:p>
    <w:p w14:paraId="193F5294" w14:textId="77777777" w:rsidR="005A3418" w:rsidRPr="00D36673" w:rsidRDefault="005A3418" w:rsidP="001405EA">
      <w:pPr>
        <w:pStyle w:val="Numbered"/>
      </w:pPr>
      <w:r w:rsidRPr="00D36673">
        <w:t xml:space="preserve">Threats to assault an emergency worker must be made both to and regarding the victim; it is not sufficient that the offender threatened, even credibly, to assault a third party. Threats to assault an emergency worker (or anyone assisting them) also </w:t>
      </w:r>
      <w:r w:rsidRPr="00D36673">
        <w:lastRenderedPageBreak/>
        <w:t>require knowledge or recklessness as to the victim’s status; the offender must know or be reckless about whether the other person is an emergency worker.</w:t>
      </w:r>
      <w:r w:rsidRPr="00D36673">
        <w:rPr>
          <w:rStyle w:val="Superscript"/>
        </w:rPr>
        <w:footnoteReference w:id="27"/>
      </w:r>
      <w:r w:rsidRPr="00D36673">
        <w:t xml:space="preserve"> Further, there must be an intention that the victim will believe the threat; recklessness will not suffice.</w:t>
      </w:r>
      <w:r w:rsidRPr="00D36673">
        <w:rPr>
          <w:rStyle w:val="Superscript"/>
        </w:rPr>
        <w:footnoteReference w:id="28"/>
      </w:r>
    </w:p>
    <w:p w14:paraId="2D4FC7CA" w14:textId="77777777" w:rsidR="005A3418" w:rsidRPr="00D36673" w:rsidRDefault="005A3418" w:rsidP="001405EA">
      <w:pPr>
        <w:pStyle w:val="Numbered"/>
      </w:pPr>
      <w:r w:rsidRPr="00D36673">
        <w:t>The offence of threat to assault an emergency worker is contained in the same section as the substantive offence of assault (or resist or obstruct) an emergency worker; the definition of ‘assault’ in that section requires the actual application of force.</w:t>
      </w:r>
      <w:r w:rsidRPr="00D36673">
        <w:rPr>
          <w:rStyle w:val="Superscript"/>
        </w:rPr>
        <w:footnoteReference w:id="29"/>
      </w:r>
      <w:r w:rsidRPr="00D36673">
        <w:t xml:space="preserve"> Because of the lack of statutory distinction between assault, threat to assault, resist and obstruct, there can be some overlap between them.</w:t>
      </w:r>
      <w:r w:rsidRPr="00D36673">
        <w:rPr>
          <w:rStyle w:val="Superscript"/>
        </w:rPr>
        <w:footnoteReference w:id="30"/>
      </w:r>
      <w:r w:rsidRPr="00D36673">
        <w:t xml:space="preserve"> This suggests that the ‘threat to assault’ part of this section may be aimed at threats of the immediate application of force more than threats of intentional action in the more distant future.</w:t>
      </w:r>
      <w:r w:rsidRPr="00D36673">
        <w:rPr>
          <w:rStyle w:val="Superscript"/>
        </w:rPr>
        <w:footnoteReference w:id="31"/>
      </w:r>
      <w:r w:rsidRPr="00D36673">
        <w:t xml:space="preserve"> This may go some way to explaining the relative rarity of these cases compared to both physical assaults of emergency workers and other threats: it may be rare that an offender who threatens to assault an emergency worker fails to actually assault or resist the emergency worker, or it may be that offence descriptions do not always distinguish a threatened assault from a physical assault. </w:t>
      </w:r>
    </w:p>
    <w:p w14:paraId="68B069EC" w14:textId="77777777" w:rsidR="005A3418" w:rsidRPr="00D36673" w:rsidRDefault="005A3418" w:rsidP="0086723D">
      <w:pPr>
        <w:pStyle w:val="Heading2"/>
      </w:pPr>
      <w:r w:rsidRPr="00D36673">
        <w:lastRenderedPageBreak/>
        <w:t>The psychology and criminology of threats: What is the harm caused?</w:t>
      </w:r>
    </w:p>
    <w:p w14:paraId="52DC5EE5" w14:textId="77777777" w:rsidR="005A3418" w:rsidRPr="00D36673" w:rsidRDefault="005A3418" w:rsidP="001405EA">
      <w:pPr>
        <w:pStyle w:val="Numbered"/>
      </w:pPr>
      <w:r w:rsidRPr="00D36673">
        <w:t>Most criminal offences can be divided into two categories: substantive offences, where the offence is a criminal action that is actually accomplished, and inchoate offences, where the offence is incomplete but the offender has taken steps towards a substantive offence (and in doing so has demonstrated a willingness to accomplish it).</w:t>
      </w:r>
      <w:r w:rsidRPr="00D36673">
        <w:rPr>
          <w:rStyle w:val="Superscript"/>
        </w:rPr>
        <w:footnoteReference w:id="32"/>
      </w:r>
      <w:r w:rsidRPr="00D36673">
        <w:t xml:space="preserve"> With inchoate offences, the criminal law intervenes to mitigate the risk that the offender might actually accomplish a similar offence in future.</w:t>
      </w:r>
    </w:p>
    <w:p w14:paraId="6B316110" w14:textId="77777777" w:rsidR="005A3418" w:rsidRPr="00D36673" w:rsidRDefault="005A3418" w:rsidP="001405EA">
      <w:pPr>
        <w:pStyle w:val="Numbered"/>
      </w:pPr>
      <w:r w:rsidRPr="00D36673">
        <w:t xml:space="preserve">Threat offences, however, occupy a middle ground between inchoate and substantive offence: they are harmful in and of themselves but also portend a serious risk of more substantive offending. While they do not necessarily involve actual </w:t>
      </w:r>
      <w:r w:rsidRPr="00A24E18">
        <w:rPr>
          <w:rStyle w:val="Emphasis"/>
        </w:rPr>
        <w:t xml:space="preserve">physical </w:t>
      </w:r>
      <w:r w:rsidRPr="00D36673">
        <w:t>harm to the victim, the victim is nevertheless often seriously and directly affected. Consequently, threats are often combined with the substantive offence threatened. However, combining threat offences with substantive offences in this way can mean that substantive offences dominate any combined analysis and therefore diminish the insight that can be gleaned separately into threat offences.</w:t>
      </w:r>
      <w:r w:rsidRPr="00D36673">
        <w:rPr>
          <w:rStyle w:val="Superscript"/>
        </w:rPr>
        <w:footnoteReference w:id="33"/>
      </w:r>
      <w:r w:rsidRPr="00D36673">
        <w:t xml:space="preserve"> </w:t>
      </w:r>
    </w:p>
    <w:p w14:paraId="606595E7" w14:textId="77777777" w:rsidR="005A3418" w:rsidRPr="00D36673" w:rsidRDefault="005A3418" w:rsidP="001405EA">
      <w:pPr>
        <w:pStyle w:val="Numbered"/>
      </w:pPr>
      <w:r w:rsidRPr="00D36673">
        <w:t>The harms caused by threat offences may be expressed as belonging to three distinct types:</w:t>
      </w:r>
    </w:p>
    <w:p w14:paraId="343498C2" w14:textId="77777777" w:rsidR="005A3418" w:rsidRPr="00D36673" w:rsidRDefault="005A3418" w:rsidP="00F9594C">
      <w:pPr>
        <w:pStyle w:val="Bullets"/>
      </w:pPr>
      <w:r w:rsidRPr="00D36673">
        <w:t>the fear that the victim experiences as a result of the threat;</w:t>
      </w:r>
    </w:p>
    <w:p w14:paraId="60D51C26" w14:textId="77777777" w:rsidR="005A3418" w:rsidRPr="00D36673" w:rsidRDefault="005A3418" w:rsidP="00F9594C">
      <w:pPr>
        <w:pStyle w:val="Bullets"/>
      </w:pPr>
      <w:r w:rsidRPr="00D36673">
        <w:lastRenderedPageBreak/>
        <w:t>the effect of the threat on the victim’s perceived or actual ability to make free choices (in many cases, causing this effect may be the real motivation for making the threat); and</w:t>
      </w:r>
    </w:p>
    <w:p w14:paraId="6AA5B731" w14:textId="77777777" w:rsidR="005A3418" w:rsidRPr="00D36673" w:rsidRDefault="005A3418" w:rsidP="004C1909">
      <w:pPr>
        <w:pStyle w:val="Bullets"/>
      </w:pPr>
      <w:r w:rsidRPr="00D36673">
        <w:t>the risk that the threat will eventually be carried out.</w:t>
      </w:r>
      <w:r w:rsidRPr="00D36673">
        <w:rPr>
          <w:rStyle w:val="Superscript"/>
        </w:rPr>
        <w:footnoteReference w:id="34"/>
      </w:r>
    </w:p>
    <w:p w14:paraId="7271C763" w14:textId="77777777" w:rsidR="005A3418" w:rsidRPr="00D36673" w:rsidRDefault="005A3418" w:rsidP="001405EA">
      <w:pPr>
        <w:pStyle w:val="Numbered"/>
      </w:pPr>
      <w:r w:rsidRPr="00D36673">
        <w:t xml:space="preserve">The harm intended by the threatener may not necessarily be the same harm that eventuates to the victim. However, research does suggest that these types are also the three main </w:t>
      </w:r>
      <w:r w:rsidRPr="00A24E18">
        <w:rPr>
          <w:rStyle w:val="Emphasis"/>
        </w:rPr>
        <w:t xml:space="preserve">intended </w:t>
      </w:r>
      <w:r w:rsidRPr="00D36673">
        <w:t xml:space="preserve">harms. </w:t>
      </w:r>
    </w:p>
    <w:p w14:paraId="11FB1315" w14:textId="77777777" w:rsidR="005A3418" w:rsidRPr="00D36673" w:rsidRDefault="005A3418" w:rsidP="001405EA">
      <w:pPr>
        <w:pStyle w:val="Numbered"/>
      </w:pPr>
      <w:r w:rsidRPr="00D36673">
        <w:t>Threateners have been classified into five main groups: shockers, schemers, signallers, screamers and shielders.</w:t>
      </w:r>
      <w:r w:rsidRPr="00D36673">
        <w:rPr>
          <w:rStyle w:val="Superscript"/>
        </w:rPr>
        <w:footnoteReference w:id="35"/>
      </w:r>
      <w:r w:rsidRPr="00D36673">
        <w:t xml:space="preserve"> ‘Screamers’ use threats to express emotion rather than intent to harm,</w:t>
      </w:r>
      <w:r w:rsidRPr="00D36673">
        <w:rPr>
          <w:rStyle w:val="Superscript"/>
        </w:rPr>
        <w:footnoteReference w:id="36"/>
      </w:r>
      <w:r w:rsidRPr="00D36673">
        <w:t xml:space="preserve"> and ‘shielders’ aim to deter aggression from others by reasserting their own dangerousness.</w:t>
      </w:r>
      <w:r w:rsidRPr="00D36673">
        <w:rPr>
          <w:rStyle w:val="Superscript"/>
        </w:rPr>
        <w:footnoteReference w:id="37"/>
      </w:r>
      <w:r w:rsidRPr="00D36673">
        <w:t xml:space="preserve"> Both could be expected to be less likely to have their threats interpreted as serious and thus face criminal sanction, though that will not always be the case.</w:t>
      </w:r>
      <w:r w:rsidRPr="00D36673">
        <w:rPr>
          <w:rStyle w:val="Superscript"/>
        </w:rPr>
        <w:footnoteReference w:id="38"/>
      </w:r>
      <w:r w:rsidRPr="00D36673">
        <w:t xml:space="preserve"> </w:t>
      </w:r>
    </w:p>
    <w:p w14:paraId="6817D8AE" w14:textId="77777777" w:rsidR="005A3418" w:rsidRPr="00D36673" w:rsidRDefault="005A3418" w:rsidP="001405EA">
      <w:pPr>
        <w:pStyle w:val="Numbered"/>
      </w:pPr>
      <w:r w:rsidRPr="00D36673">
        <w:lastRenderedPageBreak/>
        <w:t>The remaining three groups’ intended effects map more closely to the harms identified among victims:</w:t>
      </w:r>
    </w:p>
    <w:p w14:paraId="75E0730F" w14:textId="77777777" w:rsidR="005A3418" w:rsidRPr="00D36673" w:rsidRDefault="005A3418" w:rsidP="00F9594C">
      <w:pPr>
        <w:pStyle w:val="Bullets"/>
      </w:pPr>
      <w:r w:rsidRPr="00D36673">
        <w:t>‘shockers’ threaten in order to frighten and produce an immediate impact on the victim, create immediate anxiety or, occasionally, attract attention;</w:t>
      </w:r>
      <w:r w:rsidRPr="00D36673">
        <w:rPr>
          <w:rStyle w:val="Superscript"/>
        </w:rPr>
        <w:footnoteReference w:id="39"/>
      </w:r>
    </w:p>
    <w:p w14:paraId="3EAAFD36" w14:textId="77777777" w:rsidR="005A3418" w:rsidRPr="00D36673" w:rsidRDefault="005A3418" w:rsidP="00F9594C">
      <w:pPr>
        <w:pStyle w:val="Bullets"/>
      </w:pPr>
      <w:r w:rsidRPr="00D36673">
        <w:t>‘schemers’ threaten in order to coerce others into compliance, often in a premeditated and explicitly conditional way;</w:t>
      </w:r>
      <w:r w:rsidRPr="00D36673">
        <w:rPr>
          <w:rStyle w:val="Superscript"/>
        </w:rPr>
        <w:footnoteReference w:id="40"/>
      </w:r>
      <w:r w:rsidRPr="00D36673">
        <w:t xml:space="preserve"> and</w:t>
      </w:r>
    </w:p>
    <w:p w14:paraId="40C0D6B6" w14:textId="77777777" w:rsidR="005A3418" w:rsidRPr="00D36673" w:rsidRDefault="005A3418" w:rsidP="004C1909">
      <w:pPr>
        <w:pStyle w:val="Bullets"/>
      </w:pPr>
      <w:r w:rsidRPr="00D36673">
        <w:t>‘signallers’ threaten in order to indicate intended future violence.</w:t>
      </w:r>
      <w:r w:rsidRPr="00D36673">
        <w:rPr>
          <w:rStyle w:val="Superscript"/>
        </w:rPr>
        <w:footnoteReference w:id="41"/>
      </w:r>
    </w:p>
    <w:p w14:paraId="40F9D2A4" w14:textId="77777777" w:rsidR="005A3418" w:rsidRPr="00D36673" w:rsidRDefault="005A3418" w:rsidP="001405EA">
      <w:pPr>
        <w:pStyle w:val="Numbered"/>
      </w:pPr>
      <w:r w:rsidRPr="00D36673">
        <w:t>Other harms vary depending on the case, and the harm intended or perceived by the offender may not always match the harm actually caused. For example, many family violence perpetrators, lacking insight into the seriousness of their behaviour, characterise their threats as an ‘anger management’ strategy.</w:t>
      </w:r>
      <w:r w:rsidRPr="00D36673">
        <w:rPr>
          <w:rStyle w:val="Superscript"/>
        </w:rPr>
        <w:footnoteReference w:id="42"/>
      </w:r>
      <w:r w:rsidRPr="00D36673">
        <w:t xml:space="preserve"> And an impulsively made threat to damage property, if viewed in isolation and without context, might not be considered objectively serious. However, if that threat is – as the substantive offence often is – associated with family violence and/or coercive control, then the effects on the victim can be profound and ongoing.</w:t>
      </w:r>
      <w:r w:rsidRPr="00D36673">
        <w:rPr>
          <w:rStyle w:val="Superscript"/>
        </w:rPr>
        <w:footnoteReference w:id="43"/>
      </w:r>
      <w:r w:rsidRPr="00D36673">
        <w:t xml:space="preserve"> This suggests that a threatener may perceive themselves to be a ‘screamer’, but the actual impact of their behaviour may be closer to that of a ‘schemer’ or a ‘signaler’. </w:t>
      </w:r>
    </w:p>
    <w:p w14:paraId="4B12C534" w14:textId="77777777" w:rsidR="005A3418" w:rsidRPr="00D36673" w:rsidRDefault="005A3418" w:rsidP="001405EA">
      <w:pPr>
        <w:pStyle w:val="Numbered"/>
      </w:pPr>
      <w:r w:rsidRPr="00D36673">
        <w:lastRenderedPageBreak/>
        <w:t>As with all offences, threat offences can potentially harm people other than the victim of the threat. This includes the threat to community safety posed by someone whose threat offending indicates a more general risk of offending and who may go on to commit future threat (and other) offences against other victims.  Many threat offenders offend repeatedly, often against multiple targets.</w:t>
      </w:r>
      <w:r w:rsidRPr="00D36673">
        <w:rPr>
          <w:rStyle w:val="Superscript"/>
        </w:rPr>
        <w:footnoteReference w:id="44"/>
      </w:r>
      <w:r w:rsidRPr="00D36673">
        <w:t xml:space="preserve"> This means that the threat to community safety is significant and that not all non-threat offending by threat offenders can be explained in terms of threat typologies that relate a particular threat to a particular victim. </w:t>
      </w:r>
    </w:p>
    <w:p w14:paraId="2A243DC0" w14:textId="77777777" w:rsidR="005A3418" w:rsidRPr="00D36673" w:rsidRDefault="005A3418" w:rsidP="00F67BC8">
      <w:pPr>
        <w:pStyle w:val="Heading3"/>
      </w:pPr>
      <w:r w:rsidRPr="00D36673">
        <w:t>Direct harm: the victim’s fear</w:t>
      </w:r>
    </w:p>
    <w:p w14:paraId="4B61AAC4" w14:textId="77777777" w:rsidR="005A3418" w:rsidRPr="00D36673" w:rsidRDefault="005A3418" w:rsidP="001405EA">
      <w:pPr>
        <w:pStyle w:val="Numbered"/>
      </w:pPr>
      <w:r w:rsidRPr="00D36673">
        <w:t>The direct fear that the victim of a threat experiences is the most obvious and immediate harm resulting from that threat. Threats can cause substantial immediate fear and anxiety and can contribute to longer-term psychological harm, including diagnosable psychiatric conditions such as clinical anxiety and post-traumatic stress disorder.</w:t>
      </w:r>
      <w:r w:rsidRPr="00D36673">
        <w:rPr>
          <w:rStyle w:val="Superscript"/>
        </w:rPr>
        <w:footnoteReference w:id="45"/>
      </w:r>
      <w:r w:rsidRPr="00D36673">
        <w:t xml:space="preserve"> The impact of a threat against any particular victim cannot necessarily be foreseen. Threats are situationally dependent, and people vary considerably in their resilience to threats.</w:t>
      </w:r>
      <w:r w:rsidRPr="00D36673">
        <w:rPr>
          <w:rStyle w:val="Superscript"/>
        </w:rPr>
        <w:footnoteReference w:id="46"/>
      </w:r>
      <w:r w:rsidRPr="00D36673">
        <w:t xml:space="preserve"> However, some factors can be isolated as being particularly important. </w:t>
      </w:r>
    </w:p>
    <w:p w14:paraId="7CE10DFF" w14:textId="77777777" w:rsidR="005A3418" w:rsidRPr="00D36673" w:rsidRDefault="005A3418" w:rsidP="001405EA">
      <w:pPr>
        <w:pStyle w:val="Numbered"/>
      </w:pPr>
      <w:r w:rsidRPr="00D36673">
        <w:t xml:space="preserve">Research suggests that repeated threats are associated with higher levels of long-term harm to physical and mental </w:t>
      </w:r>
      <w:r w:rsidRPr="00D36673">
        <w:lastRenderedPageBreak/>
        <w:t>functioning.</w:t>
      </w:r>
      <w:r w:rsidRPr="00D36673">
        <w:rPr>
          <w:rStyle w:val="Superscript"/>
        </w:rPr>
        <w:footnoteReference w:id="47"/>
      </w:r>
      <w:r w:rsidRPr="00D36673">
        <w:t xml:space="preserve">  Threats often occur in the context of family violence, stalking or both, which suggests an association with a longer-term course of conduct and thus greater harm to victims.</w:t>
      </w:r>
      <w:r w:rsidRPr="00D36673">
        <w:rPr>
          <w:rStyle w:val="Superscript"/>
        </w:rPr>
        <w:footnoteReference w:id="48"/>
      </w:r>
      <w:r w:rsidRPr="00D36673">
        <w:t xml:space="preserve"> More generally, violence (including threats) that occurs within close personal relationships and lasts for a longer time tends to be more harmful.</w:t>
      </w:r>
      <w:r w:rsidRPr="00D36673">
        <w:rPr>
          <w:rStyle w:val="Superscript"/>
        </w:rPr>
        <w:footnoteReference w:id="49"/>
      </w:r>
      <w:r w:rsidRPr="00D36673">
        <w:t xml:space="preserve"> Research on stalking also bears this out: higher rates of threats and fear are associated with stalking by current or former partners than with stalking by others.</w:t>
      </w:r>
      <w:r w:rsidRPr="00D36673">
        <w:rPr>
          <w:rStyle w:val="Superscript"/>
        </w:rPr>
        <w:footnoteReference w:id="50"/>
      </w:r>
    </w:p>
    <w:p w14:paraId="60E2E5F2" w14:textId="77777777" w:rsidR="005A3418" w:rsidRPr="00D36673" w:rsidRDefault="005A3418" w:rsidP="001405EA">
      <w:pPr>
        <w:pStyle w:val="Numbered"/>
      </w:pPr>
      <w:r w:rsidRPr="00D36673">
        <w:t>Threats are also associated with symptoms of post-traumatic stress disorder, even where the threats occur outside family violence contexts.</w:t>
      </w:r>
      <w:r w:rsidRPr="00D36673">
        <w:rPr>
          <w:rStyle w:val="Superscript"/>
        </w:rPr>
        <w:footnoteReference w:id="51"/>
      </w:r>
      <w:r w:rsidRPr="00D36673">
        <w:t xml:space="preserve"> In fact, threats alone seem to have a stronger association with poor mental health than does physical violence.</w:t>
      </w:r>
      <w:r w:rsidRPr="00D36673">
        <w:rPr>
          <w:rStyle w:val="Superscript"/>
        </w:rPr>
        <w:footnoteReference w:id="52"/>
      </w:r>
      <w:r w:rsidRPr="00D36673">
        <w:t xml:space="preserve"> This could be because threats are more common than physical violence, and many people experience repeated threats.</w:t>
      </w:r>
      <w:r w:rsidRPr="00D36673">
        <w:rPr>
          <w:rStyle w:val="Superscript"/>
        </w:rPr>
        <w:footnoteReference w:id="53"/>
      </w:r>
      <w:r w:rsidRPr="00D36673">
        <w:t xml:space="preserve"> It might also be due to the impact of threats made against loved ones rather than directly against the victims and/or threats potentially being unlimited in place and time.</w:t>
      </w:r>
      <w:r w:rsidRPr="00D36673">
        <w:rPr>
          <w:rStyle w:val="Superscript"/>
        </w:rPr>
        <w:footnoteReference w:id="54"/>
      </w:r>
      <w:r w:rsidRPr="00D36673">
        <w:t xml:space="preserve"> </w:t>
      </w:r>
    </w:p>
    <w:p w14:paraId="7B9C6DEC" w14:textId="77777777" w:rsidR="005A3418" w:rsidRPr="00D36673" w:rsidRDefault="005A3418" w:rsidP="001405EA">
      <w:pPr>
        <w:pStyle w:val="Numbered"/>
      </w:pPr>
      <w:r w:rsidRPr="00D36673">
        <w:t xml:space="preserve">Finally, threats are sometimes used in the context of perpetrators’ other criminal activity, including to control events, </w:t>
      </w:r>
      <w:r w:rsidRPr="00D36673">
        <w:lastRenderedPageBreak/>
        <w:t>maintain possession of property and maintain authority.</w:t>
      </w:r>
      <w:r w:rsidRPr="00D36673">
        <w:rPr>
          <w:rStyle w:val="Superscript"/>
        </w:rPr>
        <w:footnoteReference w:id="55"/>
      </w:r>
      <w:r w:rsidRPr="00D36673">
        <w:t xml:space="preserve"> There has been little research on this area specifically. However, the use of threats with other offending tends to suggest that the threats are likely to be credible (in that they might be carried out) and unlikely to be reported to law enforcement. </w:t>
      </w:r>
    </w:p>
    <w:p w14:paraId="3B31DDFC" w14:textId="77777777" w:rsidR="005A3418" w:rsidRPr="00D36673" w:rsidRDefault="005A3418" w:rsidP="00F67BC8">
      <w:pPr>
        <w:pStyle w:val="Heading3"/>
      </w:pPr>
      <w:r w:rsidRPr="00D36673">
        <w:t>Indirect harm: the victim’s freedom</w:t>
      </w:r>
    </w:p>
    <w:p w14:paraId="031DF214" w14:textId="77777777" w:rsidR="005A3418" w:rsidRPr="00D36673" w:rsidRDefault="005A3418" w:rsidP="001405EA">
      <w:pPr>
        <w:pStyle w:val="Numbered"/>
      </w:pPr>
      <w:r w:rsidRPr="00D36673">
        <w:t>Threats can also affect victims’ autonomy. For example, a threatener might make a threat to harm the victim unless an express or implied demand is complied with. Sometimes, this will meet the statutory definition of blackmail or extortion.</w:t>
      </w:r>
      <w:r w:rsidRPr="00D36673">
        <w:rPr>
          <w:rStyle w:val="Superscript"/>
        </w:rPr>
        <w:footnoteReference w:id="56"/>
      </w:r>
      <w:r w:rsidRPr="00D36673">
        <w:t xml:space="preserve"> However, many situations involving threats will lack one or more of the elements of those offences . For example, where a threat forms part of a coercive situation that induces the victim to remain in a relationship but that objective is not referenced when the threat is made, the lack of a specific demand may make it difficult to establish extortion or blackmail.</w:t>
      </w:r>
      <w:r w:rsidRPr="00D36673">
        <w:rPr>
          <w:rStyle w:val="Superscript"/>
        </w:rPr>
        <w:footnoteReference w:id="57"/>
      </w:r>
    </w:p>
    <w:p w14:paraId="2EDCA177" w14:textId="77777777" w:rsidR="005A3418" w:rsidRPr="00D36673" w:rsidRDefault="005A3418" w:rsidP="001405EA">
      <w:pPr>
        <w:pStyle w:val="Numbered"/>
      </w:pPr>
      <w:r w:rsidRPr="00D36673">
        <w:t xml:space="preserve">Threats can also be made without express or implied demands because the immediate goal is to cause fear in the victim – particularly in the context of coercive control or stalking. Nevertheless, such threats can cause the victim to take or not take particular actions in the medium to long term. For instance, evidence frequently shows that many women in prison have a </w:t>
      </w:r>
      <w:r w:rsidRPr="00D36673">
        <w:lastRenderedPageBreak/>
        <w:t>prior history of abuse,</w:t>
      </w:r>
      <w:r w:rsidRPr="00D36673">
        <w:rPr>
          <w:rStyle w:val="Superscript"/>
        </w:rPr>
        <w:footnoteReference w:id="58"/>
      </w:r>
      <w:r w:rsidRPr="00D36673">
        <w:t xml:space="preserve"> and may have committed offences partly ‘because they were pressured to do so by a violent partner’.</w:t>
      </w:r>
      <w:r w:rsidRPr="00D36673">
        <w:rPr>
          <w:rStyle w:val="Superscript"/>
        </w:rPr>
        <w:footnoteReference w:id="59"/>
      </w:r>
    </w:p>
    <w:p w14:paraId="612B0E8C" w14:textId="77777777" w:rsidR="005A3418" w:rsidRPr="00D36673" w:rsidRDefault="005A3418" w:rsidP="001405EA">
      <w:pPr>
        <w:pStyle w:val="Numbered"/>
      </w:pPr>
      <w:r w:rsidRPr="00D36673">
        <w:t>Ongoing or implicit threats may also occur in contexts other than family violence. For example, threats may be used to maintain order or hierarchies in criminal enterprises or organisations or to control the way criminal activity occurs, in the absence of conventional means of maintaining and enforcing rules.</w:t>
      </w:r>
      <w:r w:rsidRPr="00D36673">
        <w:rPr>
          <w:rStyle w:val="Superscript"/>
        </w:rPr>
        <w:footnoteReference w:id="60"/>
      </w:r>
      <w:r w:rsidRPr="00D36673">
        <w:t xml:space="preserve"> </w:t>
      </w:r>
    </w:p>
    <w:p w14:paraId="4BDA0A2B" w14:textId="77777777" w:rsidR="005A3418" w:rsidRPr="00D36673" w:rsidRDefault="005A3418" w:rsidP="001405EA">
      <w:pPr>
        <w:pStyle w:val="Numbered"/>
      </w:pPr>
      <w:r w:rsidRPr="00D36673">
        <w:t>Whatever the context, threats – including those associated with, or perceived as being associated with, a demand – can have pervasive and profound effects. This is because threats can be, or can be perceived as, unlimited in time and context;</w:t>
      </w:r>
      <w:r w:rsidRPr="00D36673">
        <w:rPr>
          <w:rStyle w:val="Superscript"/>
        </w:rPr>
        <w:footnoteReference w:id="61"/>
      </w:r>
      <w:r w:rsidRPr="00D36673">
        <w:t xml:space="preserve"> they can hang over the victim longer term, occasioning greater overall stress, and affect the victim’s autonomy and psychological wellbeing.</w:t>
      </w:r>
      <w:r w:rsidRPr="00D36673">
        <w:rPr>
          <w:rStyle w:val="Superscript"/>
        </w:rPr>
        <w:footnoteReference w:id="62"/>
      </w:r>
      <w:r w:rsidRPr="00D36673">
        <w:t xml:space="preserve"> In a family violence context, these types of threats often contribute to victim–survivors remaining in or recommencing a relationship with the perpetrator,</w:t>
      </w:r>
      <w:r w:rsidRPr="00D36673">
        <w:rPr>
          <w:rStyle w:val="Superscript"/>
        </w:rPr>
        <w:footnoteReference w:id="63"/>
      </w:r>
      <w:r w:rsidRPr="00D36673">
        <w:t xml:space="preserve"> thereby exposing the victim to further coercion, harm and loss.</w:t>
      </w:r>
    </w:p>
    <w:p w14:paraId="06C4F063" w14:textId="77777777" w:rsidR="005A3418" w:rsidRPr="00D36673" w:rsidRDefault="005A3418" w:rsidP="00F67BC8">
      <w:pPr>
        <w:pStyle w:val="Heading3"/>
      </w:pPr>
      <w:r w:rsidRPr="00D36673">
        <w:lastRenderedPageBreak/>
        <w:t>Future harm: the risk of a substantive offence</w:t>
      </w:r>
    </w:p>
    <w:p w14:paraId="4C46B47F" w14:textId="77777777" w:rsidR="005A3418" w:rsidRPr="00D36673" w:rsidRDefault="005A3418" w:rsidP="001405EA">
      <w:pPr>
        <w:pStyle w:val="Numbered"/>
      </w:pPr>
      <w:r w:rsidRPr="00D36673">
        <w:t>Finally, threats imply a risk that the perpetrator will follow through with the threatened behaviour. Research shows, for example, that those who make threats to kill are far more likely to commit violent offences, including homicide, than those who do not make threats to kill;</w:t>
      </w:r>
      <w:r w:rsidRPr="00D36673">
        <w:rPr>
          <w:rStyle w:val="Superscript"/>
        </w:rPr>
        <w:footnoteReference w:id="64"/>
      </w:r>
      <w:r w:rsidRPr="00D36673">
        <w:t xml:space="preserve"> conversely, victims of a completed or attempted homicide have often previously received threats to kill from the perpetrator.</w:t>
      </w:r>
      <w:r w:rsidRPr="00D36673">
        <w:rPr>
          <w:rStyle w:val="Superscript"/>
        </w:rPr>
        <w:footnoteReference w:id="65"/>
      </w:r>
      <w:r w:rsidRPr="00D36673">
        <w:t xml:space="preserve"> </w:t>
      </w:r>
    </w:p>
    <w:p w14:paraId="4F873E42" w14:textId="77777777" w:rsidR="005A3418" w:rsidRPr="00D36673" w:rsidRDefault="005A3418" w:rsidP="001405EA">
      <w:pPr>
        <w:pStyle w:val="Numbered"/>
      </w:pPr>
      <w:r w:rsidRPr="00D36673">
        <w:t xml:space="preserve">Research on threats other than threats to kill is more limited. Further, the research that does exist does not always identify whether threats occurred before, alongside or after any substantive offending. Therefore, the direction of the relationship between threats and physical violence is not always as clear as might be expected. </w:t>
      </w:r>
    </w:p>
    <w:p w14:paraId="126C46D1" w14:textId="77777777" w:rsidR="005A3418" w:rsidRPr="00D36673" w:rsidRDefault="005A3418" w:rsidP="0039053D">
      <w:pPr>
        <w:pStyle w:val="Heading4"/>
      </w:pPr>
      <w:r w:rsidRPr="00D36673">
        <w:t>Direct harm to the victim of the threat</w:t>
      </w:r>
    </w:p>
    <w:p w14:paraId="5EE5756C" w14:textId="77777777" w:rsidR="005A3418" w:rsidRPr="00D36673" w:rsidRDefault="005A3418" w:rsidP="001405EA">
      <w:pPr>
        <w:pStyle w:val="Numbered"/>
      </w:pPr>
      <w:r w:rsidRPr="00D36673">
        <w:t xml:space="preserve">The likelihood of a threat to kill being made, and the possibility of that threat being carried out, become stronger when the relationship between threatener and victim is closer. This phenomenon is known as the </w:t>
      </w:r>
      <w:r w:rsidRPr="00A24E18">
        <w:rPr>
          <w:rStyle w:val="Emphasis"/>
        </w:rPr>
        <w:t>intimacy effect</w:t>
      </w:r>
      <w:r w:rsidRPr="00D36673">
        <w:t>.</w:t>
      </w:r>
      <w:r w:rsidRPr="00D36673">
        <w:rPr>
          <w:rStyle w:val="Superscript"/>
        </w:rPr>
        <w:footnoteReference w:id="66"/>
      </w:r>
      <w:r w:rsidRPr="00D36673">
        <w:t xml:space="preserve"> </w:t>
      </w:r>
    </w:p>
    <w:p w14:paraId="23D6A49A" w14:textId="77777777" w:rsidR="005A3418" w:rsidRPr="00D36673" w:rsidRDefault="005A3418" w:rsidP="001405EA">
      <w:pPr>
        <w:pStyle w:val="Numbered"/>
      </w:pPr>
      <w:r w:rsidRPr="00D36673">
        <w:t>Threats are a strong predictor of further violence and homicide where the victim is the partner or family member of the threatener. A number of studies have found that, among victims killed by a partner or stalker, many were known to have received a threat to kill before the homicide occurred.</w:t>
      </w:r>
      <w:r w:rsidRPr="00D36673">
        <w:rPr>
          <w:rStyle w:val="Superscript"/>
        </w:rPr>
        <w:footnoteReference w:id="67"/>
      </w:r>
      <w:r w:rsidRPr="00D36673">
        <w:t xml:space="preserve"> One study found that 90% of victims of attempted murder had been threatened by </w:t>
      </w:r>
      <w:r w:rsidRPr="00D36673">
        <w:lastRenderedPageBreak/>
        <w:t>the offender before the attempted murder.</w:t>
      </w:r>
      <w:r w:rsidRPr="00D36673">
        <w:rPr>
          <w:rStyle w:val="Superscript"/>
        </w:rPr>
        <w:footnoteReference w:id="68"/>
      </w:r>
      <w:r w:rsidRPr="00D36673">
        <w:t xml:space="preserve"> A 2007 study found that among Victorians convicted for threat to kill in 1993–1994, more than half (54%) received further convictions within 10 years: 44% were convicted for violent offences and 14% for offences committed against the victim of the original threat.</w:t>
      </w:r>
      <w:r w:rsidRPr="00D36673">
        <w:rPr>
          <w:rStyle w:val="Superscript"/>
        </w:rPr>
        <w:footnoteReference w:id="69"/>
      </w:r>
      <w:r w:rsidRPr="00D36673">
        <w:t xml:space="preserve"> Research also suggests that threats in stalking cases predict violence.</w:t>
      </w:r>
      <w:r w:rsidRPr="00D36673">
        <w:rPr>
          <w:rStyle w:val="Superscript"/>
        </w:rPr>
        <w:footnoteReference w:id="70"/>
      </w:r>
      <w:r w:rsidRPr="00D36673">
        <w:t xml:space="preserve"> This is particularly apposite in family violence cases: threats occur more commonly in stalking cases where the perpetrator is an ex-intimate partner of the victim than where the perpetrator is not, and in those cases, threats predict physical violence.</w:t>
      </w:r>
      <w:r w:rsidRPr="00D36673">
        <w:rPr>
          <w:rStyle w:val="Superscript"/>
        </w:rPr>
        <w:footnoteReference w:id="71"/>
      </w:r>
      <w:r w:rsidRPr="00D36673">
        <w:t xml:space="preserve"> </w:t>
      </w:r>
    </w:p>
    <w:p w14:paraId="7C755ECA" w14:textId="77777777" w:rsidR="005A3418" w:rsidRPr="00D36673" w:rsidRDefault="005A3418" w:rsidP="001405EA">
      <w:pPr>
        <w:pStyle w:val="Numbered"/>
      </w:pPr>
      <w:r w:rsidRPr="00D36673">
        <w:t>Conversely, the weaker the relationship between threatener and victim, the less likely a threat is to presage physical violence. Where the victim is a public figure, few perpetrators threaten the victim before committing violence against them.</w:t>
      </w:r>
      <w:r w:rsidRPr="00D36673">
        <w:rPr>
          <w:rStyle w:val="Superscript"/>
        </w:rPr>
        <w:footnoteReference w:id="72"/>
      </w:r>
      <w:r w:rsidRPr="00D36673">
        <w:t xml:space="preserve"> </w:t>
      </w:r>
    </w:p>
    <w:p w14:paraId="3DC26A16" w14:textId="77777777" w:rsidR="005A3418" w:rsidRPr="00D36673" w:rsidRDefault="005A3418" w:rsidP="001405EA">
      <w:pPr>
        <w:pStyle w:val="Numbered"/>
      </w:pPr>
      <w:r w:rsidRPr="00D36673">
        <w:t>Threats made at a distance (for example, over the internet or phone) are sometimes treated as less credible than those made in person.</w:t>
      </w:r>
      <w:r w:rsidRPr="00D36673">
        <w:rPr>
          <w:rStyle w:val="Superscript"/>
        </w:rPr>
        <w:footnoteReference w:id="73"/>
      </w:r>
      <w:r w:rsidRPr="00D36673">
        <w:t xml:space="preserve"> Research suggests that this should not be the case. Statistics may imply that threats made at a distance can be less </w:t>
      </w:r>
      <w:r w:rsidRPr="00D36673">
        <w:lastRenderedPageBreak/>
        <w:t>credible, but that can be explained more directly by the intimacy effect. People who make face-to-face threats are more likely to carry them out; however, this may simply be because face-to-face threats occur more often where a close relationship exists between threatener and victim.</w:t>
      </w:r>
      <w:r w:rsidRPr="00D36673">
        <w:rPr>
          <w:rStyle w:val="Superscript"/>
        </w:rPr>
        <w:footnoteReference w:id="74"/>
      </w:r>
      <w:r w:rsidRPr="00D36673">
        <w:t xml:space="preserve"> A more nuanced approach would be to view the medium of the threat in the context of both its substance and the relationship between the threatener and the victim. </w:t>
      </w:r>
    </w:p>
    <w:p w14:paraId="666CADD3" w14:textId="77777777" w:rsidR="005A3418" w:rsidRPr="00D36673" w:rsidRDefault="005A3418" w:rsidP="00F67BC8">
      <w:pPr>
        <w:pStyle w:val="Heading3"/>
      </w:pPr>
      <w:r w:rsidRPr="00D36673">
        <w:t>Community safety: threats and other criminal offending</w:t>
      </w:r>
    </w:p>
    <w:p w14:paraId="72555DB4" w14:textId="77777777" w:rsidR="005A3418" w:rsidRPr="00D36673" w:rsidRDefault="005A3418" w:rsidP="001405EA">
      <w:pPr>
        <w:pStyle w:val="Numbered"/>
      </w:pPr>
      <w:r w:rsidRPr="00D36673">
        <w:t>Threats are associated with a wide range of criminal behaviour against a variety of victims. Previous research has shown that in the 12 months after people were referred to mental health services for making threats to kill, their most commonly recorded offences were violent offences, with other frequent subsequent offences including theft and driving offences.</w:t>
      </w:r>
      <w:r w:rsidRPr="00D36673">
        <w:rPr>
          <w:rStyle w:val="Superscript"/>
        </w:rPr>
        <w:footnoteReference w:id="75"/>
      </w:r>
      <w:r w:rsidRPr="00D36673">
        <w:t xml:space="preserve"> In the 10 years after a </w:t>
      </w:r>
      <w:r w:rsidRPr="00A24E18">
        <w:rPr>
          <w:rStyle w:val="Emphasis"/>
        </w:rPr>
        <w:t xml:space="preserve">conviction </w:t>
      </w:r>
      <w:r w:rsidRPr="00D36673">
        <w:t>for threat to kill, violent offences were the most common offence category, present in almost half of cases.</w:t>
      </w:r>
      <w:r w:rsidRPr="00D36673">
        <w:rPr>
          <w:rStyle w:val="Superscript"/>
        </w:rPr>
        <w:footnoteReference w:id="76"/>
      </w:r>
      <w:r w:rsidRPr="00D36673">
        <w:t xml:space="preserve"> Completed or attempted homicide, stalking and further threats to kill were also observed. For almost three-quarters of those who were convicted of at least one further offence, the victim of the threat was not the victim of the subsequent offending. This implies that threats present a substantial risk to the community at large.</w:t>
      </w:r>
      <w:r w:rsidRPr="00D36673">
        <w:rPr>
          <w:rStyle w:val="Superscript"/>
        </w:rPr>
        <w:footnoteReference w:id="77"/>
      </w:r>
    </w:p>
    <w:p w14:paraId="4FF8AB5D" w14:textId="77777777" w:rsidR="005A3418" w:rsidRPr="00D36673" w:rsidRDefault="005A3418" w:rsidP="001405EA">
      <w:pPr>
        <w:pStyle w:val="Numbered"/>
      </w:pPr>
      <w:r w:rsidRPr="00D36673">
        <w:t xml:space="preserve">Threats may also be associated with other specific offending patterns besides family violence. For example, threats are sometimes used by those distributing illicit drugs to enforce </w:t>
      </w:r>
      <w:r w:rsidRPr="00D36673">
        <w:lastRenderedPageBreak/>
        <w:t>payment (licit debt collection methods being unavailable in this context).</w:t>
      </w:r>
      <w:r w:rsidRPr="00D36673">
        <w:rPr>
          <w:rStyle w:val="Superscript"/>
        </w:rPr>
        <w:footnoteReference w:id="78"/>
      </w:r>
      <w:r w:rsidRPr="00D36673">
        <w:t xml:space="preserve"> Threats are also common in the context of armed robberies and aggravated burglaries.</w:t>
      </w:r>
      <w:r w:rsidRPr="00D36673">
        <w:rPr>
          <w:rStyle w:val="Superscript"/>
        </w:rPr>
        <w:footnoteReference w:id="79"/>
      </w:r>
      <w:r w:rsidRPr="00D36673">
        <w:t xml:space="preserve"> Research suggests that these types of threats may be made in an effort to accomplish the desired goals without physical violence,</w:t>
      </w:r>
      <w:r w:rsidRPr="00D36673">
        <w:rPr>
          <w:rStyle w:val="Superscript"/>
        </w:rPr>
        <w:footnoteReference w:id="80"/>
      </w:r>
      <w:r w:rsidRPr="00D36673">
        <w:t xml:space="preserve"> but the threateners’ need for such threats to be taken seriously creates a high potential for escalation to violence.</w:t>
      </w:r>
    </w:p>
    <w:p w14:paraId="11D2FB0F" w14:textId="77777777" w:rsidR="005A3418" w:rsidRPr="00D36673" w:rsidRDefault="005A3418" w:rsidP="001405EA">
      <w:pPr>
        <w:pStyle w:val="Numbered"/>
      </w:pPr>
      <w:r w:rsidRPr="00D36673">
        <w:t>Finally, threatening behaviours frequently occur in contexts where medical and other support might be required in addition to, or instead of, criminal justice intervention. The rates of severe mental illness and substance abuse are far higher for those who are referred for professional assessment after making threats than for the general population.</w:t>
      </w:r>
      <w:r w:rsidRPr="00D36673">
        <w:rPr>
          <w:rStyle w:val="Superscript"/>
        </w:rPr>
        <w:footnoteReference w:id="81"/>
      </w:r>
      <w:r w:rsidRPr="00D36673">
        <w:t xml:space="preserve"> This group is far likelier than the general population to experience, as well as commit, violence and homicide in the year following their threat.</w:t>
      </w:r>
      <w:r w:rsidRPr="00D36673">
        <w:rPr>
          <w:rStyle w:val="Superscript"/>
        </w:rPr>
        <w:footnoteReference w:id="82"/>
      </w:r>
      <w:r w:rsidRPr="00D36673">
        <w:t xml:space="preserve"> They are also far likelier than the general population to die by homicide or take their own lives.</w:t>
      </w:r>
      <w:r w:rsidRPr="00D36673">
        <w:rPr>
          <w:rStyle w:val="Superscript"/>
        </w:rPr>
        <w:footnoteReference w:id="83"/>
      </w:r>
    </w:p>
    <w:p w14:paraId="65F633FB" w14:textId="77777777" w:rsidR="005A3418" w:rsidRPr="00D36673" w:rsidRDefault="005A3418" w:rsidP="0086723D">
      <w:pPr>
        <w:pStyle w:val="Heading2"/>
      </w:pPr>
      <w:r w:rsidRPr="00D36673">
        <w:t>Threats in case law</w:t>
      </w:r>
    </w:p>
    <w:p w14:paraId="3135139A" w14:textId="77777777" w:rsidR="005A3418" w:rsidRPr="00D36673" w:rsidRDefault="005A3418" w:rsidP="001405EA">
      <w:pPr>
        <w:pStyle w:val="Numbered"/>
      </w:pPr>
      <w:r w:rsidRPr="00D36673">
        <w:t xml:space="preserve">Threats to kill or seriously injure, commit a sexual offence or destroy or damage property are made in a variety of contexts, including family violence, ongoing criminal enterprises, </w:t>
      </w:r>
      <w:r w:rsidRPr="00D36673">
        <w:lastRenderedPageBreak/>
        <w:t>vigilantism and once-off and spontaneous offending. Different types of threats are often made as part of the same course of conduct and are often sentenced together in the same case.</w:t>
      </w:r>
      <w:r w:rsidRPr="00D36673">
        <w:rPr>
          <w:rStyle w:val="Superscript"/>
        </w:rPr>
        <w:footnoteReference w:id="84"/>
      </w:r>
      <w:r w:rsidRPr="00D36673">
        <w:t xml:space="preserve"> Threats can also be contextually relevant to the sentencing of other offending, even where they are not separately charged and sentenced.</w:t>
      </w:r>
      <w:r w:rsidRPr="00D36673">
        <w:rPr>
          <w:rStyle w:val="Superscript"/>
        </w:rPr>
        <w:footnoteReference w:id="85"/>
      </w:r>
      <w:r w:rsidRPr="00D36673">
        <w:t xml:space="preserve"> The courts take into account a number of interrelated factors in the complex task of assessing the seriousness of threat offending. </w:t>
      </w:r>
    </w:p>
    <w:p w14:paraId="5C3DD89B" w14:textId="77777777" w:rsidR="005A3418" w:rsidRPr="00D36673" w:rsidRDefault="005A3418" w:rsidP="00F67BC8">
      <w:pPr>
        <w:pStyle w:val="Heading3"/>
      </w:pPr>
      <w:r w:rsidRPr="00D36673">
        <w:t>The manner of the threat and circumstances in which it is made</w:t>
      </w:r>
    </w:p>
    <w:p w14:paraId="4BAB8E18" w14:textId="77777777" w:rsidR="005A3418" w:rsidRPr="00D36673" w:rsidRDefault="005A3418" w:rsidP="001405EA">
      <w:pPr>
        <w:pStyle w:val="Numbered"/>
      </w:pPr>
      <w:r w:rsidRPr="00D36673">
        <w:t>The specific way in which the threat is made bears on its objective seriousness. The following factors have often been identified as potentially aggravating features of threat offences:</w:t>
      </w:r>
    </w:p>
    <w:p w14:paraId="0F771C1E" w14:textId="77777777" w:rsidR="005A3418" w:rsidRPr="00D36673" w:rsidRDefault="005A3418" w:rsidP="00F9594C">
      <w:pPr>
        <w:pStyle w:val="Bullets"/>
      </w:pPr>
      <w:r w:rsidRPr="00D36673">
        <w:t>a threat made in person (as opposed to remotely);</w:t>
      </w:r>
      <w:r w:rsidRPr="00D36673">
        <w:rPr>
          <w:rStyle w:val="Superscript"/>
        </w:rPr>
        <w:footnoteReference w:id="86"/>
      </w:r>
    </w:p>
    <w:p w14:paraId="677E65DD" w14:textId="77777777" w:rsidR="005A3418" w:rsidRPr="00D36673" w:rsidRDefault="005A3418" w:rsidP="00F9594C">
      <w:pPr>
        <w:pStyle w:val="Bullets"/>
      </w:pPr>
      <w:r w:rsidRPr="00D36673">
        <w:t>an explicit threat (rather than an implicit one);</w:t>
      </w:r>
      <w:r w:rsidRPr="00D36673">
        <w:rPr>
          <w:rStyle w:val="Superscript"/>
        </w:rPr>
        <w:footnoteReference w:id="87"/>
      </w:r>
    </w:p>
    <w:p w14:paraId="7716CD9C" w14:textId="77777777" w:rsidR="005A3418" w:rsidRPr="00D36673" w:rsidRDefault="005A3418" w:rsidP="00F9594C">
      <w:pPr>
        <w:pStyle w:val="Bullets"/>
      </w:pPr>
      <w:r w:rsidRPr="00D36673">
        <w:t>premeditated threats;</w:t>
      </w:r>
      <w:r w:rsidRPr="00D36673">
        <w:rPr>
          <w:rStyle w:val="Superscript"/>
        </w:rPr>
        <w:footnoteReference w:id="88"/>
      </w:r>
    </w:p>
    <w:p w14:paraId="40DAE351" w14:textId="77777777" w:rsidR="005A3418" w:rsidRPr="00D36673" w:rsidRDefault="005A3418" w:rsidP="00F9594C">
      <w:pPr>
        <w:pStyle w:val="Bullets"/>
      </w:pPr>
      <w:r w:rsidRPr="00D36673">
        <w:lastRenderedPageBreak/>
        <w:t>use of a weapon</w:t>
      </w:r>
      <w:r w:rsidRPr="00D36673">
        <w:rPr>
          <w:rStyle w:val="Superscript"/>
        </w:rPr>
        <w:footnoteReference w:id="89"/>
      </w:r>
      <w:r w:rsidRPr="00D36673">
        <w:t xml:space="preserve"> or another circumstance suggesting the threat is likely to be carried out;</w:t>
      </w:r>
      <w:r w:rsidRPr="00D36673">
        <w:rPr>
          <w:rStyle w:val="Superscript"/>
        </w:rPr>
        <w:footnoteReference w:id="90"/>
      </w:r>
    </w:p>
    <w:p w14:paraId="284F67D4" w14:textId="77777777" w:rsidR="005A3418" w:rsidRPr="00D36673" w:rsidRDefault="005A3418" w:rsidP="00F9594C">
      <w:pPr>
        <w:pStyle w:val="Bullets"/>
      </w:pPr>
      <w:r w:rsidRPr="00D36673">
        <w:t>repeated threats and threats made over a long period of time, particularly in the context of family violence or coercive control;</w:t>
      </w:r>
      <w:r w:rsidRPr="00D36673">
        <w:rPr>
          <w:rStyle w:val="Superscript"/>
        </w:rPr>
        <w:footnoteReference w:id="91"/>
      </w:r>
    </w:p>
    <w:p w14:paraId="094EFBD9" w14:textId="77777777" w:rsidR="005A3418" w:rsidRPr="00D36673" w:rsidRDefault="005A3418" w:rsidP="00F9594C">
      <w:pPr>
        <w:pStyle w:val="Bullets"/>
      </w:pPr>
      <w:r w:rsidRPr="00D36673">
        <w:t>threats that involve a breach of trust, especially in the context of family violence or coercive control;</w:t>
      </w:r>
      <w:r w:rsidRPr="00D36673">
        <w:rPr>
          <w:rStyle w:val="Superscript"/>
        </w:rPr>
        <w:footnoteReference w:id="92"/>
      </w:r>
      <w:r w:rsidRPr="00D36673">
        <w:t xml:space="preserve"> </w:t>
      </w:r>
    </w:p>
    <w:p w14:paraId="3620606A" w14:textId="77777777" w:rsidR="005A3418" w:rsidRPr="00D36673" w:rsidRDefault="005A3418" w:rsidP="00F9594C">
      <w:pPr>
        <w:pStyle w:val="Bullets"/>
      </w:pPr>
      <w:r w:rsidRPr="00D36673">
        <w:t>threats that cause the victim to fear for the safety of others (such as their children or other family members) in addition to their own safety, especially in the context of family violence or coercive control;</w:t>
      </w:r>
      <w:r w:rsidRPr="00D36673">
        <w:rPr>
          <w:rStyle w:val="Superscript"/>
        </w:rPr>
        <w:footnoteReference w:id="93"/>
      </w:r>
    </w:p>
    <w:p w14:paraId="131F9F46" w14:textId="77777777" w:rsidR="005A3418" w:rsidRPr="00D36673" w:rsidRDefault="005A3418" w:rsidP="00F9594C">
      <w:pPr>
        <w:pStyle w:val="Bullets"/>
      </w:pPr>
      <w:r w:rsidRPr="00D36673">
        <w:t>a threat made while the threatener was subject to a court order such as a family violence intervention order, bail order, suspended sentence or community correction order;</w:t>
      </w:r>
      <w:r w:rsidRPr="00D36673">
        <w:rPr>
          <w:rStyle w:val="Superscript"/>
        </w:rPr>
        <w:footnoteReference w:id="94"/>
      </w:r>
      <w:r w:rsidRPr="00D36673">
        <w:t xml:space="preserve"> and</w:t>
      </w:r>
    </w:p>
    <w:p w14:paraId="3F2DEEF6" w14:textId="77777777" w:rsidR="005A3418" w:rsidRPr="00D36673" w:rsidRDefault="005A3418" w:rsidP="004C1909">
      <w:pPr>
        <w:pStyle w:val="Bullets"/>
      </w:pPr>
      <w:r w:rsidRPr="00D36673">
        <w:t xml:space="preserve">threats that occur in the context of other offending, such as causing injury offences, endangerment offences or sexual assaults, because this context makes the threat more credible </w:t>
      </w:r>
      <w:r w:rsidRPr="00D36673">
        <w:lastRenderedPageBreak/>
        <w:t>(especially if the offence was violent and preceded the threat)</w:t>
      </w:r>
      <w:r w:rsidRPr="00D36673">
        <w:rPr>
          <w:rStyle w:val="Superscript"/>
        </w:rPr>
        <w:footnoteReference w:id="95"/>
      </w:r>
      <w:r w:rsidRPr="00D36673">
        <w:t xml:space="preserve"> and heightens the fear experienced by the victim.</w:t>
      </w:r>
      <w:r w:rsidRPr="00D36673">
        <w:rPr>
          <w:rStyle w:val="Superscript"/>
        </w:rPr>
        <w:footnoteReference w:id="96"/>
      </w:r>
    </w:p>
    <w:p w14:paraId="6035257D" w14:textId="77777777" w:rsidR="005A3418" w:rsidRPr="00D36673" w:rsidRDefault="005A3418" w:rsidP="00F67BC8">
      <w:pPr>
        <w:pStyle w:val="Heading3"/>
      </w:pPr>
      <w:r w:rsidRPr="00D36673">
        <w:t>The effect of the threat on the victim</w:t>
      </w:r>
    </w:p>
    <w:p w14:paraId="71EC093E" w14:textId="77777777" w:rsidR="005A3418" w:rsidRPr="00D36673" w:rsidRDefault="005A3418" w:rsidP="001405EA">
      <w:pPr>
        <w:pStyle w:val="Numbered"/>
      </w:pPr>
      <w:r w:rsidRPr="00D36673">
        <w:t xml:space="preserve">Although threat offences do not require that the victim believed the threat would be carried out, a finding that a victim </w:t>
      </w:r>
      <w:r w:rsidRPr="00A24E18">
        <w:rPr>
          <w:rStyle w:val="Emphasis"/>
        </w:rPr>
        <w:t>actually</w:t>
      </w:r>
      <w:r w:rsidRPr="00D36673">
        <w:t xml:space="preserve"> had such a belief increases the objective seriousness of the offending, particularly where the victim believed that the threat would be carried out </w:t>
      </w:r>
      <w:r w:rsidRPr="00A24E18">
        <w:rPr>
          <w:rStyle w:val="Emphasis"/>
        </w:rPr>
        <w:t>imminently</w:t>
      </w:r>
      <w:r w:rsidRPr="00D36673">
        <w:t>.</w:t>
      </w:r>
      <w:r w:rsidRPr="00D36673">
        <w:rPr>
          <w:rStyle w:val="Superscript"/>
        </w:rPr>
        <w:footnoteReference w:id="97"/>
      </w:r>
      <w:r w:rsidRPr="00D36673">
        <w:t xml:space="preserve"> Conversely, where the victim indicates that they did not take the threat seriously, the objective seriousness of the offending is generally moderated by that fact.</w:t>
      </w:r>
      <w:r w:rsidRPr="00D36673">
        <w:rPr>
          <w:rStyle w:val="Superscript"/>
        </w:rPr>
        <w:footnoteReference w:id="98"/>
      </w:r>
      <w:r w:rsidRPr="00D36673">
        <w:t xml:space="preserve"> Ongoing psychological consequences, too, are an indicator of seriousness.</w:t>
      </w:r>
      <w:r w:rsidRPr="00D36673">
        <w:rPr>
          <w:rStyle w:val="Superscript"/>
        </w:rPr>
        <w:footnoteReference w:id="99"/>
      </w:r>
      <w:r w:rsidRPr="00D36673">
        <w:t xml:space="preserve"> And if a victim is particularly vulnerable (for example, due to age), that too may be aggravating.</w:t>
      </w:r>
      <w:r w:rsidRPr="00D36673">
        <w:rPr>
          <w:rStyle w:val="Superscript"/>
        </w:rPr>
        <w:footnoteReference w:id="100"/>
      </w:r>
    </w:p>
    <w:p w14:paraId="072B91C1" w14:textId="77777777" w:rsidR="005A3418" w:rsidRPr="00D36673" w:rsidRDefault="005A3418" w:rsidP="00F67BC8">
      <w:pPr>
        <w:pStyle w:val="Heading3"/>
      </w:pPr>
      <w:r w:rsidRPr="00D36673">
        <w:t>The offender’s motivations for making the threat</w:t>
      </w:r>
    </w:p>
    <w:p w14:paraId="2D8340E7" w14:textId="77777777" w:rsidR="005A3418" w:rsidRPr="00D36673" w:rsidRDefault="005A3418" w:rsidP="001405EA">
      <w:pPr>
        <w:pStyle w:val="Numbered"/>
      </w:pPr>
      <w:r w:rsidRPr="00D36673">
        <w:t xml:space="preserve">The offender’s motivations for making a threat can increase their moral culpability. As discussed at [2.18], threats are often made to cause fear in the victim, to induce or coerce the victim to do or </w:t>
      </w:r>
      <w:r w:rsidRPr="00D36673">
        <w:lastRenderedPageBreak/>
        <w:t>refrain from doing a particular thing, or to foreshadow future violence. These motivations can be aggravating, particularly when the threat is directed against a domestic partner in a family violence context (see [2.41]–[2.44]), aimed at deterring the victim from reporting other offending to police or cooperating in an investigation,</w:t>
      </w:r>
      <w:r w:rsidRPr="00D36673">
        <w:rPr>
          <w:rStyle w:val="Superscript"/>
        </w:rPr>
        <w:footnoteReference w:id="101"/>
      </w:r>
      <w:r w:rsidRPr="00D36673">
        <w:t xml:space="preserve"> or borne out of personal hostility towards the victim.</w:t>
      </w:r>
      <w:r w:rsidRPr="00D36673">
        <w:rPr>
          <w:rStyle w:val="Superscript"/>
        </w:rPr>
        <w:footnoteReference w:id="102"/>
      </w:r>
      <w:r w:rsidRPr="00D36673">
        <w:t xml:space="preserve"> Conversely, a misguided sense of retribution or a ‘noble cause’ (in the absence of self-defence) may at best help to explain the conduct, but it would not be considered a mitigating circumstance. Indeed, some such cases call for a sentence that deters future vigilantism.</w:t>
      </w:r>
      <w:r w:rsidRPr="00D36673">
        <w:rPr>
          <w:rStyle w:val="Superscript"/>
        </w:rPr>
        <w:footnoteReference w:id="103"/>
      </w:r>
    </w:p>
    <w:p w14:paraId="1F5DA2B4" w14:textId="77777777" w:rsidR="005A3418" w:rsidRPr="00D36673" w:rsidRDefault="005A3418" w:rsidP="001405EA">
      <w:pPr>
        <w:pStyle w:val="Numbered"/>
      </w:pPr>
      <w:r w:rsidRPr="00D36673">
        <w:t>In cases where the offending is random and fuelled by drug intoxication, the absence of a clear motive translates to the absence of a corresponding circumstance of aggravation. However, such offending is still likely to attract a sentence that emphasises general and specific deterrence.</w:t>
      </w:r>
      <w:r w:rsidRPr="00D36673">
        <w:rPr>
          <w:rStyle w:val="Superscript"/>
        </w:rPr>
        <w:footnoteReference w:id="104"/>
      </w:r>
      <w:r w:rsidRPr="00D36673">
        <w:t xml:space="preserve"> </w:t>
      </w:r>
    </w:p>
    <w:p w14:paraId="6637A37D" w14:textId="77777777" w:rsidR="005A3418" w:rsidRPr="00D36673" w:rsidRDefault="005A3418" w:rsidP="00F67BC8">
      <w:pPr>
        <w:pStyle w:val="Heading3"/>
      </w:pPr>
      <w:r w:rsidRPr="00D36673">
        <w:t>Threats in the context of family violence</w:t>
      </w:r>
    </w:p>
    <w:p w14:paraId="7F87D2EA" w14:textId="77777777" w:rsidR="005A3418" w:rsidRPr="00D36673" w:rsidRDefault="005A3418" w:rsidP="001405EA">
      <w:pPr>
        <w:pStyle w:val="Numbered"/>
      </w:pPr>
      <w:r w:rsidRPr="00D36673">
        <w:t xml:space="preserve">For some time, courts have recognised the prevalence and significant and lasting harm of serious offending committed in the context of family violence, overwhelmingly by male offenders </w:t>
      </w:r>
      <w:r w:rsidRPr="00D36673">
        <w:lastRenderedPageBreak/>
        <w:t>acting possessively, coercively and violently.</w:t>
      </w:r>
      <w:r w:rsidRPr="00D36673">
        <w:rPr>
          <w:rStyle w:val="Superscript"/>
        </w:rPr>
        <w:footnoteReference w:id="105"/>
      </w:r>
      <w:r w:rsidRPr="00D36673">
        <w:t xml:space="preserve"> That a threat is made in such a context (including where the threat is a breach of a family violence order) of itself aggravates the offending, with deterrence (general and specific), denunciation and community protection (in some cases) being dominant considerations in sentencing. In </w:t>
      </w:r>
      <w:r w:rsidRPr="00A24E18">
        <w:rPr>
          <w:rStyle w:val="Emphasis"/>
        </w:rPr>
        <w:t>Marrah v The Queen</w:t>
      </w:r>
      <w:r w:rsidRPr="00D36673">
        <w:t xml:space="preserve">, the Victorian Court of Appeal held: </w:t>
      </w:r>
    </w:p>
    <w:p w14:paraId="18B3596A" w14:textId="77777777" w:rsidR="005A3418" w:rsidRPr="00D36673" w:rsidRDefault="005A3418" w:rsidP="002F6D30">
      <w:pPr>
        <w:pStyle w:val="Quote"/>
      </w:pPr>
      <w:r w:rsidRPr="00D36673">
        <w:t>[t]he gravity of the offending was aggravated by the fact that the applicant was at the time the subject of an intervention order, which he flagrantly disregarded. Offending of this nature is too often perpetrated by men whose response to difficulties in a relationship is one of possessive, violent rage. It goes without saying that such a response, to what is a common human situation, is utterly unacceptable. The sentences must convey the unmistakeable message that male partners have no right to subject their female partners to threats or violence. The sentences must be of such an order as to strongly denounce violence within a domestic relationship.</w:t>
      </w:r>
      <w:r w:rsidRPr="002F6D30">
        <w:rPr>
          <w:rStyle w:val="Superscript"/>
        </w:rPr>
        <w:footnoteReference w:id="106"/>
      </w:r>
    </w:p>
    <w:p w14:paraId="3379FB78" w14:textId="77777777" w:rsidR="005A3418" w:rsidRPr="00D36673" w:rsidRDefault="005A3418" w:rsidP="001405EA">
      <w:pPr>
        <w:pStyle w:val="Numbered"/>
      </w:pPr>
      <w:r w:rsidRPr="00D36673">
        <w:t>Where a threat is accompanied by causing injury offences, the threat is often the focus of the sentencing exercise, as it can be most reflective of the pattern of coercive and controlling behaviour and can therefore place the whole of the offending in context.</w:t>
      </w:r>
      <w:r w:rsidRPr="00D36673">
        <w:rPr>
          <w:rStyle w:val="Superscript"/>
        </w:rPr>
        <w:footnoteReference w:id="107"/>
      </w:r>
      <w:r w:rsidRPr="00D36673">
        <w:t xml:space="preserve"> This implies a recognition of not only the direct harm </w:t>
      </w:r>
      <w:r w:rsidRPr="00D36673">
        <w:lastRenderedPageBreak/>
        <w:t xml:space="preserve">in the form of the victim’s fear for their life or wellbeing but also the indirect harm in the form of the pervasive effect of the threat on the victim’s behaviour, agency and decision-making in the context of the domestic relationship, which is perhaps more significant. </w:t>
      </w:r>
    </w:p>
    <w:p w14:paraId="69B0FAC4" w14:textId="77777777" w:rsidR="005A3418" w:rsidRPr="00D36673" w:rsidRDefault="005A3418" w:rsidP="001405EA">
      <w:pPr>
        <w:pStyle w:val="Numbered"/>
      </w:pPr>
      <w:r w:rsidRPr="00D36673">
        <w:t>Offending in the context of family violence is often further aggravated by the breach of trust involved in offending against one’s intimate partner or family member. Sentencing remarks recognise the victim’s entitlement to care, love and security, which is denied by the offender’s conduct, particularly where the violence is committed in the victim’s home.</w:t>
      </w:r>
      <w:r w:rsidRPr="00D36673">
        <w:rPr>
          <w:rStyle w:val="Superscript"/>
        </w:rPr>
        <w:footnoteReference w:id="108"/>
      </w:r>
      <w:r w:rsidRPr="00D36673">
        <w:t xml:space="preserve"> Offending is also aggravated where it is committed in the presence of the offender or victim’s children;</w:t>
      </w:r>
      <w:r w:rsidRPr="00D36673">
        <w:rPr>
          <w:rStyle w:val="Superscript"/>
        </w:rPr>
        <w:footnoteReference w:id="109"/>
      </w:r>
      <w:r w:rsidRPr="00D36673">
        <w:t xml:space="preserve"> committing family violence in the presence of children also constitutes committing family violence against those children.</w:t>
      </w:r>
      <w:r w:rsidRPr="00D36673">
        <w:rPr>
          <w:rStyle w:val="Superscript"/>
        </w:rPr>
        <w:footnoteReference w:id="110"/>
      </w:r>
      <w:r w:rsidRPr="00D36673">
        <w:t xml:space="preserve"> </w:t>
      </w:r>
    </w:p>
    <w:p w14:paraId="459118AE" w14:textId="77777777" w:rsidR="005A3418" w:rsidRPr="00D36673" w:rsidRDefault="005A3418" w:rsidP="001405EA">
      <w:pPr>
        <w:pStyle w:val="Numbered"/>
      </w:pPr>
      <w:r w:rsidRPr="00D36673">
        <w:t>In summary, threats made in the context of family violence tend to be very credible and tend to occur in circumstances that can elevate the threat to the ‘highest end’ of seriousness.</w:t>
      </w:r>
      <w:r w:rsidRPr="00D36673">
        <w:rPr>
          <w:rStyle w:val="Superscript"/>
        </w:rPr>
        <w:footnoteReference w:id="111"/>
      </w:r>
    </w:p>
    <w:p w14:paraId="6A6C9F21" w14:textId="77777777" w:rsidR="005A3418" w:rsidRPr="00D36673" w:rsidRDefault="005A3418" w:rsidP="00F67BC8">
      <w:pPr>
        <w:pStyle w:val="Heading3"/>
      </w:pPr>
      <w:r w:rsidRPr="00D36673">
        <w:t>Threats to damage property</w:t>
      </w:r>
    </w:p>
    <w:p w14:paraId="64219F9C" w14:textId="77777777" w:rsidR="005A3418" w:rsidRPr="00D36673" w:rsidRDefault="005A3418" w:rsidP="001405EA">
      <w:pPr>
        <w:pStyle w:val="Numbered"/>
      </w:pPr>
      <w:r w:rsidRPr="00D36673">
        <w:t xml:space="preserve">Threats to damage property commonly involve threats that imply some level of physical danger to the victim. For example, a charge of threatening to damage property may arise out of a </w:t>
      </w:r>
      <w:r w:rsidRPr="00D36673">
        <w:lastRenderedPageBreak/>
        <w:t>threat to destroy or damage the victim’s home,</w:t>
      </w:r>
      <w:r w:rsidRPr="00D36673">
        <w:rPr>
          <w:rStyle w:val="Superscript"/>
        </w:rPr>
        <w:footnoteReference w:id="112"/>
      </w:r>
      <w:r w:rsidRPr="00D36673">
        <w:t xml:space="preserve"> or to harm a pet.</w:t>
      </w:r>
      <w:r w:rsidRPr="00D36673">
        <w:rPr>
          <w:rStyle w:val="Superscript"/>
        </w:rPr>
        <w:footnoteReference w:id="113"/>
      </w:r>
      <w:r w:rsidRPr="00D36673">
        <w:t xml:space="preserve"> Threats to damage property are also often made in the context of threatening behaviour against a person and as such may be experienced by the victim as an indirect threat against them.</w:t>
      </w:r>
      <w:r w:rsidRPr="00D36673">
        <w:rPr>
          <w:rStyle w:val="Superscript"/>
        </w:rPr>
        <w:footnoteReference w:id="114"/>
      </w:r>
    </w:p>
    <w:p w14:paraId="78F50FB7" w14:textId="41526927" w:rsidR="005A3418" w:rsidRPr="00D36673" w:rsidRDefault="005A3418" w:rsidP="00957F3A">
      <w:pPr>
        <w:pStyle w:val="Heading1Numbered"/>
      </w:pPr>
      <w:bookmarkStart w:id="5" w:name="_Toc75445780"/>
      <w:r w:rsidRPr="00D36673">
        <w:lastRenderedPageBreak/>
        <w:t>Recorded threat offences</w:t>
      </w:r>
      <w:bookmarkEnd w:id="5"/>
    </w:p>
    <w:p w14:paraId="6C68DCD5" w14:textId="77777777" w:rsidR="005A3418" w:rsidRPr="00D36673" w:rsidRDefault="005A3418" w:rsidP="009C2A37">
      <w:pPr>
        <w:pStyle w:val="Numbered"/>
      </w:pPr>
      <w:r w:rsidRPr="00D36673">
        <w:t xml:space="preserve">This chapter discusses the number of alleged threat offences recorded by police between 2012 and 2019, the types of threat offences, who committed those threat offences, and the relationships those threat offences occurred within. The data in this chapter was provided by the Crime Statistics Agency. </w:t>
      </w:r>
    </w:p>
    <w:p w14:paraId="0DECD33D" w14:textId="77777777" w:rsidR="005A3418" w:rsidRPr="00D36673" w:rsidRDefault="005A3418" w:rsidP="0086723D">
      <w:pPr>
        <w:pStyle w:val="Heading2"/>
      </w:pPr>
      <w:r w:rsidRPr="00D36673">
        <w:t>Number of recorded threat offences</w:t>
      </w:r>
    </w:p>
    <w:p w14:paraId="51708860" w14:textId="77777777" w:rsidR="005A3418" w:rsidRPr="00D36673" w:rsidRDefault="005A3418" w:rsidP="009C2A37">
      <w:pPr>
        <w:pStyle w:val="Numbered"/>
      </w:pPr>
      <w:r w:rsidRPr="00D36673">
        <w:t>In the eight years to 31 December 2019, police recorded 66,089 threat offences in Victoria (Figure 2).</w:t>
      </w:r>
      <w:r w:rsidRPr="00D36673">
        <w:rPr>
          <w:rStyle w:val="Superscript"/>
        </w:rPr>
        <w:footnoteReference w:id="115"/>
      </w:r>
      <w:r w:rsidRPr="00D36673">
        <w:t xml:space="preserve"> The number of threat offences increased by 51% during that period. Threats to kill made up almost two-thirds of all recorded threat offences (64%), followed by threat to inflict serious injury (24%) and threat to destroy or damage property (10%).</w:t>
      </w:r>
      <w:r w:rsidRPr="00D36673">
        <w:rPr>
          <w:rStyle w:val="Superscript"/>
        </w:rPr>
        <w:footnoteReference w:id="116"/>
      </w:r>
      <w:r w:rsidRPr="00D36673">
        <w:t xml:space="preserve"> Threat to assault an emergency worker and threat to commit a sexual offence were not very common (together, they made up 1.5% of recorded threat offences).</w:t>
      </w:r>
    </w:p>
    <w:p w14:paraId="652CB413" w14:textId="48E3D340" w:rsidR="005A3418" w:rsidRDefault="005A3418" w:rsidP="00711AFB">
      <w:pPr>
        <w:pStyle w:val="Caption"/>
      </w:pPr>
      <w:r w:rsidRPr="00C9259E">
        <w:t xml:space="preserve">Figure 2: </w:t>
      </w:r>
      <w:r w:rsidRPr="00D36673">
        <w:t>Threat offences recorded by police in Victoria, 2012 to 2019, by threat offence type (66,089 offences)</w:t>
      </w:r>
      <w:r w:rsidRPr="00D36673">
        <w:rPr>
          <w:rStyle w:val="Superscript"/>
        </w:rPr>
        <w:footnoteReference w:id="117"/>
      </w:r>
    </w:p>
    <w:tbl>
      <w:tblPr>
        <w:tblStyle w:val="Table"/>
        <w:tblW w:w="4876" w:type="pct"/>
        <w:tblLayout w:type="fixed"/>
        <w:tblLook w:val="04A0" w:firstRow="1" w:lastRow="0" w:firstColumn="1" w:lastColumn="0" w:noHBand="0" w:noVBand="1"/>
      </w:tblPr>
      <w:tblGrid>
        <w:gridCol w:w="833"/>
        <w:gridCol w:w="1185"/>
        <w:gridCol w:w="1183"/>
        <w:gridCol w:w="1414"/>
        <w:gridCol w:w="1532"/>
        <w:gridCol w:w="1416"/>
        <w:gridCol w:w="1229"/>
      </w:tblGrid>
      <w:tr w:rsidR="003003BB" w:rsidRPr="000B2B5C" w14:paraId="5419DF15" w14:textId="40E2D136" w:rsidTr="00F14C2B">
        <w:trPr>
          <w:trHeight w:val="454"/>
          <w:tblHeader/>
        </w:trPr>
        <w:tc>
          <w:tcPr>
            <w:tcW w:w="474" w:type="pct"/>
            <w:noWrap/>
            <w:hideMark/>
          </w:tcPr>
          <w:p w14:paraId="38F99553" w14:textId="72B750B2" w:rsidR="003024EF" w:rsidRPr="000B2B5C" w:rsidRDefault="003024EF" w:rsidP="003024EF">
            <w:pPr>
              <w:pStyle w:val="TableHeading"/>
            </w:pPr>
            <w:r>
              <w:t>Year</w:t>
            </w:r>
          </w:p>
        </w:tc>
        <w:tc>
          <w:tcPr>
            <w:tcW w:w="674" w:type="pct"/>
            <w:noWrap/>
            <w:hideMark/>
          </w:tcPr>
          <w:p w14:paraId="59E25B08" w14:textId="1AA6911B" w:rsidR="003024EF" w:rsidRPr="000B2B5C" w:rsidRDefault="003024EF" w:rsidP="003024EF">
            <w:pPr>
              <w:pStyle w:val="TableHeading"/>
            </w:pPr>
            <w:r w:rsidRPr="000B2B5C">
              <w:t>Threat to kill</w:t>
            </w:r>
          </w:p>
        </w:tc>
        <w:tc>
          <w:tcPr>
            <w:tcW w:w="673" w:type="pct"/>
            <w:noWrap/>
            <w:hideMark/>
          </w:tcPr>
          <w:p w14:paraId="5BCB1F7E" w14:textId="03198517" w:rsidR="003024EF" w:rsidRPr="000B2B5C" w:rsidRDefault="003024EF" w:rsidP="003024EF">
            <w:pPr>
              <w:pStyle w:val="TableHeading"/>
            </w:pPr>
            <w:r w:rsidRPr="000B2B5C">
              <w:t xml:space="preserve">Threat to </w:t>
            </w:r>
            <w:r w:rsidR="006312CB">
              <w:t>inflict serious injury</w:t>
            </w:r>
          </w:p>
        </w:tc>
        <w:tc>
          <w:tcPr>
            <w:tcW w:w="804" w:type="pct"/>
            <w:noWrap/>
            <w:hideMark/>
          </w:tcPr>
          <w:p w14:paraId="1A83F998" w14:textId="05137363" w:rsidR="003024EF" w:rsidRPr="000B2B5C" w:rsidRDefault="003024EF" w:rsidP="003024EF">
            <w:pPr>
              <w:pStyle w:val="TableHeading"/>
            </w:pPr>
            <w:r w:rsidRPr="000B2B5C">
              <w:t>Threat to destroy or damage property</w:t>
            </w:r>
          </w:p>
        </w:tc>
        <w:tc>
          <w:tcPr>
            <w:tcW w:w="871" w:type="pct"/>
            <w:noWrap/>
            <w:hideMark/>
          </w:tcPr>
          <w:p w14:paraId="540B075F" w14:textId="563E6100" w:rsidR="003024EF" w:rsidRPr="000B2B5C" w:rsidRDefault="003024EF" w:rsidP="003024EF">
            <w:pPr>
              <w:pStyle w:val="TableHeading"/>
            </w:pPr>
            <w:r w:rsidRPr="000B2B5C">
              <w:t xml:space="preserve">Threat to assault </w:t>
            </w:r>
            <w:r w:rsidR="00EF3745">
              <w:t xml:space="preserve">an </w:t>
            </w:r>
            <w:r w:rsidRPr="000B2B5C">
              <w:t>emergency worker</w:t>
            </w:r>
          </w:p>
        </w:tc>
        <w:tc>
          <w:tcPr>
            <w:tcW w:w="805" w:type="pct"/>
            <w:noWrap/>
            <w:hideMark/>
          </w:tcPr>
          <w:p w14:paraId="4626A878" w14:textId="321C2B23" w:rsidR="003024EF" w:rsidRPr="000B2B5C" w:rsidRDefault="003024EF" w:rsidP="003024EF">
            <w:pPr>
              <w:pStyle w:val="TableHeading"/>
            </w:pPr>
            <w:r w:rsidRPr="000B2B5C">
              <w:t>Threat to commit a sexual offence</w:t>
            </w:r>
          </w:p>
        </w:tc>
        <w:tc>
          <w:tcPr>
            <w:tcW w:w="701" w:type="pct"/>
          </w:tcPr>
          <w:p w14:paraId="018AB9CB" w14:textId="48EABCC4" w:rsidR="003024EF" w:rsidRPr="000B2B5C" w:rsidRDefault="003024EF" w:rsidP="003024EF">
            <w:pPr>
              <w:pStyle w:val="TableHeading"/>
            </w:pPr>
            <w:r>
              <w:t>Total</w:t>
            </w:r>
          </w:p>
        </w:tc>
      </w:tr>
      <w:tr w:rsidR="003003BB" w:rsidRPr="000B2B5C" w14:paraId="33DE4C31" w14:textId="5FEF0230" w:rsidTr="00F14C2B">
        <w:trPr>
          <w:trHeight w:val="560"/>
        </w:trPr>
        <w:tc>
          <w:tcPr>
            <w:tcW w:w="474" w:type="pct"/>
            <w:hideMark/>
          </w:tcPr>
          <w:p w14:paraId="7F8FFA26" w14:textId="62A42FA2" w:rsidR="003024EF" w:rsidRPr="000B2B5C" w:rsidRDefault="003024EF" w:rsidP="003024EF">
            <w:pPr>
              <w:pStyle w:val="TableBody"/>
            </w:pPr>
            <w:r w:rsidRPr="000B2B5C">
              <w:t>2012</w:t>
            </w:r>
          </w:p>
        </w:tc>
        <w:tc>
          <w:tcPr>
            <w:tcW w:w="674" w:type="pct"/>
            <w:hideMark/>
          </w:tcPr>
          <w:p w14:paraId="517C759F" w14:textId="5255074E" w:rsidR="003024EF" w:rsidRPr="000B2B5C" w:rsidRDefault="003024EF" w:rsidP="003024EF">
            <w:pPr>
              <w:pStyle w:val="TableBody"/>
            </w:pPr>
            <w:r w:rsidRPr="000B2B5C">
              <w:t xml:space="preserve">4,627 </w:t>
            </w:r>
          </w:p>
        </w:tc>
        <w:tc>
          <w:tcPr>
            <w:tcW w:w="673" w:type="pct"/>
            <w:hideMark/>
          </w:tcPr>
          <w:p w14:paraId="2EB92B4E" w14:textId="14F4F72E" w:rsidR="003024EF" w:rsidRPr="000B2B5C" w:rsidRDefault="003024EF" w:rsidP="003024EF">
            <w:pPr>
              <w:pStyle w:val="TableBody"/>
            </w:pPr>
            <w:r w:rsidRPr="000B2B5C">
              <w:t xml:space="preserve">1,421 </w:t>
            </w:r>
          </w:p>
        </w:tc>
        <w:tc>
          <w:tcPr>
            <w:tcW w:w="804" w:type="pct"/>
            <w:hideMark/>
          </w:tcPr>
          <w:p w14:paraId="10BF2150" w14:textId="70AFE7E7" w:rsidR="003024EF" w:rsidRPr="000B2B5C" w:rsidRDefault="003024EF" w:rsidP="003024EF">
            <w:pPr>
              <w:pStyle w:val="TableBody"/>
            </w:pPr>
            <w:r w:rsidRPr="000B2B5C">
              <w:t xml:space="preserve">402 </w:t>
            </w:r>
          </w:p>
        </w:tc>
        <w:tc>
          <w:tcPr>
            <w:tcW w:w="871" w:type="pct"/>
            <w:hideMark/>
          </w:tcPr>
          <w:p w14:paraId="0F6DA29A" w14:textId="1E9ECB68" w:rsidR="003024EF" w:rsidRPr="000B2B5C" w:rsidRDefault="003024EF" w:rsidP="003024EF">
            <w:pPr>
              <w:pStyle w:val="TableBody"/>
            </w:pPr>
            <w:r w:rsidRPr="000B2B5C">
              <w:t xml:space="preserve">5 </w:t>
            </w:r>
          </w:p>
        </w:tc>
        <w:tc>
          <w:tcPr>
            <w:tcW w:w="805" w:type="pct"/>
            <w:hideMark/>
          </w:tcPr>
          <w:p w14:paraId="7C03ABAF" w14:textId="77777777" w:rsidR="003024EF" w:rsidRPr="000B2B5C" w:rsidRDefault="003024EF" w:rsidP="003024EF">
            <w:pPr>
              <w:pStyle w:val="TableBody"/>
            </w:pPr>
            <w:r w:rsidRPr="000B2B5C">
              <w:t>0</w:t>
            </w:r>
          </w:p>
        </w:tc>
        <w:tc>
          <w:tcPr>
            <w:tcW w:w="701" w:type="pct"/>
          </w:tcPr>
          <w:p w14:paraId="0849FB57" w14:textId="705894D9" w:rsidR="003024EF" w:rsidRPr="000B2B5C" w:rsidRDefault="003024EF" w:rsidP="003024EF">
            <w:pPr>
              <w:pStyle w:val="TableBody"/>
            </w:pPr>
            <w:r w:rsidRPr="000B2B5C">
              <w:t>6,455</w:t>
            </w:r>
          </w:p>
        </w:tc>
      </w:tr>
      <w:tr w:rsidR="003003BB" w:rsidRPr="000B2B5C" w14:paraId="446C22BE" w14:textId="3185968F" w:rsidTr="00F14C2B">
        <w:trPr>
          <w:trHeight w:val="20"/>
        </w:trPr>
        <w:tc>
          <w:tcPr>
            <w:tcW w:w="474" w:type="pct"/>
            <w:hideMark/>
          </w:tcPr>
          <w:p w14:paraId="721DB1C4" w14:textId="2EEC6245" w:rsidR="003024EF" w:rsidRPr="000B2B5C" w:rsidRDefault="003024EF" w:rsidP="003024EF">
            <w:pPr>
              <w:pStyle w:val="TableBody"/>
            </w:pPr>
            <w:r w:rsidRPr="000B2B5C">
              <w:t>2013</w:t>
            </w:r>
          </w:p>
        </w:tc>
        <w:tc>
          <w:tcPr>
            <w:tcW w:w="674" w:type="pct"/>
            <w:hideMark/>
          </w:tcPr>
          <w:p w14:paraId="78398E5B" w14:textId="593E330B" w:rsidR="003024EF" w:rsidRPr="000B2B5C" w:rsidRDefault="003024EF" w:rsidP="003024EF">
            <w:pPr>
              <w:pStyle w:val="TableBody"/>
            </w:pPr>
            <w:r w:rsidRPr="000B2B5C">
              <w:t xml:space="preserve">4,840 </w:t>
            </w:r>
          </w:p>
        </w:tc>
        <w:tc>
          <w:tcPr>
            <w:tcW w:w="673" w:type="pct"/>
            <w:hideMark/>
          </w:tcPr>
          <w:p w14:paraId="53173776" w14:textId="7C0BE250" w:rsidR="003024EF" w:rsidRPr="000B2B5C" w:rsidRDefault="003024EF" w:rsidP="003024EF">
            <w:pPr>
              <w:pStyle w:val="TableBody"/>
            </w:pPr>
            <w:r w:rsidRPr="000B2B5C">
              <w:t xml:space="preserve">1,643 </w:t>
            </w:r>
          </w:p>
        </w:tc>
        <w:tc>
          <w:tcPr>
            <w:tcW w:w="804" w:type="pct"/>
            <w:hideMark/>
          </w:tcPr>
          <w:p w14:paraId="3CB79431" w14:textId="652AEA48" w:rsidR="003024EF" w:rsidRPr="000B2B5C" w:rsidRDefault="003024EF" w:rsidP="003024EF">
            <w:pPr>
              <w:pStyle w:val="TableBody"/>
            </w:pPr>
            <w:r w:rsidRPr="000B2B5C">
              <w:t xml:space="preserve">574 </w:t>
            </w:r>
          </w:p>
        </w:tc>
        <w:tc>
          <w:tcPr>
            <w:tcW w:w="871" w:type="pct"/>
            <w:hideMark/>
          </w:tcPr>
          <w:p w14:paraId="69BCEBF9" w14:textId="56F50667" w:rsidR="003024EF" w:rsidRPr="000B2B5C" w:rsidRDefault="003024EF" w:rsidP="003024EF">
            <w:pPr>
              <w:pStyle w:val="TableBody"/>
            </w:pPr>
            <w:r w:rsidRPr="000B2B5C">
              <w:t xml:space="preserve">8 </w:t>
            </w:r>
          </w:p>
        </w:tc>
        <w:tc>
          <w:tcPr>
            <w:tcW w:w="805" w:type="pct"/>
            <w:hideMark/>
          </w:tcPr>
          <w:p w14:paraId="0FB596F0" w14:textId="77777777" w:rsidR="003024EF" w:rsidRPr="000B2B5C" w:rsidRDefault="003024EF" w:rsidP="003024EF">
            <w:pPr>
              <w:pStyle w:val="TableBody"/>
            </w:pPr>
            <w:r w:rsidRPr="000B2B5C">
              <w:t>0</w:t>
            </w:r>
          </w:p>
        </w:tc>
        <w:tc>
          <w:tcPr>
            <w:tcW w:w="701" w:type="pct"/>
          </w:tcPr>
          <w:p w14:paraId="2B6C6CD6" w14:textId="11534D62" w:rsidR="003024EF" w:rsidRPr="000B2B5C" w:rsidRDefault="003024EF" w:rsidP="003024EF">
            <w:pPr>
              <w:pStyle w:val="TableBody"/>
            </w:pPr>
            <w:r w:rsidRPr="000B2B5C">
              <w:t>7,065</w:t>
            </w:r>
          </w:p>
        </w:tc>
      </w:tr>
      <w:tr w:rsidR="003003BB" w:rsidRPr="000B2B5C" w14:paraId="3C859C6D" w14:textId="7781F6CB" w:rsidTr="00F14C2B">
        <w:trPr>
          <w:trHeight w:val="20"/>
        </w:trPr>
        <w:tc>
          <w:tcPr>
            <w:tcW w:w="474" w:type="pct"/>
            <w:hideMark/>
          </w:tcPr>
          <w:p w14:paraId="037DBDA7" w14:textId="7E999B10" w:rsidR="003024EF" w:rsidRPr="000B2B5C" w:rsidRDefault="003024EF" w:rsidP="003024EF">
            <w:pPr>
              <w:pStyle w:val="TableBody"/>
            </w:pPr>
            <w:r w:rsidRPr="000B2B5C">
              <w:t>2014</w:t>
            </w:r>
          </w:p>
        </w:tc>
        <w:tc>
          <w:tcPr>
            <w:tcW w:w="674" w:type="pct"/>
            <w:hideMark/>
          </w:tcPr>
          <w:p w14:paraId="09E14EFE" w14:textId="7DC72FE4" w:rsidR="003024EF" w:rsidRPr="000B2B5C" w:rsidRDefault="003024EF" w:rsidP="003024EF">
            <w:pPr>
              <w:pStyle w:val="TableBody"/>
            </w:pPr>
            <w:r w:rsidRPr="000B2B5C">
              <w:t xml:space="preserve">5,173 </w:t>
            </w:r>
          </w:p>
        </w:tc>
        <w:tc>
          <w:tcPr>
            <w:tcW w:w="673" w:type="pct"/>
            <w:hideMark/>
          </w:tcPr>
          <w:p w14:paraId="23A016E7" w14:textId="0B6766F4" w:rsidR="003024EF" w:rsidRPr="000B2B5C" w:rsidRDefault="003024EF" w:rsidP="003024EF">
            <w:pPr>
              <w:pStyle w:val="TableBody"/>
            </w:pPr>
            <w:r w:rsidRPr="000B2B5C">
              <w:t xml:space="preserve">1,843 </w:t>
            </w:r>
          </w:p>
        </w:tc>
        <w:tc>
          <w:tcPr>
            <w:tcW w:w="804" w:type="pct"/>
            <w:hideMark/>
          </w:tcPr>
          <w:p w14:paraId="4F9B7156" w14:textId="4C6CC8AB" w:rsidR="003024EF" w:rsidRPr="000B2B5C" w:rsidRDefault="003024EF" w:rsidP="003024EF">
            <w:pPr>
              <w:pStyle w:val="TableBody"/>
            </w:pPr>
            <w:r w:rsidRPr="000B2B5C">
              <w:t xml:space="preserve">734 </w:t>
            </w:r>
          </w:p>
        </w:tc>
        <w:tc>
          <w:tcPr>
            <w:tcW w:w="871" w:type="pct"/>
            <w:hideMark/>
          </w:tcPr>
          <w:p w14:paraId="1957CCC8" w14:textId="2EE69329" w:rsidR="003024EF" w:rsidRPr="000B2B5C" w:rsidRDefault="003024EF" w:rsidP="003024EF">
            <w:pPr>
              <w:pStyle w:val="TableBody"/>
            </w:pPr>
            <w:r w:rsidRPr="000B2B5C">
              <w:t xml:space="preserve">16 </w:t>
            </w:r>
          </w:p>
        </w:tc>
        <w:tc>
          <w:tcPr>
            <w:tcW w:w="805" w:type="pct"/>
            <w:hideMark/>
          </w:tcPr>
          <w:p w14:paraId="5857D4A5" w14:textId="77777777" w:rsidR="003024EF" w:rsidRPr="000B2B5C" w:rsidRDefault="003024EF" w:rsidP="003024EF">
            <w:pPr>
              <w:pStyle w:val="TableBody"/>
            </w:pPr>
            <w:r w:rsidRPr="000B2B5C">
              <w:t>0</w:t>
            </w:r>
          </w:p>
        </w:tc>
        <w:tc>
          <w:tcPr>
            <w:tcW w:w="701" w:type="pct"/>
          </w:tcPr>
          <w:p w14:paraId="5AFFEA26" w14:textId="43CC6884" w:rsidR="003024EF" w:rsidRPr="000B2B5C" w:rsidRDefault="003024EF" w:rsidP="003024EF">
            <w:pPr>
              <w:pStyle w:val="TableBody"/>
            </w:pPr>
            <w:r w:rsidRPr="000B2B5C">
              <w:t>7,766</w:t>
            </w:r>
          </w:p>
        </w:tc>
      </w:tr>
      <w:tr w:rsidR="003003BB" w:rsidRPr="000B2B5C" w14:paraId="2B291CE1" w14:textId="3EDA3181" w:rsidTr="00F14C2B">
        <w:trPr>
          <w:trHeight w:val="20"/>
        </w:trPr>
        <w:tc>
          <w:tcPr>
            <w:tcW w:w="474" w:type="pct"/>
            <w:hideMark/>
          </w:tcPr>
          <w:p w14:paraId="6CCEDD4F" w14:textId="3427AC0A" w:rsidR="003024EF" w:rsidRPr="000B2B5C" w:rsidRDefault="003024EF" w:rsidP="003024EF">
            <w:pPr>
              <w:pStyle w:val="TableBody"/>
            </w:pPr>
            <w:r w:rsidRPr="000B2B5C">
              <w:t>2015</w:t>
            </w:r>
          </w:p>
        </w:tc>
        <w:tc>
          <w:tcPr>
            <w:tcW w:w="674" w:type="pct"/>
            <w:hideMark/>
          </w:tcPr>
          <w:p w14:paraId="570D0620" w14:textId="16A6EB7B" w:rsidR="003024EF" w:rsidRPr="000B2B5C" w:rsidRDefault="003024EF" w:rsidP="003024EF">
            <w:pPr>
              <w:pStyle w:val="TableBody"/>
            </w:pPr>
            <w:r w:rsidRPr="000B2B5C">
              <w:t xml:space="preserve">5,354 </w:t>
            </w:r>
          </w:p>
        </w:tc>
        <w:tc>
          <w:tcPr>
            <w:tcW w:w="673" w:type="pct"/>
            <w:hideMark/>
          </w:tcPr>
          <w:p w14:paraId="29B0DF28" w14:textId="67127745" w:rsidR="003024EF" w:rsidRPr="000B2B5C" w:rsidRDefault="003024EF" w:rsidP="003024EF">
            <w:pPr>
              <w:pStyle w:val="TableBody"/>
            </w:pPr>
            <w:r w:rsidRPr="000B2B5C">
              <w:t xml:space="preserve">1,970 </w:t>
            </w:r>
          </w:p>
        </w:tc>
        <w:tc>
          <w:tcPr>
            <w:tcW w:w="804" w:type="pct"/>
            <w:hideMark/>
          </w:tcPr>
          <w:p w14:paraId="016DB9BB" w14:textId="5D231554" w:rsidR="003024EF" w:rsidRPr="000B2B5C" w:rsidRDefault="003024EF" w:rsidP="003024EF">
            <w:pPr>
              <w:pStyle w:val="TableBody"/>
            </w:pPr>
            <w:r w:rsidRPr="000B2B5C">
              <w:t xml:space="preserve">789 </w:t>
            </w:r>
          </w:p>
        </w:tc>
        <w:tc>
          <w:tcPr>
            <w:tcW w:w="871" w:type="pct"/>
            <w:hideMark/>
          </w:tcPr>
          <w:p w14:paraId="697AF740" w14:textId="6EC22794" w:rsidR="003024EF" w:rsidRPr="000B2B5C" w:rsidRDefault="003024EF" w:rsidP="003024EF">
            <w:pPr>
              <w:pStyle w:val="TableBody"/>
            </w:pPr>
            <w:r w:rsidRPr="000B2B5C">
              <w:t xml:space="preserve">75 </w:t>
            </w:r>
          </w:p>
        </w:tc>
        <w:tc>
          <w:tcPr>
            <w:tcW w:w="805" w:type="pct"/>
            <w:hideMark/>
          </w:tcPr>
          <w:p w14:paraId="2D6C348F" w14:textId="46DFD5F4" w:rsidR="003024EF" w:rsidRPr="000B2B5C" w:rsidRDefault="003024EF" w:rsidP="003024EF">
            <w:pPr>
              <w:pStyle w:val="TableBody"/>
            </w:pPr>
            <w:r w:rsidRPr="000B2B5C">
              <w:t xml:space="preserve">19 </w:t>
            </w:r>
          </w:p>
        </w:tc>
        <w:tc>
          <w:tcPr>
            <w:tcW w:w="701" w:type="pct"/>
          </w:tcPr>
          <w:p w14:paraId="2A79C183" w14:textId="13D26779" w:rsidR="003024EF" w:rsidRPr="000B2B5C" w:rsidRDefault="003024EF" w:rsidP="003024EF">
            <w:pPr>
              <w:pStyle w:val="TableBody"/>
            </w:pPr>
            <w:r w:rsidRPr="000B2B5C">
              <w:t>8,207</w:t>
            </w:r>
          </w:p>
        </w:tc>
      </w:tr>
      <w:tr w:rsidR="003003BB" w:rsidRPr="000B2B5C" w14:paraId="7EA4AF46" w14:textId="3CC50792" w:rsidTr="00F14C2B">
        <w:trPr>
          <w:trHeight w:val="20"/>
        </w:trPr>
        <w:tc>
          <w:tcPr>
            <w:tcW w:w="474" w:type="pct"/>
            <w:hideMark/>
          </w:tcPr>
          <w:p w14:paraId="6345AFCA" w14:textId="6D252985" w:rsidR="003024EF" w:rsidRPr="000B2B5C" w:rsidRDefault="003024EF" w:rsidP="003024EF">
            <w:pPr>
              <w:pStyle w:val="TableBody"/>
            </w:pPr>
            <w:r w:rsidRPr="000B2B5C">
              <w:t>2016</w:t>
            </w:r>
          </w:p>
        </w:tc>
        <w:tc>
          <w:tcPr>
            <w:tcW w:w="674" w:type="pct"/>
            <w:hideMark/>
          </w:tcPr>
          <w:p w14:paraId="0375C03D" w14:textId="7C80FCAC" w:rsidR="003024EF" w:rsidRPr="000B2B5C" w:rsidRDefault="003024EF" w:rsidP="003024EF">
            <w:pPr>
              <w:pStyle w:val="TableBody"/>
            </w:pPr>
            <w:r w:rsidRPr="000B2B5C">
              <w:t xml:space="preserve">5,663 </w:t>
            </w:r>
          </w:p>
        </w:tc>
        <w:tc>
          <w:tcPr>
            <w:tcW w:w="673" w:type="pct"/>
            <w:hideMark/>
          </w:tcPr>
          <w:p w14:paraId="575C8E32" w14:textId="038E2C78" w:rsidR="003024EF" w:rsidRPr="000B2B5C" w:rsidRDefault="003024EF" w:rsidP="003024EF">
            <w:pPr>
              <w:pStyle w:val="TableBody"/>
            </w:pPr>
            <w:r w:rsidRPr="000B2B5C">
              <w:t xml:space="preserve">2,243 </w:t>
            </w:r>
          </w:p>
        </w:tc>
        <w:tc>
          <w:tcPr>
            <w:tcW w:w="804" w:type="pct"/>
            <w:hideMark/>
          </w:tcPr>
          <w:p w14:paraId="14C7EA2F" w14:textId="6A8C6B72" w:rsidR="003024EF" w:rsidRPr="000B2B5C" w:rsidRDefault="003024EF" w:rsidP="003024EF">
            <w:pPr>
              <w:pStyle w:val="TableBody"/>
            </w:pPr>
            <w:r w:rsidRPr="000B2B5C">
              <w:t xml:space="preserve">896 </w:t>
            </w:r>
          </w:p>
        </w:tc>
        <w:tc>
          <w:tcPr>
            <w:tcW w:w="871" w:type="pct"/>
            <w:hideMark/>
          </w:tcPr>
          <w:p w14:paraId="546FD4A1" w14:textId="64E4D784" w:rsidR="003024EF" w:rsidRPr="000B2B5C" w:rsidRDefault="003024EF" w:rsidP="003024EF">
            <w:pPr>
              <w:pStyle w:val="TableBody"/>
            </w:pPr>
            <w:r w:rsidRPr="000B2B5C">
              <w:t xml:space="preserve">74 </w:t>
            </w:r>
          </w:p>
        </w:tc>
        <w:tc>
          <w:tcPr>
            <w:tcW w:w="805" w:type="pct"/>
            <w:hideMark/>
          </w:tcPr>
          <w:p w14:paraId="613D103C" w14:textId="45D6882E" w:rsidR="003024EF" w:rsidRPr="000B2B5C" w:rsidRDefault="003024EF" w:rsidP="003024EF">
            <w:pPr>
              <w:pStyle w:val="TableBody"/>
            </w:pPr>
            <w:r w:rsidRPr="000B2B5C">
              <w:t xml:space="preserve">95 </w:t>
            </w:r>
          </w:p>
        </w:tc>
        <w:tc>
          <w:tcPr>
            <w:tcW w:w="701" w:type="pct"/>
          </w:tcPr>
          <w:p w14:paraId="00DD6CB2" w14:textId="09D8466E" w:rsidR="003024EF" w:rsidRPr="000B2B5C" w:rsidRDefault="003024EF" w:rsidP="003024EF">
            <w:pPr>
              <w:pStyle w:val="TableBody"/>
            </w:pPr>
            <w:r w:rsidRPr="000B2B5C">
              <w:t>8,971</w:t>
            </w:r>
          </w:p>
        </w:tc>
      </w:tr>
      <w:tr w:rsidR="003003BB" w:rsidRPr="000B2B5C" w14:paraId="61EC20EF" w14:textId="0220931E" w:rsidTr="00F14C2B">
        <w:trPr>
          <w:trHeight w:val="20"/>
        </w:trPr>
        <w:tc>
          <w:tcPr>
            <w:tcW w:w="474" w:type="pct"/>
            <w:hideMark/>
          </w:tcPr>
          <w:p w14:paraId="0EE51CB3" w14:textId="0F8D2BE0" w:rsidR="003024EF" w:rsidRPr="000B2B5C" w:rsidRDefault="003024EF" w:rsidP="003024EF">
            <w:pPr>
              <w:pStyle w:val="TableBody"/>
            </w:pPr>
            <w:r w:rsidRPr="000B2B5C">
              <w:lastRenderedPageBreak/>
              <w:t>2017</w:t>
            </w:r>
          </w:p>
        </w:tc>
        <w:tc>
          <w:tcPr>
            <w:tcW w:w="674" w:type="pct"/>
            <w:hideMark/>
          </w:tcPr>
          <w:p w14:paraId="068AB3B5" w14:textId="1EEBFEBC" w:rsidR="003024EF" w:rsidRPr="000B2B5C" w:rsidRDefault="003024EF" w:rsidP="003024EF">
            <w:pPr>
              <w:pStyle w:val="TableBody"/>
            </w:pPr>
            <w:r w:rsidRPr="000B2B5C">
              <w:t xml:space="preserve">5,331 </w:t>
            </w:r>
          </w:p>
        </w:tc>
        <w:tc>
          <w:tcPr>
            <w:tcW w:w="673" w:type="pct"/>
            <w:hideMark/>
          </w:tcPr>
          <w:p w14:paraId="121CCE78" w14:textId="622244D6" w:rsidR="003024EF" w:rsidRPr="000B2B5C" w:rsidRDefault="003024EF" w:rsidP="003024EF">
            <w:pPr>
              <w:pStyle w:val="TableBody"/>
            </w:pPr>
            <w:r w:rsidRPr="000B2B5C">
              <w:t xml:space="preserve">2,085 </w:t>
            </w:r>
          </w:p>
        </w:tc>
        <w:tc>
          <w:tcPr>
            <w:tcW w:w="804" w:type="pct"/>
            <w:hideMark/>
          </w:tcPr>
          <w:p w14:paraId="76298F68" w14:textId="6DD0271E" w:rsidR="003024EF" w:rsidRPr="000B2B5C" w:rsidRDefault="003024EF" w:rsidP="003024EF">
            <w:pPr>
              <w:pStyle w:val="TableBody"/>
            </w:pPr>
            <w:r w:rsidRPr="000B2B5C">
              <w:t xml:space="preserve">972 </w:t>
            </w:r>
          </w:p>
        </w:tc>
        <w:tc>
          <w:tcPr>
            <w:tcW w:w="871" w:type="pct"/>
            <w:hideMark/>
          </w:tcPr>
          <w:p w14:paraId="336F835D" w14:textId="1FD23418" w:rsidR="003024EF" w:rsidRPr="000B2B5C" w:rsidRDefault="003024EF" w:rsidP="003024EF">
            <w:pPr>
              <w:pStyle w:val="TableBody"/>
            </w:pPr>
            <w:r w:rsidRPr="000B2B5C">
              <w:t xml:space="preserve">110 </w:t>
            </w:r>
          </w:p>
        </w:tc>
        <w:tc>
          <w:tcPr>
            <w:tcW w:w="805" w:type="pct"/>
            <w:hideMark/>
          </w:tcPr>
          <w:p w14:paraId="580F66EB" w14:textId="3C593B1A" w:rsidR="003024EF" w:rsidRPr="000B2B5C" w:rsidRDefault="003024EF" w:rsidP="003024EF">
            <w:pPr>
              <w:pStyle w:val="TableBody"/>
            </w:pPr>
            <w:r w:rsidRPr="000B2B5C">
              <w:t xml:space="preserve">125 </w:t>
            </w:r>
          </w:p>
        </w:tc>
        <w:tc>
          <w:tcPr>
            <w:tcW w:w="701" w:type="pct"/>
          </w:tcPr>
          <w:p w14:paraId="07EE8885" w14:textId="4912A9A6" w:rsidR="003024EF" w:rsidRPr="000B2B5C" w:rsidRDefault="003024EF" w:rsidP="003024EF">
            <w:pPr>
              <w:pStyle w:val="TableBody"/>
            </w:pPr>
            <w:r w:rsidRPr="000B2B5C">
              <w:t>8,623</w:t>
            </w:r>
          </w:p>
        </w:tc>
      </w:tr>
      <w:tr w:rsidR="003003BB" w:rsidRPr="000B2B5C" w14:paraId="3F58F011" w14:textId="600C6A23" w:rsidTr="00F14C2B">
        <w:trPr>
          <w:trHeight w:val="20"/>
        </w:trPr>
        <w:tc>
          <w:tcPr>
            <w:tcW w:w="474" w:type="pct"/>
            <w:hideMark/>
          </w:tcPr>
          <w:p w14:paraId="3AB84951" w14:textId="28EB227D" w:rsidR="003024EF" w:rsidRPr="000B2B5C" w:rsidRDefault="003024EF" w:rsidP="003024EF">
            <w:pPr>
              <w:pStyle w:val="TableBody"/>
            </w:pPr>
            <w:r w:rsidRPr="000B2B5C">
              <w:t>2018</w:t>
            </w:r>
          </w:p>
        </w:tc>
        <w:tc>
          <w:tcPr>
            <w:tcW w:w="674" w:type="pct"/>
            <w:hideMark/>
          </w:tcPr>
          <w:p w14:paraId="4AE16FC2" w14:textId="6E501063" w:rsidR="003024EF" w:rsidRPr="000B2B5C" w:rsidRDefault="003024EF" w:rsidP="003024EF">
            <w:pPr>
              <w:pStyle w:val="TableBody"/>
            </w:pPr>
            <w:r w:rsidRPr="000B2B5C">
              <w:t xml:space="preserve">5,659 </w:t>
            </w:r>
          </w:p>
        </w:tc>
        <w:tc>
          <w:tcPr>
            <w:tcW w:w="673" w:type="pct"/>
            <w:hideMark/>
          </w:tcPr>
          <w:p w14:paraId="45893C52" w14:textId="0AD8D50D" w:rsidR="003024EF" w:rsidRPr="000B2B5C" w:rsidRDefault="003024EF" w:rsidP="003024EF">
            <w:pPr>
              <w:pStyle w:val="TableBody"/>
            </w:pPr>
            <w:r w:rsidRPr="000B2B5C">
              <w:t xml:space="preserve">2,336 </w:t>
            </w:r>
          </w:p>
        </w:tc>
        <w:tc>
          <w:tcPr>
            <w:tcW w:w="804" w:type="pct"/>
            <w:noWrap/>
            <w:hideMark/>
          </w:tcPr>
          <w:p w14:paraId="3CDBDD45" w14:textId="37340A1E" w:rsidR="003024EF" w:rsidRPr="000B2B5C" w:rsidRDefault="003024EF" w:rsidP="003024EF">
            <w:pPr>
              <w:pStyle w:val="TableBody"/>
            </w:pPr>
            <w:r w:rsidRPr="000B2B5C">
              <w:t xml:space="preserve">1,008 </w:t>
            </w:r>
          </w:p>
        </w:tc>
        <w:tc>
          <w:tcPr>
            <w:tcW w:w="871" w:type="pct"/>
            <w:noWrap/>
            <w:hideMark/>
          </w:tcPr>
          <w:p w14:paraId="59C484D8" w14:textId="434A28DF" w:rsidR="003024EF" w:rsidRPr="000B2B5C" w:rsidRDefault="003024EF" w:rsidP="003024EF">
            <w:pPr>
              <w:pStyle w:val="TableBody"/>
            </w:pPr>
            <w:r w:rsidRPr="000B2B5C">
              <w:t xml:space="preserve">113 </w:t>
            </w:r>
          </w:p>
        </w:tc>
        <w:tc>
          <w:tcPr>
            <w:tcW w:w="805" w:type="pct"/>
            <w:noWrap/>
            <w:hideMark/>
          </w:tcPr>
          <w:p w14:paraId="63293812" w14:textId="09D2516B" w:rsidR="003024EF" w:rsidRPr="000B2B5C" w:rsidRDefault="003024EF" w:rsidP="003024EF">
            <w:pPr>
              <w:pStyle w:val="TableBody"/>
            </w:pPr>
            <w:r w:rsidRPr="000B2B5C">
              <w:t xml:space="preserve">131 </w:t>
            </w:r>
          </w:p>
        </w:tc>
        <w:tc>
          <w:tcPr>
            <w:tcW w:w="701" w:type="pct"/>
          </w:tcPr>
          <w:p w14:paraId="189FB950" w14:textId="6C032E47" w:rsidR="003024EF" w:rsidRPr="000B2B5C" w:rsidRDefault="003024EF" w:rsidP="003024EF">
            <w:pPr>
              <w:pStyle w:val="TableBody"/>
            </w:pPr>
            <w:r w:rsidRPr="000B2B5C">
              <w:t>9,247</w:t>
            </w:r>
          </w:p>
        </w:tc>
      </w:tr>
      <w:tr w:rsidR="003003BB" w:rsidRPr="000B2B5C" w14:paraId="71C7F81B" w14:textId="4E0EBFAD" w:rsidTr="00F14C2B">
        <w:trPr>
          <w:trHeight w:val="20"/>
        </w:trPr>
        <w:tc>
          <w:tcPr>
            <w:tcW w:w="474" w:type="pct"/>
            <w:hideMark/>
          </w:tcPr>
          <w:p w14:paraId="51FE9ABC" w14:textId="12378341" w:rsidR="003024EF" w:rsidRPr="000B2B5C" w:rsidRDefault="003024EF" w:rsidP="003024EF">
            <w:pPr>
              <w:pStyle w:val="TableBody"/>
            </w:pPr>
            <w:r w:rsidRPr="000B2B5C">
              <w:t>2019</w:t>
            </w:r>
          </w:p>
        </w:tc>
        <w:tc>
          <w:tcPr>
            <w:tcW w:w="674" w:type="pct"/>
            <w:hideMark/>
          </w:tcPr>
          <w:p w14:paraId="2F8300FB" w14:textId="75526179" w:rsidR="003024EF" w:rsidRPr="000B2B5C" w:rsidRDefault="003024EF" w:rsidP="003024EF">
            <w:pPr>
              <w:pStyle w:val="TableBody"/>
            </w:pPr>
            <w:r w:rsidRPr="000B2B5C">
              <w:t xml:space="preserve">5,980 </w:t>
            </w:r>
          </w:p>
        </w:tc>
        <w:tc>
          <w:tcPr>
            <w:tcW w:w="673" w:type="pct"/>
            <w:hideMark/>
          </w:tcPr>
          <w:p w14:paraId="4FC95920" w14:textId="716213D2" w:rsidR="003024EF" w:rsidRPr="000B2B5C" w:rsidRDefault="003024EF" w:rsidP="003024EF">
            <w:pPr>
              <w:pStyle w:val="TableBody"/>
            </w:pPr>
            <w:r w:rsidRPr="000B2B5C">
              <w:t xml:space="preserve">2,458 </w:t>
            </w:r>
          </w:p>
        </w:tc>
        <w:tc>
          <w:tcPr>
            <w:tcW w:w="804" w:type="pct"/>
            <w:noWrap/>
            <w:hideMark/>
          </w:tcPr>
          <w:p w14:paraId="7A6D0673" w14:textId="38722163" w:rsidR="003024EF" w:rsidRPr="000B2B5C" w:rsidRDefault="003024EF" w:rsidP="003024EF">
            <w:pPr>
              <w:pStyle w:val="TableBody"/>
            </w:pPr>
            <w:r w:rsidRPr="000B2B5C">
              <w:t xml:space="preserve">1,073 </w:t>
            </w:r>
          </w:p>
        </w:tc>
        <w:tc>
          <w:tcPr>
            <w:tcW w:w="871" w:type="pct"/>
            <w:noWrap/>
            <w:hideMark/>
          </w:tcPr>
          <w:p w14:paraId="439D6436" w14:textId="6091765D" w:rsidR="003024EF" w:rsidRPr="000B2B5C" w:rsidRDefault="003024EF" w:rsidP="003024EF">
            <w:pPr>
              <w:pStyle w:val="TableBody"/>
            </w:pPr>
            <w:r w:rsidRPr="000B2B5C">
              <w:t xml:space="preserve">122 </w:t>
            </w:r>
          </w:p>
        </w:tc>
        <w:tc>
          <w:tcPr>
            <w:tcW w:w="805" w:type="pct"/>
            <w:noWrap/>
            <w:hideMark/>
          </w:tcPr>
          <w:p w14:paraId="081A3DF8" w14:textId="6429C2F0" w:rsidR="003024EF" w:rsidRPr="000B2B5C" w:rsidRDefault="003024EF" w:rsidP="003024EF">
            <w:pPr>
              <w:pStyle w:val="TableBody"/>
            </w:pPr>
            <w:r w:rsidRPr="000B2B5C">
              <w:t xml:space="preserve">122 </w:t>
            </w:r>
          </w:p>
        </w:tc>
        <w:tc>
          <w:tcPr>
            <w:tcW w:w="701" w:type="pct"/>
          </w:tcPr>
          <w:p w14:paraId="653990AC" w14:textId="511345FD" w:rsidR="003024EF" w:rsidRPr="000B2B5C" w:rsidRDefault="003024EF" w:rsidP="003024EF">
            <w:pPr>
              <w:pStyle w:val="TableBody"/>
            </w:pPr>
            <w:r w:rsidRPr="000B2B5C">
              <w:t>9,755</w:t>
            </w:r>
          </w:p>
        </w:tc>
      </w:tr>
    </w:tbl>
    <w:p w14:paraId="7F0517A3" w14:textId="77777777" w:rsidR="005A3418" w:rsidRPr="00D36673" w:rsidRDefault="005A3418" w:rsidP="009C2A37">
      <w:pPr>
        <w:pStyle w:val="Numbered"/>
      </w:pPr>
      <w:r w:rsidRPr="00D36673">
        <w:t>The</w:t>
      </w:r>
      <w:r w:rsidRPr="00A24E18">
        <w:rPr>
          <w:rStyle w:val="Emphasis"/>
        </w:rPr>
        <w:t xml:space="preserve"> </w:t>
      </w:r>
      <w:r w:rsidRPr="00D36673">
        <w:t>rate of threat offences per head of population in Victoria has also increased, primarily due to an increase in threats to kill or seriously injure in a family violence context (Figure 3). This increase is most likely attributable to efforts to encourage reporting of family violence and to hold perpetrators to account, including Victoria Police initiatives.</w:t>
      </w:r>
      <w:r w:rsidRPr="00D36673">
        <w:rPr>
          <w:rStyle w:val="Superscript"/>
        </w:rPr>
        <w:footnoteReference w:id="118"/>
      </w:r>
      <w:r w:rsidRPr="00D36673">
        <w:t xml:space="preserve"> However, the rate appears to have plateaued since 2016. This is perhaps surprising given that the Royal Commission into Family Violence might have been expected to further increase the awareness and willingness of victims and others to report family violence offending to police.</w:t>
      </w:r>
    </w:p>
    <w:p w14:paraId="0168C726" w14:textId="77777777" w:rsidR="005A3418" w:rsidRPr="00D36673" w:rsidRDefault="005A3418" w:rsidP="00711AFB">
      <w:pPr>
        <w:pStyle w:val="Caption"/>
      </w:pPr>
      <w:r w:rsidRPr="00C9259E">
        <w:t xml:space="preserve">Figure 3: </w:t>
      </w:r>
      <w:r w:rsidRPr="00D36673">
        <w:t>Number of offences of threat to kill, threat to inflict serious injury and threat to destroy or damage property recorded by police, per 100,000 people in Victoria, by family violence indicator, 2012 to 2019</w:t>
      </w:r>
    </w:p>
    <w:tbl>
      <w:tblPr>
        <w:tblStyle w:val="Table"/>
        <w:tblW w:w="5236" w:type="pct"/>
        <w:tblLayout w:type="fixed"/>
        <w:tblLook w:val="04A0" w:firstRow="1" w:lastRow="0" w:firstColumn="1" w:lastColumn="0" w:noHBand="0" w:noVBand="1"/>
      </w:tblPr>
      <w:tblGrid>
        <w:gridCol w:w="1291"/>
        <w:gridCol w:w="1291"/>
        <w:gridCol w:w="1290"/>
        <w:gridCol w:w="1290"/>
        <w:gridCol w:w="1586"/>
        <w:gridCol w:w="1414"/>
        <w:gridCol w:w="1280"/>
      </w:tblGrid>
      <w:tr w:rsidR="005158A5" w:rsidRPr="00BE6AC4" w14:paraId="1513938D" w14:textId="6CAC6301" w:rsidTr="005158A5">
        <w:trPr>
          <w:trHeight w:val="290"/>
        </w:trPr>
        <w:tc>
          <w:tcPr>
            <w:tcW w:w="683" w:type="pct"/>
            <w:noWrap/>
            <w:hideMark/>
          </w:tcPr>
          <w:p w14:paraId="3B6CB2C0" w14:textId="30448830" w:rsidR="00F14C2B" w:rsidRPr="00BE6AC4" w:rsidRDefault="00F14C2B" w:rsidP="00F14C2B">
            <w:pPr>
              <w:pStyle w:val="TableHeading"/>
            </w:pPr>
            <w:r>
              <w:t>Year</w:t>
            </w:r>
          </w:p>
        </w:tc>
        <w:tc>
          <w:tcPr>
            <w:tcW w:w="683" w:type="pct"/>
            <w:noWrap/>
            <w:hideMark/>
          </w:tcPr>
          <w:p w14:paraId="541255CD" w14:textId="53F3FB47" w:rsidR="00F14C2B" w:rsidRPr="00BE6AC4" w:rsidRDefault="00F14C2B" w:rsidP="00F14C2B">
            <w:pPr>
              <w:pStyle w:val="TableHeading"/>
            </w:pPr>
            <w:r w:rsidRPr="00BE6AC4">
              <w:t xml:space="preserve">Threat to kill (family violence) </w:t>
            </w:r>
          </w:p>
        </w:tc>
        <w:tc>
          <w:tcPr>
            <w:tcW w:w="683" w:type="pct"/>
            <w:noWrap/>
            <w:hideMark/>
          </w:tcPr>
          <w:p w14:paraId="5E728272" w14:textId="51FBA48A" w:rsidR="00F14C2B" w:rsidRPr="00BE6AC4" w:rsidRDefault="00F14C2B" w:rsidP="00F14C2B">
            <w:pPr>
              <w:pStyle w:val="TableHeading"/>
            </w:pPr>
            <w:r w:rsidRPr="00BE6AC4">
              <w:t>Threat to kill (non-family violence)</w:t>
            </w:r>
          </w:p>
        </w:tc>
        <w:tc>
          <w:tcPr>
            <w:tcW w:w="683" w:type="pct"/>
            <w:noWrap/>
            <w:hideMark/>
          </w:tcPr>
          <w:p w14:paraId="6A033B9C" w14:textId="3DE4227E" w:rsidR="00F14C2B" w:rsidRPr="00BE6AC4" w:rsidRDefault="00F14C2B" w:rsidP="00F14C2B">
            <w:pPr>
              <w:pStyle w:val="TableHeading"/>
            </w:pPr>
            <w:r w:rsidRPr="00BE6AC4">
              <w:t xml:space="preserve">Threat to </w:t>
            </w:r>
            <w:r>
              <w:t>inflict serious injury</w:t>
            </w:r>
            <w:r w:rsidRPr="00BE6AC4">
              <w:t xml:space="preserve"> (family violence)</w:t>
            </w:r>
          </w:p>
        </w:tc>
        <w:tc>
          <w:tcPr>
            <w:tcW w:w="840" w:type="pct"/>
            <w:noWrap/>
            <w:hideMark/>
          </w:tcPr>
          <w:p w14:paraId="1912B49A" w14:textId="740C05E0" w:rsidR="00F14C2B" w:rsidRPr="00BE6AC4" w:rsidRDefault="00F14C2B" w:rsidP="00F14C2B">
            <w:pPr>
              <w:pStyle w:val="TableHeading"/>
            </w:pPr>
            <w:r w:rsidRPr="00BE6AC4">
              <w:t xml:space="preserve">Threat to </w:t>
            </w:r>
            <w:r>
              <w:t>inflict serious injury</w:t>
            </w:r>
            <w:r w:rsidRPr="00BE6AC4">
              <w:t xml:space="preserve"> (non-family violence)</w:t>
            </w:r>
          </w:p>
        </w:tc>
        <w:tc>
          <w:tcPr>
            <w:tcW w:w="749" w:type="pct"/>
            <w:noWrap/>
            <w:hideMark/>
          </w:tcPr>
          <w:p w14:paraId="7DA7451E" w14:textId="0C4A54DE" w:rsidR="00F14C2B" w:rsidRPr="00BE6AC4" w:rsidRDefault="00F14C2B" w:rsidP="00F14C2B">
            <w:pPr>
              <w:pStyle w:val="TableHeading"/>
            </w:pPr>
            <w:r w:rsidRPr="00BE6AC4">
              <w:t>Threat to destroy or damage property (all)</w:t>
            </w:r>
          </w:p>
        </w:tc>
        <w:tc>
          <w:tcPr>
            <w:tcW w:w="678" w:type="pct"/>
          </w:tcPr>
          <w:p w14:paraId="2C5F20B7" w14:textId="3C1AE63B" w:rsidR="00F14C2B" w:rsidRPr="00BE6AC4" w:rsidRDefault="00F14C2B" w:rsidP="00F14C2B">
            <w:pPr>
              <w:pStyle w:val="TableHeading"/>
            </w:pPr>
            <w:r>
              <w:t>Total</w:t>
            </w:r>
          </w:p>
        </w:tc>
      </w:tr>
      <w:tr w:rsidR="005158A5" w:rsidRPr="00BE6AC4" w14:paraId="4CE8D828" w14:textId="5876CFFD" w:rsidTr="005158A5">
        <w:trPr>
          <w:trHeight w:val="290"/>
        </w:trPr>
        <w:tc>
          <w:tcPr>
            <w:tcW w:w="683" w:type="pct"/>
            <w:noWrap/>
            <w:hideMark/>
          </w:tcPr>
          <w:p w14:paraId="2B10413F" w14:textId="36675281" w:rsidR="00F14C2B" w:rsidRPr="00BE6AC4" w:rsidRDefault="00F14C2B" w:rsidP="00F775A1">
            <w:pPr>
              <w:pStyle w:val="TableBody"/>
            </w:pPr>
            <w:r w:rsidRPr="00BE6AC4">
              <w:t xml:space="preserve">2012 </w:t>
            </w:r>
          </w:p>
        </w:tc>
        <w:tc>
          <w:tcPr>
            <w:tcW w:w="683" w:type="pct"/>
            <w:noWrap/>
            <w:hideMark/>
          </w:tcPr>
          <w:p w14:paraId="29A3CA21" w14:textId="77777777" w:rsidR="00F14C2B" w:rsidRPr="00BE6AC4" w:rsidRDefault="00F14C2B" w:rsidP="00F775A1">
            <w:pPr>
              <w:pStyle w:val="TableBody"/>
            </w:pPr>
            <w:r w:rsidRPr="00BE6AC4">
              <w:t>45</w:t>
            </w:r>
          </w:p>
        </w:tc>
        <w:tc>
          <w:tcPr>
            <w:tcW w:w="683" w:type="pct"/>
            <w:noWrap/>
            <w:hideMark/>
          </w:tcPr>
          <w:p w14:paraId="0B8E2F54" w14:textId="77777777" w:rsidR="00F14C2B" w:rsidRPr="00BE6AC4" w:rsidRDefault="00F14C2B" w:rsidP="00F775A1">
            <w:pPr>
              <w:pStyle w:val="TableBody"/>
            </w:pPr>
            <w:r w:rsidRPr="00BE6AC4">
              <w:t>37</w:t>
            </w:r>
          </w:p>
        </w:tc>
        <w:tc>
          <w:tcPr>
            <w:tcW w:w="683" w:type="pct"/>
            <w:noWrap/>
            <w:hideMark/>
          </w:tcPr>
          <w:p w14:paraId="68BA6D19" w14:textId="77777777" w:rsidR="00F14C2B" w:rsidRPr="00BE6AC4" w:rsidRDefault="00F14C2B" w:rsidP="00F775A1">
            <w:pPr>
              <w:pStyle w:val="TableBody"/>
            </w:pPr>
            <w:r w:rsidRPr="00BE6AC4">
              <w:t>10</w:t>
            </w:r>
          </w:p>
        </w:tc>
        <w:tc>
          <w:tcPr>
            <w:tcW w:w="840" w:type="pct"/>
            <w:noWrap/>
            <w:hideMark/>
          </w:tcPr>
          <w:p w14:paraId="52F85224" w14:textId="77777777" w:rsidR="00F14C2B" w:rsidRPr="00BE6AC4" w:rsidRDefault="00F14C2B" w:rsidP="00F775A1">
            <w:pPr>
              <w:pStyle w:val="TableBody"/>
            </w:pPr>
            <w:r w:rsidRPr="00BE6AC4">
              <w:t>15</w:t>
            </w:r>
          </w:p>
        </w:tc>
        <w:tc>
          <w:tcPr>
            <w:tcW w:w="749" w:type="pct"/>
            <w:noWrap/>
            <w:hideMark/>
          </w:tcPr>
          <w:p w14:paraId="1B7404CC" w14:textId="77777777" w:rsidR="00F14C2B" w:rsidRPr="00BE6AC4" w:rsidRDefault="00F14C2B" w:rsidP="00F775A1">
            <w:pPr>
              <w:pStyle w:val="TableBody"/>
            </w:pPr>
            <w:r w:rsidRPr="00BE6AC4">
              <w:t>7</w:t>
            </w:r>
          </w:p>
        </w:tc>
        <w:tc>
          <w:tcPr>
            <w:tcW w:w="678" w:type="pct"/>
          </w:tcPr>
          <w:p w14:paraId="61161000" w14:textId="2DAD6C6E" w:rsidR="00F14C2B" w:rsidRPr="00BE6AC4" w:rsidRDefault="005158A5" w:rsidP="00F775A1">
            <w:pPr>
              <w:pStyle w:val="TableBody"/>
            </w:pPr>
            <w:r w:rsidRPr="00BE6AC4">
              <w:t>6,450</w:t>
            </w:r>
          </w:p>
        </w:tc>
      </w:tr>
      <w:tr w:rsidR="005158A5" w:rsidRPr="00BE6AC4" w14:paraId="6C484956" w14:textId="2670A9D7" w:rsidTr="005158A5">
        <w:trPr>
          <w:trHeight w:val="290"/>
        </w:trPr>
        <w:tc>
          <w:tcPr>
            <w:tcW w:w="683" w:type="pct"/>
            <w:noWrap/>
            <w:hideMark/>
          </w:tcPr>
          <w:p w14:paraId="1BB94C67" w14:textId="0F471E6F" w:rsidR="00F14C2B" w:rsidRPr="00BE6AC4" w:rsidRDefault="00F14C2B" w:rsidP="00F775A1">
            <w:pPr>
              <w:pStyle w:val="TableBody"/>
            </w:pPr>
            <w:r w:rsidRPr="00BE6AC4">
              <w:t xml:space="preserve">2013 </w:t>
            </w:r>
          </w:p>
        </w:tc>
        <w:tc>
          <w:tcPr>
            <w:tcW w:w="683" w:type="pct"/>
            <w:noWrap/>
            <w:hideMark/>
          </w:tcPr>
          <w:p w14:paraId="2EB4C50A" w14:textId="77777777" w:rsidR="00F14C2B" w:rsidRPr="00BE6AC4" w:rsidRDefault="00F14C2B" w:rsidP="00F775A1">
            <w:pPr>
              <w:pStyle w:val="TableBody"/>
            </w:pPr>
            <w:r w:rsidRPr="00BE6AC4">
              <w:t>48</w:t>
            </w:r>
          </w:p>
        </w:tc>
        <w:tc>
          <w:tcPr>
            <w:tcW w:w="683" w:type="pct"/>
            <w:noWrap/>
            <w:hideMark/>
          </w:tcPr>
          <w:p w14:paraId="67F7DE42" w14:textId="77777777" w:rsidR="00F14C2B" w:rsidRPr="00BE6AC4" w:rsidRDefault="00F14C2B" w:rsidP="00F775A1">
            <w:pPr>
              <w:pStyle w:val="TableBody"/>
            </w:pPr>
            <w:r w:rsidRPr="00BE6AC4">
              <w:t>35</w:t>
            </w:r>
          </w:p>
        </w:tc>
        <w:tc>
          <w:tcPr>
            <w:tcW w:w="683" w:type="pct"/>
            <w:noWrap/>
            <w:hideMark/>
          </w:tcPr>
          <w:p w14:paraId="2B166AB6" w14:textId="77777777" w:rsidR="00F14C2B" w:rsidRPr="00BE6AC4" w:rsidRDefault="00F14C2B" w:rsidP="00F775A1">
            <w:pPr>
              <w:pStyle w:val="TableBody"/>
            </w:pPr>
            <w:r w:rsidRPr="00BE6AC4">
              <w:t>13</w:t>
            </w:r>
          </w:p>
        </w:tc>
        <w:tc>
          <w:tcPr>
            <w:tcW w:w="840" w:type="pct"/>
            <w:noWrap/>
            <w:hideMark/>
          </w:tcPr>
          <w:p w14:paraId="16088EB4" w14:textId="77777777" w:rsidR="00F14C2B" w:rsidRPr="00BE6AC4" w:rsidRDefault="00F14C2B" w:rsidP="00F775A1">
            <w:pPr>
              <w:pStyle w:val="TableBody"/>
            </w:pPr>
            <w:r w:rsidRPr="00BE6AC4">
              <w:t>15</w:t>
            </w:r>
          </w:p>
        </w:tc>
        <w:tc>
          <w:tcPr>
            <w:tcW w:w="749" w:type="pct"/>
            <w:noWrap/>
            <w:hideMark/>
          </w:tcPr>
          <w:p w14:paraId="615746E9" w14:textId="77777777" w:rsidR="00F14C2B" w:rsidRPr="00BE6AC4" w:rsidRDefault="00F14C2B" w:rsidP="00F775A1">
            <w:pPr>
              <w:pStyle w:val="TableBody"/>
            </w:pPr>
            <w:r w:rsidRPr="00BE6AC4">
              <w:t>10</w:t>
            </w:r>
          </w:p>
        </w:tc>
        <w:tc>
          <w:tcPr>
            <w:tcW w:w="678" w:type="pct"/>
          </w:tcPr>
          <w:p w14:paraId="4B306EC7" w14:textId="62B0797F" w:rsidR="00F14C2B" w:rsidRPr="00BE6AC4" w:rsidRDefault="005158A5" w:rsidP="00F775A1">
            <w:pPr>
              <w:pStyle w:val="TableBody"/>
            </w:pPr>
            <w:r w:rsidRPr="00BE6AC4">
              <w:t>7,057</w:t>
            </w:r>
          </w:p>
        </w:tc>
      </w:tr>
      <w:tr w:rsidR="005158A5" w:rsidRPr="00BE6AC4" w14:paraId="5383DE08" w14:textId="1C16A1AF" w:rsidTr="005158A5">
        <w:trPr>
          <w:trHeight w:val="290"/>
        </w:trPr>
        <w:tc>
          <w:tcPr>
            <w:tcW w:w="683" w:type="pct"/>
            <w:noWrap/>
            <w:hideMark/>
          </w:tcPr>
          <w:p w14:paraId="2C324947" w14:textId="5E30C01E" w:rsidR="00F14C2B" w:rsidRPr="00BE6AC4" w:rsidRDefault="00F14C2B" w:rsidP="00F775A1">
            <w:pPr>
              <w:pStyle w:val="TableBody"/>
            </w:pPr>
            <w:r w:rsidRPr="00BE6AC4">
              <w:t xml:space="preserve">2014 </w:t>
            </w:r>
          </w:p>
        </w:tc>
        <w:tc>
          <w:tcPr>
            <w:tcW w:w="683" w:type="pct"/>
            <w:noWrap/>
            <w:hideMark/>
          </w:tcPr>
          <w:p w14:paraId="2031E4F6" w14:textId="77777777" w:rsidR="00F14C2B" w:rsidRPr="00BE6AC4" w:rsidRDefault="00F14C2B" w:rsidP="00F775A1">
            <w:pPr>
              <w:pStyle w:val="TableBody"/>
            </w:pPr>
            <w:r w:rsidRPr="00BE6AC4">
              <w:t>53</w:t>
            </w:r>
          </w:p>
        </w:tc>
        <w:tc>
          <w:tcPr>
            <w:tcW w:w="683" w:type="pct"/>
            <w:noWrap/>
            <w:hideMark/>
          </w:tcPr>
          <w:p w14:paraId="352985BD" w14:textId="77777777" w:rsidR="00F14C2B" w:rsidRPr="00BE6AC4" w:rsidRDefault="00F14C2B" w:rsidP="00F775A1">
            <w:pPr>
              <w:pStyle w:val="TableBody"/>
            </w:pPr>
            <w:r w:rsidRPr="00BE6AC4">
              <w:t>34</w:t>
            </w:r>
          </w:p>
        </w:tc>
        <w:tc>
          <w:tcPr>
            <w:tcW w:w="683" w:type="pct"/>
            <w:noWrap/>
            <w:hideMark/>
          </w:tcPr>
          <w:p w14:paraId="14FC6B5F" w14:textId="77777777" w:rsidR="00F14C2B" w:rsidRPr="00BE6AC4" w:rsidRDefault="00F14C2B" w:rsidP="00F775A1">
            <w:pPr>
              <w:pStyle w:val="TableBody"/>
            </w:pPr>
            <w:r w:rsidRPr="00BE6AC4">
              <w:t>15</w:t>
            </w:r>
          </w:p>
        </w:tc>
        <w:tc>
          <w:tcPr>
            <w:tcW w:w="840" w:type="pct"/>
            <w:noWrap/>
            <w:hideMark/>
          </w:tcPr>
          <w:p w14:paraId="32AFC878" w14:textId="77777777" w:rsidR="00F14C2B" w:rsidRPr="00BE6AC4" w:rsidRDefault="00F14C2B" w:rsidP="00F775A1">
            <w:pPr>
              <w:pStyle w:val="TableBody"/>
            </w:pPr>
            <w:r w:rsidRPr="00BE6AC4">
              <w:t>16</w:t>
            </w:r>
          </w:p>
        </w:tc>
        <w:tc>
          <w:tcPr>
            <w:tcW w:w="749" w:type="pct"/>
            <w:noWrap/>
            <w:hideMark/>
          </w:tcPr>
          <w:p w14:paraId="1CAA7CD6" w14:textId="77777777" w:rsidR="00F14C2B" w:rsidRPr="00BE6AC4" w:rsidRDefault="00F14C2B" w:rsidP="00F775A1">
            <w:pPr>
              <w:pStyle w:val="TableBody"/>
            </w:pPr>
            <w:r w:rsidRPr="00BE6AC4">
              <w:t>12</w:t>
            </w:r>
          </w:p>
        </w:tc>
        <w:tc>
          <w:tcPr>
            <w:tcW w:w="678" w:type="pct"/>
          </w:tcPr>
          <w:p w14:paraId="2B4584CD" w14:textId="7B413E84" w:rsidR="00F14C2B" w:rsidRPr="00BE6AC4" w:rsidRDefault="005158A5" w:rsidP="00F775A1">
            <w:pPr>
              <w:pStyle w:val="TableBody"/>
            </w:pPr>
            <w:r w:rsidRPr="00BE6AC4">
              <w:t>7,750</w:t>
            </w:r>
          </w:p>
        </w:tc>
      </w:tr>
      <w:tr w:rsidR="005158A5" w:rsidRPr="00BE6AC4" w14:paraId="18C920DA" w14:textId="2504783A" w:rsidTr="005158A5">
        <w:trPr>
          <w:trHeight w:val="290"/>
        </w:trPr>
        <w:tc>
          <w:tcPr>
            <w:tcW w:w="683" w:type="pct"/>
            <w:noWrap/>
            <w:hideMark/>
          </w:tcPr>
          <w:p w14:paraId="04E9ACE8" w14:textId="6EB2D8B6" w:rsidR="00F14C2B" w:rsidRPr="00BE6AC4" w:rsidRDefault="00F14C2B" w:rsidP="00F775A1">
            <w:pPr>
              <w:pStyle w:val="TableBody"/>
            </w:pPr>
            <w:r w:rsidRPr="00BE6AC4">
              <w:t>2015</w:t>
            </w:r>
          </w:p>
        </w:tc>
        <w:tc>
          <w:tcPr>
            <w:tcW w:w="683" w:type="pct"/>
            <w:noWrap/>
            <w:hideMark/>
          </w:tcPr>
          <w:p w14:paraId="139AE526" w14:textId="77777777" w:rsidR="00F14C2B" w:rsidRPr="00BE6AC4" w:rsidRDefault="00F14C2B" w:rsidP="00F775A1">
            <w:pPr>
              <w:pStyle w:val="TableBody"/>
            </w:pPr>
            <w:r w:rsidRPr="00BE6AC4">
              <w:t>52</w:t>
            </w:r>
          </w:p>
        </w:tc>
        <w:tc>
          <w:tcPr>
            <w:tcW w:w="683" w:type="pct"/>
            <w:noWrap/>
            <w:hideMark/>
          </w:tcPr>
          <w:p w14:paraId="3855A45E" w14:textId="77777777" w:rsidR="00F14C2B" w:rsidRPr="00BE6AC4" w:rsidRDefault="00F14C2B" w:rsidP="00F775A1">
            <w:pPr>
              <w:pStyle w:val="TableBody"/>
            </w:pPr>
            <w:r w:rsidRPr="00BE6AC4">
              <w:t>36</w:t>
            </w:r>
          </w:p>
        </w:tc>
        <w:tc>
          <w:tcPr>
            <w:tcW w:w="683" w:type="pct"/>
            <w:noWrap/>
            <w:hideMark/>
          </w:tcPr>
          <w:p w14:paraId="488F8184" w14:textId="77777777" w:rsidR="00F14C2B" w:rsidRPr="00BE6AC4" w:rsidRDefault="00F14C2B" w:rsidP="00F775A1">
            <w:pPr>
              <w:pStyle w:val="TableBody"/>
            </w:pPr>
            <w:r w:rsidRPr="00BE6AC4">
              <w:t>16</w:t>
            </w:r>
          </w:p>
        </w:tc>
        <w:tc>
          <w:tcPr>
            <w:tcW w:w="840" w:type="pct"/>
            <w:noWrap/>
            <w:hideMark/>
          </w:tcPr>
          <w:p w14:paraId="446876DA" w14:textId="77777777" w:rsidR="00F14C2B" w:rsidRPr="00BE6AC4" w:rsidRDefault="00F14C2B" w:rsidP="00F775A1">
            <w:pPr>
              <w:pStyle w:val="TableBody"/>
            </w:pPr>
            <w:r w:rsidRPr="00BE6AC4">
              <w:t>16</w:t>
            </w:r>
          </w:p>
        </w:tc>
        <w:tc>
          <w:tcPr>
            <w:tcW w:w="749" w:type="pct"/>
            <w:noWrap/>
            <w:hideMark/>
          </w:tcPr>
          <w:p w14:paraId="76A45120" w14:textId="77777777" w:rsidR="00F14C2B" w:rsidRPr="00BE6AC4" w:rsidRDefault="00F14C2B" w:rsidP="00F775A1">
            <w:pPr>
              <w:pStyle w:val="TableBody"/>
            </w:pPr>
            <w:r w:rsidRPr="00BE6AC4">
              <w:t>13</w:t>
            </w:r>
          </w:p>
        </w:tc>
        <w:tc>
          <w:tcPr>
            <w:tcW w:w="678" w:type="pct"/>
          </w:tcPr>
          <w:p w14:paraId="3785150C" w14:textId="3B5119A8" w:rsidR="00F14C2B" w:rsidRPr="00BE6AC4" w:rsidRDefault="005158A5" w:rsidP="00F775A1">
            <w:pPr>
              <w:pStyle w:val="TableBody"/>
            </w:pPr>
            <w:r w:rsidRPr="00BE6AC4">
              <w:t>8,113</w:t>
            </w:r>
          </w:p>
        </w:tc>
      </w:tr>
      <w:tr w:rsidR="005158A5" w:rsidRPr="00BE6AC4" w14:paraId="0DBC6A3F" w14:textId="07854E3F" w:rsidTr="005158A5">
        <w:trPr>
          <w:trHeight w:val="290"/>
        </w:trPr>
        <w:tc>
          <w:tcPr>
            <w:tcW w:w="683" w:type="pct"/>
            <w:noWrap/>
            <w:hideMark/>
          </w:tcPr>
          <w:p w14:paraId="76FE1825" w14:textId="5CA3FBC0" w:rsidR="00F14C2B" w:rsidRPr="00BE6AC4" w:rsidRDefault="00F14C2B" w:rsidP="00F775A1">
            <w:pPr>
              <w:pStyle w:val="TableBody"/>
            </w:pPr>
            <w:r w:rsidRPr="00BE6AC4">
              <w:t>2016</w:t>
            </w:r>
          </w:p>
        </w:tc>
        <w:tc>
          <w:tcPr>
            <w:tcW w:w="683" w:type="pct"/>
            <w:noWrap/>
            <w:hideMark/>
          </w:tcPr>
          <w:p w14:paraId="0CF13230" w14:textId="77777777" w:rsidR="00F14C2B" w:rsidRPr="00BE6AC4" w:rsidRDefault="00F14C2B" w:rsidP="00F775A1">
            <w:pPr>
              <w:pStyle w:val="TableBody"/>
            </w:pPr>
            <w:r w:rsidRPr="00BE6AC4">
              <w:t>56</w:t>
            </w:r>
          </w:p>
        </w:tc>
        <w:tc>
          <w:tcPr>
            <w:tcW w:w="683" w:type="pct"/>
            <w:noWrap/>
            <w:hideMark/>
          </w:tcPr>
          <w:p w14:paraId="1C1F20E6" w14:textId="77777777" w:rsidR="00F14C2B" w:rsidRPr="00BE6AC4" w:rsidRDefault="00F14C2B" w:rsidP="00F775A1">
            <w:pPr>
              <w:pStyle w:val="TableBody"/>
            </w:pPr>
            <w:r w:rsidRPr="00BE6AC4">
              <w:t>35</w:t>
            </w:r>
          </w:p>
        </w:tc>
        <w:tc>
          <w:tcPr>
            <w:tcW w:w="683" w:type="pct"/>
            <w:noWrap/>
            <w:hideMark/>
          </w:tcPr>
          <w:p w14:paraId="713DD9A4" w14:textId="77777777" w:rsidR="00F14C2B" w:rsidRPr="00BE6AC4" w:rsidRDefault="00F14C2B" w:rsidP="00F775A1">
            <w:pPr>
              <w:pStyle w:val="TableBody"/>
            </w:pPr>
            <w:r w:rsidRPr="00BE6AC4">
              <w:t>18</w:t>
            </w:r>
          </w:p>
        </w:tc>
        <w:tc>
          <w:tcPr>
            <w:tcW w:w="840" w:type="pct"/>
            <w:noWrap/>
            <w:hideMark/>
          </w:tcPr>
          <w:p w14:paraId="6CD34A5B" w14:textId="77777777" w:rsidR="00F14C2B" w:rsidRPr="00BE6AC4" w:rsidRDefault="00F14C2B" w:rsidP="00F775A1">
            <w:pPr>
              <w:pStyle w:val="TableBody"/>
            </w:pPr>
            <w:r w:rsidRPr="00BE6AC4">
              <w:t>18</w:t>
            </w:r>
          </w:p>
        </w:tc>
        <w:tc>
          <w:tcPr>
            <w:tcW w:w="749" w:type="pct"/>
            <w:noWrap/>
            <w:hideMark/>
          </w:tcPr>
          <w:p w14:paraId="00D886EA" w14:textId="77777777" w:rsidR="00F14C2B" w:rsidRPr="00BE6AC4" w:rsidRDefault="00F14C2B" w:rsidP="00F775A1">
            <w:pPr>
              <w:pStyle w:val="TableBody"/>
            </w:pPr>
            <w:r w:rsidRPr="00BE6AC4">
              <w:t>15</w:t>
            </w:r>
          </w:p>
        </w:tc>
        <w:tc>
          <w:tcPr>
            <w:tcW w:w="678" w:type="pct"/>
          </w:tcPr>
          <w:p w14:paraId="2017750B" w14:textId="20DC43C5" w:rsidR="00F14C2B" w:rsidRPr="00BE6AC4" w:rsidRDefault="005158A5" w:rsidP="00F775A1">
            <w:pPr>
              <w:pStyle w:val="TableBody"/>
            </w:pPr>
            <w:r w:rsidRPr="00BE6AC4">
              <w:t>8,802</w:t>
            </w:r>
          </w:p>
        </w:tc>
      </w:tr>
      <w:tr w:rsidR="005158A5" w:rsidRPr="00BE6AC4" w14:paraId="644EA636" w14:textId="3EF1FCA4" w:rsidTr="005158A5">
        <w:trPr>
          <w:trHeight w:val="290"/>
        </w:trPr>
        <w:tc>
          <w:tcPr>
            <w:tcW w:w="683" w:type="pct"/>
            <w:noWrap/>
            <w:hideMark/>
          </w:tcPr>
          <w:p w14:paraId="10449EF3" w14:textId="4182D574" w:rsidR="00F14C2B" w:rsidRPr="00BE6AC4" w:rsidRDefault="00F14C2B" w:rsidP="00F775A1">
            <w:pPr>
              <w:pStyle w:val="TableBody"/>
            </w:pPr>
            <w:r w:rsidRPr="00BE6AC4">
              <w:t>2017</w:t>
            </w:r>
          </w:p>
        </w:tc>
        <w:tc>
          <w:tcPr>
            <w:tcW w:w="683" w:type="pct"/>
            <w:noWrap/>
            <w:hideMark/>
          </w:tcPr>
          <w:p w14:paraId="339287C3" w14:textId="77777777" w:rsidR="00F14C2B" w:rsidRPr="00BE6AC4" w:rsidRDefault="00F14C2B" w:rsidP="00F775A1">
            <w:pPr>
              <w:pStyle w:val="TableBody"/>
            </w:pPr>
            <w:r w:rsidRPr="00BE6AC4">
              <w:t>52</w:t>
            </w:r>
          </w:p>
        </w:tc>
        <w:tc>
          <w:tcPr>
            <w:tcW w:w="683" w:type="pct"/>
            <w:noWrap/>
            <w:hideMark/>
          </w:tcPr>
          <w:p w14:paraId="176F1DDE" w14:textId="77777777" w:rsidR="00F14C2B" w:rsidRPr="00BE6AC4" w:rsidRDefault="00F14C2B" w:rsidP="00F775A1">
            <w:pPr>
              <w:pStyle w:val="TableBody"/>
            </w:pPr>
            <w:r w:rsidRPr="00BE6AC4">
              <w:t>32</w:t>
            </w:r>
          </w:p>
        </w:tc>
        <w:tc>
          <w:tcPr>
            <w:tcW w:w="683" w:type="pct"/>
            <w:noWrap/>
            <w:hideMark/>
          </w:tcPr>
          <w:p w14:paraId="1CD99D90" w14:textId="77777777" w:rsidR="00F14C2B" w:rsidRPr="00BE6AC4" w:rsidRDefault="00F14C2B" w:rsidP="00F775A1">
            <w:pPr>
              <w:pStyle w:val="TableBody"/>
            </w:pPr>
            <w:r w:rsidRPr="00BE6AC4">
              <w:t>16</w:t>
            </w:r>
          </w:p>
        </w:tc>
        <w:tc>
          <w:tcPr>
            <w:tcW w:w="840" w:type="pct"/>
            <w:noWrap/>
            <w:hideMark/>
          </w:tcPr>
          <w:p w14:paraId="637E5937" w14:textId="77777777" w:rsidR="00F14C2B" w:rsidRPr="00BE6AC4" w:rsidRDefault="00F14C2B" w:rsidP="00F775A1">
            <w:pPr>
              <w:pStyle w:val="TableBody"/>
            </w:pPr>
            <w:r w:rsidRPr="00BE6AC4">
              <w:t>17</w:t>
            </w:r>
          </w:p>
        </w:tc>
        <w:tc>
          <w:tcPr>
            <w:tcW w:w="749" w:type="pct"/>
            <w:noWrap/>
            <w:hideMark/>
          </w:tcPr>
          <w:p w14:paraId="01318882" w14:textId="77777777" w:rsidR="00F14C2B" w:rsidRPr="00BE6AC4" w:rsidRDefault="00F14C2B" w:rsidP="00F775A1">
            <w:pPr>
              <w:pStyle w:val="TableBody"/>
            </w:pPr>
            <w:r w:rsidRPr="00BE6AC4">
              <w:t>15</w:t>
            </w:r>
          </w:p>
        </w:tc>
        <w:tc>
          <w:tcPr>
            <w:tcW w:w="678" w:type="pct"/>
          </w:tcPr>
          <w:p w14:paraId="6475EAA8" w14:textId="6EBB6713" w:rsidR="00F14C2B" w:rsidRPr="00BE6AC4" w:rsidRDefault="005158A5" w:rsidP="00F775A1">
            <w:pPr>
              <w:pStyle w:val="TableBody"/>
            </w:pPr>
            <w:r w:rsidRPr="00BE6AC4">
              <w:t>8,388</w:t>
            </w:r>
          </w:p>
        </w:tc>
      </w:tr>
      <w:tr w:rsidR="005158A5" w:rsidRPr="00BE6AC4" w14:paraId="79B4A5AD" w14:textId="1AB80906" w:rsidTr="005158A5">
        <w:trPr>
          <w:trHeight w:val="290"/>
        </w:trPr>
        <w:tc>
          <w:tcPr>
            <w:tcW w:w="683" w:type="pct"/>
            <w:noWrap/>
            <w:hideMark/>
          </w:tcPr>
          <w:p w14:paraId="384B4E4B" w14:textId="0B832BAC" w:rsidR="00F14C2B" w:rsidRPr="00BE6AC4" w:rsidRDefault="00F14C2B" w:rsidP="00F775A1">
            <w:pPr>
              <w:pStyle w:val="TableBody"/>
            </w:pPr>
            <w:r w:rsidRPr="00BE6AC4">
              <w:t>2018</w:t>
            </w:r>
          </w:p>
        </w:tc>
        <w:tc>
          <w:tcPr>
            <w:tcW w:w="683" w:type="pct"/>
            <w:noWrap/>
            <w:hideMark/>
          </w:tcPr>
          <w:p w14:paraId="3C076F09" w14:textId="77777777" w:rsidR="00F14C2B" w:rsidRPr="00BE6AC4" w:rsidRDefault="00F14C2B" w:rsidP="00F775A1">
            <w:pPr>
              <w:pStyle w:val="TableBody"/>
            </w:pPr>
            <w:r w:rsidRPr="00BE6AC4">
              <w:t>52</w:t>
            </w:r>
          </w:p>
        </w:tc>
        <w:tc>
          <w:tcPr>
            <w:tcW w:w="683" w:type="pct"/>
            <w:noWrap/>
            <w:hideMark/>
          </w:tcPr>
          <w:p w14:paraId="043B734E" w14:textId="77777777" w:rsidR="00F14C2B" w:rsidRPr="00BE6AC4" w:rsidRDefault="00F14C2B" w:rsidP="00F775A1">
            <w:pPr>
              <w:pStyle w:val="TableBody"/>
            </w:pPr>
            <w:r w:rsidRPr="00BE6AC4">
              <w:t>35</w:t>
            </w:r>
          </w:p>
        </w:tc>
        <w:tc>
          <w:tcPr>
            <w:tcW w:w="683" w:type="pct"/>
            <w:noWrap/>
            <w:hideMark/>
          </w:tcPr>
          <w:p w14:paraId="77C3324D" w14:textId="77777777" w:rsidR="00F14C2B" w:rsidRPr="00BE6AC4" w:rsidRDefault="00F14C2B" w:rsidP="00F775A1">
            <w:pPr>
              <w:pStyle w:val="TableBody"/>
            </w:pPr>
            <w:r w:rsidRPr="00BE6AC4">
              <w:t>18</w:t>
            </w:r>
          </w:p>
        </w:tc>
        <w:tc>
          <w:tcPr>
            <w:tcW w:w="840" w:type="pct"/>
            <w:noWrap/>
            <w:hideMark/>
          </w:tcPr>
          <w:p w14:paraId="166DB24E" w14:textId="77777777" w:rsidR="00F14C2B" w:rsidRPr="00BE6AC4" w:rsidRDefault="00F14C2B" w:rsidP="00F775A1">
            <w:pPr>
              <w:pStyle w:val="TableBody"/>
            </w:pPr>
            <w:r w:rsidRPr="00BE6AC4">
              <w:t>18</w:t>
            </w:r>
          </w:p>
        </w:tc>
        <w:tc>
          <w:tcPr>
            <w:tcW w:w="749" w:type="pct"/>
            <w:noWrap/>
            <w:hideMark/>
          </w:tcPr>
          <w:p w14:paraId="095E1768" w14:textId="77777777" w:rsidR="00F14C2B" w:rsidRPr="00BE6AC4" w:rsidRDefault="00F14C2B" w:rsidP="00F775A1">
            <w:pPr>
              <w:pStyle w:val="TableBody"/>
            </w:pPr>
            <w:r w:rsidRPr="00BE6AC4">
              <w:t>16</w:t>
            </w:r>
          </w:p>
        </w:tc>
        <w:tc>
          <w:tcPr>
            <w:tcW w:w="678" w:type="pct"/>
          </w:tcPr>
          <w:p w14:paraId="213EE46D" w14:textId="042A84DF" w:rsidR="00F14C2B" w:rsidRPr="00BE6AC4" w:rsidRDefault="005158A5" w:rsidP="00F775A1">
            <w:pPr>
              <w:pStyle w:val="TableBody"/>
            </w:pPr>
            <w:r w:rsidRPr="00BE6AC4">
              <w:t>9,003</w:t>
            </w:r>
          </w:p>
        </w:tc>
      </w:tr>
      <w:tr w:rsidR="005158A5" w:rsidRPr="00BE6AC4" w14:paraId="2207DD15" w14:textId="04CDFAC0" w:rsidTr="005158A5">
        <w:trPr>
          <w:trHeight w:val="290"/>
        </w:trPr>
        <w:tc>
          <w:tcPr>
            <w:tcW w:w="683" w:type="pct"/>
            <w:noWrap/>
            <w:hideMark/>
          </w:tcPr>
          <w:p w14:paraId="2244E731" w14:textId="2710A22F" w:rsidR="00F14C2B" w:rsidRPr="00BE6AC4" w:rsidRDefault="00F14C2B" w:rsidP="00F775A1">
            <w:pPr>
              <w:pStyle w:val="TableBody"/>
            </w:pPr>
            <w:r w:rsidRPr="00BE6AC4">
              <w:t>2019</w:t>
            </w:r>
          </w:p>
        </w:tc>
        <w:tc>
          <w:tcPr>
            <w:tcW w:w="683" w:type="pct"/>
            <w:noWrap/>
            <w:hideMark/>
          </w:tcPr>
          <w:p w14:paraId="48661AB1" w14:textId="77777777" w:rsidR="00F14C2B" w:rsidRPr="00BE6AC4" w:rsidRDefault="00F14C2B" w:rsidP="00F775A1">
            <w:pPr>
              <w:pStyle w:val="TableBody"/>
            </w:pPr>
            <w:r w:rsidRPr="00BE6AC4">
              <w:t>55</w:t>
            </w:r>
          </w:p>
        </w:tc>
        <w:tc>
          <w:tcPr>
            <w:tcW w:w="683" w:type="pct"/>
            <w:noWrap/>
            <w:hideMark/>
          </w:tcPr>
          <w:p w14:paraId="101AD49E" w14:textId="77777777" w:rsidR="00F14C2B" w:rsidRPr="00BE6AC4" w:rsidRDefault="00F14C2B" w:rsidP="00F775A1">
            <w:pPr>
              <w:pStyle w:val="TableBody"/>
            </w:pPr>
            <w:r w:rsidRPr="00BE6AC4">
              <w:t>35</w:t>
            </w:r>
          </w:p>
        </w:tc>
        <w:tc>
          <w:tcPr>
            <w:tcW w:w="683" w:type="pct"/>
            <w:noWrap/>
            <w:hideMark/>
          </w:tcPr>
          <w:p w14:paraId="705B5C7B" w14:textId="77777777" w:rsidR="00F14C2B" w:rsidRPr="00BE6AC4" w:rsidRDefault="00F14C2B" w:rsidP="00F775A1">
            <w:pPr>
              <w:pStyle w:val="TableBody"/>
            </w:pPr>
            <w:r w:rsidRPr="00BE6AC4">
              <w:t>19</w:t>
            </w:r>
          </w:p>
        </w:tc>
        <w:tc>
          <w:tcPr>
            <w:tcW w:w="840" w:type="pct"/>
            <w:noWrap/>
            <w:hideMark/>
          </w:tcPr>
          <w:p w14:paraId="7BF7C587" w14:textId="77777777" w:rsidR="00F14C2B" w:rsidRPr="00BE6AC4" w:rsidRDefault="00F14C2B" w:rsidP="00F775A1">
            <w:pPr>
              <w:pStyle w:val="TableBody"/>
            </w:pPr>
            <w:r w:rsidRPr="00BE6AC4">
              <w:t>18</w:t>
            </w:r>
          </w:p>
        </w:tc>
        <w:tc>
          <w:tcPr>
            <w:tcW w:w="749" w:type="pct"/>
            <w:noWrap/>
            <w:hideMark/>
          </w:tcPr>
          <w:p w14:paraId="6B61CD24" w14:textId="77777777" w:rsidR="00F14C2B" w:rsidRPr="00BE6AC4" w:rsidRDefault="00F14C2B" w:rsidP="00F775A1">
            <w:pPr>
              <w:pStyle w:val="TableBody"/>
            </w:pPr>
            <w:r w:rsidRPr="00BE6AC4">
              <w:t>16</w:t>
            </w:r>
          </w:p>
        </w:tc>
        <w:tc>
          <w:tcPr>
            <w:tcW w:w="678" w:type="pct"/>
          </w:tcPr>
          <w:p w14:paraId="6D19405C" w14:textId="32A5552B" w:rsidR="00F14C2B" w:rsidRPr="00BE6AC4" w:rsidRDefault="005158A5" w:rsidP="00F775A1">
            <w:pPr>
              <w:pStyle w:val="TableBody"/>
            </w:pPr>
            <w:r w:rsidRPr="00BE6AC4">
              <w:t>9,511</w:t>
            </w:r>
          </w:p>
        </w:tc>
      </w:tr>
    </w:tbl>
    <w:p w14:paraId="193E9F7D" w14:textId="77777777" w:rsidR="005A3418" w:rsidRPr="00D36673" w:rsidRDefault="005A3418" w:rsidP="0086723D">
      <w:pPr>
        <w:pStyle w:val="Heading2"/>
      </w:pPr>
      <w:r w:rsidRPr="00D36673">
        <w:t>Gender of recorded threat offenders</w:t>
      </w:r>
    </w:p>
    <w:p w14:paraId="12794987" w14:textId="77777777" w:rsidR="005A3418" w:rsidRPr="00D36673" w:rsidRDefault="005A3418" w:rsidP="009C2A37">
      <w:pPr>
        <w:pStyle w:val="Numbered"/>
      </w:pPr>
      <w:r w:rsidRPr="00D36673">
        <w:t xml:space="preserve">Data was available on the gender of offenders for 57,068 recorded threat offences between 2012 and 2019. Of these </w:t>
      </w:r>
      <w:r w:rsidRPr="00D36673">
        <w:lastRenderedPageBreak/>
        <w:t xml:space="preserve">offences, 86% were committed by men. Due to low numbers, a gender breakdown was not available for threat to commit a sexual offence or threat to assault an emergency worker. </w:t>
      </w:r>
    </w:p>
    <w:p w14:paraId="52068A55" w14:textId="77777777" w:rsidR="005A3418" w:rsidRPr="00D36673" w:rsidRDefault="005A3418" w:rsidP="0086723D">
      <w:pPr>
        <w:pStyle w:val="Heading2"/>
      </w:pPr>
      <w:r w:rsidRPr="00D36673">
        <w:t>Recorded threat offences and family violence</w:t>
      </w:r>
    </w:p>
    <w:p w14:paraId="5FF5CF9B" w14:textId="77777777" w:rsidR="005A3418" w:rsidRPr="00D36673" w:rsidRDefault="005A3418" w:rsidP="009C2A37">
      <w:pPr>
        <w:pStyle w:val="Numbered"/>
      </w:pPr>
      <w:r w:rsidRPr="00D36673">
        <w:t xml:space="preserve">The majority of recorded threat offences occurred in a family violence context (Figure 4). Two-thirds (66%) of threat to destroy or damage property recorded offences were associated with family violence. This was followed by threat to kill (60%) and threat to inflict serious injury (48%). </w:t>
      </w:r>
    </w:p>
    <w:p w14:paraId="742A650B" w14:textId="77777777" w:rsidR="005A3418" w:rsidRPr="00D36673" w:rsidRDefault="005A3418" w:rsidP="00711AFB">
      <w:pPr>
        <w:pStyle w:val="Caption"/>
      </w:pPr>
      <w:r w:rsidRPr="00C9259E">
        <w:t>Figure 4:</w:t>
      </w:r>
      <w:r w:rsidRPr="00D36673">
        <w:t xml:space="preserve"> Percentage of recorded threat offences occurring in the context of family violence, by threat offence type, 2012 to 2019</w:t>
      </w:r>
      <w:r w:rsidRPr="00D36673">
        <w:rPr>
          <w:rStyle w:val="Superscript"/>
        </w:rPr>
        <w:footnoteReference w:id="119"/>
      </w:r>
    </w:p>
    <w:tbl>
      <w:tblPr>
        <w:tblStyle w:val="Table"/>
        <w:tblW w:w="5000" w:type="pct"/>
        <w:tblLayout w:type="fixed"/>
        <w:tblLook w:val="04A0" w:firstRow="1" w:lastRow="0" w:firstColumn="1" w:lastColumn="0" w:noHBand="0" w:noVBand="1"/>
      </w:tblPr>
      <w:tblGrid>
        <w:gridCol w:w="1502"/>
        <w:gridCol w:w="1504"/>
        <w:gridCol w:w="1504"/>
        <w:gridCol w:w="1502"/>
        <w:gridCol w:w="1504"/>
        <w:gridCol w:w="1500"/>
      </w:tblGrid>
      <w:tr w:rsidR="00EE6BE4" w:rsidRPr="004231DD" w14:paraId="78111EE9" w14:textId="77777777" w:rsidTr="00EF3745">
        <w:trPr>
          <w:trHeight w:val="290"/>
          <w:tblHeader/>
        </w:trPr>
        <w:tc>
          <w:tcPr>
            <w:tcW w:w="833" w:type="pct"/>
            <w:noWrap/>
            <w:hideMark/>
          </w:tcPr>
          <w:p w14:paraId="11C83E7F" w14:textId="612CCDE0" w:rsidR="004231DD" w:rsidRPr="004231DD" w:rsidRDefault="00FB3338" w:rsidP="00EE6BE4">
            <w:pPr>
              <w:pStyle w:val="TableHeading"/>
            </w:pPr>
            <w:r>
              <w:t>Year</w:t>
            </w:r>
          </w:p>
        </w:tc>
        <w:tc>
          <w:tcPr>
            <w:tcW w:w="834" w:type="pct"/>
            <w:noWrap/>
            <w:hideMark/>
          </w:tcPr>
          <w:p w14:paraId="4A124DFA" w14:textId="39935746" w:rsidR="004231DD" w:rsidRPr="004231DD" w:rsidRDefault="004231DD" w:rsidP="00EE6BE4">
            <w:pPr>
              <w:pStyle w:val="TableHeading"/>
            </w:pPr>
            <w:r w:rsidRPr="004231DD">
              <w:t>Threat to kill</w:t>
            </w:r>
          </w:p>
        </w:tc>
        <w:tc>
          <w:tcPr>
            <w:tcW w:w="834" w:type="pct"/>
            <w:noWrap/>
            <w:hideMark/>
          </w:tcPr>
          <w:p w14:paraId="3B46405E" w14:textId="6487E23B" w:rsidR="004231DD" w:rsidRPr="004231DD" w:rsidRDefault="004231DD" w:rsidP="00EE6BE4">
            <w:pPr>
              <w:pStyle w:val="TableHeading"/>
            </w:pPr>
            <w:r w:rsidRPr="004231DD">
              <w:t xml:space="preserve">Threat to </w:t>
            </w:r>
            <w:r w:rsidR="00D3782C">
              <w:t>inflict serious injury</w:t>
            </w:r>
          </w:p>
        </w:tc>
        <w:tc>
          <w:tcPr>
            <w:tcW w:w="833" w:type="pct"/>
            <w:noWrap/>
            <w:hideMark/>
          </w:tcPr>
          <w:p w14:paraId="11203A1B" w14:textId="4BFEEE6A" w:rsidR="004231DD" w:rsidRPr="004231DD" w:rsidRDefault="004231DD" w:rsidP="00EE6BE4">
            <w:pPr>
              <w:pStyle w:val="TableHeading"/>
            </w:pPr>
            <w:r w:rsidRPr="004231DD">
              <w:t>Threat to destroy</w:t>
            </w:r>
            <w:r w:rsidR="0081724D">
              <w:t xml:space="preserve"> or </w:t>
            </w:r>
            <w:r w:rsidRPr="004231DD">
              <w:t>damage property</w:t>
            </w:r>
          </w:p>
        </w:tc>
        <w:tc>
          <w:tcPr>
            <w:tcW w:w="834" w:type="pct"/>
            <w:noWrap/>
            <w:hideMark/>
          </w:tcPr>
          <w:p w14:paraId="1C61DD20" w14:textId="0E0D3173" w:rsidR="004231DD" w:rsidRPr="004231DD" w:rsidRDefault="004231DD" w:rsidP="00EE6BE4">
            <w:pPr>
              <w:pStyle w:val="TableHeading"/>
            </w:pPr>
            <w:r w:rsidRPr="004231DD">
              <w:t>Threat to commit a sexual offence</w:t>
            </w:r>
          </w:p>
        </w:tc>
        <w:tc>
          <w:tcPr>
            <w:tcW w:w="834" w:type="pct"/>
            <w:noWrap/>
            <w:hideMark/>
          </w:tcPr>
          <w:p w14:paraId="716CDAC1" w14:textId="2B2ED38F" w:rsidR="004231DD" w:rsidRPr="004231DD" w:rsidRDefault="004231DD" w:rsidP="00EE6BE4">
            <w:pPr>
              <w:pStyle w:val="TableHeading"/>
            </w:pPr>
            <w:r w:rsidRPr="004231DD">
              <w:t xml:space="preserve">Threat to assault </w:t>
            </w:r>
            <w:r w:rsidR="00354DFA">
              <w:t xml:space="preserve">an </w:t>
            </w:r>
            <w:r w:rsidRPr="004231DD">
              <w:t>emergency worker</w:t>
            </w:r>
          </w:p>
        </w:tc>
      </w:tr>
      <w:tr w:rsidR="00EE6BE4" w:rsidRPr="004231DD" w14:paraId="392B137F" w14:textId="77777777" w:rsidTr="006B364A">
        <w:trPr>
          <w:trHeight w:val="290"/>
        </w:trPr>
        <w:tc>
          <w:tcPr>
            <w:tcW w:w="833" w:type="pct"/>
            <w:noWrap/>
            <w:hideMark/>
          </w:tcPr>
          <w:p w14:paraId="43DBDA23" w14:textId="77777777" w:rsidR="004231DD" w:rsidRPr="004231DD" w:rsidRDefault="004231DD" w:rsidP="00437235">
            <w:pPr>
              <w:pStyle w:val="TableBody"/>
            </w:pPr>
            <w:r w:rsidRPr="004231DD">
              <w:t>2012</w:t>
            </w:r>
          </w:p>
        </w:tc>
        <w:tc>
          <w:tcPr>
            <w:tcW w:w="834" w:type="pct"/>
            <w:noWrap/>
            <w:hideMark/>
          </w:tcPr>
          <w:p w14:paraId="644C568A" w14:textId="77777777" w:rsidR="004231DD" w:rsidRPr="004231DD" w:rsidRDefault="004231DD" w:rsidP="00437235">
            <w:pPr>
              <w:pStyle w:val="TableBody"/>
            </w:pPr>
            <w:r w:rsidRPr="004231DD">
              <w:t>55%</w:t>
            </w:r>
          </w:p>
        </w:tc>
        <w:tc>
          <w:tcPr>
            <w:tcW w:w="834" w:type="pct"/>
            <w:noWrap/>
            <w:hideMark/>
          </w:tcPr>
          <w:p w14:paraId="5FA0E690" w14:textId="77777777" w:rsidR="004231DD" w:rsidRPr="004231DD" w:rsidRDefault="004231DD" w:rsidP="00437235">
            <w:pPr>
              <w:pStyle w:val="TableBody"/>
            </w:pPr>
            <w:r w:rsidRPr="004231DD">
              <w:t>42%</w:t>
            </w:r>
          </w:p>
        </w:tc>
        <w:tc>
          <w:tcPr>
            <w:tcW w:w="833" w:type="pct"/>
            <w:noWrap/>
            <w:hideMark/>
          </w:tcPr>
          <w:p w14:paraId="3ABA1ADF" w14:textId="77777777" w:rsidR="004231DD" w:rsidRPr="004231DD" w:rsidRDefault="004231DD" w:rsidP="00437235">
            <w:pPr>
              <w:pStyle w:val="TableBody"/>
            </w:pPr>
            <w:r w:rsidRPr="004231DD">
              <w:t>56%</w:t>
            </w:r>
          </w:p>
        </w:tc>
        <w:tc>
          <w:tcPr>
            <w:tcW w:w="834" w:type="pct"/>
            <w:noWrap/>
            <w:hideMark/>
          </w:tcPr>
          <w:p w14:paraId="10A5C0D2" w14:textId="77777777" w:rsidR="004231DD" w:rsidRPr="004231DD" w:rsidRDefault="004231DD" w:rsidP="00437235">
            <w:pPr>
              <w:pStyle w:val="TableBody"/>
            </w:pPr>
            <w:r w:rsidRPr="004231DD">
              <w:t>-</w:t>
            </w:r>
          </w:p>
        </w:tc>
        <w:tc>
          <w:tcPr>
            <w:tcW w:w="834" w:type="pct"/>
            <w:noWrap/>
            <w:hideMark/>
          </w:tcPr>
          <w:p w14:paraId="41E2E9AB" w14:textId="77777777" w:rsidR="004231DD" w:rsidRPr="004231DD" w:rsidRDefault="004231DD" w:rsidP="00437235">
            <w:pPr>
              <w:pStyle w:val="TableBody"/>
            </w:pPr>
            <w:r w:rsidRPr="004231DD">
              <w:t>20%</w:t>
            </w:r>
          </w:p>
        </w:tc>
      </w:tr>
      <w:tr w:rsidR="00EE6BE4" w:rsidRPr="004231DD" w14:paraId="5DA94859" w14:textId="77777777" w:rsidTr="006B364A">
        <w:trPr>
          <w:trHeight w:val="290"/>
        </w:trPr>
        <w:tc>
          <w:tcPr>
            <w:tcW w:w="833" w:type="pct"/>
            <w:noWrap/>
            <w:hideMark/>
          </w:tcPr>
          <w:p w14:paraId="4497C8D3" w14:textId="77777777" w:rsidR="004231DD" w:rsidRPr="004231DD" w:rsidRDefault="004231DD" w:rsidP="00437235">
            <w:pPr>
              <w:pStyle w:val="TableBody"/>
            </w:pPr>
            <w:r w:rsidRPr="004231DD">
              <w:t>2013</w:t>
            </w:r>
          </w:p>
        </w:tc>
        <w:tc>
          <w:tcPr>
            <w:tcW w:w="834" w:type="pct"/>
            <w:noWrap/>
            <w:hideMark/>
          </w:tcPr>
          <w:p w14:paraId="0E0030C1" w14:textId="77777777" w:rsidR="004231DD" w:rsidRPr="004231DD" w:rsidRDefault="004231DD" w:rsidP="00437235">
            <w:pPr>
              <w:pStyle w:val="TableBody"/>
            </w:pPr>
            <w:r w:rsidRPr="004231DD">
              <w:t>57%</w:t>
            </w:r>
          </w:p>
        </w:tc>
        <w:tc>
          <w:tcPr>
            <w:tcW w:w="834" w:type="pct"/>
            <w:noWrap/>
            <w:hideMark/>
          </w:tcPr>
          <w:p w14:paraId="385B1762" w14:textId="77777777" w:rsidR="004231DD" w:rsidRPr="004231DD" w:rsidRDefault="004231DD" w:rsidP="00437235">
            <w:pPr>
              <w:pStyle w:val="TableBody"/>
            </w:pPr>
            <w:r w:rsidRPr="004231DD">
              <w:t>46%</w:t>
            </w:r>
          </w:p>
        </w:tc>
        <w:tc>
          <w:tcPr>
            <w:tcW w:w="833" w:type="pct"/>
            <w:noWrap/>
            <w:hideMark/>
          </w:tcPr>
          <w:p w14:paraId="199CD815" w14:textId="77777777" w:rsidR="004231DD" w:rsidRPr="004231DD" w:rsidRDefault="004231DD" w:rsidP="00437235">
            <w:pPr>
              <w:pStyle w:val="TableBody"/>
            </w:pPr>
            <w:r w:rsidRPr="004231DD">
              <w:t>63%</w:t>
            </w:r>
          </w:p>
        </w:tc>
        <w:tc>
          <w:tcPr>
            <w:tcW w:w="834" w:type="pct"/>
            <w:noWrap/>
            <w:hideMark/>
          </w:tcPr>
          <w:p w14:paraId="311A4A10" w14:textId="77777777" w:rsidR="004231DD" w:rsidRPr="004231DD" w:rsidRDefault="004231DD" w:rsidP="00437235">
            <w:pPr>
              <w:pStyle w:val="TableBody"/>
            </w:pPr>
            <w:r w:rsidRPr="004231DD">
              <w:t>-</w:t>
            </w:r>
          </w:p>
        </w:tc>
        <w:tc>
          <w:tcPr>
            <w:tcW w:w="834" w:type="pct"/>
            <w:noWrap/>
            <w:hideMark/>
          </w:tcPr>
          <w:p w14:paraId="589816A3" w14:textId="77777777" w:rsidR="004231DD" w:rsidRPr="004231DD" w:rsidRDefault="004231DD" w:rsidP="00437235">
            <w:pPr>
              <w:pStyle w:val="TableBody"/>
            </w:pPr>
            <w:r w:rsidRPr="004231DD">
              <w:t>25%</w:t>
            </w:r>
          </w:p>
        </w:tc>
      </w:tr>
      <w:tr w:rsidR="00EE6BE4" w:rsidRPr="004231DD" w14:paraId="70D3E22B" w14:textId="77777777" w:rsidTr="006B364A">
        <w:trPr>
          <w:trHeight w:val="290"/>
        </w:trPr>
        <w:tc>
          <w:tcPr>
            <w:tcW w:w="833" w:type="pct"/>
            <w:noWrap/>
            <w:hideMark/>
          </w:tcPr>
          <w:p w14:paraId="42497611" w14:textId="77777777" w:rsidR="004231DD" w:rsidRPr="004231DD" w:rsidRDefault="004231DD" w:rsidP="00437235">
            <w:pPr>
              <w:pStyle w:val="TableBody"/>
            </w:pPr>
            <w:r w:rsidRPr="004231DD">
              <w:t>2014</w:t>
            </w:r>
          </w:p>
        </w:tc>
        <w:tc>
          <w:tcPr>
            <w:tcW w:w="834" w:type="pct"/>
            <w:noWrap/>
            <w:hideMark/>
          </w:tcPr>
          <w:p w14:paraId="17434E0F" w14:textId="77777777" w:rsidR="004231DD" w:rsidRPr="004231DD" w:rsidRDefault="004231DD" w:rsidP="00437235">
            <w:pPr>
              <w:pStyle w:val="TableBody"/>
            </w:pPr>
            <w:r w:rsidRPr="004231DD">
              <w:t>60%</w:t>
            </w:r>
          </w:p>
        </w:tc>
        <w:tc>
          <w:tcPr>
            <w:tcW w:w="834" w:type="pct"/>
            <w:noWrap/>
            <w:hideMark/>
          </w:tcPr>
          <w:p w14:paraId="0C164DCC" w14:textId="77777777" w:rsidR="004231DD" w:rsidRPr="004231DD" w:rsidRDefault="004231DD" w:rsidP="00437235">
            <w:pPr>
              <w:pStyle w:val="TableBody"/>
            </w:pPr>
            <w:r w:rsidRPr="004231DD">
              <w:t>47%</w:t>
            </w:r>
          </w:p>
        </w:tc>
        <w:tc>
          <w:tcPr>
            <w:tcW w:w="833" w:type="pct"/>
            <w:noWrap/>
            <w:hideMark/>
          </w:tcPr>
          <w:p w14:paraId="4EB3555D" w14:textId="77777777" w:rsidR="004231DD" w:rsidRPr="004231DD" w:rsidRDefault="004231DD" w:rsidP="00437235">
            <w:pPr>
              <w:pStyle w:val="TableBody"/>
            </w:pPr>
            <w:r w:rsidRPr="004231DD">
              <w:t>63%</w:t>
            </w:r>
          </w:p>
        </w:tc>
        <w:tc>
          <w:tcPr>
            <w:tcW w:w="834" w:type="pct"/>
            <w:noWrap/>
            <w:hideMark/>
          </w:tcPr>
          <w:p w14:paraId="50DEAAD9" w14:textId="77777777" w:rsidR="004231DD" w:rsidRPr="004231DD" w:rsidRDefault="004231DD" w:rsidP="00437235">
            <w:pPr>
              <w:pStyle w:val="TableBody"/>
            </w:pPr>
            <w:r w:rsidRPr="004231DD">
              <w:t>-</w:t>
            </w:r>
          </w:p>
        </w:tc>
        <w:tc>
          <w:tcPr>
            <w:tcW w:w="834" w:type="pct"/>
            <w:noWrap/>
            <w:hideMark/>
          </w:tcPr>
          <w:p w14:paraId="094D2D6A" w14:textId="77777777" w:rsidR="004231DD" w:rsidRPr="004231DD" w:rsidRDefault="004231DD" w:rsidP="00437235">
            <w:pPr>
              <w:pStyle w:val="TableBody"/>
            </w:pPr>
            <w:r w:rsidRPr="004231DD">
              <w:t>13%</w:t>
            </w:r>
          </w:p>
        </w:tc>
      </w:tr>
      <w:tr w:rsidR="00EE6BE4" w:rsidRPr="004231DD" w14:paraId="0798F90B" w14:textId="77777777" w:rsidTr="006B364A">
        <w:trPr>
          <w:trHeight w:val="290"/>
        </w:trPr>
        <w:tc>
          <w:tcPr>
            <w:tcW w:w="833" w:type="pct"/>
            <w:noWrap/>
            <w:hideMark/>
          </w:tcPr>
          <w:p w14:paraId="0B988156" w14:textId="77777777" w:rsidR="004231DD" w:rsidRPr="004231DD" w:rsidRDefault="004231DD" w:rsidP="00437235">
            <w:pPr>
              <w:pStyle w:val="TableBody"/>
            </w:pPr>
            <w:r w:rsidRPr="004231DD">
              <w:t>2015</w:t>
            </w:r>
          </w:p>
        </w:tc>
        <w:tc>
          <w:tcPr>
            <w:tcW w:w="834" w:type="pct"/>
            <w:noWrap/>
            <w:hideMark/>
          </w:tcPr>
          <w:p w14:paraId="74A68180" w14:textId="77777777" w:rsidR="004231DD" w:rsidRPr="004231DD" w:rsidRDefault="004231DD" w:rsidP="00437235">
            <w:pPr>
              <w:pStyle w:val="TableBody"/>
            </w:pPr>
            <w:r w:rsidRPr="004231DD">
              <w:t>59%</w:t>
            </w:r>
          </w:p>
        </w:tc>
        <w:tc>
          <w:tcPr>
            <w:tcW w:w="834" w:type="pct"/>
            <w:noWrap/>
            <w:hideMark/>
          </w:tcPr>
          <w:p w14:paraId="32C313B9" w14:textId="77777777" w:rsidR="004231DD" w:rsidRPr="004231DD" w:rsidRDefault="004231DD" w:rsidP="00437235">
            <w:pPr>
              <w:pStyle w:val="TableBody"/>
            </w:pPr>
            <w:r w:rsidRPr="004231DD">
              <w:t>49%</w:t>
            </w:r>
          </w:p>
        </w:tc>
        <w:tc>
          <w:tcPr>
            <w:tcW w:w="833" w:type="pct"/>
            <w:noWrap/>
            <w:hideMark/>
          </w:tcPr>
          <w:p w14:paraId="00D85C61" w14:textId="77777777" w:rsidR="004231DD" w:rsidRPr="004231DD" w:rsidRDefault="004231DD" w:rsidP="00437235">
            <w:pPr>
              <w:pStyle w:val="TableBody"/>
            </w:pPr>
            <w:r w:rsidRPr="004231DD">
              <w:t>64%</w:t>
            </w:r>
          </w:p>
        </w:tc>
        <w:tc>
          <w:tcPr>
            <w:tcW w:w="834" w:type="pct"/>
            <w:noWrap/>
            <w:hideMark/>
          </w:tcPr>
          <w:p w14:paraId="075CA33F" w14:textId="77777777" w:rsidR="004231DD" w:rsidRPr="004231DD" w:rsidRDefault="004231DD" w:rsidP="00437235">
            <w:pPr>
              <w:pStyle w:val="TableBody"/>
            </w:pPr>
            <w:r w:rsidRPr="004231DD">
              <w:t>28%</w:t>
            </w:r>
          </w:p>
        </w:tc>
        <w:tc>
          <w:tcPr>
            <w:tcW w:w="834" w:type="pct"/>
            <w:noWrap/>
            <w:hideMark/>
          </w:tcPr>
          <w:p w14:paraId="07EF6F99" w14:textId="77777777" w:rsidR="004231DD" w:rsidRPr="004231DD" w:rsidRDefault="004231DD" w:rsidP="00437235">
            <w:pPr>
              <w:pStyle w:val="TableBody"/>
            </w:pPr>
            <w:r w:rsidRPr="004231DD">
              <w:t>17%</w:t>
            </w:r>
          </w:p>
        </w:tc>
      </w:tr>
      <w:tr w:rsidR="00EE6BE4" w:rsidRPr="004231DD" w14:paraId="79123AE7" w14:textId="77777777" w:rsidTr="006B364A">
        <w:trPr>
          <w:trHeight w:val="290"/>
        </w:trPr>
        <w:tc>
          <w:tcPr>
            <w:tcW w:w="833" w:type="pct"/>
            <w:noWrap/>
            <w:hideMark/>
          </w:tcPr>
          <w:p w14:paraId="1296DC86" w14:textId="77777777" w:rsidR="004231DD" w:rsidRPr="004231DD" w:rsidRDefault="004231DD" w:rsidP="00437235">
            <w:pPr>
              <w:pStyle w:val="TableBody"/>
            </w:pPr>
            <w:r w:rsidRPr="004231DD">
              <w:t>2016</w:t>
            </w:r>
          </w:p>
        </w:tc>
        <w:tc>
          <w:tcPr>
            <w:tcW w:w="834" w:type="pct"/>
            <w:noWrap/>
            <w:hideMark/>
          </w:tcPr>
          <w:p w14:paraId="4096C161" w14:textId="77777777" w:rsidR="004231DD" w:rsidRPr="004231DD" w:rsidRDefault="004231DD" w:rsidP="00437235">
            <w:pPr>
              <w:pStyle w:val="TableBody"/>
            </w:pPr>
            <w:r w:rsidRPr="004231DD">
              <w:t>62%</w:t>
            </w:r>
          </w:p>
        </w:tc>
        <w:tc>
          <w:tcPr>
            <w:tcW w:w="834" w:type="pct"/>
            <w:noWrap/>
            <w:hideMark/>
          </w:tcPr>
          <w:p w14:paraId="72858D60" w14:textId="77777777" w:rsidR="004231DD" w:rsidRPr="004231DD" w:rsidRDefault="004231DD" w:rsidP="00437235">
            <w:pPr>
              <w:pStyle w:val="TableBody"/>
            </w:pPr>
            <w:r w:rsidRPr="004231DD">
              <w:t>49%</w:t>
            </w:r>
          </w:p>
        </w:tc>
        <w:tc>
          <w:tcPr>
            <w:tcW w:w="833" w:type="pct"/>
            <w:noWrap/>
            <w:hideMark/>
          </w:tcPr>
          <w:p w14:paraId="088D8A06" w14:textId="77777777" w:rsidR="004231DD" w:rsidRPr="004231DD" w:rsidRDefault="004231DD" w:rsidP="00437235">
            <w:pPr>
              <w:pStyle w:val="TableBody"/>
            </w:pPr>
            <w:r w:rsidRPr="004231DD">
              <w:t>69%</w:t>
            </w:r>
          </w:p>
        </w:tc>
        <w:tc>
          <w:tcPr>
            <w:tcW w:w="834" w:type="pct"/>
            <w:noWrap/>
            <w:hideMark/>
          </w:tcPr>
          <w:p w14:paraId="38F4BC41" w14:textId="77777777" w:rsidR="004231DD" w:rsidRPr="004231DD" w:rsidRDefault="004231DD" w:rsidP="00437235">
            <w:pPr>
              <w:pStyle w:val="TableBody"/>
            </w:pPr>
            <w:r w:rsidRPr="004231DD">
              <w:t>26%</w:t>
            </w:r>
          </w:p>
        </w:tc>
        <w:tc>
          <w:tcPr>
            <w:tcW w:w="834" w:type="pct"/>
            <w:noWrap/>
            <w:hideMark/>
          </w:tcPr>
          <w:p w14:paraId="1FE6ECAC" w14:textId="77777777" w:rsidR="004231DD" w:rsidRPr="004231DD" w:rsidRDefault="004231DD" w:rsidP="00437235">
            <w:pPr>
              <w:pStyle w:val="TableBody"/>
            </w:pPr>
            <w:r w:rsidRPr="004231DD">
              <w:t>26%</w:t>
            </w:r>
          </w:p>
        </w:tc>
      </w:tr>
      <w:tr w:rsidR="00EE6BE4" w:rsidRPr="004231DD" w14:paraId="22201983" w14:textId="77777777" w:rsidTr="006B364A">
        <w:trPr>
          <w:trHeight w:val="290"/>
        </w:trPr>
        <w:tc>
          <w:tcPr>
            <w:tcW w:w="833" w:type="pct"/>
            <w:noWrap/>
            <w:hideMark/>
          </w:tcPr>
          <w:p w14:paraId="4B6AA781" w14:textId="77777777" w:rsidR="004231DD" w:rsidRPr="004231DD" w:rsidRDefault="004231DD" w:rsidP="00437235">
            <w:pPr>
              <w:pStyle w:val="TableBody"/>
            </w:pPr>
            <w:r w:rsidRPr="004231DD">
              <w:t>2017</w:t>
            </w:r>
          </w:p>
        </w:tc>
        <w:tc>
          <w:tcPr>
            <w:tcW w:w="834" w:type="pct"/>
            <w:noWrap/>
            <w:hideMark/>
          </w:tcPr>
          <w:p w14:paraId="55A8D5CE" w14:textId="77777777" w:rsidR="004231DD" w:rsidRPr="004231DD" w:rsidRDefault="004231DD" w:rsidP="00437235">
            <w:pPr>
              <w:pStyle w:val="TableBody"/>
            </w:pPr>
            <w:r w:rsidRPr="004231DD">
              <w:t>62%</w:t>
            </w:r>
          </w:p>
        </w:tc>
        <w:tc>
          <w:tcPr>
            <w:tcW w:w="834" w:type="pct"/>
            <w:noWrap/>
            <w:hideMark/>
          </w:tcPr>
          <w:p w14:paraId="491F26CA" w14:textId="77777777" w:rsidR="004231DD" w:rsidRPr="004231DD" w:rsidRDefault="004231DD" w:rsidP="00437235">
            <w:pPr>
              <w:pStyle w:val="TableBody"/>
            </w:pPr>
            <w:r w:rsidRPr="004231DD">
              <w:t>47%</w:t>
            </w:r>
          </w:p>
        </w:tc>
        <w:tc>
          <w:tcPr>
            <w:tcW w:w="833" w:type="pct"/>
            <w:noWrap/>
            <w:hideMark/>
          </w:tcPr>
          <w:p w14:paraId="4B1FDCE3" w14:textId="77777777" w:rsidR="004231DD" w:rsidRPr="004231DD" w:rsidRDefault="004231DD" w:rsidP="00437235">
            <w:pPr>
              <w:pStyle w:val="TableBody"/>
            </w:pPr>
            <w:r w:rsidRPr="004231DD">
              <w:t>69%</w:t>
            </w:r>
          </w:p>
        </w:tc>
        <w:tc>
          <w:tcPr>
            <w:tcW w:w="834" w:type="pct"/>
            <w:noWrap/>
            <w:hideMark/>
          </w:tcPr>
          <w:p w14:paraId="2069D193" w14:textId="77777777" w:rsidR="004231DD" w:rsidRPr="004231DD" w:rsidRDefault="004231DD" w:rsidP="00437235">
            <w:pPr>
              <w:pStyle w:val="TableBody"/>
            </w:pPr>
            <w:r w:rsidRPr="004231DD">
              <w:t>34%</w:t>
            </w:r>
          </w:p>
        </w:tc>
        <w:tc>
          <w:tcPr>
            <w:tcW w:w="834" w:type="pct"/>
            <w:noWrap/>
            <w:hideMark/>
          </w:tcPr>
          <w:p w14:paraId="1699B777" w14:textId="77777777" w:rsidR="004231DD" w:rsidRPr="004231DD" w:rsidRDefault="004231DD" w:rsidP="00437235">
            <w:pPr>
              <w:pStyle w:val="TableBody"/>
            </w:pPr>
            <w:r w:rsidRPr="004231DD">
              <w:t>25%</w:t>
            </w:r>
          </w:p>
        </w:tc>
      </w:tr>
      <w:tr w:rsidR="00EE6BE4" w:rsidRPr="004231DD" w14:paraId="35533715" w14:textId="77777777" w:rsidTr="006B364A">
        <w:trPr>
          <w:trHeight w:val="290"/>
        </w:trPr>
        <w:tc>
          <w:tcPr>
            <w:tcW w:w="833" w:type="pct"/>
            <w:noWrap/>
            <w:hideMark/>
          </w:tcPr>
          <w:p w14:paraId="447F82CB" w14:textId="77777777" w:rsidR="004231DD" w:rsidRPr="004231DD" w:rsidRDefault="004231DD" w:rsidP="00437235">
            <w:pPr>
              <w:pStyle w:val="TableBody"/>
            </w:pPr>
            <w:r w:rsidRPr="004231DD">
              <w:t>2018</w:t>
            </w:r>
          </w:p>
        </w:tc>
        <w:tc>
          <w:tcPr>
            <w:tcW w:w="834" w:type="pct"/>
            <w:noWrap/>
            <w:hideMark/>
          </w:tcPr>
          <w:p w14:paraId="6AC9752B" w14:textId="77777777" w:rsidR="004231DD" w:rsidRPr="004231DD" w:rsidRDefault="004231DD" w:rsidP="00437235">
            <w:pPr>
              <w:pStyle w:val="TableBody"/>
            </w:pPr>
            <w:r w:rsidRPr="004231DD">
              <w:t>60%</w:t>
            </w:r>
          </w:p>
        </w:tc>
        <w:tc>
          <w:tcPr>
            <w:tcW w:w="834" w:type="pct"/>
            <w:noWrap/>
            <w:hideMark/>
          </w:tcPr>
          <w:p w14:paraId="4DA0E124" w14:textId="77777777" w:rsidR="004231DD" w:rsidRPr="004231DD" w:rsidRDefault="004231DD" w:rsidP="00437235">
            <w:pPr>
              <w:pStyle w:val="TableBody"/>
            </w:pPr>
            <w:r w:rsidRPr="004231DD">
              <w:t>49%</w:t>
            </w:r>
          </w:p>
        </w:tc>
        <w:tc>
          <w:tcPr>
            <w:tcW w:w="833" w:type="pct"/>
            <w:noWrap/>
            <w:hideMark/>
          </w:tcPr>
          <w:p w14:paraId="2FE9F8EC" w14:textId="77777777" w:rsidR="004231DD" w:rsidRPr="004231DD" w:rsidRDefault="004231DD" w:rsidP="00437235">
            <w:pPr>
              <w:pStyle w:val="TableBody"/>
            </w:pPr>
            <w:r w:rsidRPr="004231DD">
              <w:t>66%</w:t>
            </w:r>
          </w:p>
        </w:tc>
        <w:tc>
          <w:tcPr>
            <w:tcW w:w="834" w:type="pct"/>
            <w:noWrap/>
            <w:hideMark/>
          </w:tcPr>
          <w:p w14:paraId="3DFF3D37" w14:textId="77777777" w:rsidR="004231DD" w:rsidRPr="004231DD" w:rsidRDefault="004231DD" w:rsidP="00437235">
            <w:pPr>
              <w:pStyle w:val="TableBody"/>
            </w:pPr>
            <w:r w:rsidRPr="004231DD">
              <w:t>29%</w:t>
            </w:r>
          </w:p>
        </w:tc>
        <w:tc>
          <w:tcPr>
            <w:tcW w:w="834" w:type="pct"/>
            <w:noWrap/>
            <w:hideMark/>
          </w:tcPr>
          <w:p w14:paraId="03DC4BC3" w14:textId="77777777" w:rsidR="004231DD" w:rsidRPr="004231DD" w:rsidRDefault="004231DD" w:rsidP="00437235">
            <w:pPr>
              <w:pStyle w:val="TableBody"/>
            </w:pPr>
            <w:r w:rsidRPr="004231DD">
              <w:t>17%</w:t>
            </w:r>
          </w:p>
        </w:tc>
      </w:tr>
      <w:tr w:rsidR="00EE6BE4" w:rsidRPr="004231DD" w14:paraId="0E3DC6FB" w14:textId="77777777" w:rsidTr="006B364A">
        <w:trPr>
          <w:trHeight w:val="290"/>
        </w:trPr>
        <w:tc>
          <w:tcPr>
            <w:tcW w:w="833" w:type="pct"/>
            <w:noWrap/>
            <w:hideMark/>
          </w:tcPr>
          <w:p w14:paraId="5474DFCB" w14:textId="77777777" w:rsidR="004231DD" w:rsidRPr="004231DD" w:rsidRDefault="004231DD" w:rsidP="00437235">
            <w:pPr>
              <w:pStyle w:val="TableBody"/>
            </w:pPr>
            <w:r w:rsidRPr="004231DD">
              <w:t>2019</w:t>
            </w:r>
          </w:p>
        </w:tc>
        <w:tc>
          <w:tcPr>
            <w:tcW w:w="834" w:type="pct"/>
            <w:noWrap/>
            <w:hideMark/>
          </w:tcPr>
          <w:p w14:paraId="22BA4D4F" w14:textId="77777777" w:rsidR="004231DD" w:rsidRPr="004231DD" w:rsidRDefault="004231DD" w:rsidP="00437235">
            <w:pPr>
              <w:pStyle w:val="TableBody"/>
            </w:pPr>
            <w:r w:rsidRPr="004231DD">
              <w:t>61%</w:t>
            </w:r>
          </w:p>
        </w:tc>
        <w:tc>
          <w:tcPr>
            <w:tcW w:w="834" w:type="pct"/>
            <w:noWrap/>
            <w:hideMark/>
          </w:tcPr>
          <w:p w14:paraId="60348C04" w14:textId="77777777" w:rsidR="004231DD" w:rsidRPr="004231DD" w:rsidRDefault="004231DD" w:rsidP="00437235">
            <w:pPr>
              <w:pStyle w:val="TableBody"/>
            </w:pPr>
            <w:r w:rsidRPr="004231DD">
              <w:t>50%</w:t>
            </w:r>
          </w:p>
        </w:tc>
        <w:tc>
          <w:tcPr>
            <w:tcW w:w="833" w:type="pct"/>
            <w:noWrap/>
            <w:hideMark/>
          </w:tcPr>
          <w:p w14:paraId="5AEC57C2" w14:textId="77777777" w:rsidR="004231DD" w:rsidRPr="004231DD" w:rsidRDefault="004231DD" w:rsidP="00437235">
            <w:pPr>
              <w:pStyle w:val="TableBody"/>
            </w:pPr>
            <w:r w:rsidRPr="004231DD">
              <w:t>70%</w:t>
            </w:r>
          </w:p>
        </w:tc>
        <w:tc>
          <w:tcPr>
            <w:tcW w:w="834" w:type="pct"/>
            <w:noWrap/>
            <w:hideMark/>
          </w:tcPr>
          <w:p w14:paraId="37EF934E" w14:textId="77777777" w:rsidR="004231DD" w:rsidRPr="004231DD" w:rsidRDefault="004231DD" w:rsidP="00437235">
            <w:pPr>
              <w:pStyle w:val="TableBody"/>
            </w:pPr>
            <w:r w:rsidRPr="004231DD">
              <w:t>21%</w:t>
            </w:r>
          </w:p>
        </w:tc>
        <w:tc>
          <w:tcPr>
            <w:tcW w:w="834" w:type="pct"/>
            <w:noWrap/>
            <w:hideMark/>
          </w:tcPr>
          <w:p w14:paraId="7CF2EB67" w14:textId="77777777" w:rsidR="004231DD" w:rsidRPr="004231DD" w:rsidRDefault="004231DD" w:rsidP="00437235">
            <w:pPr>
              <w:pStyle w:val="TableBody"/>
            </w:pPr>
            <w:r w:rsidRPr="004231DD">
              <w:t>16%</w:t>
            </w:r>
          </w:p>
        </w:tc>
      </w:tr>
    </w:tbl>
    <w:p w14:paraId="74A68228" w14:textId="77777777" w:rsidR="005A3418" w:rsidRPr="00D36673" w:rsidRDefault="005A3418" w:rsidP="009C2A37">
      <w:pPr>
        <w:pStyle w:val="Numbered"/>
      </w:pPr>
      <w:r w:rsidRPr="00D36673">
        <w:t xml:space="preserve">There were comparatively few recorded threats to commit a sexual offence or threats to assault an emergency worker; these offences occurred much less often in a family violence context. Almost all threats to assault an emergency worker related to police or protective services officers (91%, with a further 8% relating to unspecified emergency workers). Stakeholders suggested that the absence of recorded threat offences against correctional workers could be because assaults and threats in </w:t>
      </w:r>
      <w:r w:rsidRPr="00D36673">
        <w:lastRenderedPageBreak/>
        <w:t>prisons are often resolved with disciplinary charges, rather than through the justice system.</w:t>
      </w:r>
      <w:r w:rsidRPr="00D36673">
        <w:rPr>
          <w:rStyle w:val="Superscript"/>
        </w:rPr>
        <w:footnoteReference w:id="120"/>
      </w:r>
    </w:p>
    <w:p w14:paraId="32DC301E" w14:textId="35858626" w:rsidR="005A3418" w:rsidRPr="00D36673" w:rsidRDefault="005A3418" w:rsidP="00957F3A">
      <w:pPr>
        <w:pStyle w:val="Heading1Numbered"/>
      </w:pPr>
      <w:bookmarkStart w:id="6" w:name="_Toc75445781"/>
      <w:r w:rsidRPr="00D36673">
        <w:lastRenderedPageBreak/>
        <w:t>Sentenced threat offences</w:t>
      </w:r>
      <w:bookmarkEnd w:id="6"/>
    </w:p>
    <w:p w14:paraId="442EC4D7" w14:textId="77777777" w:rsidR="005A3418" w:rsidRPr="00D36673" w:rsidRDefault="005A3418" w:rsidP="0059183C">
      <w:pPr>
        <w:pStyle w:val="Numbered"/>
      </w:pPr>
      <w:r w:rsidRPr="00D36673">
        <w:t xml:space="preserve">Using court data, this chapter examines who was sentenced for threat offences, which threat offences they were sentenced for, and which court they were sentenced in.  Where relevant, this includes comparisons between male offenders and female offenders, and between family violence cases and non-family violence cases. </w:t>
      </w:r>
    </w:p>
    <w:p w14:paraId="5142530E" w14:textId="77777777" w:rsidR="005A3418" w:rsidRPr="00D36673" w:rsidRDefault="005A3418" w:rsidP="0086723D">
      <w:pPr>
        <w:pStyle w:val="Heading2"/>
      </w:pPr>
      <w:r w:rsidRPr="00D36673">
        <w:t>How many threat offences were sentenced?</w:t>
      </w:r>
    </w:p>
    <w:p w14:paraId="78792FF3" w14:textId="77777777" w:rsidR="005A3418" w:rsidRPr="00D36673" w:rsidRDefault="005A3418" w:rsidP="0059183C">
      <w:pPr>
        <w:pStyle w:val="Numbered"/>
      </w:pPr>
      <w:r w:rsidRPr="00D36673">
        <w:t>Between 1 January 2015 and 31 December 2019 (the reference period), 18,775 threat charges were sentenced in 13,846 cases. The threat offence was the principal proven offence in 5,163 cases,</w:t>
      </w:r>
      <w:r w:rsidRPr="00D36673">
        <w:rPr>
          <w:rStyle w:val="Superscript"/>
        </w:rPr>
        <w:footnoteReference w:id="121"/>
      </w:r>
      <w:r w:rsidRPr="00D36673">
        <w:t xml:space="preserve"> meaning another offence was the most serious offence in 8,683 cases. </w:t>
      </w:r>
    </w:p>
    <w:p w14:paraId="5C3184BF" w14:textId="77777777" w:rsidR="005A3418" w:rsidRPr="00D36673" w:rsidRDefault="005A3418" w:rsidP="0059183C">
      <w:pPr>
        <w:pStyle w:val="Numbered"/>
      </w:pPr>
      <w:r w:rsidRPr="00D36673">
        <w:t xml:space="preserve">As shown in Figure 5, the most common threat offence sentenced during the reference period was threat to kill (55% of threat offences). This was followed by threat to inflict serious injury (31%) and threat to destroy or damage property (12%). The remaining offences of threat to assault an emergency worker and threat to commit a sexual offence made up the remaining 2%. </w:t>
      </w:r>
    </w:p>
    <w:p w14:paraId="72BE7CCF" w14:textId="77777777" w:rsidR="005A3418" w:rsidRPr="00D36673" w:rsidRDefault="005A3418" w:rsidP="00711AFB">
      <w:pPr>
        <w:pStyle w:val="Caption"/>
      </w:pPr>
      <w:r w:rsidRPr="00C9259E">
        <w:t xml:space="preserve">Figure 5: </w:t>
      </w:r>
      <w:r w:rsidRPr="00D36673">
        <w:t>Number of threat offences sentenced in Victoria, all courts, 2015 to 2019</w:t>
      </w:r>
      <w:r w:rsidRPr="00D36673">
        <w:rPr>
          <w:rStyle w:val="Superscript"/>
        </w:rPr>
        <w:footnoteReference w:id="122"/>
      </w:r>
    </w:p>
    <w:tbl>
      <w:tblPr>
        <w:tblStyle w:val="Table"/>
        <w:tblW w:w="5000" w:type="pct"/>
        <w:tblLayout w:type="fixed"/>
        <w:tblLook w:val="04A0" w:firstRow="1" w:lastRow="0" w:firstColumn="1" w:lastColumn="0" w:noHBand="0" w:noVBand="1"/>
      </w:tblPr>
      <w:tblGrid>
        <w:gridCol w:w="1288"/>
        <w:gridCol w:w="1288"/>
        <w:gridCol w:w="1288"/>
        <w:gridCol w:w="1288"/>
        <w:gridCol w:w="1288"/>
        <w:gridCol w:w="1288"/>
        <w:gridCol w:w="1288"/>
      </w:tblGrid>
      <w:tr w:rsidR="0034522E" w:rsidRPr="007C33A6" w14:paraId="36B39C97" w14:textId="1D9F998F" w:rsidTr="00EB29E2">
        <w:trPr>
          <w:trHeight w:val="290"/>
          <w:tblHeader/>
        </w:trPr>
        <w:tc>
          <w:tcPr>
            <w:tcW w:w="714" w:type="pct"/>
            <w:noWrap/>
            <w:hideMark/>
          </w:tcPr>
          <w:p w14:paraId="2775A8C6" w14:textId="7C0A68FF" w:rsidR="0034522E" w:rsidRPr="001A385B" w:rsidRDefault="0034522E" w:rsidP="0034522E">
            <w:pPr>
              <w:pStyle w:val="TableHeading"/>
            </w:pPr>
            <w:r>
              <w:t>Year</w:t>
            </w:r>
          </w:p>
        </w:tc>
        <w:tc>
          <w:tcPr>
            <w:tcW w:w="714" w:type="pct"/>
            <w:noWrap/>
            <w:hideMark/>
          </w:tcPr>
          <w:p w14:paraId="67D8757D" w14:textId="77777777" w:rsidR="0034522E" w:rsidRPr="001A385B" w:rsidRDefault="0034522E" w:rsidP="0034522E">
            <w:pPr>
              <w:pStyle w:val="TableHeading"/>
            </w:pPr>
            <w:r w:rsidRPr="001A385B">
              <w:t>Threat to kill</w:t>
            </w:r>
          </w:p>
        </w:tc>
        <w:tc>
          <w:tcPr>
            <w:tcW w:w="714" w:type="pct"/>
            <w:noWrap/>
            <w:hideMark/>
          </w:tcPr>
          <w:p w14:paraId="76203A23" w14:textId="2B9F8A9D" w:rsidR="0034522E" w:rsidRPr="001A385B" w:rsidRDefault="0034522E" w:rsidP="0034522E">
            <w:pPr>
              <w:pStyle w:val="TableHeading"/>
            </w:pPr>
            <w:r w:rsidRPr="001A385B">
              <w:t xml:space="preserve">Threat to </w:t>
            </w:r>
            <w:r w:rsidR="00377BF5">
              <w:t>inflict serious injury</w:t>
            </w:r>
          </w:p>
        </w:tc>
        <w:tc>
          <w:tcPr>
            <w:tcW w:w="714" w:type="pct"/>
            <w:noWrap/>
            <w:hideMark/>
          </w:tcPr>
          <w:p w14:paraId="4D6348F9" w14:textId="77777777" w:rsidR="0034522E" w:rsidRPr="001A385B" w:rsidRDefault="0034522E" w:rsidP="0034522E">
            <w:pPr>
              <w:pStyle w:val="TableHeading"/>
            </w:pPr>
            <w:r w:rsidRPr="001A385B">
              <w:t>Threat to damage or destroy property</w:t>
            </w:r>
          </w:p>
        </w:tc>
        <w:tc>
          <w:tcPr>
            <w:tcW w:w="714" w:type="pct"/>
            <w:noWrap/>
            <w:hideMark/>
          </w:tcPr>
          <w:p w14:paraId="74F366D3" w14:textId="0575DF28" w:rsidR="0034522E" w:rsidRPr="001A385B" w:rsidRDefault="0034522E" w:rsidP="0034522E">
            <w:pPr>
              <w:pStyle w:val="TableHeading"/>
            </w:pPr>
            <w:r w:rsidRPr="001A385B">
              <w:t xml:space="preserve">Threat to assault </w:t>
            </w:r>
            <w:r w:rsidR="00377BF5">
              <w:t xml:space="preserve">an </w:t>
            </w:r>
            <w:r w:rsidRPr="001A385B">
              <w:t>emergency worker</w:t>
            </w:r>
          </w:p>
        </w:tc>
        <w:tc>
          <w:tcPr>
            <w:tcW w:w="714" w:type="pct"/>
            <w:noWrap/>
            <w:hideMark/>
          </w:tcPr>
          <w:p w14:paraId="38BC9BD9" w14:textId="77777777" w:rsidR="0034522E" w:rsidRPr="001A385B" w:rsidRDefault="0034522E" w:rsidP="0034522E">
            <w:pPr>
              <w:pStyle w:val="TableHeading"/>
            </w:pPr>
            <w:r w:rsidRPr="001A385B">
              <w:t>Threat to commit sexual offence</w:t>
            </w:r>
          </w:p>
        </w:tc>
        <w:tc>
          <w:tcPr>
            <w:tcW w:w="714" w:type="pct"/>
          </w:tcPr>
          <w:p w14:paraId="0ED2B23B" w14:textId="254F2701" w:rsidR="0034522E" w:rsidRPr="001A385B" w:rsidRDefault="0034522E" w:rsidP="0034522E">
            <w:pPr>
              <w:pStyle w:val="TableHeading"/>
            </w:pPr>
            <w:r>
              <w:t>Total</w:t>
            </w:r>
          </w:p>
        </w:tc>
      </w:tr>
      <w:tr w:rsidR="0034522E" w:rsidRPr="007C33A6" w14:paraId="514F7E0C" w14:textId="440C4C83" w:rsidTr="00AD509E">
        <w:trPr>
          <w:trHeight w:val="57"/>
        </w:trPr>
        <w:tc>
          <w:tcPr>
            <w:tcW w:w="714" w:type="pct"/>
            <w:hideMark/>
          </w:tcPr>
          <w:p w14:paraId="238B0EA5" w14:textId="10FD8E60" w:rsidR="0034522E" w:rsidRPr="001A385B" w:rsidRDefault="0034522E" w:rsidP="001A385B">
            <w:pPr>
              <w:pStyle w:val="TableBody"/>
            </w:pPr>
            <w:r w:rsidRPr="001A385B">
              <w:t>2015</w:t>
            </w:r>
          </w:p>
        </w:tc>
        <w:tc>
          <w:tcPr>
            <w:tcW w:w="714" w:type="pct"/>
            <w:noWrap/>
            <w:hideMark/>
          </w:tcPr>
          <w:p w14:paraId="28BD95DA" w14:textId="2312106B" w:rsidR="0034522E" w:rsidRPr="001A385B" w:rsidRDefault="0034522E" w:rsidP="001A385B">
            <w:pPr>
              <w:pStyle w:val="TableBody"/>
            </w:pPr>
            <w:r w:rsidRPr="001A385B">
              <w:t>1</w:t>
            </w:r>
            <w:r w:rsidR="00030DA8">
              <w:t>,</w:t>
            </w:r>
            <w:r w:rsidRPr="001A385B">
              <w:t>973</w:t>
            </w:r>
          </w:p>
        </w:tc>
        <w:tc>
          <w:tcPr>
            <w:tcW w:w="714" w:type="pct"/>
            <w:noWrap/>
            <w:hideMark/>
          </w:tcPr>
          <w:p w14:paraId="0C2A91BB" w14:textId="0CC18954" w:rsidR="0034522E" w:rsidRPr="001A385B" w:rsidRDefault="0034522E" w:rsidP="001A385B">
            <w:pPr>
              <w:pStyle w:val="TableBody"/>
            </w:pPr>
            <w:r w:rsidRPr="001A385B">
              <w:t>1</w:t>
            </w:r>
            <w:r w:rsidR="00030DA8">
              <w:t>,</w:t>
            </w:r>
            <w:r w:rsidRPr="001A385B">
              <w:t>155</w:t>
            </w:r>
          </w:p>
        </w:tc>
        <w:tc>
          <w:tcPr>
            <w:tcW w:w="714" w:type="pct"/>
            <w:noWrap/>
            <w:hideMark/>
          </w:tcPr>
          <w:p w14:paraId="58257BFD" w14:textId="77777777" w:rsidR="0034522E" w:rsidRPr="001A385B" w:rsidRDefault="0034522E" w:rsidP="001A385B">
            <w:pPr>
              <w:pStyle w:val="TableBody"/>
            </w:pPr>
            <w:r w:rsidRPr="001A385B">
              <w:t>413</w:t>
            </w:r>
          </w:p>
        </w:tc>
        <w:tc>
          <w:tcPr>
            <w:tcW w:w="714" w:type="pct"/>
            <w:noWrap/>
            <w:hideMark/>
          </w:tcPr>
          <w:p w14:paraId="31127692" w14:textId="77777777" w:rsidR="0034522E" w:rsidRPr="001A385B" w:rsidRDefault="0034522E" w:rsidP="001A385B">
            <w:pPr>
              <w:pStyle w:val="TableBody"/>
            </w:pPr>
            <w:r w:rsidRPr="001A385B">
              <w:t>33</w:t>
            </w:r>
          </w:p>
        </w:tc>
        <w:tc>
          <w:tcPr>
            <w:tcW w:w="714" w:type="pct"/>
            <w:noWrap/>
            <w:hideMark/>
          </w:tcPr>
          <w:p w14:paraId="2C5B9AD4" w14:textId="77777777" w:rsidR="0034522E" w:rsidRPr="001A385B" w:rsidRDefault="0034522E" w:rsidP="001A385B">
            <w:pPr>
              <w:pStyle w:val="TableBody"/>
            </w:pPr>
            <w:r w:rsidRPr="001A385B">
              <w:t>1</w:t>
            </w:r>
          </w:p>
        </w:tc>
        <w:tc>
          <w:tcPr>
            <w:tcW w:w="714" w:type="pct"/>
          </w:tcPr>
          <w:p w14:paraId="26E01795" w14:textId="020B6FAF" w:rsidR="0034522E" w:rsidRPr="001A385B" w:rsidRDefault="00EB29E2" w:rsidP="001A385B">
            <w:pPr>
              <w:pStyle w:val="TableBody"/>
            </w:pPr>
            <w:r w:rsidRPr="001A385B">
              <w:t>3,575</w:t>
            </w:r>
          </w:p>
        </w:tc>
      </w:tr>
      <w:tr w:rsidR="0034522E" w:rsidRPr="007C33A6" w14:paraId="0C003FB6" w14:textId="7DF5685F" w:rsidTr="00AD509E">
        <w:trPr>
          <w:trHeight w:val="57"/>
        </w:trPr>
        <w:tc>
          <w:tcPr>
            <w:tcW w:w="714" w:type="pct"/>
            <w:hideMark/>
          </w:tcPr>
          <w:p w14:paraId="71A373B0" w14:textId="19E24295" w:rsidR="0034522E" w:rsidRPr="001A385B" w:rsidRDefault="0034522E" w:rsidP="001A385B">
            <w:pPr>
              <w:pStyle w:val="TableBody"/>
            </w:pPr>
            <w:r w:rsidRPr="001A385B">
              <w:t xml:space="preserve">2016 </w:t>
            </w:r>
          </w:p>
        </w:tc>
        <w:tc>
          <w:tcPr>
            <w:tcW w:w="714" w:type="pct"/>
            <w:noWrap/>
            <w:hideMark/>
          </w:tcPr>
          <w:p w14:paraId="269A2545" w14:textId="070CA976" w:rsidR="0034522E" w:rsidRPr="001A385B" w:rsidRDefault="0034522E" w:rsidP="001A385B">
            <w:pPr>
              <w:pStyle w:val="TableBody"/>
            </w:pPr>
            <w:r w:rsidRPr="001A385B">
              <w:t>2</w:t>
            </w:r>
            <w:r w:rsidR="00030DA8">
              <w:t>,</w:t>
            </w:r>
            <w:r w:rsidRPr="001A385B">
              <w:t>112</w:t>
            </w:r>
          </w:p>
        </w:tc>
        <w:tc>
          <w:tcPr>
            <w:tcW w:w="714" w:type="pct"/>
            <w:noWrap/>
            <w:hideMark/>
          </w:tcPr>
          <w:p w14:paraId="02948523" w14:textId="77BE185B" w:rsidR="0034522E" w:rsidRPr="001A385B" w:rsidRDefault="0034522E" w:rsidP="001A385B">
            <w:pPr>
              <w:pStyle w:val="TableBody"/>
            </w:pPr>
            <w:r w:rsidRPr="001A385B">
              <w:t>1</w:t>
            </w:r>
            <w:r w:rsidR="00030DA8">
              <w:t>,</w:t>
            </w:r>
            <w:r w:rsidRPr="001A385B">
              <w:t>246</w:t>
            </w:r>
          </w:p>
        </w:tc>
        <w:tc>
          <w:tcPr>
            <w:tcW w:w="714" w:type="pct"/>
            <w:noWrap/>
            <w:hideMark/>
          </w:tcPr>
          <w:p w14:paraId="16C4449E" w14:textId="77777777" w:rsidR="0034522E" w:rsidRPr="001A385B" w:rsidRDefault="0034522E" w:rsidP="001A385B">
            <w:pPr>
              <w:pStyle w:val="TableBody"/>
            </w:pPr>
            <w:r w:rsidRPr="001A385B">
              <w:t>448</w:t>
            </w:r>
          </w:p>
        </w:tc>
        <w:tc>
          <w:tcPr>
            <w:tcW w:w="714" w:type="pct"/>
            <w:noWrap/>
            <w:hideMark/>
          </w:tcPr>
          <w:p w14:paraId="02891E06" w14:textId="77777777" w:rsidR="0034522E" w:rsidRPr="001A385B" w:rsidRDefault="0034522E" w:rsidP="001A385B">
            <w:pPr>
              <w:pStyle w:val="TableBody"/>
            </w:pPr>
            <w:r w:rsidRPr="001A385B">
              <w:t>70</w:t>
            </w:r>
          </w:p>
        </w:tc>
        <w:tc>
          <w:tcPr>
            <w:tcW w:w="714" w:type="pct"/>
            <w:noWrap/>
            <w:hideMark/>
          </w:tcPr>
          <w:p w14:paraId="61516E45" w14:textId="77777777" w:rsidR="0034522E" w:rsidRPr="001A385B" w:rsidRDefault="0034522E" w:rsidP="001A385B">
            <w:pPr>
              <w:pStyle w:val="TableBody"/>
            </w:pPr>
            <w:r w:rsidRPr="001A385B">
              <w:t>9</w:t>
            </w:r>
          </w:p>
        </w:tc>
        <w:tc>
          <w:tcPr>
            <w:tcW w:w="714" w:type="pct"/>
          </w:tcPr>
          <w:p w14:paraId="4AB1FC06" w14:textId="0494DFCB" w:rsidR="0034522E" w:rsidRPr="001A385B" w:rsidRDefault="00465557" w:rsidP="001A385B">
            <w:pPr>
              <w:pStyle w:val="TableBody"/>
            </w:pPr>
            <w:r w:rsidRPr="001A385B">
              <w:t>3,885</w:t>
            </w:r>
          </w:p>
        </w:tc>
      </w:tr>
      <w:tr w:rsidR="0034522E" w:rsidRPr="007C33A6" w14:paraId="627C19A9" w14:textId="291E413B" w:rsidTr="00AD509E">
        <w:trPr>
          <w:trHeight w:val="57"/>
        </w:trPr>
        <w:tc>
          <w:tcPr>
            <w:tcW w:w="714" w:type="pct"/>
            <w:hideMark/>
          </w:tcPr>
          <w:p w14:paraId="0098F027" w14:textId="49749E1B" w:rsidR="0034522E" w:rsidRPr="001A385B" w:rsidRDefault="0034522E" w:rsidP="001A385B">
            <w:pPr>
              <w:pStyle w:val="TableBody"/>
            </w:pPr>
            <w:r w:rsidRPr="001A385B">
              <w:t xml:space="preserve">2017 </w:t>
            </w:r>
          </w:p>
        </w:tc>
        <w:tc>
          <w:tcPr>
            <w:tcW w:w="714" w:type="pct"/>
            <w:noWrap/>
            <w:hideMark/>
          </w:tcPr>
          <w:p w14:paraId="0641C324" w14:textId="0BCDC1C4" w:rsidR="0034522E" w:rsidRPr="001A385B" w:rsidRDefault="0034522E" w:rsidP="001A385B">
            <w:pPr>
              <w:pStyle w:val="TableBody"/>
            </w:pPr>
            <w:r w:rsidRPr="001A385B">
              <w:t>2</w:t>
            </w:r>
            <w:r w:rsidR="00030DA8">
              <w:t>,</w:t>
            </w:r>
            <w:r w:rsidRPr="001A385B">
              <w:t>154</w:t>
            </w:r>
          </w:p>
        </w:tc>
        <w:tc>
          <w:tcPr>
            <w:tcW w:w="714" w:type="pct"/>
            <w:noWrap/>
            <w:hideMark/>
          </w:tcPr>
          <w:p w14:paraId="23E7EDAF" w14:textId="52B947C7" w:rsidR="0034522E" w:rsidRPr="001A385B" w:rsidRDefault="0034522E" w:rsidP="001A385B">
            <w:pPr>
              <w:pStyle w:val="TableBody"/>
            </w:pPr>
            <w:r w:rsidRPr="001A385B">
              <w:t>1</w:t>
            </w:r>
            <w:r w:rsidR="00030DA8">
              <w:t>,</w:t>
            </w:r>
            <w:r w:rsidRPr="001A385B">
              <w:t>198</w:t>
            </w:r>
          </w:p>
        </w:tc>
        <w:tc>
          <w:tcPr>
            <w:tcW w:w="714" w:type="pct"/>
            <w:noWrap/>
            <w:hideMark/>
          </w:tcPr>
          <w:p w14:paraId="13961AFE" w14:textId="77777777" w:rsidR="0034522E" w:rsidRPr="001A385B" w:rsidRDefault="0034522E" w:rsidP="001A385B">
            <w:pPr>
              <w:pStyle w:val="TableBody"/>
            </w:pPr>
            <w:r w:rsidRPr="001A385B">
              <w:t>486</w:t>
            </w:r>
          </w:p>
        </w:tc>
        <w:tc>
          <w:tcPr>
            <w:tcW w:w="714" w:type="pct"/>
            <w:noWrap/>
            <w:hideMark/>
          </w:tcPr>
          <w:p w14:paraId="0096303F" w14:textId="77777777" w:rsidR="0034522E" w:rsidRPr="001A385B" w:rsidRDefault="0034522E" w:rsidP="001A385B">
            <w:pPr>
              <w:pStyle w:val="TableBody"/>
            </w:pPr>
            <w:r w:rsidRPr="001A385B">
              <w:t>87</w:t>
            </w:r>
          </w:p>
        </w:tc>
        <w:tc>
          <w:tcPr>
            <w:tcW w:w="714" w:type="pct"/>
            <w:noWrap/>
            <w:hideMark/>
          </w:tcPr>
          <w:p w14:paraId="1CC591EE" w14:textId="77777777" w:rsidR="0034522E" w:rsidRPr="001A385B" w:rsidRDefault="0034522E" w:rsidP="001A385B">
            <w:pPr>
              <w:pStyle w:val="TableBody"/>
            </w:pPr>
            <w:r w:rsidRPr="001A385B">
              <w:t>18</w:t>
            </w:r>
          </w:p>
        </w:tc>
        <w:tc>
          <w:tcPr>
            <w:tcW w:w="714" w:type="pct"/>
          </w:tcPr>
          <w:p w14:paraId="08B9401D" w14:textId="59214BEE" w:rsidR="0034522E" w:rsidRPr="001A385B" w:rsidRDefault="00465557" w:rsidP="001A385B">
            <w:pPr>
              <w:pStyle w:val="TableBody"/>
            </w:pPr>
            <w:r w:rsidRPr="001A385B">
              <w:t>3,943</w:t>
            </w:r>
          </w:p>
        </w:tc>
      </w:tr>
      <w:tr w:rsidR="0034522E" w:rsidRPr="007C33A6" w14:paraId="47F69631" w14:textId="45DD5D8B" w:rsidTr="00AD509E">
        <w:trPr>
          <w:trHeight w:val="57"/>
        </w:trPr>
        <w:tc>
          <w:tcPr>
            <w:tcW w:w="714" w:type="pct"/>
            <w:hideMark/>
          </w:tcPr>
          <w:p w14:paraId="4DF14CF3" w14:textId="638A3DE0" w:rsidR="0034522E" w:rsidRPr="001A385B" w:rsidRDefault="0034522E" w:rsidP="001A385B">
            <w:pPr>
              <w:pStyle w:val="TableBody"/>
            </w:pPr>
            <w:r w:rsidRPr="001A385B">
              <w:t xml:space="preserve">2018 </w:t>
            </w:r>
          </w:p>
        </w:tc>
        <w:tc>
          <w:tcPr>
            <w:tcW w:w="714" w:type="pct"/>
            <w:noWrap/>
            <w:hideMark/>
          </w:tcPr>
          <w:p w14:paraId="3D21D6FA" w14:textId="6F8F2646" w:rsidR="0034522E" w:rsidRPr="001A385B" w:rsidRDefault="0034522E" w:rsidP="001A385B">
            <w:pPr>
              <w:pStyle w:val="TableBody"/>
            </w:pPr>
            <w:r w:rsidRPr="001A385B">
              <w:t>1</w:t>
            </w:r>
            <w:r w:rsidR="00030DA8">
              <w:t>,</w:t>
            </w:r>
            <w:r w:rsidRPr="001A385B">
              <w:t>975</w:t>
            </w:r>
          </w:p>
        </w:tc>
        <w:tc>
          <w:tcPr>
            <w:tcW w:w="714" w:type="pct"/>
            <w:noWrap/>
            <w:hideMark/>
          </w:tcPr>
          <w:p w14:paraId="56410059" w14:textId="29038CB7" w:rsidR="0034522E" w:rsidRPr="001A385B" w:rsidRDefault="0034522E" w:rsidP="001A385B">
            <w:pPr>
              <w:pStyle w:val="TableBody"/>
            </w:pPr>
            <w:r w:rsidRPr="001A385B">
              <w:t>1</w:t>
            </w:r>
            <w:r w:rsidR="00030DA8">
              <w:t>,</w:t>
            </w:r>
            <w:r w:rsidRPr="001A385B">
              <w:t>128</w:t>
            </w:r>
          </w:p>
        </w:tc>
        <w:tc>
          <w:tcPr>
            <w:tcW w:w="714" w:type="pct"/>
            <w:noWrap/>
            <w:hideMark/>
          </w:tcPr>
          <w:p w14:paraId="16B733C5" w14:textId="77777777" w:rsidR="0034522E" w:rsidRPr="001A385B" w:rsidRDefault="0034522E" w:rsidP="001A385B">
            <w:pPr>
              <w:pStyle w:val="TableBody"/>
            </w:pPr>
            <w:r w:rsidRPr="001A385B">
              <w:t>478</w:t>
            </w:r>
          </w:p>
        </w:tc>
        <w:tc>
          <w:tcPr>
            <w:tcW w:w="714" w:type="pct"/>
            <w:noWrap/>
            <w:hideMark/>
          </w:tcPr>
          <w:p w14:paraId="0D49D374" w14:textId="77777777" w:rsidR="0034522E" w:rsidRPr="001A385B" w:rsidRDefault="0034522E" w:rsidP="001A385B">
            <w:pPr>
              <w:pStyle w:val="TableBody"/>
            </w:pPr>
            <w:r w:rsidRPr="001A385B">
              <w:t>73</w:t>
            </w:r>
          </w:p>
        </w:tc>
        <w:tc>
          <w:tcPr>
            <w:tcW w:w="714" w:type="pct"/>
            <w:noWrap/>
            <w:hideMark/>
          </w:tcPr>
          <w:p w14:paraId="6441B62C" w14:textId="77777777" w:rsidR="0034522E" w:rsidRPr="001A385B" w:rsidRDefault="0034522E" w:rsidP="001A385B">
            <w:pPr>
              <w:pStyle w:val="TableBody"/>
            </w:pPr>
            <w:r w:rsidRPr="001A385B">
              <w:t>14</w:t>
            </w:r>
          </w:p>
        </w:tc>
        <w:tc>
          <w:tcPr>
            <w:tcW w:w="714" w:type="pct"/>
          </w:tcPr>
          <w:p w14:paraId="585A8280" w14:textId="080F14CF" w:rsidR="0034522E" w:rsidRPr="001A385B" w:rsidRDefault="00465557" w:rsidP="001A385B">
            <w:pPr>
              <w:pStyle w:val="TableBody"/>
            </w:pPr>
            <w:r w:rsidRPr="001A385B">
              <w:t>3,668</w:t>
            </w:r>
          </w:p>
        </w:tc>
      </w:tr>
      <w:tr w:rsidR="0034522E" w:rsidRPr="007C33A6" w14:paraId="7843611F" w14:textId="234D3CA6" w:rsidTr="00AD509E">
        <w:trPr>
          <w:trHeight w:val="57"/>
        </w:trPr>
        <w:tc>
          <w:tcPr>
            <w:tcW w:w="714" w:type="pct"/>
            <w:hideMark/>
          </w:tcPr>
          <w:p w14:paraId="59ECB855" w14:textId="6D9761A7" w:rsidR="0034522E" w:rsidRPr="001A385B" w:rsidRDefault="0034522E" w:rsidP="001A385B">
            <w:pPr>
              <w:pStyle w:val="TableBody"/>
            </w:pPr>
            <w:r w:rsidRPr="001A385B">
              <w:lastRenderedPageBreak/>
              <w:t>2019</w:t>
            </w:r>
          </w:p>
        </w:tc>
        <w:tc>
          <w:tcPr>
            <w:tcW w:w="714" w:type="pct"/>
            <w:noWrap/>
            <w:hideMark/>
          </w:tcPr>
          <w:p w14:paraId="6968693F" w14:textId="61BC381D" w:rsidR="0034522E" w:rsidRPr="001A385B" w:rsidRDefault="0034522E" w:rsidP="001A385B">
            <w:pPr>
              <w:pStyle w:val="TableBody"/>
            </w:pPr>
            <w:r w:rsidRPr="001A385B">
              <w:t>2</w:t>
            </w:r>
            <w:r w:rsidR="00030DA8">
              <w:t>,</w:t>
            </w:r>
            <w:r w:rsidRPr="001A385B">
              <w:t>001</w:t>
            </w:r>
          </w:p>
        </w:tc>
        <w:tc>
          <w:tcPr>
            <w:tcW w:w="714" w:type="pct"/>
            <w:noWrap/>
            <w:hideMark/>
          </w:tcPr>
          <w:p w14:paraId="659A83F4" w14:textId="0839FFC8" w:rsidR="0034522E" w:rsidRPr="001A385B" w:rsidRDefault="0034522E" w:rsidP="001A385B">
            <w:pPr>
              <w:pStyle w:val="TableBody"/>
            </w:pPr>
            <w:r w:rsidRPr="001A385B">
              <w:t>1</w:t>
            </w:r>
            <w:r w:rsidR="00030DA8">
              <w:t>,</w:t>
            </w:r>
            <w:r w:rsidRPr="001A385B">
              <w:t>096</w:t>
            </w:r>
          </w:p>
        </w:tc>
        <w:tc>
          <w:tcPr>
            <w:tcW w:w="714" w:type="pct"/>
            <w:noWrap/>
            <w:hideMark/>
          </w:tcPr>
          <w:p w14:paraId="73C52152" w14:textId="77777777" w:rsidR="0034522E" w:rsidRPr="001A385B" w:rsidRDefault="0034522E" w:rsidP="001A385B">
            <w:pPr>
              <w:pStyle w:val="TableBody"/>
            </w:pPr>
            <w:r w:rsidRPr="001A385B">
              <w:t>502</w:t>
            </w:r>
          </w:p>
        </w:tc>
        <w:tc>
          <w:tcPr>
            <w:tcW w:w="714" w:type="pct"/>
            <w:noWrap/>
            <w:hideMark/>
          </w:tcPr>
          <w:p w14:paraId="6C9C4664" w14:textId="77777777" w:rsidR="0034522E" w:rsidRPr="001A385B" w:rsidRDefault="0034522E" w:rsidP="001A385B">
            <w:pPr>
              <w:pStyle w:val="TableBody"/>
            </w:pPr>
            <w:r w:rsidRPr="001A385B">
              <w:t>73</w:t>
            </w:r>
          </w:p>
        </w:tc>
        <w:tc>
          <w:tcPr>
            <w:tcW w:w="714" w:type="pct"/>
            <w:noWrap/>
            <w:hideMark/>
          </w:tcPr>
          <w:p w14:paraId="4245510E" w14:textId="77777777" w:rsidR="0034522E" w:rsidRPr="001A385B" w:rsidRDefault="0034522E" w:rsidP="001A385B">
            <w:pPr>
              <w:pStyle w:val="TableBody"/>
            </w:pPr>
            <w:r w:rsidRPr="001A385B">
              <w:t>32</w:t>
            </w:r>
          </w:p>
        </w:tc>
        <w:tc>
          <w:tcPr>
            <w:tcW w:w="714" w:type="pct"/>
          </w:tcPr>
          <w:p w14:paraId="651C5F1B" w14:textId="5FF2493F" w:rsidR="0034522E" w:rsidRPr="001A385B" w:rsidRDefault="00465557" w:rsidP="001A385B">
            <w:pPr>
              <w:pStyle w:val="TableBody"/>
            </w:pPr>
            <w:r w:rsidRPr="001A385B">
              <w:t>3,704</w:t>
            </w:r>
          </w:p>
        </w:tc>
      </w:tr>
    </w:tbl>
    <w:p w14:paraId="3D782AD2" w14:textId="77777777" w:rsidR="005A3418" w:rsidRPr="00D36673" w:rsidRDefault="005A3418" w:rsidP="0059183C">
      <w:pPr>
        <w:pStyle w:val="Numbered"/>
      </w:pPr>
      <w:r w:rsidRPr="00D36673">
        <w:t>This is broadly consistent with the relative numbers of the various threat offences recorded by police. The low number of sentenced threats to assault an emergency worker is also consistent with research recently undertaken in Queensland, finding that 4% of assaults of public officers were threats.</w:t>
      </w:r>
      <w:r w:rsidRPr="00D36673">
        <w:rPr>
          <w:rStyle w:val="Superscript"/>
        </w:rPr>
        <w:footnoteReference w:id="123"/>
      </w:r>
      <w:r w:rsidRPr="00D36673">
        <w:t xml:space="preserve"> Threats to inflict serious injury were, though, more common in sentenced offence data than in recorded offence data (31% of sentenced threat offences compared to 24% of recorded threat offences), and threats to kill were less common (55% compared to 65%). This could suggest that offences initially recorded as threat to kill are often resolved during plea negotiations to threat to inflict serious injury. </w:t>
      </w:r>
    </w:p>
    <w:p w14:paraId="460F97A6" w14:textId="77777777" w:rsidR="005A3418" w:rsidRPr="00D36673" w:rsidRDefault="005A3418" w:rsidP="0059183C">
      <w:pPr>
        <w:pStyle w:val="Numbered"/>
      </w:pPr>
      <w:r w:rsidRPr="00D36673">
        <w:t>In consultation, stakeholders commented that the sentences</w:t>
      </w:r>
      <w:r w:rsidRPr="00A24E18">
        <w:rPr>
          <w:rStyle w:val="Emphasis"/>
        </w:rPr>
        <w:t xml:space="preserve"> </w:t>
      </w:r>
      <w:r w:rsidRPr="00D36673">
        <w:t>imposed on threat to kill and threat to inflict serious injury depended more on the underlying nature of the threat than on the specific charge. Indeed, many threats are ambiguous enough that they could arguably be classified as either threat to kill or threat to inflict serious injury; this could explain the near parity in sentence types imposed for these two threat offences.</w:t>
      </w:r>
      <w:r w:rsidRPr="00D36673">
        <w:rPr>
          <w:rStyle w:val="Superscript"/>
        </w:rPr>
        <w:footnoteReference w:id="124"/>
      </w:r>
      <w:r w:rsidRPr="00D36673">
        <w:t xml:space="preserve"> The lower incidence of threat to kill in sentenced offence data compared to recorded offence data is most likely attributable to ambiguity in the nature of many threats. In addition, offenders are more likely to plead guilty to threat to inflict serious injury </w:t>
      </w:r>
      <w:r w:rsidRPr="00D36673">
        <w:lastRenderedPageBreak/>
        <w:t xml:space="preserve">than to threat to kill. This is principally because threat to inflict serious injury has a lower maximum penalty (five years’ imprisonment) than threat to kill (10 years’ imprisonment); and because threat to kill is considered a ‘serious violent offence’ under the </w:t>
      </w:r>
      <w:r w:rsidRPr="00A24E18">
        <w:rPr>
          <w:rStyle w:val="Emphasis"/>
        </w:rPr>
        <w:t xml:space="preserve">Sentencing Act 1991 </w:t>
      </w:r>
      <w:r w:rsidRPr="00D36673">
        <w:t>(Vic),</w:t>
      </w:r>
      <w:r w:rsidRPr="00D36673">
        <w:rPr>
          <w:rStyle w:val="Superscript"/>
        </w:rPr>
        <w:footnoteReference w:id="125"/>
      </w:r>
      <w:r w:rsidRPr="00D36673">
        <w:t xml:space="preserve"> which can significantly affect how the court sentences the offence.</w:t>
      </w:r>
      <w:r w:rsidRPr="00D36673">
        <w:rPr>
          <w:rStyle w:val="Superscript"/>
        </w:rPr>
        <w:footnoteReference w:id="126"/>
      </w:r>
    </w:p>
    <w:p w14:paraId="5F39A195" w14:textId="77777777" w:rsidR="005A3418" w:rsidRPr="00D36673" w:rsidRDefault="005A3418" w:rsidP="0059183C">
      <w:pPr>
        <w:pStyle w:val="Numbered"/>
      </w:pPr>
      <w:r w:rsidRPr="00D36673">
        <w:t>The proportion of recorded threat offences that are eventually sentenced appears to be relatively high. Nearly 45,000 threat offences were recorded between 2015 and 2019, and 18,775 threat charges were sentenced in Victoria in that same timeframe. This is not a proper attrition analysis because it does not follow individual charges as they progress through the justice system; however, it tentatively suggests that about 42% of recorded threat offences go on to be sentenced. This is high compared to image-based sexual abuse and contact sexual offences,</w:t>
      </w:r>
      <w:r w:rsidRPr="00D36673">
        <w:rPr>
          <w:rStyle w:val="Superscript"/>
        </w:rPr>
        <w:footnoteReference w:id="127"/>
      </w:r>
      <w:r w:rsidRPr="00D36673">
        <w:t xml:space="preserve"> even compared to threat offences in other jurisdictions.</w:t>
      </w:r>
      <w:r w:rsidRPr="00D36673">
        <w:rPr>
          <w:rStyle w:val="Superscript"/>
        </w:rPr>
        <w:footnoteReference w:id="128"/>
      </w:r>
      <w:r w:rsidRPr="00D36673">
        <w:t xml:space="preserve"> The proportion of recorded offences to sentenced offences varied by offence, though, ranging from 15% for threat to commit a sexual offence to 68% for threat to assault an emergency worker.</w:t>
      </w:r>
      <w:r w:rsidRPr="00D36673">
        <w:rPr>
          <w:rStyle w:val="Superscript"/>
        </w:rPr>
        <w:footnoteReference w:id="129"/>
      </w:r>
      <w:r w:rsidRPr="00D36673">
        <w:t xml:space="preserve"> The low proportion of threats to commit a </w:t>
      </w:r>
      <w:r w:rsidRPr="00D36673">
        <w:lastRenderedPageBreak/>
        <w:t>sexual offence that are ultimately sentenced is consistent with the high attrition rates for sex offences generally.</w:t>
      </w:r>
      <w:r w:rsidRPr="00D36673">
        <w:rPr>
          <w:rStyle w:val="Superscript"/>
        </w:rPr>
        <w:footnoteReference w:id="130"/>
      </w:r>
      <w:r w:rsidRPr="00D36673">
        <w:t xml:space="preserve"> </w:t>
      </w:r>
    </w:p>
    <w:p w14:paraId="40F8A8A5" w14:textId="77777777" w:rsidR="005A3418" w:rsidRPr="00D36673" w:rsidRDefault="005A3418" w:rsidP="0086723D">
      <w:pPr>
        <w:pStyle w:val="Heading2"/>
      </w:pPr>
      <w:r w:rsidRPr="00D36673">
        <w:t>Courts sentencing threat offences</w:t>
      </w:r>
    </w:p>
    <w:p w14:paraId="1E6AA1C7" w14:textId="77777777" w:rsidR="005A3418" w:rsidRPr="00D36673" w:rsidRDefault="005A3418" w:rsidP="0059183C">
      <w:pPr>
        <w:pStyle w:val="Numbered"/>
      </w:pPr>
      <w:r w:rsidRPr="00D36673">
        <w:t xml:space="preserve">The vast majority of threat offences (16,390 or 87%) were sentenced in the Magistrates’ Court, while 1,864 (10%) were sentenced in the Children’s Court and 521 (3%) were sentenced in the higher courts. </w:t>
      </w:r>
    </w:p>
    <w:p w14:paraId="7BCD0EFB" w14:textId="77777777" w:rsidR="005A3418" w:rsidRPr="00D36673" w:rsidRDefault="005A3418" w:rsidP="0059183C">
      <w:pPr>
        <w:pStyle w:val="Numbered"/>
      </w:pPr>
      <w:r w:rsidRPr="00D36673">
        <w:t>The types of threat offences sentenced varied by jurisdiction. In the higher courts, threats to kill constituted nearly three-quarters (72%) of threat offences sentenced, whereas they constituted 55% of threat offences in the Magistrates’ Court and 41% of threat offences in the Children’s Court. In the Children’s Court, threats to inflict serious injury were more common than threats to kill (46% of threat offences).</w:t>
      </w:r>
    </w:p>
    <w:p w14:paraId="04C49C29" w14:textId="77777777" w:rsidR="005A3418" w:rsidRPr="00D36673" w:rsidRDefault="005A3418" w:rsidP="00711AFB">
      <w:pPr>
        <w:pStyle w:val="Caption"/>
      </w:pPr>
      <w:r w:rsidRPr="00C9259E">
        <w:t>Figure 6:</w:t>
      </w:r>
      <w:r w:rsidRPr="00D36673">
        <w:t xml:space="preserve"> Number of threat offences sentenced in each court in Victoria, by offence type, 2015 to 2019</w:t>
      </w:r>
      <w:r w:rsidRPr="00D36673">
        <w:rPr>
          <w:rStyle w:val="Superscript"/>
        </w:rPr>
        <w:footnoteReference w:id="131"/>
      </w:r>
    </w:p>
    <w:tbl>
      <w:tblPr>
        <w:tblStyle w:val="Table"/>
        <w:tblW w:w="9390" w:type="dxa"/>
        <w:tblLayout w:type="fixed"/>
        <w:tblLook w:val="04A0" w:firstRow="1" w:lastRow="0" w:firstColumn="1" w:lastColumn="0" w:noHBand="0" w:noVBand="1"/>
      </w:tblPr>
      <w:tblGrid>
        <w:gridCol w:w="2347"/>
        <w:gridCol w:w="2348"/>
        <w:gridCol w:w="2347"/>
        <w:gridCol w:w="2348"/>
      </w:tblGrid>
      <w:tr w:rsidR="00D04D9A" w:rsidRPr="00D04D9A" w14:paraId="273D619D" w14:textId="77777777" w:rsidTr="0051383F">
        <w:trPr>
          <w:trHeight w:val="340"/>
          <w:tblHeader/>
        </w:trPr>
        <w:tc>
          <w:tcPr>
            <w:tcW w:w="2347" w:type="dxa"/>
            <w:noWrap/>
            <w:hideMark/>
          </w:tcPr>
          <w:p w14:paraId="0370DB6B" w14:textId="0355C5F3" w:rsidR="00D04D9A" w:rsidRPr="00D04D9A" w:rsidRDefault="006C1244" w:rsidP="00D87283">
            <w:pPr>
              <w:pStyle w:val="TableHeading"/>
            </w:pPr>
            <w:r>
              <w:t>Offence</w:t>
            </w:r>
          </w:p>
        </w:tc>
        <w:tc>
          <w:tcPr>
            <w:tcW w:w="2348" w:type="dxa"/>
            <w:hideMark/>
          </w:tcPr>
          <w:p w14:paraId="1B9E4D4C" w14:textId="77777777" w:rsidR="00D04D9A" w:rsidRPr="00D04D9A" w:rsidRDefault="00D04D9A" w:rsidP="00D87283">
            <w:pPr>
              <w:pStyle w:val="TableHeading"/>
            </w:pPr>
            <w:r w:rsidRPr="00D04D9A">
              <w:t>Children's Court</w:t>
            </w:r>
            <w:r w:rsidRPr="00D04D9A">
              <w:br/>
              <w:t xml:space="preserve"> (1,864 charges)</w:t>
            </w:r>
          </w:p>
        </w:tc>
        <w:tc>
          <w:tcPr>
            <w:tcW w:w="2347" w:type="dxa"/>
            <w:hideMark/>
          </w:tcPr>
          <w:p w14:paraId="230823A5" w14:textId="77777777" w:rsidR="00D04D9A" w:rsidRPr="00D04D9A" w:rsidRDefault="00D04D9A" w:rsidP="00D87283">
            <w:pPr>
              <w:pStyle w:val="TableHeading"/>
            </w:pPr>
            <w:r w:rsidRPr="00D04D9A">
              <w:t xml:space="preserve">Magistrates' Court </w:t>
            </w:r>
            <w:r w:rsidRPr="00D04D9A">
              <w:br/>
              <w:t>(16,390 charges)</w:t>
            </w:r>
          </w:p>
        </w:tc>
        <w:tc>
          <w:tcPr>
            <w:tcW w:w="2348" w:type="dxa"/>
            <w:hideMark/>
          </w:tcPr>
          <w:p w14:paraId="0A4C2BEA" w14:textId="77777777" w:rsidR="00D04D9A" w:rsidRPr="00D04D9A" w:rsidRDefault="00D04D9A" w:rsidP="00D87283">
            <w:pPr>
              <w:pStyle w:val="TableHeading"/>
            </w:pPr>
            <w:r w:rsidRPr="00D04D9A">
              <w:t xml:space="preserve">Higher courts </w:t>
            </w:r>
            <w:r w:rsidRPr="00D04D9A">
              <w:br/>
              <w:t>(521 charges)</w:t>
            </w:r>
          </w:p>
        </w:tc>
      </w:tr>
      <w:tr w:rsidR="00D04D9A" w:rsidRPr="00D04D9A" w14:paraId="4E8B9624" w14:textId="77777777" w:rsidTr="00D87283">
        <w:trPr>
          <w:trHeight w:val="290"/>
        </w:trPr>
        <w:tc>
          <w:tcPr>
            <w:tcW w:w="2347" w:type="dxa"/>
            <w:noWrap/>
            <w:hideMark/>
          </w:tcPr>
          <w:p w14:paraId="78D680F3" w14:textId="34BB7565" w:rsidR="00D04D9A" w:rsidRPr="00D04D9A" w:rsidRDefault="00D04D9A" w:rsidP="00D04D9A">
            <w:pPr>
              <w:pStyle w:val="TableBody"/>
            </w:pPr>
            <w:r w:rsidRPr="00D04D9A">
              <w:t xml:space="preserve">Threat to kill </w:t>
            </w:r>
          </w:p>
        </w:tc>
        <w:tc>
          <w:tcPr>
            <w:tcW w:w="2348" w:type="dxa"/>
            <w:noWrap/>
            <w:hideMark/>
          </w:tcPr>
          <w:p w14:paraId="581DDDF7" w14:textId="4E036554" w:rsidR="00D04D9A" w:rsidRPr="00D04D9A" w:rsidRDefault="00D04D9A" w:rsidP="00D04D9A">
            <w:pPr>
              <w:pStyle w:val="TableBody"/>
            </w:pPr>
            <w:r w:rsidRPr="00D04D9A">
              <w:t xml:space="preserve">761 </w:t>
            </w:r>
          </w:p>
        </w:tc>
        <w:tc>
          <w:tcPr>
            <w:tcW w:w="2347" w:type="dxa"/>
            <w:noWrap/>
            <w:hideMark/>
          </w:tcPr>
          <w:p w14:paraId="0CD937F5" w14:textId="1092DF75" w:rsidR="00D04D9A" w:rsidRPr="00D04D9A" w:rsidRDefault="00D04D9A" w:rsidP="00D04D9A">
            <w:pPr>
              <w:pStyle w:val="TableBody"/>
            </w:pPr>
            <w:r w:rsidRPr="00D04D9A">
              <w:t xml:space="preserve">9,074 </w:t>
            </w:r>
          </w:p>
        </w:tc>
        <w:tc>
          <w:tcPr>
            <w:tcW w:w="2348" w:type="dxa"/>
            <w:noWrap/>
            <w:hideMark/>
          </w:tcPr>
          <w:p w14:paraId="044462B6" w14:textId="2246BE03" w:rsidR="00D04D9A" w:rsidRPr="00D04D9A" w:rsidRDefault="00D04D9A" w:rsidP="00D04D9A">
            <w:pPr>
              <w:pStyle w:val="TableBody"/>
            </w:pPr>
            <w:r w:rsidRPr="00D04D9A">
              <w:t xml:space="preserve">380 </w:t>
            </w:r>
          </w:p>
        </w:tc>
      </w:tr>
      <w:tr w:rsidR="00D04D9A" w:rsidRPr="00D04D9A" w14:paraId="1BDC1B8B" w14:textId="77777777" w:rsidTr="00D87283">
        <w:trPr>
          <w:trHeight w:val="290"/>
        </w:trPr>
        <w:tc>
          <w:tcPr>
            <w:tcW w:w="2347" w:type="dxa"/>
            <w:noWrap/>
            <w:hideMark/>
          </w:tcPr>
          <w:p w14:paraId="5C0BBB7E" w14:textId="5BE0A320" w:rsidR="00D04D9A" w:rsidRPr="00D04D9A" w:rsidRDefault="00D04D9A" w:rsidP="00D04D9A">
            <w:pPr>
              <w:pStyle w:val="TableBody"/>
            </w:pPr>
            <w:r w:rsidRPr="00D04D9A">
              <w:t xml:space="preserve">Threats to </w:t>
            </w:r>
            <w:r w:rsidR="006C1244">
              <w:t>inflict serious injury</w:t>
            </w:r>
            <w:r w:rsidRPr="00D04D9A">
              <w:t xml:space="preserve"> </w:t>
            </w:r>
          </w:p>
        </w:tc>
        <w:tc>
          <w:tcPr>
            <w:tcW w:w="2348" w:type="dxa"/>
            <w:noWrap/>
            <w:hideMark/>
          </w:tcPr>
          <w:p w14:paraId="4924B780" w14:textId="0CD27411" w:rsidR="00D04D9A" w:rsidRPr="00D04D9A" w:rsidRDefault="00D04D9A" w:rsidP="00D04D9A">
            <w:pPr>
              <w:pStyle w:val="TableBody"/>
            </w:pPr>
            <w:r w:rsidRPr="00D04D9A">
              <w:t xml:space="preserve">861 </w:t>
            </w:r>
          </w:p>
        </w:tc>
        <w:tc>
          <w:tcPr>
            <w:tcW w:w="2347" w:type="dxa"/>
            <w:noWrap/>
            <w:hideMark/>
          </w:tcPr>
          <w:p w14:paraId="20A08477" w14:textId="4C20ECF7" w:rsidR="00D04D9A" w:rsidRPr="00D04D9A" w:rsidRDefault="00D04D9A" w:rsidP="00D04D9A">
            <w:pPr>
              <w:pStyle w:val="TableBody"/>
            </w:pPr>
            <w:r w:rsidRPr="00D04D9A">
              <w:t xml:space="preserve">4,841 </w:t>
            </w:r>
          </w:p>
        </w:tc>
        <w:tc>
          <w:tcPr>
            <w:tcW w:w="2348" w:type="dxa"/>
            <w:noWrap/>
            <w:hideMark/>
          </w:tcPr>
          <w:p w14:paraId="49069056" w14:textId="19118286" w:rsidR="00D04D9A" w:rsidRPr="00D04D9A" w:rsidRDefault="00D04D9A" w:rsidP="00D04D9A">
            <w:pPr>
              <w:pStyle w:val="TableBody"/>
            </w:pPr>
            <w:r w:rsidRPr="00D04D9A">
              <w:t xml:space="preserve">121 </w:t>
            </w:r>
          </w:p>
        </w:tc>
      </w:tr>
      <w:tr w:rsidR="00D04D9A" w:rsidRPr="00D04D9A" w14:paraId="1010CE43" w14:textId="77777777" w:rsidTr="00D87283">
        <w:trPr>
          <w:trHeight w:val="290"/>
        </w:trPr>
        <w:tc>
          <w:tcPr>
            <w:tcW w:w="2347" w:type="dxa"/>
            <w:noWrap/>
            <w:hideMark/>
          </w:tcPr>
          <w:p w14:paraId="66197757" w14:textId="260BA143" w:rsidR="00D04D9A" w:rsidRPr="00D04D9A" w:rsidRDefault="00D04D9A" w:rsidP="00D04D9A">
            <w:pPr>
              <w:pStyle w:val="TableBody"/>
            </w:pPr>
            <w:r w:rsidRPr="00D04D9A">
              <w:t>Threat to destroy</w:t>
            </w:r>
            <w:r w:rsidR="00E06B5B">
              <w:t xml:space="preserve"> or </w:t>
            </w:r>
            <w:r w:rsidRPr="00D04D9A">
              <w:t xml:space="preserve">damage property </w:t>
            </w:r>
          </w:p>
        </w:tc>
        <w:tc>
          <w:tcPr>
            <w:tcW w:w="2348" w:type="dxa"/>
            <w:noWrap/>
            <w:hideMark/>
          </w:tcPr>
          <w:p w14:paraId="7A042842" w14:textId="11739819" w:rsidR="00D04D9A" w:rsidRPr="00D04D9A" w:rsidRDefault="00D04D9A" w:rsidP="00D04D9A">
            <w:pPr>
              <w:pStyle w:val="TableBody"/>
            </w:pPr>
            <w:r w:rsidRPr="00D04D9A">
              <w:t xml:space="preserve">195 </w:t>
            </w:r>
          </w:p>
        </w:tc>
        <w:tc>
          <w:tcPr>
            <w:tcW w:w="2347" w:type="dxa"/>
            <w:noWrap/>
            <w:hideMark/>
          </w:tcPr>
          <w:p w14:paraId="0C895C26" w14:textId="7D9FC9FA" w:rsidR="00D04D9A" w:rsidRPr="00D04D9A" w:rsidRDefault="00D04D9A" w:rsidP="00D04D9A">
            <w:pPr>
              <w:pStyle w:val="TableBody"/>
            </w:pPr>
            <w:r w:rsidRPr="00D04D9A">
              <w:t xml:space="preserve">2,120 </w:t>
            </w:r>
          </w:p>
        </w:tc>
        <w:tc>
          <w:tcPr>
            <w:tcW w:w="2348" w:type="dxa"/>
            <w:noWrap/>
            <w:hideMark/>
          </w:tcPr>
          <w:p w14:paraId="0CA0CE23" w14:textId="5E9E3FAC" w:rsidR="00D04D9A" w:rsidRPr="00D04D9A" w:rsidRDefault="00D04D9A" w:rsidP="00D04D9A">
            <w:pPr>
              <w:pStyle w:val="TableBody"/>
            </w:pPr>
            <w:r w:rsidRPr="00D04D9A">
              <w:t xml:space="preserve">12 </w:t>
            </w:r>
          </w:p>
        </w:tc>
      </w:tr>
      <w:tr w:rsidR="00D04D9A" w:rsidRPr="00D04D9A" w14:paraId="571F4592" w14:textId="77777777" w:rsidTr="00D87283">
        <w:trPr>
          <w:trHeight w:val="290"/>
        </w:trPr>
        <w:tc>
          <w:tcPr>
            <w:tcW w:w="2347" w:type="dxa"/>
            <w:noWrap/>
            <w:hideMark/>
          </w:tcPr>
          <w:p w14:paraId="6FC5A6FF" w14:textId="79652ECC" w:rsidR="00D04D9A" w:rsidRPr="00D04D9A" w:rsidRDefault="00D04D9A" w:rsidP="00D04D9A">
            <w:pPr>
              <w:pStyle w:val="TableBody"/>
            </w:pPr>
            <w:r w:rsidRPr="00D04D9A">
              <w:t xml:space="preserve">Threat to assault </w:t>
            </w:r>
            <w:r w:rsidR="00C80E52">
              <w:t xml:space="preserve">an </w:t>
            </w:r>
            <w:r w:rsidRPr="00D04D9A">
              <w:t>emergency worker</w:t>
            </w:r>
          </w:p>
        </w:tc>
        <w:tc>
          <w:tcPr>
            <w:tcW w:w="2348" w:type="dxa"/>
            <w:noWrap/>
            <w:hideMark/>
          </w:tcPr>
          <w:p w14:paraId="0CA4697E" w14:textId="78E91990" w:rsidR="00D04D9A" w:rsidRPr="00D04D9A" w:rsidRDefault="00D04D9A" w:rsidP="00D04D9A">
            <w:pPr>
              <w:pStyle w:val="TableBody"/>
            </w:pPr>
            <w:r w:rsidRPr="00D04D9A">
              <w:t xml:space="preserve">42 </w:t>
            </w:r>
          </w:p>
        </w:tc>
        <w:tc>
          <w:tcPr>
            <w:tcW w:w="2347" w:type="dxa"/>
            <w:noWrap/>
            <w:hideMark/>
          </w:tcPr>
          <w:p w14:paraId="1A6FCD22" w14:textId="4D28AC59" w:rsidR="00D04D9A" w:rsidRPr="00D04D9A" w:rsidRDefault="00D04D9A" w:rsidP="00D04D9A">
            <w:pPr>
              <w:pStyle w:val="TableBody"/>
            </w:pPr>
            <w:r w:rsidRPr="00D04D9A">
              <w:t xml:space="preserve">289 </w:t>
            </w:r>
          </w:p>
        </w:tc>
        <w:tc>
          <w:tcPr>
            <w:tcW w:w="2348" w:type="dxa"/>
            <w:noWrap/>
            <w:hideMark/>
          </w:tcPr>
          <w:p w14:paraId="4E1D5A55" w14:textId="517CA7A5" w:rsidR="00D04D9A" w:rsidRPr="00D04D9A" w:rsidRDefault="00D04D9A" w:rsidP="00D04D9A">
            <w:pPr>
              <w:pStyle w:val="TableBody"/>
            </w:pPr>
            <w:r w:rsidRPr="00D04D9A">
              <w:t xml:space="preserve">5 </w:t>
            </w:r>
          </w:p>
        </w:tc>
      </w:tr>
      <w:tr w:rsidR="00D04D9A" w:rsidRPr="00D04D9A" w14:paraId="43026D5A" w14:textId="77777777" w:rsidTr="00D87283">
        <w:trPr>
          <w:trHeight w:val="290"/>
        </w:trPr>
        <w:tc>
          <w:tcPr>
            <w:tcW w:w="2347" w:type="dxa"/>
            <w:noWrap/>
            <w:hideMark/>
          </w:tcPr>
          <w:p w14:paraId="65BCD1F2" w14:textId="7A62CCAB" w:rsidR="00D04D9A" w:rsidRPr="00D04D9A" w:rsidRDefault="00D04D9A" w:rsidP="00D04D9A">
            <w:pPr>
              <w:pStyle w:val="TableBody"/>
            </w:pPr>
            <w:r w:rsidRPr="00D04D9A">
              <w:t xml:space="preserve">Threat to commit a sexual offence </w:t>
            </w:r>
          </w:p>
        </w:tc>
        <w:tc>
          <w:tcPr>
            <w:tcW w:w="2348" w:type="dxa"/>
            <w:noWrap/>
            <w:hideMark/>
          </w:tcPr>
          <w:p w14:paraId="17CF1DF0" w14:textId="3232C986" w:rsidR="00D04D9A" w:rsidRPr="00D04D9A" w:rsidRDefault="00D04D9A" w:rsidP="00D04D9A">
            <w:pPr>
              <w:pStyle w:val="TableBody"/>
            </w:pPr>
            <w:r w:rsidRPr="00D04D9A">
              <w:t xml:space="preserve">5 </w:t>
            </w:r>
          </w:p>
        </w:tc>
        <w:tc>
          <w:tcPr>
            <w:tcW w:w="2347" w:type="dxa"/>
            <w:noWrap/>
            <w:hideMark/>
          </w:tcPr>
          <w:p w14:paraId="7FBC3EAD" w14:textId="20E8C1A5" w:rsidR="00D04D9A" w:rsidRPr="00D04D9A" w:rsidRDefault="00D04D9A" w:rsidP="00D04D9A">
            <w:pPr>
              <w:pStyle w:val="TableBody"/>
            </w:pPr>
            <w:r w:rsidRPr="00D04D9A">
              <w:t xml:space="preserve">66 </w:t>
            </w:r>
          </w:p>
        </w:tc>
        <w:tc>
          <w:tcPr>
            <w:tcW w:w="2348" w:type="dxa"/>
            <w:noWrap/>
            <w:hideMark/>
          </w:tcPr>
          <w:p w14:paraId="73BD5F6A" w14:textId="4A433A08" w:rsidR="00D04D9A" w:rsidRPr="00D04D9A" w:rsidRDefault="00D04D9A" w:rsidP="00D04D9A">
            <w:pPr>
              <w:pStyle w:val="TableBody"/>
            </w:pPr>
            <w:r w:rsidRPr="00D04D9A">
              <w:t xml:space="preserve">3 </w:t>
            </w:r>
          </w:p>
        </w:tc>
      </w:tr>
    </w:tbl>
    <w:p w14:paraId="09512260" w14:textId="77777777" w:rsidR="005A3418" w:rsidRPr="00D36673" w:rsidRDefault="005A3418" w:rsidP="0086723D">
      <w:pPr>
        <w:pStyle w:val="Heading2"/>
      </w:pPr>
      <w:r w:rsidRPr="00D36673">
        <w:lastRenderedPageBreak/>
        <w:t>Gender of threat offenders</w:t>
      </w:r>
    </w:p>
    <w:p w14:paraId="08A05F92" w14:textId="77777777" w:rsidR="005A3418" w:rsidRPr="00D36673" w:rsidRDefault="005A3418" w:rsidP="0059183C">
      <w:pPr>
        <w:pStyle w:val="Numbered"/>
      </w:pPr>
      <w:r w:rsidRPr="00D36673">
        <w:t>During the reference period, males’ threat offending was more commonly sentenced than females’ threat offending. Males were sentenced for 16,846 threat offences in 12,120 cases (88%).</w:t>
      </w:r>
      <w:r w:rsidRPr="00D36673">
        <w:rPr>
          <w:rStyle w:val="Superscript"/>
        </w:rPr>
        <w:footnoteReference w:id="132"/>
      </w:r>
      <w:r w:rsidRPr="00D36673">
        <w:t xml:space="preserve"> Females were sentenced for 2,289 threat charges in 1,726 cases. Males’ threat offending was also more serious than females’ threat offending (Figure 7, page 22), indicated collectively by the jurisdiction that males were sentenced in, the types of threats they were sentenced for, and the rates of family violence in their cases. Males were least commonly sentenced in the Children’s Court (78%) and most commonly sentenced in the higher courts (94%). Males were sentenced slightly more often than females for threat to kill (54% of males’ threat offences compared to 50% for females’ threat offences). </w:t>
      </w:r>
    </w:p>
    <w:p w14:paraId="0B7F1B57" w14:textId="77777777" w:rsidR="005A3418" w:rsidRPr="00D36673" w:rsidRDefault="005A3418" w:rsidP="0059183C">
      <w:pPr>
        <w:pStyle w:val="Numbered"/>
      </w:pPr>
      <w:r w:rsidRPr="00D36673">
        <w:t>More males than females had made a threat in a family violence context (57% of males’ threat offences compared to 48% of females’ threat offences).  Overall, male offenders were responsible for 90% of all threat charges in family violence cases (Figure 7).</w:t>
      </w:r>
      <w:r w:rsidRPr="00D36673">
        <w:rPr>
          <w:rStyle w:val="Superscript"/>
        </w:rPr>
        <w:footnoteReference w:id="133"/>
      </w:r>
      <w:r w:rsidRPr="00D36673">
        <w:t xml:space="preserve"> </w:t>
      </w:r>
    </w:p>
    <w:p w14:paraId="26488E08" w14:textId="77777777" w:rsidR="005A3418" w:rsidRPr="00D36673" w:rsidRDefault="005A3418" w:rsidP="00711AFB">
      <w:pPr>
        <w:pStyle w:val="Caption"/>
      </w:pPr>
      <w:r w:rsidRPr="00C9259E">
        <w:t xml:space="preserve">Figure 7: </w:t>
      </w:r>
      <w:r w:rsidRPr="00D36673">
        <w:t>Proportion of threat charges by gender of the offender, threat offence type, jurisdiction and family violence indicator, 2015 to 2019</w:t>
      </w:r>
      <w:r w:rsidRPr="00D36673">
        <w:rPr>
          <w:rStyle w:val="Superscript"/>
        </w:rPr>
        <w:footnoteReference w:id="134"/>
      </w:r>
    </w:p>
    <w:tbl>
      <w:tblPr>
        <w:tblStyle w:val="Table"/>
        <w:tblW w:w="5000" w:type="pct"/>
        <w:tblLayout w:type="fixed"/>
        <w:tblLook w:val="04A0" w:firstRow="1" w:lastRow="0" w:firstColumn="1" w:lastColumn="0" w:noHBand="0" w:noVBand="1"/>
      </w:tblPr>
      <w:tblGrid>
        <w:gridCol w:w="2254"/>
        <w:gridCol w:w="2254"/>
        <w:gridCol w:w="2254"/>
        <w:gridCol w:w="2254"/>
      </w:tblGrid>
      <w:tr w:rsidR="00C30A9B" w:rsidRPr="00132FF8" w14:paraId="614B6708" w14:textId="5699094E" w:rsidTr="00F73BC7">
        <w:trPr>
          <w:trHeight w:val="300"/>
          <w:tblHeader/>
        </w:trPr>
        <w:tc>
          <w:tcPr>
            <w:tcW w:w="1250" w:type="pct"/>
            <w:noWrap/>
            <w:hideMark/>
          </w:tcPr>
          <w:p w14:paraId="738C372D" w14:textId="19D76EE4" w:rsidR="00C30A9B" w:rsidRPr="00C30A9B" w:rsidRDefault="00C30A9B" w:rsidP="00C30A9B">
            <w:pPr>
              <w:pStyle w:val="TableHeading"/>
            </w:pPr>
            <w:r>
              <w:t>Offence</w:t>
            </w:r>
            <w:r w:rsidR="008F362B">
              <w:t xml:space="preserve"> type, jurisdiction, family violence indicator</w:t>
            </w:r>
          </w:p>
        </w:tc>
        <w:tc>
          <w:tcPr>
            <w:tcW w:w="1250" w:type="pct"/>
            <w:noWrap/>
            <w:hideMark/>
          </w:tcPr>
          <w:p w14:paraId="652DB9EC" w14:textId="77777777" w:rsidR="00C30A9B" w:rsidRPr="00C30A9B" w:rsidRDefault="00C30A9B" w:rsidP="00C30A9B">
            <w:pPr>
              <w:pStyle w:val="TableHeading"/>
            </w:pPr>
            <w:r w:rsidRPr="00C30A9B">
              <w:t>Male</w:t>
            </w:r>
          </w:p>
        </w:tc>
        <w:tc>
          <w:tcPr>
            <w:tcW w:w="1250" w:type="pct"/>
            <w:noWrap/>
            <w:hideMark/>
          </w:tcPr>
          <w:p w14:paraId="26428740" w14:textId="77777777" w:rsidR="00C30A9B" w:rsidRPr="00C30A9B" w:rsidRDefault="00C30A9B" w:rsidP="00C30A9B">
            <w:pPr>
              <w:pStyle w:val="TableHeading"/>
            </w:pPr>
            <w:r w:rsidRPr="00C30A9B">
              <w:t>Female</w:t>
            </w:r>
          </w:p>
        </w:tc>
        <w:tc>
          <w:tcPr>
            <w:tcW w:w="1250" w:type="pct"/>
          </w:tcPr>
          <w:p w14:paraId="4806CF53" w14:textId="678BDD01" w:rsidR="00C30A9B" w:rsidRPr="00C30A9B" w:rsidRDefault="00C30A9B" w:rsidP="00C30A9B">
            <w:pPr>
              <w:pStyle w:val="TableHeading"/>
            </w:pPr>
            <w:r>
              <w:t>Total</w:t>
            </w:r>
            <w:r w:rsidR="003C3F4E">
              <w:t xml:space="preserve"> charges</w:t>
            </w:r>
          </w:p>
        </w:tc>
      </w:tr>
      <w:tr w:rsidR="00C30A9B" w:rsidRPr="00132FF8" w14:paraId="5DB577DC" w14:textId="484C82C3" w:rsidTr="00DD4247">
        <w:trPr>
          <w:trHeight w:val="290"/>
        </w:trPr>
        <w:tc>
          <w:tcPr>
            <w:tcW w:w="1250" w:type="pct"/>
            <w:noWrap/>
            <w:hideMark/>
          </w:tcPr>
          <w:p w14:paraId="24BC945F" w14:textId="5D78075A" w:rsidR="00C30A9B" w:rsidRPr="00C30A9B" w:rsidRDefault="00C30A9B" w:rsidP="00C30A9B">
            <w:pPr>
              <w:pStyle w:val="TableBody"/>
            </w:pPr>
            <w:r w:rsidRPr="00C30A9B">
              <w:t>Threat to kill</w:t>
            </w:r>
          </w:p>
        </w:tc>
        <w:tc>
          <w:tcPr>
            <w:tcW w:w="1250" w:type="pct"/>
            <w:noWrap/>
            <w:hideMark/>
          </w:tcPr>
          <w:p w14:paraId="7194BAA7" w14:textId="63F94CB3" w:rsidR="00C30A9B" w:rsidRPr="00C30A9B" w:rsidRDefault="00C30A9B" w:rsidP="00C30A9B">
            <w:pPr>
              <w:pStyle w:val="TableBody"/>
            </w:pPr>
            <w:r w:rsidRPr="00C30A9B">
              <w:t xml:space="preserve">9,080 </w:t>
            </w:r>
          </w:p>
        </w:tc>
        <w:tc>
          <w:tcPr>
            <w:tcW w:w="1250" w:type="pct"/>
            <w:noWrap/>
            <w:hideMark/>
          </w:tcPr>
          <w:p w14:paraId="71C99712" w14:textId="3D91B5E9" w:rsidR="00C30A9B" w:rsidRPr="00C30A9B" w:rsidRDefault="00C30A9B" w:rsidP="00C30A9B">
            <w:pPr>
              <w:pStyle w:val="TableBody"/>
            </w:pPr>
            <w:r w:rsidRPr="00C30A9B">
              <w:t xml:space="preserve">1,135 </w:t>
            </w:r>
          </w:p>
        </w:tc>
        <w:tc>
          <w:tcPr>
            <w:tcW w:w="1250" w:type="pct"/>
          </w:tcPr>
          <w:p w14:paraId="3A4143FD" w14:textId="64F56358" w:rsidR="00C30A9B" w:rsidRPr="00C30A9B" w:rsidRDefault="00C30A9B" w:rsidP="00C30A9B">
            <w:pPr>
              <w:pStyle w:val="TableBody"/>
            </w:pPr>
            <w:r w:rsidRPr="00C30A9B">
              <w:t>10,215</w:t>
            </w:r>
          </w:p>
        </w:tc>
      </w:tr>
      <w:tr w:rsidR="00C30A9B" w:rsidRPr="00132FF8" w14:paraId="082B2146" w14:textId="74DA0FE2" w:rsidTr="00DD4247">
        <w:trPr>
          <w:trHeight w:val="290"/>
        </w:trPr>
        <w:tc>
          <w:tcPr>
            <w:tcW w:w="1250" w:type="pct"/>
            <w:noWrap/>
            <w:hideMark/>
          </w:tcPr>
          <w:p w14:paraId="15C42989" w14:textId="4AEC24E8" w:rsidR="00C30A9B" w:rsidRPr="00C30A9B" w:rsidRDefault="00C30A9B" w:rsidP="00C30A9B">
            <w:pPr>
              <w:pStyle w:val="TableBody"/>
            </w:pPr>
            <w:r w:rsidRPr="00C30A9B">
              <w:t>Threat to</w:t>
            </w:r>
            <w:r>
              <w:t xml:space="preserve"> inflict serious injury</w:t>
            </w:r>
          </w:p>
        </w:tc>
        <w:tc>
          <w:tcPr>
            <w:tcW w:w="1250" w:type="pct"/>
            <w:noWrap/>
            <w:hideMark/>
          </w:tcPr>
          <w:p w14:paraId="217A34DA" w14:textId="69D52FFB" w:rsidR="00C30A9B" w:rsidRPr="00C30A9B" w:rsidRDefault="00C30A9B" w:rsidP="00C30A9B">
            <w:pPr>
              <w:pStyle w:val="TableBody"/>
            </w:pPr>
            <w:r w:rsidRPr="00C30A9B">
              <w:t xml:space="preserve">5,018 </w:t>
            </w:r>
          </w:p>
        </w:tc>
        <w:tc>
          <w:tcPr>
            <w:tcW w:w="1250" w:type="pct"/>
            <w:noWrap/>
            <w:hideMark/>
          </w:tcPr>
          <w:p w14:paraId="684A5EFE" w14:textId="168716F7" w:rsidR="00C30A9B" w:rsidRPr="00C30A9B" w:rsidRDefault="00C30A9B" w:rsidP="00C30A9B">
            <w:pPr>
              <w:pStyle w:val="TableBody"/>
            </w:pPr>
            <w:r w:rsidRPr="00C30A9B">
              <w:t xml:space="preserve">805 </w:t>
            </w:r>
          </w:p>
        </w:tc>
        <w:tc>
          <w:tcPr>
            <w:tcW w:w="1250" w:type="pct"/>
          </w:tcPr>
          <w:p w14:paraId="6CA03C2C" w14:textId="0C6326BA" w:rsidR="00C30A9B" w:rsidRPr="00C30A9B" w:rsidRDefault="00C30A9B" w:rsidP="00C30A9B">
            <w:pPr>
              <w:pStyle w:val="TableBody"/>
            </w:pPr>
            <w:r w:rsidRPr="00C30A9B">
              <w:t>5,823</w:t>
            </w:r>
          </w:p>
        </w:tc>
      </w:tr>
      <w:tr w:rsidR="00C30A9B" w:rsidRPr="00132FF8" w14:paraId="56FE889D" w14:textId="5A31538D" w:rsidTr="00DD4247">
        <w:trPr>
          <w:trHeight w:val="290"/>
        </w:trPr>
        <w:tc>
          <w:tcPr>
            <w:tcW w:w="1250" w:type="pct"/>
            <w:noWrap/>
            <w:hideMark/>
          </w:tcPr>
          <w:p w14:paraId="79A83C97" w14:textId="68793F0E" w:rsidR="00C30A9B" w:rsidRPr="00C30A9B" w:rsidRDefault="00C30A9B" w:rsidP="00C30A9B">
            <w:pPr>
              <w:pStyle w:val="TableBody"/>
            </w:pPr>
            <w:r w:rsidRPr="00C30A9B">
              <w:lastRenderedPageBreak/>
              <w:t>Threat to destroy or damage property</w:t>
            </w:r>
          </w:p>
        </w:tc>
        <w:tc>
          <w:tcPr>
            <w:tcW w:w="1250" w:type="pct"/>
            <w:noWrap/>
            <w:hideMark/>
          </w:tcPr>
          <w:p w14:paraId="4629559B" w14:textId="00F10D64" w:rsidR="00C30A9B" w:rsidRPr="00C30A9B" w:rsidRDefault="00C30A9B" w:rsidP="00C30A9B">
            <w:pPr>
              <w:pStyle w:val="TableBody"/>
            </w:pPr>
            <w:r w:rsidRPr="00C30A9B">
              <w:t xml:space="preserve">2,019 </w:t>
            </w:r>
          </w:p>
        </w:tc>
        <w:tc>
          <w:tcPr>
            <w:tcW w:w="1250" w:type="pct"/>
            <w:noWrap/>
            <w:hideMark/>
          </w:tcPr>
          <w:p w14:paraId="3AC5F2C0" w14:textId="1971AADF" w:rsidR="00C30A9B" w:rsidRPr="00C30A9B" w:rsidRDefault="00C30A9B" w:rsidP="00C30A9B">
            <w:pPr>
              <w:pStyle w:val="TableBody"/>
            </w:pPr>
            <w:r w:rsidRPr="00C30A9B">
              <w:t xml:space="preserve">308 </w:t>
            </w:r>
          </w:p>
        </w:tc>
        <w:tc>
          <w:tcPr>
            <w:tcW w:w="1250" w:type="pct"/>
          </w:tcPr>
          <w:p w14:paraId="315F33E5" w14:textId="56E7973F" w:rsidR="00C30A9B" w:rsidRPr="00C30A9B" w:rsidRDefault="004210DA" w:rsidP="00C30A9B">
            <w:pPr>
              <w:pStyle w:val="TableBody"/>
            </w:pPr>
            <w:r w:rsidRPr="00C30A9B">
              <w:t>2,327</w:t>
            </w:r>
          </w:p>
        </w:tc>
      </w:tr>
      <w:tr w:rsidR="00C30A9B" w:rsidRPr="00132FF8" w14:paraId="5FB3742D" w14:textId="2C56B2B5" w:rsidTr="00DD4247">
        <w:trPr>
          <w:trHeight w:val="290"/>
        </w:trPr>
        <w:tc>
          <w:tcPr>
            <w:tcW w:w="1250" w:type="pct"/>
            <w:noWrap/>
            <w:hideMark/>
          </w:tcPr>
          <w:p w14:paraId="7DCBD935" w14:textId="23C3DB6C" w:rsidR="00C30A9B" w:rsidRPr="00C30A9B" w:rsidRDefault="00C30A9B" w:rsidP="00C30A9B">
            <w:pPr>
              <w:pStyle w:val="TableBody"/>
            </w:pPr>
            <w:r w:rsidRPr="00C30A9B">
              <w:t xml:space="preserve">Threat to assault </w:t>
            </w:r>
            <w:r w:rsidR="003C3F4E">
              <w:t xml:space="preserve">an </w:t>
            </w:r>
            <w:r w:rsidRPr="00C30A9B">
              <w:t>emergency worker</w:t>
            </w:r>
          </w:p>
        </w:tc>
        <w:tc>
          <w:tcPr>
            <w:tcW w:w="1250" w:type="pct"/>
            <w:noWrap/>
            <w:hideMark/>
          </w:tcPr>
          <w:p w14:paraId="1058AEDB" w14:textId="78159632" w:rsidR="00C30A9B" w:rsidRPr="00C30A9B" w:rsidRDefault="00C30A9B" w:rsidP="00C30A9B">
            <w:pPr>
              <w:pStyle w:val="TableBody"/>
            </w:pPr>
            <w:r w:rsidRPr="00C30A9B">
              <w:t xml:space="preserve">297 </w:t>
            </w:r>
          </w:p>
        </w:tc>
        <w:tc>
          <w:tcPr>
            <w:tcW w:w="1250" w:type="pct"/>
            <w:noWrap/>
            <w:hideMark/>
          </w:tcPr>
          <w:p w14:paraId="3538D0EA" w14:textId="6F2FEC1B" w:rsidR="00C30A9B" w:rsidRPr="00C30A9B" w:rsidRDefault="00C30A9B" w:rsidP="00C30A9B">
            <w:pPr>
              <w:pStyle w:val="TableBody"/>
            </w:pPr>
            <w:r w:rsidRPr="00C30A9B">
              <w:t xml:space="preserve">39 </w:t>
            </w:r>
          </w:p>
        </w:tc>
        <w:tc>
          <w:tcPr>
            <w:tcW w:w="1250" w:type="pct"/>
          </w:tcPr>
          <w:p w14:paraId="15128D6B" w14:textId="2914C573" w:rsidR="00C30A9B" w:rsidRPr="00C30A9B" w:rsidRDefault="003C3F4E" w:rsidP="00C30A9B">
            <w:pPr>
              <w:pStyle w:val="TableBody"/>
            </w:pPr>
            <w:r w:rsidRPr="00C30A9B">
              <w:t>336</w:t>
            </w:r>
          </w:p>
        </w:tc>
      </w:tr>
      <w:tr w:rsidR="00C30A9B" w:rsidRPr="00132FF8" w14:paraId="49FE2003" w14:textId="03C7F62D" w:rsidTr="00DD4247">
        <w:trPr>
          <w:trHeight w:val="290"/>
        </w:trPr>
        <w:tc>
          <w:tcPr>
            <w:tcW w:w="1250" w:type="pct"/>
            <w:noWrap/>
            <w:hideMark/>
          </w:tcPr>
          <w:p w14:paraId="027CD405" w14:textId="03501237" w:rsidR="00C30A9B" w:rsidRPr="00C30A9B" w:rsidRDefault="00C30A9B" w:rsidP="00C30A9B">
            <w:pPr>
              <w:pStyle w:val="TableBody"/>
            </w:pPr>
            <w:r w:rsidRPr="00C30A9B">
              <w:t>Threat to commit a sexual offence</w:t>
            </w:r>
          </w:p>
        </w:tc>
        <w:tc>
          <w:tcPr>
            <w:tcW w:w="1250" w:type="pct"/>
            <w:noWrap/>
            <w:hideMark/>
          </w:tcPr>
          <w:p w14:paraId="09DE65FD" w14:textId="1C81B009" w:rsidR="00C30A9B" w:rsidRPr="00C30A9B" w:rsidRDefault="00C30A9B" w:rsidP="00C30A9B">
            <w:pPr>
              <w:pStyle w:val="TableBody"/>
            </w:pPr>
            <w:r w:rsidRPr="00C30A9B">
              <w:t xml:space="preserve">72 </w:t>
            </w:r>
          </w:p>
        </w:tc>
        <w:tc>
          <w:tcPr>
            <w:tcW w:w="1250" w:type="pct"/>
            <w:noWrap/>
            <w:hideMark/>
          </w:tcPr>
          <w:p w14:paraId="33FB47CC" w14:textId="364B1639" w:rsidR="00C30A9B" w:rsidRPr="00C30A9B" w:rsidRDefault="00C30A9B" w:rsidP="00C30A9B">
            <w:pPr>
              <w:pStyle w:val="TableBody"/>
            </w:pPr>
            <w:r w:rsidRPr="00C30A9B">
              <w:t xml:space="preserve">2 </w:t>
            </w:r>
          </w:p>
        </w:tc>
        <w:tc>
          <w:tcPr>
            <w:tcW w:w="1250" w:type="pct"/>
          </w:tcPr>
          <w:p w14:paraId="293BC795" w14:textId="355F0045" w:rsidR="00C30A9B" w:rsidRPr="00C30A9B" w:rsidRDefault="006C1A96" w:rsidP="00C30A9B">
            <w:pPr>
              <w:pStyle w:val="TableBody"/>
            </w:pPr>
            <w:r w:rsidRPr="00C30A9B">
              <w:t>74</w:t>
            </w:r>
          </w:p>
        </w:tc>
      </w:tr>
      <w:tr w:rsidR="00C30A9B" w:rsidRPr="00132FF8" w14:paraId="59C03C2A" w14:textId="2DABFA90" w:rsidTr="00DD4247">
        <w:trPr>
          <w:trHeight w:val="290"/>
        </w:trPr>
        <w:tc>
          <w:tcPr>
            <w:tcW w:w="1250" w:type="pct"/>
            <w:noWrap/>
            <w:hideMark/>
          </w:tcPr>
          <w:p w14:paraId="7ACF5460" w14:textId="18F98D14" w:rsidR="00C30A9B" w:rsidRPr="00C30A9B" w:rsidRDefault="00C30A9B" w:rsidP="00C30A9B">
            <w:pPr>
              <w:pStyle w:val="TableBody"/>
            </w:pPr>
            <w:r w:rsidRPr="00C30A9B">
              <w:t>Children's Court</w:t>
            </w:r>
          </w:p>
        </w:tc>
        <w:tc>
          <w:tcPr>
            <w:tcW w:w="1250" w:type="pct"/>
            <w:noWrap/>
            <w:hideMark/>
          </w:tcPr>
          <w:p w14:paraId="7EE4E55A" w14:textId="3EC0E240" w:rsidR="00C30A9B" w:rsidRPr="00C30A9B" w:rsidRDefault="00C30A9B" w:rsidP="00C30A9B">
            <w:pPr>
              <w:pStyle w:val="TableBody"/>
            </w:pPr>
            <w:r w:rsidRPr="00C30A9B">
              <w:t xml:space="preserve">1,475 </w:t>
            </w:r>
          </w:p>
        </w:tc>
        <w:tc>
          <w:tcPr>
            <w:tcW w:w="1250" w:type="pct"/>
            <w:noWrap/>
            <w:hideMark/>
          </w:tcPr>
          <w:p w14:paraId="2E3F9EEA" w14:textId="08B4998E" w:rsidR="00C30A9B" w:rsidRPr="00C30A9B" w:rsidRDefault="00C30A9B" w:rsidP="00C30A9B">
            <w:pPr>
              <w:pStyle w:val="TableBody"/>
            </w:pPr>
            <w:r w:rsidRPr="00C30A9B">
              <w:t xml:space="preserve">389 </w:t>
            </w:r>
          </w:p>
        </w:tc>
        <w:tc>
          <w:tcPr>
            <w:tcW w:w="1250" w:type="pct"/>
          </w:tcPr>
          <w:p w14:paraId="39B83FB4" w14:textId="6DEE6AB6" w:rsidR="00C30A9B" w:rsidRPr="00C30A9B" w:rsidRDefault="007C0151" w:rsidP="00C30A9B">
            <w:pPr>
              <w:pStyle w:val="TableBody"/>
            </w:pPr>
            <w:r w:rsidRPr="00C30A9B">
              <w:t>1,864</w:t>
            </w:r>
          </w:p>
        </w:tc>
      </w:tr>
      <w:tr w:rsidR="00C30A9B" w:rsidRPr="00132FF8" w14:paraId="01156D05" w14:textId="6C70AA9D" w:rsidTr="00DD4247">
        <w:trPr>
          <w:trHeight w:val="290"/>
        </w:trPr>
        <w:tc>
          <w:tcPr>
            <w:tcW w:w="1250" w:type="pct"/>
            <w:noWrap/>
            <w:hideMark/>
          </w:tcPr>
          <w:p w14:paraId="3ED10A33" w14:textId="0589E65B" w:rsidR="00C30A9B" w:rsidRPr="00C30A9B" w:rsidRDefault="00C30A9B" w:rsidP="00C30A9B">
            <w:pPr>
              <w:pStyle w:val="TableBody"/>
            </w:pPr>
            <w:r w:rsidRPr="00C30A9B">
              <w:t xml:space="preserve">Magistrates' Court </w:t>
            </w:r>
          </w:p>
        </w:tc>
        <w:tc>
          <w:tcPr>
            <w:tcW w:w="1250" w:type="pct"/>
            <w:noWrap/>
            <w:hideMark/>
          </w:tcPr>
          <w:p w14:paraId="7481126D" w14:textId="6D36A83C" w:rsidR="00C30A9B" w:rsidRPr="00C30A9B" w:rsidRDefault="00C30A9B" w:rsidP="00C30A9B">
            <w:pPr>
              <w:pStyle w:val="TableBody"/>
            </w:pPr>
            <w:r w:rsidRPr="00C30A9B">
              <w:t xml:space="preserve">14,529 </w:t>
            </w:r>
          </w:p>
        </w:tc>
        <w:tc>
          <w:tcPr>
            <w:tcW w:w="1250" w:type="pct"/>
            <w:noWrap/>
            <w:hideMark/>
          </w:tcPr>
          <w:p w14:paraId="16ACDFE1" w14:textId="64E0F36A" w:rsidR="00C30A9B" w:rsidRPr="00C30A9B" w:rsidRDefault="00C30A9B" w:rsidP="00C30A9B">
            <w:pPr>
              <w:pStyle w:val="TableBody"/>
            </w:pPr>
            <w:r w:rsidRPr="00C30A9B">
              <w:t xml:space="preserve">1,861 </w:t>
            </w:r>
          </w:p>
        </w:tc>
        <w:tc>
          <w:tcPr>
            <w:tcW w:w="1250" w:type="pct"/>
          </w:tcPr>
          <w:p w14:paraId="394E3B27" w14:textId="1B10C3DD" w:rsidR="00C30A9B" w:rsidRPr="00C30A9B" w:rsidRDefault="007C0151" w:rsidP="00C30A9B">
            <w:pPr>
              <w:pStyle w:val="TableBody"/>
            </w:pPr>
            <w:r w:rsidRPr="00C30A9B">
              <w:t>16,390</w:t>
            </w:r>
          </w:p>
        </w:tc>
      </w:tr>
      <w:tr w:rsidR="00C30A9B" w:rsidRPr="00132FF8" w14:paraId="443730E2" w14:textId="09401339" w:rsidTr="00DD4247">
        <w:trPr>
          <w:trHeight w:val="290"/>
        </w:trPr>
        <w:tc>
          <w:tcPr>
            <w:tcW w:w="1250" w:type="pct"/>
            <w:noWrap/>
            <w:hideMark/>
          </w:tcPr>
          <w:p w14:paraId="2E0407B9" w14:textId="4F1EBDF2" w:rsidR="00C30A9B" w:rsidRPr="00C30A9B" w:rsidRDefault="00C30A9B" w:rsidP="00C30A9B">
            <w:pPr>
              <w:pStyle w:val="TableBody"/>
            </w:pPr>
            <w:r w:rsidRPr="00C30A9B">
              <w:t>Higher courts</w:t>
            </w:r>
          </w:p>
        </w:tc>
        <w:tc>
          <w:tcPr>
            <w:tcW w:w="1250" w:type="pct"/>
            <w:noWrap/>
            <w:hideMark/>
          </w:tcPr>
          <w:p w14:paraId="6BA912CE" w14:textId="6A27D5AA" w:rsidR="00C30A9B" w:rsidRPr="00C30A9B" w:rsidRDefault="00C30A9B" w:rsidP="00C30A9B">
            <w:pPr>
              <w:pStyle w:val="TableBody"/>
            </w:pPr>
            <w:r w:rsidRPr="00C30A9B">
              <w:t xml:space="preserve">482 </w:t>
            </w:r>
          </w:p>
        </w:tc>
        <w:tc>
          <w:tcPr>
            <w:tcW w:w="1250" w:type="pct"/>
            <w:noWrap/>
            <w:hideMark/>
          </w:tcPr>
          <w:p w14:paraId="504362EE" w14:textId="153CC349" w:rsidR="00C30A9B" w:rsidRPr="00C30A9B" w:rsidRDefault="00C30A9B" w:rsidP="00C30A9B">
            <w:pPr>
              <w:pStyle w:val="TableBody"/>
            </w:pPr>
            <w:r w:rsidRPr="00C30A9B">
              <w:t xml:space="preserve">39 </w:t>
            </w:r>
          </w:p>
        </w:tc>
        <w:tc>
          <w:tcPr>
            <w:tcW w:w="1250" w:type="pct"/>
          </w:tcPr>
          <w:p w14:paraId="7A2E3331" w14:textId="22A334A8" w:rsidR="00C30A9B" w:rsidRPr="00C30A9B" w:rsidRDefault="007C0151" w:rsidP="00C30A9B">
            <w:pPr>
              <w:pStyle w:val="TableBody"/>
            </w:pPr>
            <w:r w:rsidRPr="00C30A9B">
              <w:t>521</w:t>
            </w:r>
          </w:p>
        </w:tc>
      </w:tr>
      <w:tr w:rsidR="00C30A9B" w:rsidRPr="00132FF8" w14:paraId="0A7A6539" w14:textId="089F234F" w:rsidTr="00DD4247">
        <w:trPr>
          <w:trHeight w:val="290"/>
        </w:trPr>
        <w:tc>
          <w:tcPr>
            <w:tcW w:w="1250" w:type="pct"/>
            <w:noWrap/>
            <w:hideMark/>
          </w:tcPr>
          <w:p w14:paraId="470A5F17" w14:textId="1981ADDE" w:rsidR="00C30A9B" w:rsidRPr="00C30A9B" w:rsidRDefault="00C30A9B" w:rsidP="00C30A9B">
            <w:pPr>
              <w:pStyle w:val="TableBody"/>
            </w:pPr>
            <w:r w:rsidRPr="00C30A9B">
              <w:t>Charges in family violence cases</w:t>
            </w:r>
          </w:p>
        </w:tc>
        <w:tc>
          <w:tcPr>
            <w:tcW w:w="1250" w:type="pct"/>
            <w:noWrap/>
            <w:hideMark/>
          </w:tcPr>
          <w:p w14:paraId="73EECB12" w14:textId="499C6961" w:rsidR="00C30A9B" w:rsidRPr="00C30A9B" w:rsidRDefault="00C30A9B" w:rsidP="00C30A9B">
            <w:pPr>
              <w:pStyle w:val="TableBody"/>
            </w:pPr>
            <w:r w:rsidRPr="00C30A9B">
              <w:t xml:space="preserve">9,648 </w:t>
            </w:r>
          </w:p>
        </w:tc>
        <w:tc>
          <w:tcPr>
            <w:tcW w:w="1250" w:type="pct"/>
            <w:noWrap/>
            <w:hideMark/>
          </w:tcPr>
          <w:p w14:paraId="2AF169F3" w14:textId="1083921F" w:rsidR="00C30A9B" w:rsidRPr="00C30A9B" w:rsidRDefault="00C30A9B" w:rsidP="00C30A9B">
            <w:pPr>
              <w:pStyle w:val="TableBody"/>
            </w:pPr>
            <w:r w:rsidRPr="00C30A9B">
              <w:t xml:space="preserve">1,107 </w:t>
            </w:r>
          </w:p>
        </w:tc>
        <w:tc>
          <w:tcPr>
            <w:tcW w:w="1250" w:type="pct"/>
          </w:tcPr>
          <w:p w14:paraId="5C1A4EF6" w14:textId="456833EA" w:rsidR="00C30A9B" w:rsidRPr="00C30A9B" w:rsidRDefault="007C0151" w:rsidP="00C30A9B">
            <w:pPr>
              <w:pStyle w:val="TableBody"/>
            </w:pPr>
            <w:r w:rsidRPr="00C30A9B">
              <w:t>10,755</w:t>
            </w:r>
          </w:p>
        </w:tc>
      </w:tr>
      <w:tr w:rsidR="00C30A9B" w:rsidRPr="00132FF8" w14:paraId="18A37301" w14:textId="78541538" w:rsidTr="00DD4247">
        <w:trPr>
          <w:trHeight w:val="300"/>
        </w:trPr>
        <w:tc>
          <w:tcPr>
            <w:tcW w:w="1250" w:type="pct"/>
            <w:noWrap/>
            <w:hideMark/>
          </w:tcPr>
          <w:p w14:paraId="1489FC4C" w14:textId="03894E25" w:rsidR="00C30A9B" w:rsidRPr="00C30A9B" w:rsidRDefault="00C30A9B" w:rsidP="00C30A9B">
            <w:pPr>
              <w:pStyle w:val="TableBody"/>
            </w:pPr>
            <w:r w:rsidRPr="00C30A9B">
              <w:t>Charges in non-family violence cases</w:t>
            </w:r>
          </w:p>
        </w:tc>
        <w:tc>
          <w:tcPr>
            <w:tcW w:w="1250" w:type="pct"/>
            <w:noWrap/>
            <w:hideMark/>
          </w:tcPr>
          <w:p w14:paraId="0CA0B91E" w14:textId="1EF7CAD5" w:rsidR="00C30A9B" w:rsidRPr="00C30A9B" w:rsidRDefault="00C30A9B" w:rsidP="00C30A9B">
            <w:pPr>
              <w:pStyle w:val="TableBody"/>
            </w:pPr>
            <w:r w:rsidRPr="00C30A9B">
              <w:t xml:space="preserve">6,356 </w:t>
            </w:r>
          </w:p>
        </w:tc>
        <w:tc>
          <w:tcPr>
            <w:tcW w:w="1250" w:type="pct"/>
            <w:noWrap/>
            <w:hideMark/>
          </w:tcPr>
          <w:p w14:paraId="0CEA6EA5" w14:textId="232D152A" w:rsidR="00C30A9B" w:rsidRPr="00C30A9B" w:rsidRDefault="00C30A9B" w:rsidP="00C30A9B">
            <w:pPr>
              <w:pStyle w:val="TableBody"/>
            </w:pPr>
            <w:r w:rsidRPr="00C30A9B">
              <w:t xml:space="preserve">1,143 </w:t>
            </w:r>
          </w:p>
        </w:tc>
        <w:tc>
          <w:tcPr>
            <w:tcW w:w="1250" w:type="pct"/>
          </w:tcPr>
          <w:p w14:paraId="4CBF0E16" w14:textId="088E1B7E" w:rsidR="00C30A9B" w:rsidRPr="00C30A9B" w:rsidRDefault="007C0151" w:rsidP="00C30A9B">
            <w:pPr>
              <w:pStyle w:val="TableBody"/>
            </w:pPr>
            <w:r w:rsidRPr="00C30A9B">
              <w:t>7,499</w:t>
            </w:r>
          </w:p>
        </w:tc>
      </w:tr>
    </w:tbl>
    <w:p w14:paraId="1407CB86" w14:textId="77777777" w:rsidR="005A3418" w:rsidRPr="00D36673" w:rsidRDefault="005A3418" w:rsidP="0086723D">
      <w:pPr>
        <w:pStyle w:val="Heading2"/>
      </w:pPr>
      <w:r w:rsidRPr="00D36673">
        <w:t>Age of threat offenders</w:t>
      </w:r>
    </w:p>
    <w:p w14:paraId="0A178549" w14:textId="77777777" w:rsidR="005A3418" w:rsidRPr="00D36673" w:rsidRDefault="005A3418" w:rsidP="0059183C">
      <w:pPr>
        <w:pStyle w:val="Numbered"/>
      </w:pPr>
      <w:r w:rsidRPr="00D36673">
        <w:t>Figure 8 shows the age distribution, by gender, of offenders in the 13,821 threat cases. Threat offenders were, on average, aged 33.5 years, with men slightly older (34 years) than women (32 years).</w:t>
      </w:r>
      <w:r w:rsidRPr="00D36673">
        <w:rPr>
          <w:rStyle w:val="Superscript"/>
        </w:rPr>
        <w:footnoteReference w:id="135"/>
      </w:r>
      <w:r w:rsidRPr="00D36673">
        <w:t xml:space="preserve"> This small difference is partly because twice the proportion of female threat offenders were aged under 18 (15% of female threat offenders compared to 7% of male threat offenders). The high rate at which younger females are sentenced for threat offences is consistent with the Council’s recent research. Teenage girls involved with the criminal justice system are often particularly vulnerable; they have higher rates and levels of child protection involvement, even compared to other ‘crossover children’ of the same age, and their offending is often a result of their trauma and living circumstances.</w:t>
      </w:r>
      <w:r w:rsidRPr="00D36673">
        <w:rPr>
          <w:rStyle w:val="Superscript"/>
        </w:rPr>
        <w:footnoteReference w:id="136"/>
      </w:r>
      <w:r w:rsidRPr="00D36673">
        <w:t xml:space="preserve"> This high rate is also consistent with stakeholder comments and academic research suggesting an ongoing convergence in the volume and </w:t>
      </w:r>
      <w:r w:rsidRPr="00D36673">
        <w:lastRenderedPageBreak/>
        <w:t>seriousness of offending by young women and young men, even though male offenders outnumber female offenders in every age group.</w:t>
      </w:r>
      <w:r w:rsidRPr="00D36673">
        <w:rPr>
          <w:rStyle w:val="Superscript"/>
        </w:rPr>
        <w:footnoteReference w:id="137"/>
      </w:r>
    </w:p>
    <w:p w14:paraId="4360FE70" w14:textId="77777777" w:rsidR="005A3418" w:rsidRPr="00D36673" w:rsidRDefault="005A3418" w:rsidP="00711AFB">
      <w:pPr>
        <w:pStyle w:val="Caption"/>
      </w:pPr>
      <w:r w:rsidRPr="00C9259E">
        <w:t xml:space="preserve">Figure 8: </w:t>
      </w:r>
      <w:r w:rsidRPr="00D36673">
        <w:t xml:space="preserve">Age and gender of offenders in threat cases in Victoria, all courts, 2015 to 2019 </w:t>
      </w:r>
    </w:p>
    <w:tbl>
      <w:tblPr>
        <w:tblStyle w:val="Table"/>
        <w:tblW w:w="5000" w:type="pct"/>
        <w:tblLook w:val="04A0" w:firstRow="1" w:lastRow="0" w:firstColumn="1" w:lastColumn="0" w:noHBand="0" w:noVBand="1"/>
      </w:tblPr>
      <w:tblGrid>
        <w:gridCol w:w="2214"/>
        <w:gridCol w:w="3482"/>
        <w:gridCol w:w="3320"/>
      </w:tblGrid>
      <w:tr w:rsidR="005673F3" w:rsidRPr="005673F3" w14:paraId="3F51BD66" w14:textId="77777777" w:rsidTr="006A6B1E">
        <w:trPr>
          <w:trHeight w:val="300"/>
          <w:tblHeader/>
        </w:trPr>
        <w:tc>
          <w:tcPr>
            <w:tcW w:w="1227" w:type="pct"/>
            <w:noWrap/>
            <w:hideMark/>
          </w:tcPr>
          <w:p w14:paraId="0E59ABC5" w14:textId="5E08EA62" w:rsidR="005673F3" w:rsidRPr="005673F3" w:rsidRDefault="005673F3" w:rsidP="005673F3">
            <w:pPr>
              <w:pStyle w:val="TableHeading"/>
            </w:pPr>
            <w:r>
              <w:t>Age group</w:t>
            </w:r>
          </w:p>
        </w:tc>
        <w:tc>
          <w:tcPr>
            <w:tcW w:w="1931" w:type="pct"/>
            <w:noWrap/>
            <w:hideMark/>
          </w:tcPr>
          <w:p w14:paraId="211F5353" w14:textId="77777777" w:rsidR="005673F3" w:rsidRPr="005673F3" w:rsidRDefault="005673F3" w:rsidP="005673F3">
            <w:pPr>
              <w:pStyle w:val="TableHeading"/>
            </w:pPr>
            <w:r w:rsidRPr="005673F3">
              <w:t>Female (1,721 cases)</w:t>
            </w:r>
          </w:p>
        </w:tc>
        <w:tc>
          <w:tcPr>
            <w:tcW w:w="1841" w:type="pct"/>
            <w:noWrap/>
            <w:hideMark/>
          </w:tcPr>
          <w:p w14:paraId="49CC57D1" w14:textId="77777777" w:rsidR="005673F3" w:rsidRPr="005673F3" w:rsidRDefault="005673F3" w:rsidP="005673F3">
            <w:pPr>
              <w:pStyle w:val="TableHeading"/>
            </w:pPr>
            <w:r w:rsidRPr="005673F3">
              <w:t>Male (12,100 cases)</w:t>
            </w:r>
          </w:p>
        </w:tc>
      </w:tr>
      <w:tr w:rsidR="005673F3" w:rsidRPr="005673F3" w14:paraId="17074798" w14:textId="77777777" w:rsidTr="005673F3">
        <w:trPr>
          <w:trHeight w:val="290"/>
        </w:trPr>
        <w:tc>
          <w:tcPr>
            <w:tcW w:w="1227" w:type="pct"/>
            <w:noWrap/>
            <w:hideMark/>
          </w:tcPr>
          <w:p w14:paraId="3DDBCF0B" w14:textId="77777777" w:rsidR="005673F3" w:rsidRPr="005673F3" w:rsidRDefault="005673F3" w:rsidP="005673F3">
            <w:pPr>
              <w:pStyle w:val="TableBody"/>
            </w:pPr>
            <w:r w:rsidRPr="005673F3">
              <w:t>&lt;18 years</w:t>
            </w:r>
          </w:p>
        </w:tc>
        <w:tc>
          <w:tcPr>
            <w:tcW w:w="1931" w:type="pct"/>
            <w:noWrap/>
            <w:hideMark/>
          </w:tcPr>
          <w:p w14:paraId="34A29C6F" w14:textId="77777777" w:rsidR="005673F3" w:rsidRPr="005673F3" w:rsidRDefault="005673F3" w:rsidP="005673F3">
            <w:pPr>
              <w:pStyle w:val="TableBody"/>
            </w:pPr>
            <w:r w:rsidRPr="005673F3">
              <w:t>251</w:t>
            </w:r>
          </w:p>
        </w:tc>
        <w:tc>
          <w:tcPr>
            <w:tcW w:w="1841" w:type="pct"/>
            <w:noWrap/>
            <w:hideMark/>
          </w:tcPr>
          <w:p w14:paraId="5D581415" w14:textId="77777777" w:rsidR="005673F3" w:rsidRPr="005673F3" w:rsidRDefault="005673F3" w:rsidP="005673F3">
            <w:pPr>
              <w:pStyle w:val="TableBody"/>
            </w:pPr>
            <w:r w:rsidRPr="005673F3">
              <w:t>829</w:t>
            </w:r>
          </w:p>
        </w:tc>
      </w:tr>
      <w:tr w:rsidR="005673F3" w:rsidRPr="005673F3" w14:paraId="30F5F0F6" w14:textId="77777777" w:rsidTr="005673F3">
        <w:trPr>
          <w:trHeight w:val="290"/>
        </w:trPr>
        <w:tc>
          <w:tcPr>
            <w:tcW w:w="1227" w:type="pct"/>
            <w:noWrap/>
            <w:hideMark/>
          </w:tcPr>
          <w:p w14:paraId="0D523D28" w14:textId="18791AA2" w:rsidR="005673F3" w:rsidRPr="005673F3" w:rsidRDefault="005673F3" w:rsidP="005673F3">
            <w:pPr>
              <w:pStyle w:val="TableBody"/>
            </w:pPr>
            <w:r w:rsidRPr="005673F3">
              <w:t>18</w:t>
            </w:r>
            <w:r w:rsidR="00B407D3">
              <w:t xml:space="preserve"> to </w:t>
            </w:r>
            <w:r w:rsidRPr="005673F3">
              <w:t>24 years</w:t>
            </w:r>
          </w:p>
        </w:tc>
        <w:tc>
          <w:tcPr>
            <w:tcW w:w="1931" w:type="pct"/>
            <w:noWrap/>
            <w:hideMark/>
          </w:tcPr>
          <w:p w14:paraId="2700DE15" w14:textId="77777777" w:rsidR="005673F3" w:rsidRPr="005673F3" w:rsidRDefault="005673F3" w:rsidP="005673F3">
            <w:pPr>
              <w:pStyle w:val="TableBody"/>
            </w:pPr>
            <w:r w:rsidRPr="005673F3">
              <w:t>318</w:t>
            </w:r>
          </w:p>
        </w:tc>
        <w:tc>
          <w:tcPr>
            <w:tcW w:w="1841" w:type="pct"/>
            <w:noWrap/>
            <w:hideMark/>
          </w:tcPr>
          <w:p w14:paraId="67548818" w14:textId="77777777" w:rsidR="005673F3" w:rsidRPr="005673F3" w:rsidRDefault="005673F3" w:rsidP="005673F3">
            <w:pPr>
              <w:pStyle w:val="TableBody"/>
            </w:pPr>
            <w:r w:rsidRPr="005673F3">
              <w:t>2243</w:t>
            </w:r>
          </w:p>
        </w:tc>
      </w:tr>
      <w:tr w:rsidR="005673F3" w:rsidRPr="005673F3" w14:paraId="4336D1D9" w14:textId="77777777" w:rsidTr="005673F3">
        <w:trPr>
          <w:trHeight w:val="290"/>
        </w:trPr>
        <w:tc>
          <w:tcPr>
            <w:tcW w:w="1227" w:type="pct"/>
            <w:noWrap/>
            <w:hideMark/>
          </w:tcPr>
          <w:p w14:paraId="6629EAF3" w14:textId="5FF31AD3" w:rsidR="005673F3" w:rsidRPr="005673F3" w:rsidRDefault="005673F3" w:rsidP="005673F3">
            <w:pPr>
              <w:pStyle w:val="TableBody"/>
            </w:pPr>
            <w:r w:rsidRPr="005673F3">
              <w:t xml:space="preserve">25 </w:t>
            </w:r>
            <w:r w:rsidR="00B407D3">
              <w:t>to</w:t>
            </w:r>
            <w:r w:rsidRPr="005673F3">
              <w:t xml:space="preserve"> 34 years</w:t>
            </w:r>
          </w:p>
        </w:tc>
        <w:tc>
          <w:tcPr>
            <w:tcW w:w="1931" w:type="pct"/>
            <w:noWrap/>
            <w:hideMark/>
          </w:tcPr>
          <w:p w14:paraId="71276775" w14:textId="77777777" w:rsidR="005673F3" w:rsidRPr="005673F3" w:rsidRDefault="005673F3" w:rsidP="005673F3">
            <w:pPr>
              <w:pStyle w:val="TableBody"/>
            </w:pPr>
            <w:r w:rsidRPr="005673F3">
              <w:t>473</w:t>
            </w:r>
          </w:p>
        </w:tc>
        <w:tc>
          <w:tcPr>
            <w:tcW w:w="1841" w:type="pct"/>
            <w:noWrap/>
            <w:hideMark/>
          </w:tcPr>
          <w:p w14:paraId="0FB8E506" w14:textId="77777777" w:rsidR="005673F3" w:rsidRPr="005673F3" w:rsidRDefault="005673F3" w:rsidP="005673F3">
            <w:pPr>
              <w:pStyle w:val="TableBody"/>
            </w:pPr>
            <w:r w:rsidRPr="005673F3">
              <w:t>3557</w:t>
            </w:r>
          </w:p>
        </w:tc>
      </w:tr>
      <w:tr w:rsidR="005673F3" w:rsidRPr="005673F3" w14:paraId="70EA1D46" w14:textId="77777777" w:rsidTr="005673F3">
        <w:trPr>
          <w:trHeight w:val="290"/>
        </w:trPr>
        <w:tc>
          <w:tcPr>
            <w:tcW w:w="1227" w:type="pct"/>
            <w:noWrap/>
            <w:hideMark/>
          </w:tcPr>
          <w:p w14:paraId="291D544A" w14:textId="186E59A8" w:rsidR="005673F3" w:rsidRPr="005673F3" w:rsidRDefault="005673F3" w:rsidP="005673F3">
            <w:pPr>
              <w:pStyle w:val="TableBody"/>
            </w:pPr>
            <w:r w:rsidRPr="005673F3">
              <w:t xml:space="preserve">35 </w:t>
            </w:r>
            <w:r w:rsidR="00B407D3">
              <w:t>to</w:t>
            </w:r>
            <w:r w:rsidRPr="005673F3">
              <w:t xml:space="preserve"> 44 years</w:t>
            </w:r>
          </w:p>
        </w:tc>
        <w:tc>
          <w:tcPr>
            <w:tcW w:w="1931" w:type="pct"/>
            <w:noWrap/>
            <w:hideMark/>
          </w:tcPr>
          <w:p w14:paraId="65376848" w14:textId="77777777" w:rsidR="005673F3" w:rsidRPr="005673F3" w:rsidRDefault="005673F3" w:rsidP="005673F3">
            <w:pPr>
              <w:pStyle w:val="TableBody"/>
            </w:pPr>
            <w:r w:rsidRPr="005673F3">
              <w:t>394</w:t>
            </w:r>
          </w:p>
        </w:tc>
        <w:tc>
          <w:tcPr>
            <w:tcW w:w="1841" w:type="pct"/>
            <w:noWrap/>
            <w:hideMark/>
          </w:tcPr>
          <w:p w14:paraId="19A8845A" w14:textId="77777777" w:rsidR="005673F3" w:rsidRPr="005673F3" w:rsidRDefault="005673F3" w:rsidP="005673F3">
            <w:pPr>
              <w:pStyle w:val="TableBody"/>
            </w:pPr>
            <w:r w:rsidRPr="005673F3">
              <w:t>3154</w:t>
            </w:r>
          </w:p>
        </w:tc>
      </w:tr>
      <w:tr w:rsidR="005673F3" w:rsidRPr="005673F3" w14:paraId="3A48F874" w14:textId="77777777" w:rsidTr="005673F3">
        <w:trPr>
          <w:trHeight w:val="290"/>
        </w:trPr>
        <w:tc>
          <w:tcPr>
            <w:tcW w:w="1227" w:type="pct"/>
            <w:noWrap/>
            <w:hideMark/>
          </w:tcPr>
          <w:p w14:paraId="6072098D" w14:textId="69D4F61F" w:rsidR="005673F3" w:rsidRPr="005673F3" w:rsidRDefault="005673F3" w:rsidP="005673F3">
            <w:pPr>
              <w:pStyle w:val="TableBody"/>
            </w:pPr>
            <w:r w:rsidRPr="005673F3">
              <w:t xml:space="preserve">45 </w:t>
            </w:r>
            <w:r w:rsidR="00B407D3">
              <w:t>to</w:t>
            </w:r>
            <w:r w:rsidRPr="005673F3">
              <w:t xml:space="preserve"> 54 years</w:t>
            </w:r>
          </w:p>
        </w:tc>
        <w:tc>
          <w:tcPr>
            <w:tcW w:w="1931" w:type="pct"/>
            <w:noWrap/>
            <w:hideMark/>
          </w:tcPr>
          <w:p w14:paraId="11E561A2" w14:textId="77777777" w:rsidR="005673F3" w:rsidRPr="005673F3" w:rsidRDefault="005673F3" w:rsidP="005673F3">
            <w:pPr>
              <w:pStyle w:val="TableBody"/>
            </w:pPr>
            <w:r w:rsidRPr="005673F3">
              <w:t>215</w:t>
            </w:r>
          </w:p>
        </w:tc>
        <w:tc>
          <w:tcPr>
            <w:tcW w:w="1841" w:type="pct"/>
            <w:noWrap/>
            <w:hideMark/>
          </w:tcPr>
          <w:p w14:paraId="27DF3D8C" w14:textId="77777777" w:rsidR="005673F3" w:rsidRPr="005673F3" w:rsidRDefault="005673F3" w:rsidP="005673F3">
            <w:pPr>
              <w:pStyle w:val="TableBody"/>
            </w:pPr>
            <w:r w:rsidRPr="005673F3">
              <w:t>1768</w:t>
            </w:r>
          </w:p>
        </w:tc>
      </w:tr>
      <w:tr w:rsidR="005673F3" w:rsidRPr="005673F3" w14:paraId="1BE38F02" w14:textId="77777777" w:rsidTr="005673F3">
        <w:trPr>
          <w:trHeight w:val="300"/>
        </w:trPr>
        <w:tc>
          <w:tcPr>
            <w:tcW w:w="1227" w:type="pct"/>
            <w:noWrap/>
            <w:hideMark/>
          </w:tcPr>
          <w:p w14:paraId="1C7056C1" w14:textId="77777777" w:rsidR="005673F3" w:rsidRPr="005673F3" w:rsidRDefault="005673F3" w:rsidP="005673F3">
            <w:pPr>
              <w:pStyle w:val="TableBody"/>
            </w:pPr>
            <w:r w:rsidRPr="005673F3">
              <w:t>55+ years</w:t>
            </w:r>
          </w:p>
        </w:tc>
        <w:tc>
          <w:tcPr>
            <w:tcW w:w="1931" w:type="pct"/>
            <w:noWrap/>
            <w:hideMark/>
          </w:tcPr>
          <w:p w14:paraId="1CBCF113" w14:textId="77777777" w:rsidR="005673F3" w:rsidRPr="005673F3" w:rsidRDefault="005673F3" w:rsidP="005673F3">
            <w:pPr>
              <w:pStyle w:val="TableBody"/>
            </w:pPr>
            <w:r w:rsidRPr="005673F3">
              <w:t>70</w:t>
            </w:r>
          </w:p>
        </w:tc>
        <w:tc>
          <w:tcPr>
            <w:tcW w:w="1841" w:type="pct"/>
            <w:noWrap/>
            <w:hideMark/>
          </w:tcPr>
          <w:p w14:paraId="177919E8" w14:textId="77777777" w:rsidR="005673F3" w:rsidRPr="005673F3" w:rsidRDefault="005673F3" w:rsidP="005673F3">
            <w:pPr>
              <w:pStyle w:val="TableBody"/>
            </w:pPr>
            <w:r w:rsidRPr="005673F3">
              <w:t>549</w:t>
            </w:r>
          </w:p>
        </w:tc>
      </w:tr>
    </w:tbl>
    <w:p w14:paraId="5DBE4A50" w14:textId="77777777" w:rsidR="005A3418" w:rsidRPr="00D36673" w:rsidRDefault="005A3418" w:rsidP="0086723D">
      <w:pPr>
        <w:pStyle w:val="Heading2"/>
      </w:pPr>
      <w:r w:rsidRPr="00D36673">
        <w:t>Family violence</w:t>
      </w:r>
    </w:p>
    <w:p w14:paraId="6835B634" w14:textId="77777777" w:rsidR="005A3418" w:rsidRPr="00D36673" w:rsidRDefault="005A3418" w:rsidP="0059183C">
      <w:pPr>
        <w:pStyle w:val="Numbered"/>
      </w:pPr>
      <w:r w:rsidRPr="00D36673">
        <w:t xml:space="preserve">In threat cases where family violence data was available, 58% (7,819 cases) had a family violence indicator. As shown in Figure 9 (page 24), a family violence indicator was especially prevalent in cases involving threats to destroy or damage property (66%), followed by threats to kill (62%), whereas a family violence indicator was least prevalent in cases involving threats to assault an emergency worker (29%) and threats to commit a sexual offence (32%). About half of cases involving a threat to inflict serious injury (52%) had a family violence indicator. In cases with a family violence indicator, threats to assault an emergency worker were most likely related to situations where police were called to a family violence incident and were threatened as they responded to that incident, rather than to situations where the emergency worker was a victim of family violence. </w:t>
      </w:r>
    </w:p>
    <w:p w14:paraId="6F9BCC3E" w14:textId="77777777" w:rsidR="005A3418" w:rsidRPr="00D36673" w:rsidRDefault="005A3418" w:rsidP="00711AFB">
      <w:pPr>
        <w:pStyle w:val="Caption"/>
      </w:pPr>
      <w:r w:rsidRPr="00C9259E">
        <w:lastRenderedPageBreak/>
        <w:t xml:space="preserve">Figure 9: </w:t>
      </w:r>
      <w:r w:rsidRPr="00D36673">
        <w:t>Proportion of threat cases with a family violence indicator, Magistrates’ Court and Children’s Court, 2015 to 2019, by threat offence type, 2015 to 2019</w:t>
      </w:r>
      <w:r w:rsidRPr="00D36673">
        <w:rPr>
          <w:rStyle w:val="Superscript"/>
        </w:rPr>
        <w:footnoteReference w:id="138"/>
      </w:r>
    </w:p>
    <w:tbl>
      <w:tblPr>
        <w:tblStyle w:val="Table"/>
        <w:tblW w:w="0" w:type="auto"/>
        <w:tblLook w:val="04A0" w:firstRow="1" w:lastRow="0" w:firstColumn="1" w:lastColumn="0" w:noHBand="0" w:noVBand="1"/>
      </w:tblPr>
      <w:tblGrid>
        <w:gridCol w:w="3544"/>
        <w:gridCol w:w="1957"/>
        <w:gridCol w:w="2429"/>
        <w:gridCol w:w="1086"/>
      </w:tblGrid>
      <w:tr w:rsidR="008A68EA" w:rsidRPr="00E67326" w14:paraId="75C1AE43" w14:textId="597BD658" w:rsidTr="00837596">
        <w:trPr>
          <w:trHeight w:val="290"/>
          <w:tblHeader/>
        </w:trPr>
        <w:tc>
          <w:tcPr>
            <w:tcW w:w="0" w:type="auto"/>
            <w:noWrap/>
            <w:hideMark/>
          </w:tcPr>
          <w:p w14:paraId="14F4DC89" w14:textId="475F6DF1" w:rsidR="008A68EA" w:rsidRPr="001600F7" w:rsidRDefault="00F06D80" w:rsidP="00E1078B">
            <w:pPr>
              <w:pStyle w:val="TableHeading"/>
            </w:pPr>
            <w:r>
              <w:t>Threat type</w:t>
            </w:r>
            <w:r w:rsidR="0049745D">
              <w:t xml:space="preserve"> </w:t>
            </w:r>
          </w:p>
        </w:tc>
        <w:tc>
          <w:tcPr>
            <w:tcW w:w="0" w:type="auto"/>
            <w:noWrap/>
            <w:hideMark/>
          </w:tcPr>
          <w:p w14:paraId="10BD3243" w14:textId="77777777" w:rsidR="008A68EA" w:rsidRPr="001600F7" w:rsidRDefault="008A68EA" w:rsidP="00E1078B">
            <w:pPr>
              <w:pStyle w:val="TableHeading"/>
            </w:pPr>
            <w:r w:rsidRPr="001600F7">
              <w:t>Family violence</w:t>
            </w:r>
          </w:p>
        </w:tc>
        <w:tc>
          <w:tcPr>
            <w:tcW w:w="0" w:type="auto"/>
            <w:noWrap/>
            <w:hideMark/>
          </w:tcPr>
          <w:p w14:paraId="453DFA8C" w14:textId="77777777" w:rsidR="008A68EA" w:rsidRPr="001600F7" w:rsidRDefault="008A68EA" w:rsidP="00E1078B">
            <w:pPr>
              <w:pStyle w:val="TableHeading"/>
            </w:pPr>
            <w:r w:rsidRPr="001600F7">
              <w:t>Non family violence</w:t>
            </w:r>
          </w:p>
        </w:tc>
        <w:tc>
          <w:tcPr>
            <w:tcW w:w="0" w:type="auto"/>
          </w:tcPr>
          <w:p w14:paraId="7EDADFDB" w14:textId="50852CF5" w:rsidR="008A68EA" w:rsidRPr="001600F7" w:rsidRDefault="008A68EA" w:rsidP="00E1078B">
            <w:pPr>
              <w:pStyle w:val="TableHeading"/>
            </w:pPr>
            <w:r>
              <w:t>Total cases</w:t>
            </w:r>
          </w:p>
        </w:tc>
      </w:tr>
      <w:tr w:rsidR="008A68EA" w:rsidRPr="00E67326" w14:paraId="311ACDFF" w14:textId="2DCAD85C" w:rsidTr="0083072A">
        <w:trPr>
          <w:trHeight w:val="580"/>
        </w:trPr>
        <w:tc>
          <w:tcPr>
            <w:tcW w:w="0" w:type="auto"/>
            <w:hideMark/>
          </w:tcPr>
          <w:p w14:paraId="224745A4" w14:textId="55BD71D6" w:rsidR="008A68EA" w:rsidRPr="001600F7" w:rsidRDefault="008A68EA" w:rsidP="001600F7">
            <w:pPr>
              <w:pStyle w:val="TableBody"/>
            </w:pPr>
            <w:r w:rsidRPr="001600F7">
              <w:t>Cases involving at least one threat to kill</w:t>
            </w:r>
          </w:p>
        </w:tc>
        <w:tc>
          <w:tcPr>
            <w:tcW w:w="0" w:type="auto"/>
            <w:noWrap/>
            <w:hideMark/>
          </w:tcPr>
          <w:p w14:paraId="23475D73" w14:textId="367F6B66" w:rsidR="008A68EA" w:rsidRPr="001600F7" w:rsidRDefault="008A68EA" w:rsidP="001600F7">
            <w:pPr>
              <w:pStyle w:val="TableBody"/>
            </w:pPr>
            <w:r w:rsidRPr="001600F7">
              <w:t>4</w:t>
            </w:r>
            <w:r w:rsidR="00E504AB">
              <w:t>,</w:t>
            </w:r>
            <w:r w:rsidRPr="001600F7">
              <w:t>929</w:t>
            </w:r>
          </w:p>
        </w:tc>
        <w:tc>
          <w:tcPr>
            <w:tcW w:w="0" w:type="auto"/>
            <w:noWrap/>
            <w:hideMark/>
          </w:tcPr>
          <w:p w14:paraId="03D8D973" w14:textId="14D1E69B" w:rsidR="008A68EA" w:rsidRPr="001600F7" w:rsidRDefault="008A68EA" w:rsidP="001600F7">
            <w:pPr>
              <w:pStyle w:val="TableBody"/>
            </w:pPr>
            <w:r w:rsidRPr="001600F7">
              <w:t>2</w:t>
            </w:r>
            <w:r w:rsidR="00E504AB">
              <w:t>,</w:t>
            </w:r>
            <w:r w:rsidRPr="001600F7">
              <w:t>995</w:t>
            </w:r>
          </w:p>
        </w:tc>
        <w:tc>
          <w:tcPr>
            <w:tcW w:w="0" w:type="auto"/>
          </w:tcPr>
          <w:p w14:paraId="59DB0861" w14:textId="44BBDCD3" w:rsidR="008A68EA" w:rsidRPr="001600F7" w:rsidRDefault="008A68EA" w:rsidP="001600F7">
            <w:pPr>
              <w:pStyle w:val="TableBody"/>
            </w:pPr>
            <w:r w:rsidRPr="001600F7">
              <w:t>7,924</w:t>
            </w:r>
          </w:p>
        </w:tc>
      </w:tr>
      <w:tr w:rsidR="008A68EA" w:rsidRPr="00E67326" w14:paraId="1A74EC9B" w14:textId="42DD4B9A" w:rsidTr="0083072A">
        <w:trPr>
          <w:trHeight w:val="580"/>
        </w:trPr>
        <w:tc>
          <w:tcPr>
            <w:tcW w:w="0" w:type="auto"/>
            <w:hideMark/>
          </w:tcPr>
          <w:p w14:paraId="6C5D7278" w14:textId="767FB4EF" w:rsidR="008A68EA" w:rsidRPr="001600F7" w:rsidRDefault="008A68EA" w:rsidP="001600F7">
            <w:pPr>
              <w:pStyle w:val="TableBody"/>
            </w:pPr>
            <w:r w:rsidRPr="001600F7">
              <w:t xml:space="preserve">Cases involving at least one threat to </w:t>
            </w:r>
            <w:r>
              <w:t>inflict serious injury</w:t>
            </w:r>
          </w:p>
        </w:tc>
        <w:tc>
          <w:tcPr>
            <w:tcW w:w="0" w:type="auto"/>
            <w:noWrap/>
            <w:hideMark/>
          </w:tcPr>
          <w:p w14:paraId="57FD66B2" w14:textId="5148056A" w:rsidR="008A68EA" w:rsidRPr="001600F7" w:rsidRDefault="008A68EA" w:rsidP="001600F7">
            <w:pPr>
              <w:pStyle w:val="TableBody"/>
            </w:pPr>
            <w:r w:rsidRPr="001600F7">
              <w:t>2</w:t>
            </w:r>
            <w:r w:rsidR="00E504AB">
              <w:t>,</w:t>
            </w:r>
            <w:r w:rsidRPr="001600F7">
              <w:t>546</w:t>
            </w:r>
          </w:p>
        </w:tc>
        <w:tc>
          <w:tcPr>
            <w:tcW w:w="0" w:type="auto"/>
            <w:noWrap/>
            <w:hideMark/>
          </w:tcPr>
          <w:p w14:paraId="2F59934E" w14:textId="728C8B88" w:rsidR="008A68EA" w:rsidRPr="001600F7" w:rsidRDefault="008A68EA" w:rsidP="001600F7">
            <w:pPr>
              <w:pStyle w:val="TableBody"/>
            </w:pPr>
            <w:r w:rsidRPr="001600F7">
              <w:t>2</w:t>
            </w:r>
            <w:r w:rsidR="00E504AB">
              <w:t>,</w:t>
            </w:r>
            <w:r w:rsidRPr="001600F7">
              <w:t>392</w:t>
            </w:r>
          </w:p>
        </w:tc>
        <w:tc>
          <w:tcPr>
            <w:tcW w:w="0" w:type="auto"/>
          </w:tcPr>
          <w:p w14:paraId="3EAA2F08" w14:textId="58EF37A0" w:rsidR="008A68EA" w:rsidRPr="001600F7" w:rsidRDefault="008A68EA" w:rsidP="001600F7">
            <w:pPr>
              <w:pStyle w:val="TableBody"/>
            </w:pPr>
            <w:r w:rsidRPr="001600F7">
              <w:t>4,938</w:t>
            </w:r>
          </w:p>
        </w:tc>
      </w:tr>
      <w:tr w:rsidR="008A68EA" w:rsidRPr="00E67326" w14:paraId="26A2FE01" w14:textId="21DB28D0" w:rsidTr="0083072A">
        <w:trPr>
          <w:trHeight w:val="580"/>
        </w:trPr>
        <w:tc>
          <w:tcPr>
            <w:tcW w:w="0" w:type="auto"/>
            <w:hideMark/>
          </w:tcPr>
          <w:p w14:paraId="12A5C4E9" w14:textId="48662E70" w:rsidR="008A68EA" w:rsidRPr="001600F7" w:rsidRDefault="008A68EA" w:rsidP="001600F7">
            <w:pPr>
              <w:pStyle w:val="TableBody"/>
            </w:pPr>
            <w:r w:rsidRPr="001600F7">
              <w:t>Cases involving at least one threat to damage property</w:t>
            </w:r>
          </w:p>
        </w:tc>
        <w:tc>
          <w:tcPr>
            <w:tcW w:w="0" w:type="auto"/>
            <w:noWrap/>
            <w:hideMark/>
          </w:tcPr>
          <w:p w14:paraId="7C7FE6DF" w14:textId="530499C9" w:rsidR="008A68EA" w:rsidRPr="001600F7" w:rsidRDefault="008A68EA" w:rsidP="001600F7">
            <w:pPr>
              <w:pStyle w:val="TableBody"/>
            </w:pPr>
            <w:r w:rsidRPr="001600F7">
              <w:t>1</w:t>
            </w:r>
            <w:r w:rsidR="00E504AB">
              <w:t>,</w:t>
            </w:r>
            <w:r w:rsidRPr="001600F7">
              <w:t>419</w:t>
            </w:r>
          </w:p>
        </w:tc>
        <w:tc>
          <w:tcPr>
            <w:tcW w:w="0" w:type="auto"/>
            <w:noWrap/>
            <w:hideMark/>
          </w:tcPr>
          <w:p w14:paraId="51C8FD1C" w14:textId="77777777" w:rsidR="008A68EA" w:rsidRPr="001600F7" w:rsidRDefault="008A68EA" w:rsidP="001600F7">
            <w:pPr>
              <w:pStyle w:val="TableBody"/>
            </w:pPr>
            <w:r w:rsidRPr="001600F7">
              <w:t>742</w:t>
            </w:r>
          </w:p>
        </w:tc>
        <w:tc>
          <w:tcPr>
            <w:tcW w:w="0" w:type="auto"/>
          </w:tcPr>
          <w:p w14:paraId="6FB98468" w14:textId="069A538E" w:rsidR="008A68EA" w:rsidRPr="001600F7" w:rsidRDefault="008A68EA" w:rsidP="001600F7">
            <w:pPr>
              <w:pStyle w:val="TableBody"/>
            </w:pPr>
            <w:r w:rsidRPr="001600F7">
              <w:t>2,161</w:t>
            </w:r>
          </w:p>
        </w:tc>
      </w:tr>
      <w:tr w:rsidR="008A68EA" w:rsidRPr="00E67326" w14:paraId="41377F6D" w14:textId="3B19899C" w:rsidTr="0083072A">
        <w:trPr>
          <w:trHeight w:val="580"/>
        </w:trPr>
        <w:tc>
          <w:tcPr>
            <w:tcW w:w="0" w:type="auto"/>
            <w:hideMark/>
          </w:tcPr>
          <w:p w14:paraId="55F7363E" w14:textId="34D77311" w:rsidR="008A68EA" w:rsidRPr="001600F7" w:rsidRDefault="008A68EA" w:rsidP="001600F7">
            <w:pPr>
              <w:pStyle w:val="TableBody"/>
            </w:pPr>
            <w:r w:rsidRPr="001600F7">
              <w:t>Cases involving at least one threat to assault emergency worker</w:t>
            </w:r>
          </w:p>
        </w:tc>
        <w:tc>
          <w:tcPr>
            <w:tcW w:w="0" w:type="auto"/>
            <w:noWrap/>
            <w:hideMark/>
          </w:tcPr>
          <w:p w14:paraId="07E8C61D" w14:textId="77777777" w:rsidR="008A68EA" w:rsidRPr="001600F7" w:rsidRDefault="008A68EA" w:rsidP="001600F7">
            <w:pPr>
              <w:pStyle w:val="TableBody"/>
            </w:pPr>
            <w:r w:rsidRPr="001600F7">
              <w:t>76</w:t>
            </w:r>
          </w:p>
        </w:tc>
        <w:tc>
          <w:tcPr>
            <w:tcW w:w="0" w:type="auto"/>
            <w:noWrap/>
            <w:hideMark/>
          </w:tcPr>
          <w:p w14:paraId="0804F4FF" w14:textId="77777777" w:rsidR="008A68EA" w:rsidRPr="001600F7" w:rsidRDefault="008A68EA" w:rsidP="001600F7">
            <w:pPr>
              <w:pStyle w:val="TableBody"/>
            </w:pPr>
            <w:r w:rsidRPr="001600F7">
              <w:t>189</w:t>
            </w:r>
          </w:p>
        </w:tc>
        <w:tc>
          <w:tcPr>
            <w:tcW w:w="0" w:type="auto"/>
          </w:tcPr>
          <w:p w14:paraId="5DC0FB04" w14:textId="31C35A86" w:rsidR="008A68EA" w:rsidRPr="001600F7" w:rsidRDefault="008A68EA" w:rsidP="001600F7">
            <w:pPr>
              <w:pStyle w:val="TableBody"/>
            </w:pPr>
            <w:r w:rsidRPr="001600F7">
              <w:t>265</w:t>
            </w:r>
          </w:p>
        </w:tc>
      </w:tr>
      <w:tr w:rsidR="008A68EA" w:rsidRPr="00E67326" w14:paraId="2FD81B0D" w14:textId="4F6A9E05" w:rsidTr="0083072A">
        <w:trPr>
          <w:trHeight w:val="580"/>
        </w:trPr>
        <w:tc>
          <w:tcPr>
            <w:tcW w:w="0" w:type="auto"/>
            <w:hideMark/>
          </w:tcPr>
          <w:p w14:paraId="0920598F" w14:textId="241E2E00" w:rsidR="008A68EA" w:rsidRPr="001600F7" w:rsidRDefault="008A68EA" w:rsidP="001600F7">
            <w:pPr>
              <w:pStyle w:val="TableBody"/>
            </w:pPr>
            <w:r w:rsidRPr="001600F7">
              <w:t>Cases involving at least one threat to commit a sexual offence</w:t>
            </w:r>
          </w:p>
        </w:tc>
        <w:tc>
          <w:tcPr>
            <w:tcW w:w="0" w:type="auto"/>
            <w:noWrap/>
            <w:hideMark/>
          </w:tcPr>
          <w:p w14:paraId="39187813" w14:textId="77777777" w:rsidR="008A68EA" w:rsidRPr="001600F7" w:rsidRDefault="008A68EA" w:rsidP="001600F7">
            <w:pPr>
              <w:pStyle w:val="TableBody"/>
            </w:pPr>
            <w:r w:rsidRPr="001600F7">
              <w:t>19</w:t>
            </w:r>
          </w:p>
        </w:tc>
        <w:tc>
          <w:tcPr>
            <w:tcW w:w="0" w:type="auto"/>
            <w:noWrap/>
            <w:hideMark/>
          </w:tcPr>
          <w:p w14:paraId="7AC3426C" w14:textId="77777777" w:rsidR="008A68EA" w:rsidRPr="001600F7" w:rsidRDefault="008A68EA" w:rsidP="001600F7">
            <w:pPr>
              <w:pStyle w:val="TableBody"/>
            </w:pPr>
            <w:r w:rsidRPr="001600F7">
              <w:t>40</w:t>
            </w:r>
          </w:p>
        </w:tc>
        <w:tc>
          <w:tcPr>
            <w:tcW w:w="0" w:type="auto"/>
          </w:tcPr>
          <w:p w14:paraId="483D104A" w14:textId="212F5B2D" w:rsidR="008A68EA" w:rsidRPr="001600F7" w:rsidRDefault="008A68EA" w:rsidP="001600F7">
            <w:pPr>
              <w:pStyle w:val="TableBody"/>
            </w:pPr>
            <w:r w:rsidRPr="001600F7">
              <w:t>59</w:t>
            </w:r>
          </w:p>
        </w:tc>
      </w:tr>
    </w:tbl>
    <w:p w14:paraId="1B5808E4" w14:textId="77777777" w:rsidR="005A3418" w:rsidRPr="00D36673" w:rsidRDefault="005A3418" w:rsidP="0059183C">
      <w:pPr>
        <w:pStyle w:val="Numbered"/>
      </w:pPr>
      <w:r w:rsidRPr="00D36673">
        <w:t>The prevalence of family violence indicators varied by jurisdiction. While the prevalence of family violence in higher courts threat cases is undetermined, family violence indicators were attached to twice the percentage of cases in the Magistrates’ Court (61%) as in the Children’s Court (29%). Further, in the Children’s Court the rate of cases with a family violence indicator was similar for male offenders (29%) and female offenders (28%); in the Magistrates’ Court, cases involving male offenders were more often linked to family violence (62%) than cases involving female offenders (53%). This most likely reflects changing family dynamics with age: children’s family violence is typically directed at siblings and parents and is less strongly gendered, whereas adults’ family violence is more often intimate partner violence, which is usually perpetrated by males against females.</w:t>
      </w:r>
      <w:r w:rsidRPr="00D36673">
        <w:rPr>
          <w:rStyle w:val="Superscript"/>
        </w:rPr>
        <w:footnoteReference w:id="139"/>
      </w:r>
      <w:r w:rsidRPr="00D36673">
        <w:t xml:space="preserve"> </w:t>
      </w:r>
    </w:p>
    <w:p w14:paraId="1B59CAE1" w14:textId="6F5EE9BE" w:rsidR="005A3418" w:rsidRPr="00D36673" w:rsidRDefault="005A3418" w:rsidP="00957F3A">
      <w:pPr>
        <w:pStyle w:val="Heading1Numbered"/>
      </w:pPr>
      <w:bookmarkStart w:id="7" w:name="_Toc75445782"/>
      <w:r w:rsidRPr="00D36673">
        <w:lastRenderedPageBreak/>
        <w:t>Sentencing outcomes</w:t>
      </w:r>
      <w:bookmarkEnd w:id="7"/>
    </w:p>
    <w:p w14:paraId="5EC8C81E" w14:textId="77777777" w:rsidR="005A3418" w:rsidRPr="00D36673" w:rsidRDefault="005A3418" w:rsidP="00F24F16">
      <w:pPr>
        <w:pStyle w:val="Numbered"/>
      </w:pPr>
      <w:r w:rsidRPr="00D36673">
        <w:t xml:space="preserve">This chapter examines the sentences imposed on threat offenders, including sentence types and imprisonment lengths. The analysis is arranged by the court in which the sentence was imposed; it includes comparisons between male offenders and female offenders, and between family violence cases and non-family violence cases, where relevant. </w:t>
      </w:r>
    </w:p>
    <w:p w14:paraId="57B21172" w14:textId="77777777" w:rsidR="005A3418" w:rsidRPr="00D36673" w:rsidRDefault="005A3418" w:rsidP="0086723D">
      <w:pPr>
        <w:pStyle w:val="Heading2"/>
      </w:pPr>
      <w:r w:rsidRPr="00D36673">
        <w:t xml:space="preserve">Sentencing in the Magistrates’ Court </w:t>
      </w:r>
    </w:p>
    <w:p w14:paraId="6554277E" w14:textId="74EE11B2" w:rsidR="005A3418" w:rsidRPr="00D36673" w:rsidRDefault="005A3418" w:rsidP="00F24F16">
      <w:pPr>
        <w:pStyle w:val="Numbered"/>
      </w:pPr>
      <w:r w:rsidRPr="00D36673">
        <w:t>Between 1 January 2015 and 31 December 2019 (the reference period), 16,390 threat offences were sentenced in 12,223 cases in the Magistrates’ Court. A threat offence was the principal proven offence (receiving the most serious penalty) in 4,815 cases.</w:t>
      </w:r>
    </w:p>
    <w:p w14:paraId="0B423182" w14:textId="2FD65E19" w:rsidR="00392E08" w:rsidRPr="00D36673" w:rsidRDefault="00392E08" w:rsidP="00711AFB">
      <w:pPr>
        <w:pStyle w:val="Caption"/>
        <w:rPr>
          <w:rStyle w:val="Superscript"/>
        </w:rPr>
      </w:pPr>
      <w:r w:rsidRPr="00C9259E">
        <w:t xml:space="preserve">Figure 10: </w:t>
      </w:r>
      <w:r w:rsidRPr="00D36673">
        <w:t>Sentencing outcomes for charges of threat offences in the Magistrates’ Court, by year, 2015 to 2019</w:t>
      </w:r>
      <w:r w:rsidR="00655103" w:rsidRPr="00B3526E">
        <w:rPr>
          <w:vertAlign w:val="superscript"/>
        </w:rPr>
        <w:footnoteReference w:id="140"/>
      </w:r>
    </w:p>
    <w:tbl>
      <w:tblPr>
        <w:tblStyle w:val="Table"/>
        <w:tblW w:w="9694" w:type="dxa"/>
        <w:tblLayout w:type="fixed"/>
        <w:tblLook w:val="04A0" w:firstRow="1" w:lastRow="0" w:firstColumn="1" w:lastColumn="0" w:noHBand="0" w:noVBand="1"/>
      </w:tblPr>
      <w:tblGrid>
        <w:gridCol w:w="1587"/>
        <w:gridCol w:w="1871"/>
        <w:gridCol w:w="1531"/>
        <w:gridCol w:w="1020"/>
        <w:gridCol w:w="1644"/>
        <w:gridCol w:w="907"/>
        <w:gridCol w:w="1134"/>
      </w:tblGrid>
      <w:tr w:rsidR="00293F45" w:rsidRPr="0099018F" w14:paraId="568ABCAC" w14:textId="77777777" w:rsidTr="00CC4708">
        <w:trPr>
          <w:trHeight w:val="20"/>
          <w:tblHeader/>
        </w:trPr>
        <w:tc>
          <w:tcPr>
            <w:tcW w:w="1587" w:type="dxa"/>
            <w:noWrap/>
            <w:hideMark/>
          </w:tcPr>
          <w:p w14:paraId="1B6F0013" w14:textId="48F9E10D" w:rsidR="0099018F" w:rsidRPr="0099018F" w:rsidRDefault="00BE09A2" w:rsidP="00FB226B">
            <w:pPr>
              <w:pStyle w:val="TableHeading"/>
            </w:pPr>
            <w:r>
              <w:t>Offence</w:t>
            </w:r>
          </w:p>
        </w:tc>
        <w:tc>
          <w:tcPr>
            <w:tcW w:w="1871" w:type="dxa"/>
            <w:noWrap/>
            <w:hideMark/>
          </w:tcPr>
          <w:p w14:paraId="0C62A329" w14:textId="77777777" w:rsidR="0099018F" w:rsidRPr="0099018F" w:rsidRDefault="0099018F" w:rsidP="00FB226B">
            <w:pPr>
              <w:pStyle w:val="TableHeading"/>
            </w:pPr>
            <w:r w:rsidRPr="0099018F">
              <w:t>Imprisonment</w:t>
            </w:r>
          </w:p>
        </w:tc>
        <w:tc>
          <w:tcPr>
            <w:tcW w:w="1531" w:type="dxa"/>
            <w:noWrap/>
            <w:hideMark/>
          </w:tcPr>
          <w:p w14:paraId="3F1A0F98" w14:textId="77777777" w:rsidR="0099018F" w:rsidRPr="0099018F" w:rsidRDefault="0099018F" w:rsidP="00FB226B">
            <w:pPr>
              <w:pStyle w:val="TableHeading"/>
            </w:pPr>
            <w:r w:rsidRPr="0099018F">
              <w:t>Community correction order</w:t>
            </w:r>
          </w:p>
        </w:tc>
        <w:tc>
          <w:tcPr>
            <w:tcW w:w="1020" w:type="dxa"/>
            <w:noWrap/>
            <w:hideMark/>
          </w:tcPr>
          <w:p w14:paraId="65D520CB" w14:textId="77777777" w:rsidR="0099018F" w:rsidRPr="0099018F" w:rsidRDefault="0099018F" w:rsidP="00FB226B">
            <w:pPr>
              <w:pStyle w:val="TableHeading"/>
            </w:pPr>
            <w:r w:rsidRPr="0099018F">
              <w:t>Fine</w:t>
            </w:r>
          </w:p>
        </w:tc>
        <w:tc>
          <w:tcPr>
            <w:tcW w:w="1644" w:type="dxa"/>
            <w:noWrap/>
            <w:hideMark/>
          </w:tcPr>
          <w:p w14:paraId="3C57FF23" w14:textId="77777777" w:rsidR="0099018F" w:rsidRPr="0099018F" w:rsidRDefault="0099018F" w:rsidP="00FB226B">
            <w:pPr>
              <w:pStyle w:val="TableHeading"/>
            </w:pPr>
            <w:r w:rsidRPr="0099018F">
              <w:t>Adjourned undertaking</w:t>
            </w:r>
          </w:p>
        </w:tc>
        <w:tc>
          <w:tcPr>
            <w:tcW w:w="907" w:type="dxa"/>
            <w:noWrap/>
            <w:hideMark/>
          </w:tcPr>
          <w:p w14:paraId="16E3B111" w14:textId="77777777" w:rsidR="0099018F" w:rsidRPr="0099018F" w:rsidRDefault="0099018F" w:rsidP="00FB226B">
            <w:pPr>
              <w:pStyle w:val="TableHeading"/>
            </w:pPr>
            <w:r w:rsidRPr="0099018F">
              <w:t>Other</w:t>
            </w:r>
          </w:p>
        </w:tc>
        <w:tc>
          <w:tcPr>
            <w:tcW w:w="1134" w:type="dxa"/>
            <w:noWrap/>
            <w:hideMark/>
          </w:tcPr>
          <w:p w14:paraId="380C9A5D" w14:textId="77777777" w:rsidR="0099018F" w:rsidRPr="0099018F" w:rsidRDefault="0099018F" w:rsidP="00FB226B">
            <w:pPr>
              <w:pStyle w:val="TableHeading"/>
            </w:pPr>
            <w:r w:rsidRPr="0099018F">
              <w:t>Total</w:t>
            </w:r>
          </w:p>
        </w:tc>
      </w:tr>
      <w:tr w:rsidR="002072C1" w:rsidRPr="0099018F" w14:paraId="59513517" w14:textId="77777777" w:rsidTr="00CC4708">
        <w:trPr>
          <w:trHeight w:val="20"/>
        </w:trPr>
        <w:tc>
          <w:tcPr>
            <w:tcW w:w="1587" w:type="dxa"/>
            <w:hideMark/>
          </w:tcPr>
          <w:p w14:paraId="2374F8FD" w14:textId="4D259C79" w:rsidR="0099018F" w:rsidRPr="0099018F" w:rsidRDefault="0099018F" w:rsidP="0099018F">
            <w:pPr>
              <w:pStyle w:val="TableBody"/>
            </w:pPr>
            <w:r w:rsidRPr="0099018F">
              <w:t>Threat to kill</w:t>
            </w:r>
          </w:p>
        </w:tc>
        <w:tc>
          <w:tcPr>
            <w:tcW w:w="1871" w:type="dxa"/>
            <w:noWrap/>
            <w:hideMark/>
          </w:tcPr>
          <w:p w14:paraId="5980C7F8" w14:textId="164CDCDC" w:rsidR="0099018F" w:rsidRPr="0099018F" w:rsidRDefault="0099018F" w:rsidP="0099018F">
            <w:pPr>
              <w:pStyle w:val="TableBody"/>
            </w:pPr>
            <w:r w:rsidRPr="0099018F">
              <w:t>3</w:t>
            </w:r>
            <w:r w:rsidR="00801432">
              <w:t>,</w:t>
            </w:r>
            <w:r w:rsidRPr="0099018F">
              <w:t>441</w:t>
            </w:r>
            <w:r w:rsidR="00801432">
              <w:t xml:space="preserve"> (</w:t>
            </w:r>
            <w:r w:rsidR="00801432" w:rsidRPr="0099018F">
              <w:t>38%</w:t>
            </w:r>
            <w:r w:rsidR="00801432">
              <w:t>)</w:t>
            </w:r>
          </w:p>
        </w:tc>
        <w:tc>
          <w:tcPr>
            <w:tcW w:w="1531" w:type="dxa"/>
            <w:noWrap/>
            <w:hideMark/>
          </w:tcPr>
          <w:p w14:paraId="3C844890" w14:textId="1DC19A19" w:rsidR="0099018F" w:rsidRPr="0099018F" w:rsidRDefault="0099018F" w:rsidP="0099018F">
            <w:pPr>
              <w:pStyle w:val="TableBody"/>
            </w:pPr>
            <w:r w:rsidRPr="0099018F">
              <w:t>2</w:t>
            </w:r>
            <w:r w:rsidR="00801432">
              <w:t>,</w:t>
            </w:r>
            <w:r w:rsidRPr="0099018F">
              <w:t>833</w:t>
            </w:r>
            <w:r w:rsidR="00801432">
              <w:t xml:space="preserve"> (</w:t>
            </w:r>
            <w:r w:rsidR="00801432" w:rsidRPr="0099018F">
              <w:t>31%</w:t>
            </w:r>
            <w:r w:rsidR="00801432">
              <w:t>)</w:t>
            </w:r>
          </w:p>
        </w:tc>
        <w:tc>
          <w:tcPr>
            <w:tcW w:w="1020" w:type="dxa"/>
            <w:noWrap/>
            <w:hideMark/>
          </w:tcPr>
          <w:p w14:paraId="39E0A37D" w14:textId="429C3013" w:rsidR="0099018F" w:rsidRPr="0099018F" w:rsidRDefault="0099018F" w:rsidP="0099018F">
            <w:pPr>
              <w:pStyle w:val="TableBody"/>
            </w:pPr>
            <w:r w:rsidRPr="0099018F">
              <w:t>1</w:t>
            </w:r>
            <w:r w:rsidR="00801432">
              <w:t>,</w:t>
            </w:r>
            <w:r w:rsidRPr="0099018F">
              <w:t>023</w:t>
            </w:r>
            <w:r w:rsidR="00801432">
              <w:t xml:space="preserve"> (</w:t>
            </w:r>
            <w:r w:rsidR="00801432" w:rsidRPr="0099018F">
              <w:t>11%</w:t>
            </w:r>
            <w:r w:rsidR="00801432">
              <w:t>)</w:t>
            </w:r>
          </w:p>
        </w:tc>
        <w:tc>
          <w:tcPr>
            <w:tcW w:w="1644" w:type="dxa"/>
            <w:noWrap/>
            <w:hideMark/>
          </w:tcPr>
          <w:p w14:paraId="79ECD0D1" w14:textId="1857A6A3" w:rsidR="0099018F" w:rsidRPr="0099018F" w:rsidRDefault="0099018F" w:rsidP="0099018F">
            <w:pPr>
              <w:pStyle w:val="TableBody"/>
            </w:pPr>
            <w:r w:rsidRPr="0099018F">
              <w:t>1</w:t>
            </w:r>
            <w:r w:rsidR="005A7A4C">
              <w:t>,</w:t>
            </w:r>
            <w:r w:rsidRPr="0099018F">
              <w:t>281</w:t>
            </w:r>
            <w:r w:rsidR="00801432">
              <w:t xml:space="preserve"> (</w:t>
            </w:r>
            <w:r w:rsidR="00801432" w:rsidRPr="0099018F">
              <w:t>14%</w:t>
            </w:r>
            <w:r w:rsidR="00801432">
              <w:t>)</w:t>
            </w:r>
          </w:p>
        </w:tc>
        <w:tc>
          <w:tcPr>
            <w:tcW w:w="907" w:type="dxa"/>
            <w:noWrap/>
            <w:hideMark/>
          </w:tcPr>
          <w:p w14:paraId="0D13DD09" w14:textId="45805CC5" w:rsidR="0099018F" w:rsidRPr="0099018F" w:rsidRDefault="0099018F" w:rsidP="0099018F">
            <w:pPr>
              <w:pStyle w:val="TableBody"/>
            </w:pPr>
            <w:r w:rsidRPr="0099018F">
              <w:t>480</w:t>
            </w:r>
            <w:r w:rsidR="0067400D">
              <w:t xml:space="preserve"> (</w:t>
            </w:r>
            <w:r w:rsidR="0067400D" w:rsidRPr="0099018F">
              <w:t>5%</w:t>
            </w:r>
            <w:r w:rsidR="0067400D">
              <w:t>)</w:t>
            </w:r>
          </w:p>
        </w:tc>
        <w:tc>
          <w:tcPr>
            <w:tcW w:w="1134" w:type="dxa"/>
            <w:noWrap/>
            <w:hideMark/>
          </w:tcPr>
          <w:p w14:paraId="4E136687" w14:textId="17CFC224" w:rsidR="0099018F" w:rsidRPr="0099018F" w:rsidRDefault="0099018F" w:rsidP="0099018F">
            <w:pPr>
              <w:pStyle w:val="TableBody"/>
            </w:pPr>
            <w:r w:rsidRPr="0099018F">
              <w:t>9</w:t>
            </w:r>
            <w:r w:rsidR="005A7A4C">
              <w:t>,</w:t>
            </w:r>
            <w:r w:rsidRPr="0099018F">
              <w:t>058</w:t>
            </w:r>
            <w:r w:rsidR="00451D65">
              <w:t xml:space="preserve"> (</w:t>
            </w:r>
            <w:r w:rsidR="00451D65" w:rsidRPr="0099018F">
              <w:t>100%</w:t>
            </w:r>
            <w:r w:rsidR="00451D65">
              <w:t>)</w:t>
            </w:r>
          </w:p>
        </w:tc>
      </w:tr>
      <w:tr w:rsidR="002072C1" w:rsidRPr="0099018F" w14:paraId="1C446B39" w14:textId="77777777" w:rsidTr="00CC4708">
        <w:trPr>
          <w:trHeight w:val="20"/>
        </w:trPr>
        <w:tc>
          <w:tcPr>
            <w:tcW w:w="1587" w:type="dxa"/>
            <w:hideMark/>
          </w:tcPr>
          <w:p w14:paraId="3CE578EC" w14:textId="59A89FD1" w:rsidR="0099018F" w:rsidRPr="0099018F" w:rsidRDefault="0099018F" w:rsidP="0099018F">
            <w:pPr>
              <w:pStyle w:val="TableBody"/>
            </w:pPr>
            <w:r w:rsidRPr="0099018F">
              <w:t xml:space="preserve">Threat to </w:t>
            </w:r>
            <w:r w:rsidR="0094312C">
              <w:t>inflict serious injury</w:t>
            </w:r>
          </w:p>
        </w:tc>
        <w:tc>
          <w:tcPr>
            <w:tcW w:w="1871" w:type="dxa"/>
            <w:noWrap/>
            <w:hideMark/>
          </w:tcPr>
          <w:p w14:paraId="4A5CC6A8" w14:textId="04BE615A" w:rsidR="0099018F" w:rsidRPr="0099018F" w:rsidRDefault="0099018F" w:rsidP="0099018F">
            <w:pPr>
              <w:pStyle w:val="TableBody"/>
            </w:pPr>
            <w:r w:rsidRPr="0099018F">
              <w:t>1</w:t>
            </w:r>
            <w:r w:rsidR="002D2E89">
              <w:t>,</w:t>
            </w:r>
            <w:r w:rsidRPr="0099018F">
              <w:t>630</w:t>
            </w:r>
            <w:r w:rsidR="002D2E89">
              <w:t xml:space="preserve"> (</w:t>
            </w:r>
            <w:r w:rsidR="002D2E89" w:rsidRPr="0099018F">
              <w:t>34%</w:t>
            </w:r>
            <w:r w:rsidR="002D2E89">
              <w:t>)</w:t>
            </w:r>
          </w:p>
        </w:tc>
        <w:tc>
          <w:tcPr>
            <w:tcW w:w="1531" w:type="dxa"/>
            <w:noWrap/>
            <w:hideMark/>
          </w:tcPr>
          <w:p w14:paraId="643DFB76" w14:textId="765B8B29" w:rsidR="0099018F" w:rsidRPr="0099018F" w:rsidRDefault="0099018F" w:rsidP="0099018F">
            <w:pPr>
              <w:pStyle w:val="TableBody"/>
            </w:pPr>
            <w:r w:rsidRPr="0099018F">
              <w:t>1</w:t>
            </w:r>
            <w:r w:rsidR="002D2E89">
              <w:t>,</w:t>
            </w:r>
            <w:r w:rsidRPr="0099018F">
              <w:t>514</w:t>
            </w:r>
            <w:r w:rsidR="007D0EC1">
              <w:t xml:space="preserve"> (</w:t>
            </w:r>
            <w:r w:rsidR="007D0EC1" w:rsidRPr="0099018F">
              <w:t>31%</w:t>
            </w:r>
            <w:r w:rsidR="007D0EC1">
              <w:t>)</w:t>
            </w:r>
          </w:p>
        </w:tc>
        <w:tc>
          <w:tcPr>
            <w:tcW w:w="1020" w:type="dxa"/>
            <w:noWrap/>
            <w:hideMark/>
          </w:tcPr>
          <w:p w14:paraId="38E4D54E" w14:textId="6E28F588" w:rsidR="0099018F" w:rsidRPr="0099018F" w:rsidRDefault="0099018F" w:rsidP="0099018F">
            <w:pPr>
              <w:pStyle w:val="TableBody"/>
            </w:pPr>
            <w:r w:rsidRPr="0099018F">
              <w:t>691</w:t>
            </w:r>
            <w:r w:rsidR="00B70D97">
              <w:t xml:space="preserve"> (</w:t>
            </w:r>
            <w:r w:rsidR="00B70D97" w:rsidRPr="0099018F">
              <w:t>14%</w:t>
            </w:r>
            <w:r w:rsidR="00B70D97">
              <w:t>)</w:t>
            </w:r>
          </w:p>
        </w:tc>
        <w:tc>
          <w:tcPr>
            <w:tcW w:w="1644" w:type="dxa"/>
            <w:noWrap/>
            <w:hideMark/>
          </w:tcPr>
          <w:p w14:paraId="3DD7D958" w14:textId="3BA1589D" w:rsidR="0099018F" w:rsidRPr="0099018F" w:rsidRDefault="0099018F" w:rsidP="0099018F">
            <w:pPr>
              <w:pStyle w:val="TableBody"/>
            </w:pPr>
            <w:r w:rsidRPr="0099018F">
              <w:t>690</w:t>
            </w:r>
            <w:r w:rsidR="009F6942">
              <w:t xml:space="preserve"> (</w:t>
            </w:r>
            <w:r w:rsidR="009F6942" w:rsidRPr="0099018F">
              <w:t>14%</w:t>
            </w:r>
            <w:r w:rsidR="009F6942">
              <w:t>)</w:t>
            </w:r>
          </w:p>
        </w:tc>
        <w:tc>
          <w:tcPr>
            <w:tcW w:w="907" w:type="dxa"/>
            <w:noWrap/>
            <w:hideMark/>
          </w:tcPr>
          <w:p w14:paraId="1CB9CDCD" w14:textId="318C80F5" w:rsidR="0099018F" w:rsidRPr="0099018F" w:rsidRDefault="0099018F" w:rsidP="0099018F">
            <w:pPr>
              <w:pStyle w:val="TableBody"/>
            </w:pPr>
            <w:r w:rsidRPr="0099018F">
              <w:t>297</w:t>
            </w:r>
            <w:r w:rsidR="002B1D98">
              <w:t xml:space="preserve"> (</w:t>
            </w:r>
            <w:r w:rsidR="002B1D98" w:rsidRPr="0099018F">
              <w:t>6%</w:t>
            </w:r>
            <w:r w:rsidR="002B1D98">
              <w:t>)</w:t>
            </w:r>
          </w:p>
        </w:tc>
        <w:tc>
          <w:tcPr>
            <w:tcW w:w="1134" w:type="dxa"/>
            <w:noWrap/>
            <w:hideMark/>
          </w:tcPr>
          <w:p w14:paraId="1F18FA3B" w14:textId="145C31F0" w:rsidR="0099018F" w:rsidRPr="0099018F" w:rsidRDefault="0099018F" w:rsidP="0099018F">
            <w:pPr>
              <w:pStyle w:val="TableBody"/>
            </w:pPr>
            <w:r w:rsidRPr="0099018F">
              <w:t>4</w:t>
            </w:r>
            <w:r w:rsidR="002D2E89">
              <w:t>,</w:t>
            </w:r>
            <w:r w:rsidRPr="0099018F">
              <w:t>822</w:t>
            </w:r>
            <w:r w:rsidR="00AE4CA7">
              <w:t xml:space="preserve"> (</w:t>
            </w:r>
            <w:r w:rsidR="00AE4CA7" w:rsidRPr="0099018F">
              <w:t>100%</w:t>
            </w:r>
            <w:r w:rsidR="00AE4CA7">
              <w:t>)</w:t>
            </w:r>
          </w:p>
        </w:tc>
      </w:tr>
      <w:tr w:rsidR="002072C1" w:rsidRPr="0099018F" w14:paraId="3A45F6B3" w14:textId="77777777" w:rsidTr="00CC4708">
        <w:trPr>
          <w:trHeight w:val="20"/>
        </w:trPr>
        <w:tc>
          <w:tcPr>
            <w:tcW w:w="1587" w:type="dxa"/>
            <w:hideMark/>
          </w:tcPr>
          <w:p w14:paraId="616A993F" w14:textId="7D2F7FC6" w:rsidR="0099018F" w:rsidRPr="0099018F" w:rsidRDefault="0099018F" w:rsidP="0099018F">
            <w:pPr>
              <w:pStyle w:val="TableBody"/>
            </w:pPr>
            <w:r w:rsidRPr="0099018F">
              <w:t>Threat to destroy</w:t>
            </w:r>
            <w:r w:rsidR="00FC70E1">
              <w:t xml:space="preserve"> or </w:t>
            </w:r>
            <w:r w:rsidRPr="0099018F">
              <w:t>damage property</w:t>
            </w:r>
          </w:p>
        </w:tc>
        <w:tc>
          <w:tcPr>
            <w:tcW w:w="1871" w:type="dxa"/>
            <w:noWrap/>
            <w:hideMark/>
          </w:tcPr>
          <w:p w14:paraId="5185F993" w14:textId="59CE6147" w:rsidR="0099018F" w:rsidRPr="0099018F" w:rsidRDefault="0099018F" w:rsidP="0099018F">
            <w:pPr>
              <w:pStyle w:val="TableBody"/>
            </w:pPr>
            <w:r w:rsidRPr="0099018F">
              <w:t>604</w:t>
            </w:r>
            <w:r w:rsidR="00B87BB5">
              <w:t xml:space="preserve"> (</w:t>
            </w:r>
            <w:r w:rsidR="00B87BB5" w:rsidRPr="0099018F">
              <w:t>28%</w:t>
            </w:r>
            <w:r w:rsidR="00B87BB5">
              <w:t>)</w:t>
            </w:r>
          </w:p>
        </w:tc>
        <w:tc>
          <w:tcPr>
            <w:tcW w:w="1531" w:type="dxa"/>
            <w:noWrap/>
            <w:hideMark/>
          </w:tcPr>
          <w:p w14:paraId="1BC467A1" w14:textId="6FBC6123" w:rsidR="0099018F" w:rsidRPr="0099018F" w:rsidRDefault="0099018F" w:rsidP="0099018F">
            <w:pPr>
              <w:pStyle w:val="TableBody"/>
            </w:pPr>
            <w:r w:rsidRPr="0099018F">
              <w:t>681</w:t>
            </w:r>
            <w:r w:rsidR="00B87BB5">
              <w:t xml:space="preserve"> (</w:t>
            </w:r>
            <w:r w:rsidR="00B87BB5" w:rsidRPr="0099018F">
              <w:t>32%</w:t>
            </w:r>
            <w:r w:rsidR="00B87BB5">
              <w:t>)</w:t>
            </w:r>
          </w:p>
        </w:tc>
        <w:tc>
          <w:tcPr>
            <w:tcW w:w="1020" w:type="dxa"/>
            <w:noWrap/>
            <w:hideMark/>
          </w:tcPr>
          <w:p w14:paraId="58C83C31" w14:textId="3E08B994" w:rsidR="0099018F" w:rsidRPr="0099018F" w:rsidRDefault="0099018F" w:rsidP="0099018F">
            <w:pPr>
              <w:pStyle w:val="TableBody"/>
            </w:pPr>
            <w:r w:rsidRPr="0099018F">
              <w:t>356</w:t>
            </w:r>
            <w:r w:rsidR="00B87BB5">
              <w:t xml:space="preserve"> (</w:t>
            </w:r>
            <w:r w:rsidR="00B87BB5" w:rsidRPr="0099018F">
              <w:t>17%</w:t>
            </w:r>
            <w:r w:rsidR="00B87BB5">
              <w:t>)</w:t>
            </w:r>
          </w:p>
        </w:tc>
        <w:tc>
          <w:tcPr>
            <w:tcW w:w="1644" w:type="dxa"/>
            <w:noWrap/>
            <w:hideMark/>
          </w:tcPr>
          <w:p w14:paraId="14BA0031" w14:textId="1D972401" w:rsidR="0099018F" w:rsidRPr="0099018F" w:rsidRDefault="0099018F" w:rsidP="0099018F">
            <w:pPr>
              <w:pStyle w:val="TableBody"/>
            </w:pPr>
            <w:r w:rsidRPr="0099018F">
              <w:t>356</w:t>
            </w:r>
            <w:r w:rsidR="00A10780">
              <w:t xml:space="preserve"> (</w:t>
            </w:r>
            <w:r w:rsidR="00A10780" w:rsidRPr="0099018F">
              <w:t>17%</w:t>
            </w:r>
            <w:r w:rsidR="00A10780">
              <w:t>)</w:t>
            </w:r>
          </w:p>
        </w:tc>
        <w:tc>
          <w:tcPr>
            <w:tcW w:w="907" w:type="dxa"/>
            <w:noWrap/>
            <w:hideMark/>
          </w:tcPr>
          <w:p w14:paraId="3EA609DA" w14:textId="43BBD9F9" w:rsidR="0099018F" w:rsidRPr="0099018F" w:rsidRDefault="0099018F" w:rsidP="0099018F">
            <w:pPr>
              <w:pStyle w:val="TableBody"/>
            </w:pPr>
            <w:r w:rsidRPr="0099018F">
              <w:t>123</w:t>
            </w:r>
            <w:r w:rsidR="00CE0BC9">
              <w:t xml:space="preserve"> (</w:t>
            </w:r>
            <w:r w:rsidR="00CE0BC9" w:rsidRPr="0099018F">
              <w:t>6%</w:t>
            </w:r>
            <w:r w:rsidR="00CE0BC9">
              <w:t>)</w:t>
            </w:r>
          </w:p>
        </w:tc>
        <w:tc>
          <w:tcPr>
            <w:tcW w:w="1134" w:type="dxa"/>
            <w:noWrap/>
            <w:hideMark/>
          </w:tcPr>
          <w:p w14:paraId="02D4D6ED" w14:textId="32F18597" w:rsidR="0099018F" w:rsidRPr="0099018F" w:rsidRDefault="0099018F" w:rsidP="0099018F">
            <w:pPr>
              <w:pStyle w:val="TableBody"/>
            </w:pPr>
            <w:r w:rsidRPr="0099018F">
              <w:t>120</w:t>
            </w:r>
            <w:r w:rsidR="00BE09A2">
              <w:t xml:space="preserve"> (</w:t>
            </w:r>
            <w:r w:rsidR="00BE09A2" w:rsidRPr="0099018F">
              <w:t>100%</w:t>
            </w:r>
            <w:r w:rsidR="00BE09A2">
              <w:t>)</w:t>
            </w:r>
          </w:p>
        </w:tc>
      </w:tr>
      <w:tr w:rsidR="002072C1" w:rsidRPr="0099018F" w14:paraId="320C8A94" w14:textId="77777777" w:rsidTr="00CC4708">
        <w:trPr>
          <w:trHeight w:val="20"/>
        </w:trPr>
        <w:tc>
          <w:tcPr>
            <w:tcW w:w="1587" w:type="dxa"/>
            <w:hideMark/>
          </w:tcPr>
          <w:p w14:paraId="4054DFFA" w14:textId="1637D918" w:rsidR="0099018F" w:rsidRPr="0099018F" w:rsidRDefault="0099018F" w:rsidP="0099018F">
            <w:pPr>
              <w:pStyle w:val="TableBody"/>
            </w:pPr>
            <w:r w:rsidRPr="0099018F">
              <w:t xml:space="preserve">Threat to assault </w:t>
            </w:r>
            <w:r w:rsidR="00F34D09">
              <w:t xml:space="preserve">an </w:t>
            </w:r>
            <w:r w:rsidRPr="0099018F">
              <w:t>emergency worker</w:t>
            </w:r>
          </w:p>
        </w:tc>
        <w:tc>
          <w:tcPr>
            <w:tcW w:w="1871" w:type="dxa"/>
            <w:noWrap/>
            <w:hideMark/>
          </w:tcPr>
          <w:p w14:paraId="13215828" w14:textId="46ABC3B6" w:rsidR="0099018F" w:rsidRPr="0099018F" w:rsidRDefault="0099018F" w:rsidP="0099018F">
            <w:pPr>
              <w:pStyle w:val="TableBody"/>
            </w:pPr>
            <w:r w:rsidRPr="0099018F">
              <w:t>116</w:t>
            </w:r>
            <w:r w:rsidR="007339E1">
              <w:t xml:space="preserve"> (</w:t>
            </w:r>
            <w:r w:rsidR="007339E1" w:rsidRPr="0099018F">
              <w:t>40%</w:t>
            </w:r>
            <w:r w:rsidR="007339E1">
              <w:t>)</w:t>
            </w:r>
          </w:p>
        </w:tc>
        <w:tc>
          <w:tcPr>
            <w:tcW w:w="1531" w:type="dxa"/>
            <w:noWrap/>
            <w:hideMark/>
          </w:tcPr>
          <w:p w14:paraId="013FC450" w14:textId="0634AE74" w:rsidR="0099018F" w:rsidRPr="0099018F" w:rsidRDefault="0099018F" w:rsidP="0099018F">
            <w:pPr>
              <w:pStyle w:val="TableBody"/>
            </w:pPr>
            <w:r w:rsidRPr="0099018F">
              <w:t>84</w:t>
            </w:r>
            <w:r w:rsidR="007339E1">
              <w:t xml:space="preserve"> (</w:t>
            </w:r>
            <w:r w:rsidR="007339E1" w:rsidRPr="0099018F">
              <w:t>29%</w:t>
            </w:r>
            <w:r w:rsidR="007339E1">
              <w:t>)</w:t>
            </w:r>
          </w:p>
        </w:tc>
        <w:tc>
          <w:tcPr>
            <w:tcW w:w="1020" w:type="dxa"/>
            <w:noWrap/>
            <w:hideMark/>
          </w:tcPr>
          <w:p w14:paraId="065AD302" w14:textId="4C3318BF" w:rsidR="0099018F" w:rsidRPr="0099018F" w:rsidRDefault="0099018F" w:rsidP="0099018F">
            <w:pPr>
              <w:pStyle w:val="TableBody"/>
            </w:pPr>
            <w:r w:rsidRPr="0099018F">
              <w:t>47</w:t>
            </w:r>
            <w:r w:rsidR="007339E1">
              <w:t xml:space="preserve"> (</w:t>
            </w:r>
            <w:r w:rsidR="007339E1" w:rsidRPr="0099018F">
              <w:t>16%</w:t>
            </w:r>
            <w:r w:rsidR="007339E1">
              <w:t>)</w:t>
            </w:r>
          </w:p>
        </w:tc>
        <w:tc>
          <w:tcPr>
            <w:tcW w:w="1644" w:type="dxa"/>
            <w:noWrap/>
            <w:hideMark/>
          </w:tcPr>
          <w:p w14:paraId="655DB211" w14:textId="41D3EE77" w:rsidR="0099018F" w:rsidRPr="0099018F" w:rsidRDefault="0099018F" w:rsidP="0099018F">
            <w:pPr>
              <w:pStyle w:val="TableBody"/>
            </w:pPr>
            <w:r w:rsidRPr="0099018F">
              <w:t>32</w:t>
            </w:r>
            <w:r w:rsidR="007339E1">
              <w:t xml:space="preserve"> (</w:t>
            </w:r>
            <w:r w:rsidR="007339E1" w:rsidRPr="0099018F">
              <w:t>11%</w:t>
            </w:r>
            <w:r w:rsidR="007339E1">
              <w:t>)</w:t>
            </w:r>
          </w:p>
        </w:tc>
        <w:tc>
          <w:tcPr>
            <w:tcW w:w="907" w:type="dxa"/>
            <w:noWrap/>
            <w:hideMark/>
          </w:tcPr>
          <w:p w14:paraId="5685204E" w14:textId="2BCAF313" w:rsidR="0099018F" w:rsidRPr="0099018F" w:rsidRDefault="0099018F" w:rsidP="0099018F">
            <w:pPr>
              <w:pStyle w:val="TableBody"/>
            </w:pPr>
            <w:r w:rsidRPr="0099018F">
              <w:t>10</w:t>
            </w:r>
            <w:r w:rsidR="00EF500F">
              <w:t xml:space="preserve"> (</w:t>
            </w:r>
            <w:r w:rsidR="00EF500F" w:rsidRPr="0099018F">
              <w:t>3%</w:t>
            </w:r>
            <w:r w:rsidR="00EF500F">
              <w:t>)</w:t>
            </w:r>
          </w:p>
        </w:tc>
        <w:tc>
          <w:tcPr>
            <w:tcW w:w="1134" w:type="dxa"/>
            <w:noWrap/>
            <w:hideMark/>
          </w:tcPr>
          <w:p w14:paraId="4C354107" w14:textId="17A35534" w:rsidR="0099018F" w:rsidRPr="0099018F" w:rsidRDefault="0099018F" w:rsidP="0099018F">
            <w:pPr>
              <w:pStyle w:val="TableBody"/>
            </w:pPr>
            <w:r w:rsidRPr="0099018F">
              <w:t>289</w:t>
            </w:r>
            <w:r w:rsidR="000430CE">
              <w:t xml:space="preserve"> (</w:t>
            </w:r>
            <w:r w:rsidR="000430CE" w:rsidRPr="0099018F">
              <w:t>100%</w:t>
            </w:r>
            <w:r w:rsidR="000430CE">
              <w:t>)</w:t>
            </w:r>
          </w:p>
        </w:tc>
      </w:tr>
      <w:tr w:rsidR="002072C1" w:rsidRPr="0099018F" w14:paraId="6B343E45" w14:textId="77777777" w:rsidTr="00CC4708">
        <w:trPr>
          <w:trHeight w:val="20"/>
        </w:trPr>
        <w:tc>
          <w:tcPr>
            <w:tcW w:w="1587" w:type="dxa"/>
            <w:hideMark/>
          </w:tcPr>
          <w:p w14:paraId="7F5F592A" w14:textId="218BD37F" w:rsidR="0099018F" w:rsidRPr="0099018F" w:rsidRDefault="0099018F" w:rsidP="0099018F">
            <w:pPr>
              <w:pStyle w:val="TableBody"/>
            </w:pPr>
            <w:r w:rsidRPr="0099018F">
              <w:t>Threat to commit a sexual offence</w:t>
            </w:r>
          </w:p>
        </w:tc>
        <w:tc>
          <w:tcPr>
            <w:tcW w:w="1871" w:type="dxa"/>
            <w:noWrap/>
            <w:hideMark/>
          </w:tcPr>
          <w:p w14:paraId="07EC94A0" w14:textId="2EFF6128" w:rsidR="0099018F" w:rsidRPr="0099018F" w:rsidRDefault="0099018F" w:rsidP="0099018F">
            <w:pPr>
              <w:pStyle w:val="TableBody"/>
            </w:pPr>
            <w:r w:rsidRPr="0099018F">
              <w:t>26</w:t>
            </w:r>
            <w:r w:rsidR="00C7756C">
              <w:t xml:space="preserve"> (</w:t>
            </w:r>
            <w:r w:rsidR="00C7756C" w:rsidRPr="0099018F">
              <w:t>39%</w:t>
            </w:r>
            <w:r w:rsidR="00C7756C">
              <w:t>)</w:t>
            </w:r>
          </w:p>
        </w:tc>
        <w:tc>
          <w:tcPr>
            <w:tcW w:w="1531" w:type="dxa"/>
            <w:noWrap/>
            <w:hideMark/>
          </w:tcPr>
          <w:p w14:paraId="1A0E750D" w14:textId="5D070116" w:rsidR="0099018F" w:rsidRPr="0099018F" w:rsidRDefault="0099018F" w:rsidP="0099018F">
            <w:pPr>
              <w:pStyle w:val="TableBody"/>
            </w:pPr>
            <w:r w:rsidRPr="0099018F">
              <w:t>26</w:t>
            </w:r>
            <w:r w:rsidR="00FD02E2">
              <w:t xml:space="preserve"> (</w:t>
            </w:r>
            <w:r w:rsidR="00FD02E2" w:rsidRPr="0099018F">
              <w:t>39%</w:t>
            </w:r>
            <w:r w:rsidR="00FD02E2">
              <w:t>)</w:t>
            </w:r>
          </w:p>
        </w:tc>
        <w:tc>
          <w:tcPr>
            <w:tcW w:w="1020" w:type="dxa"/>
            <w:noWrap/>
            <w:hideMark/>
          </w:tcPr>
          <w:p w14:paraId="37AD2CAB" w14:textId="24A20310" w:rsidR="0099018F" w:rsidRPr="0099018F" w:rsidRDefault="0099018F" w:rsidP="0099018F">
            <w:pPr>
              <w:pStyle w:val="TableBody"/>
            </w:pPr>
            <w:r w:rsidRPr="0099018F">
              <w:t>2</w:t>
            </w:r>
            <w:r w:rsidR="00AA798A">
              <w:t xml:space="preserve"> (</w:t>
            </w:r>
            <w:r w:rsidR="00AA798A" w:rsidRPr="0099018F">
              <w:t>3%</w:t>
            </w:r>
            <w:r w:rsidR="00AA798A">
              <w:t>)</w:t>
            </w:r>
          </w:p>
        </w:tc>
        <w:tc>
          <w:tcPr>
            <w:tcW w:w="1644" w:type="dxa"/>
            <w:noWrap/>
            <w:hideMark/>
          </w:tcPr>
          <w:p w14:paraId="099777C3" w14:textId="2A71F250" w:rsidR="0099018F" w:rsidRPr="0099018F" w:rsidRDefault="0099018F" w:rsidP="0099018F">
            <w:pPr>
              <w:pStyle w:val="TableBody"/>
            </w:pPr>
            <w:r w:rsidRPr="0099018F">
              <w:t>10</w:t>
            </w:r>
            <w:r w:rsidR="00A71D7E">
              <w:t xml:space="preserve"> (</w:t>
            </w:r>
            <w:r w:rsidR="00A71D7E" w:rsidRPr="0099018F">
              <w:t>15%</w:t>
            </w:r>
            <w:r w:rsidR="00A71D7E">
              <w:t>)</w:t>
            </w:r>
          </w:p>
        </w:tc>
        <w:tc>
          <w:tcPr>
            <w:tcW w:w="907" w:type="dxa"/>
            <w:noWrap/>
            <w:hideMark/>
          </w:tcPr>
          <w:p w14:paraId="12DA2CF0" w14:textId="43BA169F" w:rsidR="0099018F" w:rsidRPr="0099018F" w:rsidRDefault="0099018F" w:rsidP="0099018F">
            <w:pPr>
              <w:pStyle w:val="TableBody"/>
            </w:pPr>
            <w:r w:rsidRPr="0099018F">
              <w:t>2</w:t>
            </w:r>
            <w:r w:rsidR="00A71D7E">
              <w:t xml:space="preserve"> (</w:t>
            </w:r>
            <w:r w:rsidR="00A71D7E" w:rsidRPr="0099018F">
              <w:t>3%</w:t>
            </w:r>
            <w:r w:rsidR="00A71D7E">
              <w:t>)</w:t>
            </w:r>
          </w:p>
        </w:tc>
        <w:tc>
          <w:tcPr>
            <w:tcW w:w="1134" w:type="dxa"/>
            <w:noWrap/>
            <w:hideMark/>
          </w:tcPr>
          <w:p w14:paraId="56FAB666" w14:textId="39893DC2" w:rsidR="0099018F" w:rsidRPr="0099018F" w:rsidRDefault="0099018F" w:rsidP="0099018F">
            <w:pPr>
              <w:pStyle w:val="TableBody"/>
            </w:pPr>
            <w:r w:rsidRPr="0099018F">
              <w:t>66</w:t>
            </w:r>
            <w:r w:rsidR="00301967">
              <w:t xml:space="preserve"> (</w:t>
            </w:r>
            <w:r w:rsidR="00301967" w:rsidRPr="0099018F">
              <w:t>100%</w:t>
            </w:r>
            <w:r w:rsidR="00301967">
              <w:t>)</w:t>
            </w:r>
          </w:p>
        </w:tc>
      </w:tr>
      <w:tr w:rsidR="002072C1" w:rsidRPr="0099018F" w14:paraId="1B2E80AF" w14:textId="77777777" w:rsidTr="00CC4708">
        <w:trPr>
          <w:trHeight w:val="20"/>
        </w:trPr>
        <w:tc>
          <w:tcPr>
            <w:tcW w:w="1587" w:type="dxa"/>
            <w:hideMark/>
          </w:tcPr>
          <w:p w14:paraId="16FE331F" w14:textId="27D50F33" w:rsidR="0099018F" w:rsidRPr="009C566A" w:rsidRDefault="00BC018F" w:rsidP="0099018F">
            <w:pPr>
              <w:pStyle w:val="TableBody"/>
              <w:rPr>
                <w:rStyle w:val="Strong"/>
              </w:rPr>
            </w:pPr>
            <w:r w:rsidRPr="009C566A">
              <w:rPr>
                <w:rStyle w:val="Strong"/>
              </w:rPr>
              <w:t>Total</w:t>
            </w:r>
          </w:p>
        </w:tc>
        <w:tc>
          <w:tcPr>
            <w:tcW w:w="1871" w:type="dxa"/>
            <w:noWrap/>
            <w:hideMark/>
          </w:tcPr>
          <w:p w14:paraId="30FBE6EF" w14:textId="42A2B41B" w:rsidR="0099018F" w:rsidRPr="009C566A" w:rsidRDefault="0099018F" w:rsidP="0099018F">
            <w:pPr>
              <w:pStyle w:val="TableBody"/>
              <w:rPr>
                <w:rStyle w:val="Strong"/>
              </w:rPr>
            </w:pPr>
            <w:r w:rsidRPr="009C566A">
              <w:rPr>
                <w:rStyle w:val="Strong"/>
              </w:rPr>
              <w:t>5</w:t>
            </w:r>
            <w:r w:rsidR="00BC018F" w:rsidRPr="009C566A">
              <w:rPr>
                <w:rStyle w:val="Strong"/>
              </w:rPr>
              <w:t>,</w:t>
            </w:r>
            <w:r w:rsidRPr="009C566A">
              <w:rPr>
                <w:rStyle w:val="Strong"/>
              </w:rPr>
              <w:t>818</w:t>
            </w:r>
            <w:r w:rsidR="00880A1F" w:rsidRPr="009C566A">
              <w:rPr>
                <w:rStyle w:val="Strong"/>
              </w:rPr>
              <w:t xml:space="preserve"> (35%)</w:t>
            </w:r>
          </w:p>
        </w:tc>
        <w:tc>
          <w:tcPr>
            <w:tcW w:w="1531" w:type="dxa"/>
            <w:noWrap/>
            <w:hideMark/>
          </w:tcPr>
          <w:p w14:paraId="4AD71AEB" w14:textId="616562AF" w:rsidR="0099018F" w:rsidRPr="009C566A" w:rsidRDefault="0099018F" w:rsidP="0099018F">
            <w:pPr>
              <w:pStyle w:val="TableBody"/>
              <w:rPr>
                <w:rStyle w:val="Strong"/>
              </w:rPr>
            </w:pPr>
            <w:r w:rsidRPr="009C566A">
              <w:rPr>
                <w:rStyle w:val="Strong"/>
              </w:rPr>
              <w:t>5</w:t>
            </w:r>
            <w:r w:rsidR="00BC018F" w:rsidRPr="009C566A">
              <w:rPr>
                <w:rStyle w:val="Strong"/>
              </w:rPr>
              <w:t>,</w:t>
            </w:r>
            <w:r w:rsidRPr="009C566A">
              <w:rPr>
                <w:rStyle w:val="Strong"/>
              </w:rPr>
              <w:t>148</w:t>
            </w:r>
            <w:r w:rsidR="00AC44EE" w:rsidRPr="009C566A">
              <w:rPr>
                <w:rStyle w:val="Strong"/>
              </w:rPr>
              <w:t xml:space="preserve"> (31%)</w:t>
            </w:r>
          </w:p>
        </w:tc>
        <w:tc>
          <w:tcPr>
            <w:tcW w:w="1020" w:type="dxa"/>
            <w:noWrap/>
            <w:hideMark/>
          </w:tcPr>
          <w:p w14:paraId="393076C6" w14:textId="4C691D66" w:rsidR="0099018F" w:rsidRPr="009C566A" w:rsidRDefault="0099018F" w:rsidP="0099018F">
            <w:pPr>
              <w:pStyle w:val="TableBody"/>
              <w:rPr>
                <w:rStyle w:val="Strong"/>
              </w:rPr>
            </w:pPr>
            <w:r w:rsidRPr="009C566A">
              <w:rPr>
                <w:rStyle w:val="Strong"/>
              </w:rPr>
              <w:t>2</w:t>
            </w:r>
            <w:r w:rsidR="00BC018F" w:rsidRPr="009C566A">
              <w:rPr>
                <w:rStyle w:val="Strong"/>
              </w:rPr>
              <w:t>,</w:t>
            </w:r>
            <w:r w:rsidRPr="009C566A">
              <w:rPr>
                <w:rStyle w:val="Strong"/>
              </w:rPr>
              <w:t>135</w:t>
            </w:r>
            <w:r w:rsidR="00452BDB" w:rsidRPr="009C566A">
              <w:rPr>
                <w:rStyle w:val="Strong"/>
              </w:rPr>
              <w:t xml:space="preserve"> (13%)</w:t>
            </w:r>
          </w:p>
        </w:tc>
        <w:tc>
          <w:tcPr>
            <w:tcW w:w="1644" w:type="dxa"/>
            <w:noWrap/>
            <w:hideMark/>
          </w:tcPr>
          <w:p w14:paraId="134955C3" w14:textId="6D8079BF" w:rsidR="0099018F" w:rsidRPr="009C566A" w:rsidRDefault="0099018F" w:rsidP="0099018F">
            <w:pPr>
              <w:pStyle w:val="TableBody"/>
              <w:rPr>
                <w:rStyle w:val="Strong"/>
              </w:rPr>
            </w:pPr>
            <w:r w:rsidRPr="009C566A">
              <w:rPr>
                <w:rStyle w:val="Strong"/>
              </w:rPr>
              <w:t>2</w:t>
            </w:r>
            <w:r w:rsidR="00BC018F" w:rsidRPr="009C566A">
              <w:rPr>
                <w:rStyle w:val="Strong"/>
              </w:rPr>
              <w:t>,</w:t>
            </w:r>
            <w:r w:rsidRPr="009C566A">
              <w:rPr>
                <w:rStyle w:val="Strong"/>
              </w:rPr>
              <w:t>369</w:t>
            </w:r>
            <w:r w:rsidR="00452BDB" w:rsidRPr="009C566A">
              <w:rPr>
                <w:rStyle w:val="Strong"/>
              </w:rPr>
              <w:t xml:space="preserve"> (14%)</w:t>
            </w:r>
          </w:p>
        </w:tc>
        <w:tc>
          <w:tcPr>
            <w:tcW w:w="907" w:type="dxa"/>
            <w:noWrap/>
            <w:hideMark/>
          </w:tcPr>
          <w:p w14:paraId="7F6BC66B" w14:textId="0A72CB59" w:rsidR="0099018F" w:rsidRPr="009C566A" w:rsidRDefault="0099018F" w:rsidP="0099018F">
            <w:pPr>
              <w:pStyle w:val="TableBody"/>
              <w:rPr>
                <w:rStyle w:val="Strong"/>
              </w:rPr>
            </w:pPr>
            <w:r w:rsidRPr="009C566A">
              <w:rPr>
                <w:rStyle w:val="Strong"/>
              </w:rPr>
              <w:t>920</w:t>
            </w:r>
            <w:r w:rsidR="002B3328" w:rsidRPr="009C566A">
              <w:rPr>
                <w:rStyle w:val="Strong"/>
              </w:rPr>
              <w:t xml:space="preserve"> (6%)</w:t>
            </w:r>
          </w:p>
        </w:tc>
        <w:tc>
          <w:tcPr>
            <w:tcW w:w="1134" w:type="dxa"/>
            <w:noWrap/>
            <w:hideMark/>
          </w:tcPr>
          <w:p w14:paraId="64A7F9FE" w14:textId="3DDBFA92" w:rsidR="0099018F" w:rsidRPr="009C566A" w:rsidRDefault="0099018F" w:rsidP="0099018F">
            <w:pPr>
              <w:pStyle w:val="TableBody"/>
              <w:rPr>
                <w:rStyle w:val="Strong"/>
              </w:rPr>
            </w:pPr>
            <w:r w:rsidRPr="009C566A">
              <w:rPr>
                <w:rStyle w:val="Strong"/>
              </w:rPr>
              <w:t>16</w:t>
            </w:r>
            <w:r w:rsidR="00BC6F63" w:rsidRPr="009C566A">
              <w:rPr>
                <w:rStyle w:val="Strong"/>
              </w:rPr>
              <w:t>,</w:t>
            </w:r>
            <w:r w:rsidRPr="009C566A">
              <w:rPr>
                <w:rStyle w:val="Strong"/>
              </w:rPr>
              <w:t>390</w:t>
            </w:r>
            <w:r w:rsidR="000A5D12" w:rsidRPr="009C566A">
              <w:rPr>
                <w:rStyle w:val="Strong"/>
              </w:rPr>
              <w:t xml:space="preserve"> (100%)</w:t>
            </w:r>
          </w:p>
        </w:tc>
      </w:tr>
    </w:tbl>
    <w:p w14:paraId="747BC481" w14:textId="77777777" w:rsidR="005A3418" w:rsidRPr="00D36673" w:rsidRDefault="005A3418" w:rsidP="00F24F16">
      <w:pPr>
        <w:pStyle w:val="Numbered"/>
      </w:pPr>
      <w:r w:rsidRPr="00D36673">
        <w:lastRenderedPageBreak/>
        <w:t>In the Magistrates’ Court, the most frequent sentencing outcome for threat offences was imprisonment (35% of all charges), followed by a community correction order (31%) (10). The rate of imprisonment was driven, at least partly, by threat offences being co-sentenced with more serious offending. The rate of imprisonment was lower (25%) in cases where the threat offence was the principal proven offence.</w:t>
      </w:r>
      <w:r w:rsidRPr="00D36673">
        <w:rPr>
          <w:rStyle w:val="Superscript"/>
        </w:rPr>
        <w:footnoteReference w:id="141"/>
      </w:r>
      <w:r w:rsidRPr="00D36673">
        <w:t xml:space="preserve"> </w:t>
      </w:r>
    </w:p>
    <w:p w14:paraId="4B2E8F49" w14:textId="77777777" w:rsidR="005A3418" w:rsidRPr="00D36673" w:rsidRDefault="005A3418" w:rsidP="00F24F16">
      <w:pPr>
        <w:pStyle w:val="Numbered"/>
      </w:pPr>
      <w:r w:rsidRPr="00D36673">
        <w:t>The sentence types imposed also varied slightly by offence type. The rate of imprisonment, for example, ranged from 28% of threats to destroy or damage property to 40% of threats to assault an emergency worker. Threats to destroy or damage property may not necessarily be perceived as being as serious as threats to kill or seriously injure, but they can occur in very serious circumstances, such as threats to harm pets or burn down a house. This – along with co-sentenced offences – is most likely why 28% of charges of threat to destroy or damage property received imprisonment. Threats to destroy or damage property also occur in a family violence context more frequently than do all other threat offences.</w:t>
      </w:r>
    </w:p>
    <w:p w14:paraId="543BB843" w14:textId="77777777" w:rsidR="005A3418" w:rsidRPr="00D36673" w:rsidRDefault="005A3418" w:rsidP="00F67BC8">
      <w:pPr>
        <w:pStyle w:val="Heading3"/>
      </w:pPr>
      <w:r w:rsidRPr="00D36673">
        <w:t>Sentence type over time</w:t>
      </w:r>
    </w:p>
    <w:p w14:paraId="1218CCE4" w14:textId="77777777" w:rsidR="005A3418" w:rsidRPr="00D36673" w:rsidRDefault="005A3418" w:rsidP="00F24F16">
      <w:pPr>
        <w:pStyle w:val="Numbered"/>
      </w:pPr>
      <w:r w:rsidRPr="00D36673">
        <w:t>In the Magistrates’ Court, the proportion of prison sentences and adjourned undertakings increased over time, while the proportion of community correction orders decreased (Figure 11).</w:t>
      </w:r>
    </w:p>
    <w:p w14:paraId="5C79058B" w14:textId="77777777" w:rsidR="005A3418" w:rsidRPr="00D36673" w:rsidRDefault="005A3418" w:rsidP="00711AFB">
      <w:pPr>
        <w:pStyle w:val="Caption"/>
      </w:pPr>
      <w:r w:rsidRPr="00C9259E">
        <w:t xml:space="preserve">Figure 11: </w:t>
      </w:r>
      <w:r w:rsidRPr="00D36673">
        <w:t>Sentencing outcomes for charges of threat offences in the Magistrates’ Court, by year, 2015 to 2019</w:t>
      </w:r>
      <w:r w:rsidRPr="00D36673">
        <w:rPr>
          <w:vertAlign w:val="superscript"/>
        </w:rPr>
        <w:footnoteReference w:id="142"/>
      </w:r>
    </w:p>
    <w:tbl>
      <w:tblPr>
        <w:tblStyle w:val="Table"/>
        <w:tblW w:w="8471" w:type="dxa"/>
        <w:tblLook w:val="04A0" w:firstRow="1" w:lastRow="0" w:firstColumn="1" w:lastColumn="0" w:noHBand="0" w:noVBand="1"/>
      </w:tblPr>
      <w:tblGrid>
        <w:gridCol w:w="1091"/>
        <w:gridCol w:w="1821"/>
        <w:gridCol w:w="1496"/>
        <w:gridCol w:w="980"/>
        <w:gridCol w:w="1583"/>
        <w:gridCol w:w="980"/>
        <w:gridCol w:w="1000"/>
      </w:tblGrid>
      <w:tr w:rsidR="00B952B0" w:rsidRPr="00B952B0" w14:paraId="0CDA6145" w14:textId="77777777" w:rsidTr="00670BAD">
        <w:trPr>
          <w:trHeight w:val="328"/>
          <w:tblHeader/>
        </w:trPr>
        <w:tc>
          <w:tcPr>
            <w:tcW w:w="1091" w:type="dxa"/>
            <w:noWrap/>
            <w:hideMark/>
          </w:tcPr>
          <w:p w14:paraId="0C6BEDF8" w14:textId="39710494" w:rsidR="00B952B0" w:rsidRPr="00B952B0" w:rsidRDefault="00B952B0" w:rsidP="00670BAD">
            <w:pPr>
              <w:pStyle w:val="TableHeading"/>
            </w:pPr>
            <w:r w:rsidRPr="00B952B0">
              <w:t> </w:t>
            </w:r>
            <w:r w:rsidR="00624AB1">
              <w:t>Year</w:t>
            </w:r>
          </w:p>
        </w:tc>
        <w:tc>
          <w:tcPr>
            <w:tcW w:w="1631" w:type="dxa"/>
            <w:noWrap/>
            <w:hideMark/>
          </w:tcPr>
          <w:p w14:paraId="23950868" w14:textId="77777777" w:rsidR="00B952B0" w:rsidRPr="00B952B0" w:rsidRDefault="00B952B0" w:rsidP="00670BAD">
            <w:pPr>
              <w:pStyle w:val="TableHeading"/>
            </w:pPr>
            <w:r w:rsidRPr="00B952B0">
              <w:t>Imprisonment</w:t>
            </w:r>
          </w:p>
        </w:tc>
        <w:tc>
          <w:tcPr>
            <w:tcW w:w="1372" w:type="dxa"/>
            <w:noWrap/>
            <w:hideMark/>
          </w:tcPr>
          <w:p w14:paraId="277031EF" w14:textId="77777777" w:rsidR="00B952B0" w:rsidRPr="00B952B0" w:rsidRDefault="00B952B0" w:rsidP="00670BAD">
            <w:pPr>
              <w:pStyle w:val="TableHeading"/>
            </w:pPr>
            <w:r w:rsidRPr="00B952B0">
              <w:t>Community correction order</w:t>
            </w:r>
          </w:p>
        </w:tc>
        <w:tc>
          <w:tcPr>
            <w:tcW w:w="980" w:type="dxa"/>
            <w:noWrap/>
            <w:hideMark/>
          </w:tcPr>
          <w:p w14:paraId="1638617D" w14:textId="77777777" w:rsidR="00B952B0" w:rsidRPr="00B952B0" w:rsidRDefault="00B952B0" w:rsidP="00670BAD">
            <w:pPr>
              <w:pStyle w:val="TableHeading"/>
            </w:pPr>
            <w:r w:rsidRPr="00B952B0">
              <w:t>Fine</w:t>
            </w:r>
          </w:p>
        </w:tc>
        <w:tc>
          <w:tcPr>
            <w:tcW w:w="1422" w:type="dxa"/>
            <w:noWrap/>
            <w:hideMark/>
          </w:tcPr>
          <w:p w14:paraId="0C00ACB7" w14:textId="77777777" w:rsidR="00B952B0" w:rsidRPr="00B952B0" w:rsidRDefault="00B952B0" w:rsidP="00670BAD">
            <w:pPr>
              <w:pStyle w:val="TableHeading"/>
            </w:pPr>
            <w:r w:rsidRPr="00B952B0">
              <w:t>Adjourned undertaking</w:t>
            </w:r>
          </w:p>
        </w:tc>
        <w:tc>
          <w:tcPr>
            <w:tcW w:w="980" w:type="dxa"/>
            <w:noWrap/>
            <w:hideMark/>
          </w:tcPr>
          <w:p w14:paraId="10EE93B8" w14:textId="77777777" w:rsidR="00B952B0" w:rsidRPr="00B952B0" w:rsidRDefault="00B952B0" w:rsidP="00670BAD">
            <w:pPr>
              <w:pStyle w:val="TableHeading"/>
            </w:pPr>
            <w:r w:rsidRPr="00B952B0">
              <w:t>Other</w:t>
            </w:r>
          </w:p>
        </w:tc>
        <w:tc>
          <w:tcPr>
            <w:tcW w:w="995" w:type="dxa"/>
            <w:noWrap/>
            <w:hideMark/>
          </w:tcPr>
          <w:p w14:paraId="2BA5A5E7" w14:textId="77777777" w:rsidR="00B952B0" w:rsidRPr="00B952B0" w:rsidRDefault="00B952B0" w:rsidP="00670BAD">
            <w:pPr>
              <w:pStyle w:val="TableHeading"/>
            </w:pPr>
            <w:r w:rsidRPr="00B952B0">
              <w:t>Total</w:t>
            </w:r>
          </w:p>
        </w:tc>
      </w:tr>
      <w:tr w:rsidR="00B952B0" w:rsidRPr="00B952B0" w14:paraId="30F292A7" w14:textId="77777777" w:rsidTr="00974D64">
        <w:trPr>
          <w:trHeight w:val="328"/>
        </w:trPr>
        <w:tc>
          <w:tcPr>
            <w:tcW w:w="1091" w:type="dxa"/>
            <w:hideMark/>
          </w:tcPr>
          <w:p w14:paraId="30D23915" w14:textId="33236A13" w:rsidR="00B952B0" w:rsidRPr="00B952B0" w:rsidRDefault="00B952B0" w:rsidP="003F62F6">
            <w:pPr>
              <w:pStyle w:val="TableBody"/>
            </w:pPr>
            <w:r w:rsidRPr="00B952B0">
              <w:t xml:space="preserve">2015 </w:t>
            </w:r>
          </w:p>
        </w:tc>
        <w:tc>
          <w:tcPr>
            <w:tcW w:w="1631" w:type="dxa"/>
            <w:noWrap/>
            <w:hideMark/>
          </w:tcPr>
          <w:p w14:paraId="0BE4AA22" w14:textId="345FE3C9" w:rsidR="00B952B0" w:rsidRPr="00B952B0" w:rsidRDefault="00B952B0" w:rsidP="003F62F6">
            <w:pPr>
              <w:pStyle w:val="TableBody"/>
            </w:pPr>
            <w:r w:rsidRPr="00B952B0">
              <w:t>947</w:t>
            </w:r>
            <w:r w:rsidR="00E672E5">
              <w:t xml:space="preserve"> (</w:t>
            </w:r>
            <w:r w:rsidR="00E672E5" w:rsidRPr="00B952B0">
              <w:t>31%</w:t>
            </w:r>
            <w:r w:rsidR="00E672E5">
              <w:t>)</w:t>
            </w:r>
          </w:p>
        </w:tc>
        <w:tc>
          <w:tcPr>
            <w:tcW w:w="1372" w:type="dxa"/>
            <w:noWrap/>
            <w:hideMark/>
          </w:tcPr>
          <w:p w14:paraId="5E5F831C" w14:textId="04B8AF54" w:rsidR="00B952B0" w:rsidRPr="00B952B0" w:rsidRDefault="00B952B0" w:rsidP="003F62F6">
            <w:pPr>
              <w:pStyle w:val="TableBody"/>
            </w:pPr>
            <w:r w:rsidRPr="00B952B0">
              <w:t>1</w:t>
            </w:r>
            <w:r w:rsidR="00D17EDA">
              <w:t>,</w:t>
            </w:r>
            <w:r w:rsidRPr="00B952B0">
              <w:t>144</w:t>
            </w:r>
            <w:r w:rsidR="00E672E5">
              <w:t xml:space="preserve"> (</w:t>
            </w:r>
            <w:r w:rsidR="00E672E5" w:rsidRPr="00B952B0">
              <w:t>37%</w:t>
            </w:r>
            <w:r w:rsidR="00E672E5">
              <w:t>)</w:t>
            </w:r>
          </w:p>
        </w:tc>
        <w:tc>
          <w:tcPr>
            <w:tcW w:w="980" w:type="dxa"/>
            <w:noWrap/>
            <w:hideMark/>
          </w:tcPr>
          <w:p w14:paraId="1135C22F" w14:textId="641308F5" w:rsidR="00B952B0" w:rsidRPr="00B952B0" w:rsidRDefault="00B952B0" w:rsidP="003F62F6">
            <w:pPr>
              <w:pStyle w:val="TableBody"/>
            </w:pPr>
            <w:r w:rsidRPr="00B952B0">
              <w:t>412</w:t>
            </w:r>
            <w:r w:rsidR="00A04A9F">
              <w:t xml:space="preserve"> (</w:t>
            </w:r>
            <w:r w:rsidR="00A04A9F" w:rsidRPr="00B952B0">
              <w:t>13%</w:t>
            </w:r>
            <w:r w:rsidR="00A04A9F">
              <w:t>)</w:t>
            </w:r>
          </w:p>
        </w:tc>
        <w:tc>
          <w:tcPr>
            <w:tcW w:w="1422" w:type="dxa"/>
            <w:noWrap/>
            <w:hideMark/>
          </w:tcPr>
          <w:p w14:paraId="566745F6" w14:textId="4DFD080D" w:rsidR="00B952B0" w:rsidRPr="00B952B0" w:rsidRDefault="00B952B0" w:rsidP="003F62F6">
            <w:pPr>
              <w:pStyle w:val="TableBody"/>
            </w:pPr>
            <w:r w:rsidRPr="00B952B0">
              <w:t>371</w:t>
            </w:r>
            <w:r w:rsidR="00BD7E5F">
              <w:t xml:space="preserve"> (</w:t>
            </w:r>
            <w:r w:rsidR="00BD7E5F" w:rsidRPr="00B952B0">
              <w:t>12%</w:t>
            </w:r>
            <w:r w:rsidR="00BD7E5F">
              <w:t>)</w:t>
            </w:r>
          </w:p>
        </w:tc>
        <w:tc>
          <w:tcPr>
            <w:tcW w:w="980" w:type="dxa"/>
            <w:noWrap/>
            <w:hideMark/>
          </w:tcPr>
          <w:p w14:paraId="52F3D3BF" w14:textId="4C775B84" w:rsidR="00B952B0" w:rsidRPr="00B952B0" w:rsidRDefault="00B952B0" w:rsidP="003F62F6">
            <w:pPr>
              <w:pStyle w:val="TableBody"/>
            </w:pPr>
            <w:r w:rsidRPr="00B952B0">
              <w:t>196</w:t>
            </w:r>
            <w:r w:rsidR="00BD7E5F">
              <w:t xml:space="preserve"> (</w:t>
            </w:r>
            <w:r w:rsidR="00BD7E5F" w:rsidRPr="00B952B0">
              <w:t>6%</w:t>
            </w:r>
            <w:r w:rsidR="00BD7E5F">
              <w:t>)</w:t>
            </w:r>
          </w:p>
        </w:tc>
        <w:tc>
          <w:tcPr>
            <w:tcW w:w="995" w:type="dxa"/>
            <w:noWrap/>
            <w:hideMark/>
          </w:tcPr>
          <w:p w14:paraId="6F0F1702" w14:textId="0D94F959" w:rsidR="00B952B0" w:rsidRPr="00B952B0" w:rsidRDefault="00B952B0" w:rsidP="003F62F6">
            <w:pPr>
              <w:pStyle w:val="TableBody"/>
            </w:pPr>
            <w:r w:rsidRPr="00B952B0">
              <w:t>3</w:t>
            </w:r>
            <w:r w:rsidR="00D17EDA">
              <w:t>,</w:t>
            </w:r>
            <w:r w:rsidRPr="00B952B0">
              <w:t>070</w:t>
            </w:r>
            <w:r w:rsidR="00974D64">
              <w:t xml:space="preserve"> (</w:t>
            </w:r>
            <w:r w:rsidR="00974D64" w:rsidRPr="00B952B0">
              <w:t>100%</w:t>
            </w:r>
            <w:r w:rsidR="00974D64">
              <w:t>)</w:t>
            </w:r>
          </w:p>
        </w:tc>
      </w:tr>
      <w:tr w:rsidR="00B952B0" w:rsidRPr="00B952B0" w14:paraId="6C15EF71" w14:textId="77777777" w:rsidTr="00974D64">
        <w:trPr>
          <w:trHeight w:val="328"/>
        </w:trPr>
        <w:tc>
          <w:tcPr>
            <w:tcW w:w="1091" w:type="dxa"/>
            <w:hideMark/>
          </w:tcPr>
          <w:p w14:paraId="64F0CBEF" w14:textId="70A92381" w:rsidR="00B952B0" w:rsidRPr="00B952B0" w:rsidRDefault="00B952B0" w:rsidP="003F62F6">
            <w:pPr>
              <w:pStyle w:val="TableBody"/>
            </w:pPr>
            <w:r w:rsidRPr="00B952B0">
              <w:lastRenderedPageBreak/>
              <w:t xml:space="preserve">2016 </w:t>
            </w:r>
          </w:p>
        </w:tc>
        <w:tc>
          <w:tcPr>
            <w:tcW w:w="1631" w:type="dxa"/>
            <w:noWrap/>
            <w:hideMark/>
          </w:tcPr>
          <w:p w14:paraId="04CC83AB" w14:textId="60171C31" w:rsidR="00B952B0" w:rsidRPr="00B952B0" w:rsidRDefault="00B952B0" w:rsidP="003F62F6">
            <w:pPr>
              <w:pStyle w:val="TableBody"/>
            </w:pPr>
            <w:r w:rsidRPr="00B952B0">
              <w:t>1</w:t>
            </w:r>
            <w:r w:rsidR="00D17EDA">
              <w:t>,</w:t>
            </w:r>
            <w:r w:rsidRPr="00B952B0">
              <w:t>119</w:t>
            </w:r>
            <w:r w:rsidR="00E672E5">
              <w:t xml:space="preserve"> (</w:t>
            </w:r>
            <w:r w:rsidR="00E672E5" w:rsidRPr="00B952B0">
              <w:t>33%</w:t>
            </w:r>
            <w:r w:rsidR="00E672E5">
              <w:t>)</w:t>
            </w:r>
          </w:p>
        </w:tc>
        <w:tc>
          <w:tcPr>
            <w:tcW w:w="1372" w:type="dxa"/>
            <w:noWrap/>
            <w:hideMark/>
          </w:tcPr>
          <w:p w14:paraId="34E3E38E" w14:textId="3C2ADB32" w:rsidR="00B952B0" w:rsidRPr="00B952B0" w:rsidRDefault="00B952B0" w:rsidP="003F62F6">
            <w:pPr>
              <w:pStyle w:val="TableBody"/>
            </w:pPr>
            <w:r w:rsidRPr="00B952B0">
              <w:t>1</w:t>
            </w:r>
            <w:r w:rsidR="00D17EDA">
              <w:t>,</w:t>
            </w:r>
            <w:r w:rsidRPr="00B952B0">
              <w:t>176</w:t>
            </w:r>
            <w:r w:rsidR="00E672E5">
              <w:t xml:space="preserve"> (</w:t>
            </w:r>
            <w:r w:rsidR="00E672E5" w:rsidRPr="00B952B0">
              <w:t>35%</w:t>
            </w:r>
            <w:r w:rsidR="00E672E5">
              <w:t>)</w:t>
            </w:r>
          </w:p>
        </w:tc>
        <w:tc>
          <w:tcPr>
            <w:tcW w:w="980" w:type="dxa"/>
            <w:noWrap/>
            <w:hideMark/>
          </w:tcPr>
          <w:p w14:paraId="259D8D6A" w14:textId="30645C8F" w:rsidR="00B952B0" w:rsidRPr="00B952B0" w:rsidRDefault="00B952B0" w:rsidP="003F62F6">
            <w:pPr>
              <w:pStyle w:val="TableBody"/>
            </w:pPr>
            <w:r w:rsidRPr="00B952B0">
              <w:t>446</w:t>
            </w:r>
            <w:r w:rsidR="00EB3914">
              <w:t xml:space="preserve"> (</w:t>
            </w:r>
            <w:r w:rsidR="00EB3914" w:rsidRPr="00B952B0">
              <w:t>13%</w:t>
            </w:r>
            <w:r w:rsidR="00EB3914">
              <w:t>)</w:t>
            </w:r>
          </w:p>
        </w:tc>
        <w:tc>
          <w:tcPr>
            <w:tcW w:w="1422" w:type="dxa"/>
            <w:noWrap/>
            <w:hideMark/>
          </w:tcPr>
          <w:p w14:paraId="2846D248" w14:textId="7A177085" w:rsidR="00B952B0" w:rsidRPr="00B952B0" w:rsidRDefault="00B952B0" w:rsidP="003F62F6">
            <w:pPr>
              <w:pStyle w:val="TableBody"/>
            </w:pPr>
            <w:r w:rsidRPr="00B952B0">
              <w:t>445</w:t>
            </w:r>
            <w:r w:rsidR="00BD7E5F">
              <w:t xml:space="preserve"> (</w:t>
            </w:r>
            <w:r w:rsidR="00BD7E5F" w:rsidRPr="00B952B0">
              <w:t>13%</w:t>
            </w:r>
            <w:r w:rsidR="00BD7E5F">
              <w:t>)</w:t>
            </w:r>
          </w:p>
        </w:tc>
        <w:tc>
          <w:tcPr>
            <w:tcW w:w="980" w:type="dxa"/>
            <w:noWrap/>
            <w:hideMark/>
          </w:tcPr>
          <w:p w14:paraId="3FFDE587" w14:textId="0D5795DE" w:rsidR="00B952B0" w:rsidRPr="00B952B0" w:rsidRDefault="00B952B0" w:rsidP="003F62F6">
            <w:pPr>
              <w:pStyle w:val="TableBody"/>
            </w:pPr>
            <w:r w:rsidRPr="00B952B0">
              <w:t>207</w:t>
            </w:r>
            <w:r w:rsidR="00BD7E5F">
              <w:t xml:space="preserve"> (</w:t>
            </w:r>
            <w:r w:rsidR="00BD7E5F" w:rsidRPr="00B952B0">
              <w:t>6%</w:t>
            </w:r>
            <w:r w:rsidR="00BD7E5F">
              <w:t>)</w:t>
            </w:r>
          </w:p>
        </w:tc>
        <w:tc>
          <w:tcPr>
            <w:tcW w:w="995" w:type="dxa"/>
            <w:noWrap/>
            <w:hideMark/>
          </w:tcPr>
          <w:p w14:paraId="0A5B4FED" w14:textId="272E7A2A" w:rsidR="00B952B0" w:rsidRPr="00B952B0" w:rsidRDefault="00B952B0" w:rsidP="003F62F6">
            <w:pPr>
              <w:pStyle w:val="TableBody"/>
            </w:pPr>
            <w:r w:rsidRPr="00B952B0">
              <w:t>3</w:t>
            </w:r>
            <w:r w:rsidR="00D17EDA">
              <w:t>,</w:t>
            </w:r>
            <w:r w:rsidRPr="00B952B0">
              <w:t>393</w:t>
            </w:r>
            <w:r w:rsidR="00974D64">
              <w:t xml:space="preserve"> (</w:t>
            </w:r>
            <w:r w:rsidR="00974D64" w:rsidRPr="00B952B0">
              <w:t>100%</w:t>
            </w:r>
            <w:r w:rsidR="00974D64">
              <w:t>)</w:t>
            </w:r>
          </w:p>
        </w:tc>
      </w:tr>
      <w:tr w:rsidR="00B952B0" w:rsidRPr="00B952B0" w14:paraId="6A856BE2" w14:textId="77777777" w:rsidTr="00974D64">
        <w:trPr>
          <w:trHeight w:val="328"/>
        </w:trPr>
        <w:tc>
          <w:tcPr>
            <w:tcW w:w="1091" w:type="dxa"/>
            <w:hideMark/>
          </w:tcPr>
          <w:p w14:paraId="208FB2AC" w14:textId="23C40C71" w:rsidR="00B952B0" w:rsidRPr="00B952B0" w:rsidRDefault="00B952B0" w:rsidP="003F62F6">
            <w:pPr>
              <w:pStyle w:val="TableBody"/>
            </w:pPr>
            <w:r w:rsidRPr="00B952B0">
              <w:t xml:space="preserve">2017 </w:t>
            </w:r>
          </w:p>
        </w:tc>
        <w:tc>
          <w:tcPr>
            <w:tcW w:w="1631" w:type="dxa"/>
            <w:noWrap/>
            <w:hideMark/>
          </w:tcPr>
          <w:p w14:paraId="43C62443" w14:textId="71A16F3F" w:rsidR="00B952B0" w:rsidRPr="00B952B0" w:rsidRDefault="00B952B0" w:rsidP="003F62F6">
            <w:pPr>
              <w:pStyle w:val="TableBody"/>
            </w:pPr>
            <w:r w:rsidRPr="00B952B0">
              <w:t>1</w:t>
            </w:r>
            <w:r w:rsidR="00D17EDA">
              <w:t>,</w:t>
            </w:r>
            <w:r w:rsidRPr="00B952B0">
              <w:t>127</w:t>
            </w:r>
            <w:r w:rsidR="00E672E5">
              <w:t xml:space="preserve"> (</w:t>
            </w:r>
            <w:r w:rsidR="00E672E5" w:rsidRPr="00B952B0">
              <w:t>33%</w:t>
            </w:r>
            <w:r w:rsidR="00E672E5">
              <w:t>)</w:t>
            </w:r>
          </w:p>
        </w:tc>
        <w:tc>
          <w:tcPr>
            <w:tcW w:w="1372" w:type="dxa"/>
            <w:noWrap/>
            <w:hideMark/>
          </w:tcPr>
          <w:p w14:paraId="2369E586" w14:textId="5327D10C" w:rsidR="00B952B0" w:rsidRPr="00B952B0" w:rsidRDefault="00B952B0" w:rsidP="003F62F6">
            <w:pPr>
              <w:pStyle w:val="TableBody"/>
            </w:pPr>
            <w:r w:rsidRPr="00B952B0">
              <w:t>1</w:t>
            </w:r>
            <w:r w:rsidR="00D17EDA">
              <w:t>,</w:t>
            </w:r>
            <w:r w:rsidRPr="00B952B0">
              <w:t>050</w:t>
            </w:r>
            <w:r w:rsidR="00E672E5">
              <w:t xml:space="preserve"> (</w:t>
            </w:r>
            <w:r w:rsidR="00E672E5" w:rsidRPr="00B952B0">
              <w:t>31%</w:t>
            </w:r>
            <w:r w:rsidR="00E672E5">
              <w:t>)</w:t>
            </w:r>
          </w:p>
        </w:tc>
        <w:tc>
          <w:tcPr>
            <w:tcW w:w="980" w:type="dxa"/>
            <w:noWrap/>
            <w:hideMark/>
          </w:tcPr>
          <w:p w14:paraId="30970E96" w14:textId="73748629" w:rsidR="00B952B0" w:rsidRPr="00B952B0" w:rsidRDefault="00B952B0" w:rsidP="003F62F6">
            <w:pPr>
              <w:pStyle w:val="TableBody"/>
            </w:pPr>
            <w:r w:rsidRPr="00B952B0">
              <w:t>489</w:t>
            </w:r>
            <w:r w:rsidR="00EB3914">
              <w:t xml:space="preserve"> (</w:t>
            </w:r>
            <w:r w:rsidR="00EB3914" w:rsidRPr="00B952B0">
              <w:t>14%</w:t>
            </w:r>
            <w:r w:rsidR="00EB3914">
              <w:t>)</w:t>
            </w:r>
          </w:p>
        </w:tc>
        <w:tc>
          <w:tcPr>
            <w:tcW w:w="1422" w:type="dxa"/>
            <w:noWrap/>
            <w:hideMark/>
          </w:tcPr>
          <w:p w14:paraId="2E176038" w14:textId="1BBD321E" w:rsidR="00B952B0" w:rsidRPr="00B952B0" w:rsidRDefault="00B952B0" w:rsidP="003F62F6">
            <w:pPr>
              <w:pStyle w:val="TableBody"/>
            </w:pPr>
            <w:r w:rsidRPr="00B952B0">
              <w:t>531</w:t>
            </w:r>
            <w:r w:rsidR="00BD7E5F">
              <w:t xml:space="preserve"> (</w:t>
            </w:r>
            <w:r w:rsidR="00BD7E5F" w:rsidRPr="00B952B0">
              <w:t>16%</w:t>
            </w:r>
            <w:r w:rsidR="00BD7E5F">
              <w:t>)</w:t>
            </w:r>
          </w:p>
        </w:tc>
        <w:tc>
          <w:tcPr>
            <w:tcW w:w="980" w:type="dxa"/>
            <w:noWrap/>
            <w:hideMark/>
          </w:tcPr>
          <w:p w14:paraId="51D30202" w14:textId="2EBA1BBD" w:rsidR="00B952B0" w:rsidRPr="00B952B0" w:rsidRDefault="00B952B0" w:rsidP="003F62F6">
            <w:pPr>
              <w:pStyle w:val="TableBody"/>
            </w:pPr>
            <w:r w:rsidRPr="00B952B0">
              <w:t>224</w:t>
            </w:r>
            <w:r w:rsidR="00BD7E5F">
              <w:t xml:space="preserve"> (</w:t>
            </w:r>
            <w:r w:rsidR="00BD7E5F" w:rsidRPr="00B952B0">
              <w:t>7%</w:t>
            </w:r>
            <w:r w:rsidR="00BD7E5F">
              <w:t>)</w:t>
            </w:r>
          </w:p>
        </w:tc>
        <w:tc>
          <w:tcPr>
            <w:tcW w:w="995" w:type="dxa"/>
            <w:noWrap/>
            <w:hideMark/>
          </w:tcPr>
          <w:p w14:paraId="2700F360" w14:textId="3D1164E4" w:rsidR="00B952B0" w:rsidRPr="00B952B0" w:rsidRDefault="00B952B0" w:rsidP="003F62F6">
            <w:pPr>
              <w:pStyle w:val="TableBody"/>
            </w:pPr>
            <w:r w:rsidRPr="00B952B0">
              <w:t>3</w:t>
            </w:r>
            <w:r w:rsidR="00D17EDA">
              <w:t>,</w:t>
            </w:r>
            <w:r w:rsidRPr="00B952B0">
              <w:t>421</w:t>
            </w:r>
            <w:r w:rsidR="00974D64">
              <w:t xml:space="preserve"> (</w:t>
            </w:r>
            <w:r w:rsidR="00974D64" w:rsidRPr="00B952B0">
              <w:t>100%</w:t>
            </w:r>
            <w:r w:rsidR="00974D64">
              <w:t>)</w:t>
            </w:r>
          </w:p>
        </w:tc>
      </w:tr>
      <w:tr w:rsidR="00B952B0" w:rsidRPr="00B952B0" w14:paraId="435E8EF4" w14:textId="77777777" w:rsidTr="00974D64">
        <w:trPr>
          <w:trHeight w:val="328"/>
        </w:trPr>
        <w:tc>
          <w:tcPr>
            <w:tcW w:w="1091" w:type="dxa"/>
            <w:hideMark/>
          </w:tcPr>
          <w:p w14:paraId="1B88BE48" w14:textId="331E1934" w:rsidR="00B952B0" w:rsidRPr="00B952B0" w:rsidRDefault="00B952B0" w:rsidP="003F62F6">
            <w:pPr>
              <w:pStyle w:val="TableBody"/>
            </w:pPr>
            <w:r w:rsidRPr="00B952B0">
              <w:t xml:space="preserve">2018 </w:t>
            </w:r>
          </w:p>
        </w:tc>
        <w:tc>
          <w:tcPr>
            <w:tcW w:w="1631" w:type="dxa"/>
            <w:noWrap/>
            <w:hideMark/>
          </w:tcPr>
          <w:p w14:paraId="67F88953" w14:textId="5935AFDB" w:rsidR="00B952B0" w:rsidRPr="00B952B0" w:rsidRDefault="00B952B0" w:rsidP="003F62F6">
            <w:pPr>
              <w:pStyle w:val="TableBody"/>
            </w:pPr>
            <w:r w:rsidRPr="00B952B0">
              <w:t>1</w:t>
            </w:r>
            <w:r w:rsidR="00D17EDA">
              <w:t>,</w:t>
            </w:r>
            <w:r w:rsidRPr="00B952B0">
              <w:t>262</w:t>
            </w:r>
            <w:r w:rsidR="00E672E5">
              <w:t xml:space="preserve"> (</w:t>
            </w:r>
            <w:r w:rsidR="00E672E5" w:rsidRPr="00B952B0">
              <w:t>39%</w:t>
            </w:r>
            <w:r w:rsidR="00E672E5">
              <w:t>)</w:t>
            </w:r>
          </w:p>
        </w:tc>
        <w:tc>
          <w:tcPr>
            <w:tcW w:w="1372" w:type="dxa"/>
            <w:noWrap/>
            <w:hideMark/>
          </w:tcPr>
          <w:p w14:paraId="44B925B2" w14:textId="59FFD45D" w:rsidR="00B952B0" w:rsidRPr="00B952B0" w:rsidRDefault="00B952B0" w:rsidP="003F62F6">
            <w:pPr>
              <w:pStyle w:val="TableBody"/>
            </w:pPr>
            <w:r w:rsidRPr="00B952B0">
              <w:t>945</w:t>
            </w:r>
            <w:r w:rsidR="00E672E5">
              <w:t xml:space="preserve"> (</w:t>
            </w:r>
            <w:r w:rsidR="00E672E5" w:rsidRPr="00B952B0">
              <w:t>29%</w:t>
            </w:r>
            <w:r w:rsidR="00E672E5">
              <w:t>)</w:t>
            </w:r>
          </w:p>
        </w:tc>
        <w:tc>
          <w:tcPr>
            <w:tcW w:w="980" w:type="dxa"/>
            <w:noWrap/>
            <w:hideMark/>
          </w:tcPr>
          <w:p w14:paraId="0DE7F0C3" w14:textId="3D14B0DF" w:rsidR="00B952B0" w:rsidRPr="00B952B0" w:rsidRDefault="00B952B0" w:rsidP="003F62F6">
            <w:pPr>
              <w:pStyle w:val="TableBody"/>
            </w:pPr>
            <w:r w:rsidRPr="00B952B0">
              <w:t>388</w:t>
            </w:r>
            <w:r w:rsidR="00EB3914">
              <w:t xml:space="preserve"> (</w:t>
            </w:r>
            <w:r w:rsidR="00EB3914" w:rsidRPr="00B952B0">
              <w:t>12%</w:t>
            </w:r>
            <w:r w:rsidR="00EB3914">
              <w:t>)</w:t>
            </w:r>
          </w:p>
        </w:tc>
        <w:tc>
          <w:tcPr>
            <w:tcW w:w="1422" w:type="dxa"/>
            <w:noWrap/>
            <w:hideMark/>
          </w:tcPr>
          <w:p w14:paraId="160C2D2D" w14:textId="72BD6B1E" w:rsidR="00B952B0" w:rsidRPr="00B952B0" w:rsidRDefault="00B952B0" w:rsidP="003F62F6">
            <w:pPr>
              <w:pStyle w:val="TableBody"/>
            </w:pPr>
            <w:r w:rsidRPr="00B952B0">
              <w:t>491</w:t>
            </w:r>
            <w:r w:rsidR="00BD7E5F">
              <w:t xml:space="preserve"> (</w:t>
            </w:r>
            <w:r w:rsidR="00BD7E5F" w:rsidRPr="00B952B0">
              <w:t>15%</w:t>
            </w:r>
            <w:r w:rsidR="00BD7E5F">
              <w:t>)</w:t>
            </w:r>
          </w:p>
        </w:tc>
        <w:tc>
          <w:tcPr>
            <w:tcW w:w="980" w:type="dxa"/>
            <w:noWrap/>
            <w:hideMark/>
          </w:tcPr>
          <w:p w14:paraId="6C2DE3FF" w14:textId="5DA5B79A" w:rsidR="00B952B0" w:rsidRPr="00B952B0" w:rsidRDefault="00B952B0" w:rsidP="003F62F6">
            <w:pPr>
              <w:pStyle w:val="TableBody"/>
            </w:pPr>
            <w:r w:rsidRPr="00B952B0">
              <w:t>139</w:t>
            </w:r>
            <w:r w:rsidR="00BD7E5F">
              <w:t xml:space="preserve"> (</w:t>
            </w:r>
            <w:r w:rsidR="00BD7E5F" w:rsidRPr="00B952B0">
              <w:t>4%</w:t>
            </w:r>
            <w:r w:rsidR="00BD7E5F">
              <w:t>)</w:t>
            </w:r>
          </w:p>
        </w:tc>
        <w:tc>
          <w:tcPr>
            <w:tcW w:w="995" w:type="dxa"/>
            <w:noWrap/>
            <w:hideMark/>
          </w:tcPr>
          <w:p w14:paraId="3790A6DF" w14:textId="5F584B2E" w:rsidR="00B952B0" w:rsidRPr="00B952B0" w:rsidRDefault="00B952B0" w:rsidP="003F62F6">
            <w:pPr>
              <w:pStyle w:val="TableBody"/>
            </w:pPr>
            <w:r w:rsidRPr="00B952B0">
              <w:t>3</w:t>
            </w:r>
            <w:r w:rsidR="00D17EDA">
              <w:t>,</w:t>
            </w:r>
            <w:r w:rsidRPr="00B952B0">
              <w:t>225</w:t>
            </w:r>
            <w:r w:rsidR="00974D64">
              <w:t xml:space="preserve"> (</w:t>
            </w:r>
            <w:r w:rsidR="00974D64" w:rsidRPr="00B952B0">
              <w:t>100%</w:t>
            </w:r>
            <w:r w:rsidR="00974D64">
              <w:t>)</w:t>
            </w:r>
          </w:p>
        </w:tc>
      </w:tr>
      <w:tr w:rsidR="00B952B0" w:rsidRPr="00B952B0" w14:paraId="1958620B" w14:textId="77777777" w:rsidTr="00974D64">
        <w:trPr>
          <w:trHeight w:val="328"/>
        </w:trPr>
        <w:tc>
          <w:tcPr>
            <w:tcW w:w="1091" w:type="dxa"/>
            <w:hideMark/>
          </w:tcPr>
          <w:p w14:paraId="1D9F0D98" w14:textId="2D8EF343" w:rsidR="00B952B0" w:rsidRPr="00B952B0" w:rsidRDefault="00B952B0" w:rsidP="003F62F6">
            <w:pPr>
              <w:pStyle w:val="TableBody"/>
            </w:pPr>
            <w:r w:rsidRPr="00B952B0">
              <w:t xml:space="preserve">2019 </w:t>
            </w:r>
          </w:p>
        </w:tc>
        <w:tc>
          <w:tcPr>
            <w:tcW w:w="1631" w:type="dxa"/>
            <w:noWrap/>
            <w:hideMark/>
          </w:tcPr>
          <w:p w14:paraId="79D949B8" w14:textId="7BA85B04" w:rsidR="00B952B0" w:rsidRPr="00B952B0" w:rsidRDefault="00B952B0" w:rsidP="003F62F6">
            <w:pPr>
              <w:pStyle w:val="TableBody"/>
            </w:pPr>
            <w:r w:rsidRPr="00B952B0">
              <w:t>1</w:t>
            </w:r>
            <w:r w:rsidR="00D17EDA">
              <w:t>,</w:t>
            </w:r>
            <w:r w:rsidRPr="00B952B0">
              <w:t>363</w:t>
            </w:r>
            <w:r w:rsidR="00E672E5">
              <w:t xml:space="preserve"> (</w:t>
            </w:r>
            <w:r w:rsidR="00E672E5" w:rsidRPr="00B952B0">
              <w:t>42%</w:t>
            </w:r>
            <w:r w:rsidR="00E672E5">
              <w:t>)</w:t>
            </w:r>
          </w:p>
        </w:tc>
        <w:tc>
          <w:tcPr>
            <w:tcW w:w="1372" w:type="dxa"/>
            <w:noWrap/>
            <w:hideMark/>
          </w:tcPr>
          <w:p w14:paraId="1FEE1F51" w14:textId="0CB5ADDD" w:rsidR="00B952B0" w:rsidRPr="00B952B0" w:rsidRDefault="00B952B0" w:rsidP="003F62F6">
            <w:pPr>
              <w:pStyle w:val="TableBody"/>
            </w:pPr>
            <w:r w:rsidRPr="00B952B0">
              <w:t>833</w:t>
            </w:r>
            <w:r w:rsidR="00E672E5">
              <w:t xml:space="preserve"> (</w:t>
            </w:r>
            <w:r w:rsidR="00E672E5" w:rsidRPr="00B952B0">
              <w:t>25%</w:t>
            </w:r>
            <w:r w:rsidR="00E672E5">
              <w:t>)</w:t>
            </w:r>
          </w:p>
        </w:tc>
        <w:tc>
          <w:tcPr>
            <w:tcW w:w="980" w:type="dxa"/>
            <w:noWrap/>
            <w:hideMark/>
          </w:tcPr>
          <w:p w14:paraId="0D34297D" w14:textId="74D54319" w:rsidR="00B952B0" w:rsidRPr="00B952B0" w:rsidRDefault="00B952B0" w:rsidP="003F62F6">
            <w:pPr>
              <w:pStyle w:val="TableBody"/>
            </w:pPr>
            <w:r w:rsidRPr="00B952B0">
              <w:t>400</w:t>
            </w:r>
            <w:r w:rsidR="00EB3914">
              <w:t xml:space="preserve"> (</w:t>
            </w:r>
            <w:r w:rsidR="00EB3914" w:rsidRPr="00B952B0">
              <w:t>12%</w:t>
            </w:r>
            <w:r w:rsidR="00EB3914">
              <w:t>)</w:t>
            </w:r>
          </w:p>
        </w:tc>
        <w:tc>
          <w:tcPr>
            <w:tcW w:w="1422" w:type="dxa"/>
            <w:noWrap/>
            <w:hideMark/>
          </w:tcPr>
          <w:p w14:paraId="252869B1" w14:textId="025FAB24" w:rsidR="00B952B0" w:rsidRPr="00B952B0" w:rsidRDefault="00B952B0" w:rsidP="003F62F6">
            <w:pPr>
              <w:pStyle w:val="TableBody"/>
            </w:pPr>
            <w:r w:rsidRPr="00B952B0">
              <w:t>531</w:t>
            </w:r>
            <w:r w:rsidR="00BD7E5F">
              <w:t xml:space="preserve"> (</w:t>
            </w:r>
            <w:r w:rsidR="00BD7E5F" w:rsidRPr="00B952B0">
              <w:t>16%</w:t>
            </w:r>
            <w:r w:rsidR="00BD7E5F">
              <w:t>)</w:t>
            </w:r>
          </w:p>
        </w:tc>
        <w:tc>
          <w:tcPr>
            <w:tcW w:w="980" w:type="dxa"/>
            <w:noWrap/>
            <w:hideMark/>
          </w:tcPr>
          <w:p w14:paraId="1A6B7781" w14:textId="1B9C2326" w:rsidR="00B952B0" w:rsidRPr="00B952B0" w:rsidRDefault="00B952B0" w:rsidP="003F62F6">
            <w:pPr>
              <w:pStyle w:val="TableBody"/>
            </w:pPr>
            <w:r w:rsidRPr="00B952B0">
              <w:t>154</w:t>
            </w:r>
            <w:r w:rsidR="00BD7E5F">
              <w:t xml:space="preserve"> (</w:t>
            </w:r>
            <w:r w:rsidR="00BD7E5F" w:rsidRPr="00B952B0">
              <w:t>5%</w:t>
            </w:r>
            <w:r w:rsidR="00BD7E5F">
              <w:t>)</w:t>
            </w:r>
          </w:p>
        </w:tc>
        <w:tc>
          <w:tcPr>
            <w:tcW w:w="995" w:type="dxa"/>
            <w:noWrap/>
            <w:hideMark/>
          </w:tcPr>
          <w:p w14:paraId="27D45F4A" w14:textId="59490112" w:rsidR="00B952B0" w:rsidRPr="00B952B0" w:rsidRDefault="00B952B0" w:rsidP="003F62F6">
            <w:pPr>
              <w:pStyle w:val="TableBody"/>
            </w:pPr>
            <w:r w:rsidRPr="00B952B0">
              <w:t>3</w:t>
            </w:r>
            <w:r w:rsidR="00D17EDA">
              <w:t>,</w:t>
            </w:r>
            <w:r w:rsidRPr="00B952B0">
              <w:t>281</w:t>
            </w:r>
            <w:r w:rsidR="00974D64">
              <w:t xml:space="preserve"> (</w:t>
            </w:r>
            <w:r w:rsidR="00974D64" w:rsidRPr="00B952B0">
              <w:t>100%</w:t>
            </w:r>
            <w:r w:rsidR="00974D64">
              <w:t>)</w:t>
            </w:r>
          </w:p>
        </w:tc>
      </w:tr>
      <w:tr w:rsidR="00B952B0" w:rsidRPr="00B952B0" w14:paraId="60FDA400" w14:textId="77777777" w:rsidTr="00974D64">
        <w:trPr>
          <w:trHeight w:val="328"/>
        </w:trPr>
        <w:tc>
          <w:tcPr>
            <w:tcW w:w="1091" w:type="dxa"/>
            <w:hideMark/>
          </w:tcPr>
          <w:p w14:paraId="77783E2A" w14:textId="0154BB47" w:rsidR="00B952B0" w:rsidRPr="002C04ED" w:rsidRDefault="00B952B0" w:rsidP="003F62F6">
            <w:pPr>
              <w:pStyle w:val="TableBody"/>
              <w:rPr>
                <w:rStyle w:val="Strong"/>
              </w:rPr>
            </w:pPr>
            <w:r w:rsidRPr="002C04ED">
              <w:rPr>
                <w:rStyle w:val="Strong"/>
              </w:rPr>
              <w:t xml:space="preserve">Total </w:t>
            </w:r>
          </w:p>
        </w:tc>
        <w:tc>
          <w:tcPr>
            <w:tcW w:w="1631" w:type="dxa"/>
            <w:noWrap/>
            <w:hideMark/>
          </w:tcPr>
          <w:p w14:paraId="5AF5D38F" w14:textId="3DDC77B2" w:rsidR="00B952B0" w:rsidRPr="002C04ED" w:rsidRDefault="00B952B0" w:rsidP="003F62F6">
            <w:pPr>
              <w:pStyle w:val="TableBody"/>
              <w:rPr>
                <w:rStyle w:val="Strong"/>
              </w:rPr>
            </w:pPr>
            <w:r w:rsidRPr="002C04ED">
              <w:rPr>
                <w:rStyle w:val="Strong"/>
              </w:rPr>
              <w:t>5</w:t>
            </w:r>
            <w:r w:rsidR="00D17EDA">
              <w:rPr>
                <w:rStyle w:val="Strong"/>
              </w:rPr>
              <w:t>,</w:t>
            </w:r>
            <w:r w:rsidRPr="002C04ED">
              <w:rPr>
                <w:rStyle w:val="Strong"/>
              </w:rPr>
              <w:t>818</w:t>
            </w:r>
            <w:r w:rsidR="00E672E5" w:rsidRPr="002C04ED">
              <w:rPr>
                <w:rStyle w:val="Strong"/>
              </w:rPr>
              <w:t xml:space="preserve"> (35%)</w:t>
            </w:r>
          </w:p>
        </w:tc>
        <w:tc>
          <w:tcPr>
            <w:tcW w:w="1372" w:type="dxa"/>
            <w:noWrap/>
            <w:hideMark/>
          </w:tcPr>
          <w:p w14:paraId="23C1E9FF" w14:textId="398BA8EE" w:rsidR="00B952B0" w:rsidRPr="002C04ED" w:rsidRDefault="00B952B0" w:rsidP="003F62F6">
            <w:pPr>
              <w:pStyle w:val="TableBody"/>
              <w:rPr>
                <w:rStyle w:val="Strong"/>
              </w:rPr>
            </w:pPr>
            <w:r w:rsidRPr="002C04ED">
              <w:rPr>
                <w:rStyle w:val="Strong"/>
              </w:rPr>
              <w:t>5</w:t>
            </w:r>
            <w:r w:rsidR="00D17EDA">
              <w:rPr>
                <w:rStyle w:val="Strong"/>
              </w:rPr>
              <w:t>,</w:t>
            </w:r>
            <w:r w:rsidRPr="002C04ED">
              <w:rPr>
                <w:rStyle w:val="Strong"/>
              </w:rPr>
              <w:t>148</w:t>
            </w:r>
            <w:r w:rsidR="00CE4FEA" w:rsidRPr="002C04ED">
              <w:rPr>
                <w:rStyle w:val="Strong"/>
              </w:rPr>
              <w:t xml:space="preserve"> (31%)</w:t>
            </w:r>
          </w:p>
        </w:tc>
        <w:tc>
          <w:tcPr>
            <w:tcW w:w="980" w:type="dxa"/>
            <w:noWrap/>
            <w:hideMark/>
          </w:tcPr>
          <w:p w14:paraId="613A9554" w14:textId="4DE8BB35" w:rsidR="00B952B0" w:rsidRPr="002C04ED" w:rsidRDefault="00B952B0" w:rsidP="003F62F6">
            <w:pPr>
              <w:pStyle w:val="TableBody"/>
              <w:rPr>
                <w:rStyle w:val="Strong"/>
              </w:rPr>
            </w:pPr>
            <w:r w:rsidRPr="002C04ED">
              <w:rPr>
                <w:rStyle w:val="Strong"/>
              </w:rPr>
              <w:t>2</w:t>
            </w:r>
            <w:r w:rsidR="00D17EDA">
              <w:rPr>
                <w:rStyle w:val="Strong"/>
              </w:rPr>
              <w:t>,</w:t>
            </w:r>
            <w:r w:rsidRPr="002C04ED">
              <w:rPr>
                <w:rStyle w:val="Strong"/>
              </w:rPr>
              <w:t>135</w:t>
            </w:r>
            <w:r w:rsidR="00EB3914" w:rsidRPr="002C04ED">
              <w:rPr>
                <w:rStyle w:val="Strong"/>
              </w:rPr>
              <w:t xml:space="preserve"> (13%)</w:t>
            </w:r>
          </w:p>
        </w:tc>
        <w:tc>
          <w:tcPr>
            <w:tcW w:w="1422" w:type="dxa"/>
            <w:noWrap/>
            <w:hideMark/>
          </w:tcPr>
          <w:p w14:paraId="1F7FB27A" w14:textId="7462CE65" w:rsidR="00B952B0" w:rsidRPr="002C04ED" w:rsidRDefault="00B952B0" w:rsidP="003F62F6">
            <w:pPr>
              <w:pStyle w:val="TableBody"/>
              <w:rPr>
                <w:rStyle w:val="Strong"/>
              </w:rPr>
            </w:pPr>
            <w:r w:rsidRPr="002C04ED">
              <w:rPr>
                <w:rStyle w:val="Strong"/>
              </w:rPr>
              <w:t>2</w:t>
            </w:r>
            <w:r w:rsidR="00D17EDA">
              <w:rPr>
                <w:rStyle w:val="Strong"/>
              </w:rPr>
              <w:t>,</w:t>
            </w:r>
            <w:r w:rsidRPr="002C04ED">
              <w:rPr>
                <w:rStyle w:val="Strong"/>
              </w:rPr>
              <w:t>369</w:t>
            </w:r>
            <w:r w:rsidR="00BD7E5F" w:rsidRPr="002C04ED">
              <w:rPr>
                <w:rStyle w:val="Strong"/>
              </w:rPr>
              <w:t xml:space="preserve"> (14%)</w:t>
            </w:r>
          </w:p>
        </w:tc>
        <w:tc>
          <w:tcPr>
            <w:tcW w:w="980" w:type="dxa"/>
            <w:noWrap/>
            <w:hideMark/>
          </w:tcPr>
          <w:p w14:paraId="00EEA893" w14:textId="2B0C82B9" w:rsidR="00B952B0" w:rsidRPr="002C04ED" w:rsidRDefault="00B952B0" w:rsidP="003F62F6">
            <w:pPr>
              <w:pStyle w:val="TableBody"/>
              <w:rPr>
                <w:rStyle w:val="Strong"/>
              </w:rPr>
            </w:pPr>
            <w:r w:rsidRPr="002C04ED">
              <w:rPr>
                <w:rStyle w:val="Strong"/>
              </w:rPr>
              <w:t>920</w:t>
            </w:r>
            <w:r w:rsidR="006526C2" w:rsidRPr="002C04ED">
              <w:rPr>
                <w:rStyle w:val="Strong"/>
              </w:rPr>
              <w:t xml:space="preserve"> (6%)</w:t>
            </w:r>
          </w:p>
        </w:tc>
        <w:tc>
          <w:tcPr>
            <w:tcW w:w="995" w:type="dxa"/>
            <w:noWrap/>
            <w:hideMark/>
          </w:tcPr>
          <w:p w14:paraId="5EC5AFFF" w14:textId="4B212BA5" w:rsidR="00B952B0" w:rsidRPr="002C04ED" w:rsidRDefault="00B952B0" w:rsidP="003F62F6">
            <w:pPr>
              <w:pStyle w:val="TableBody"/>
              <w:rPr>
                <w:rStyle w:val="Strong"/>
              </w:rPr>
            </w:pPr>
            <w:r w:rsidRPr="002C04ED">
              <w:rPr>
                <w:rStyle w:val="Strong"/>
              </w:rPr>
              <w:t>16</w:t>
            </w:r>
            <w:r w:rsidR="00D17EDA">
              <w:rPr>
                <w:rStyle w:val="Strong"/>
              </w:rPr>
              <w:t>,</w:t>
            </w:r>
            <w:r w:rsidRPr="002C04ED">
              <w:rPr>
                <w:rStyle w:val="Strong"/>
              </w:rPr>
              <w:t>390</w:t>
            </w:r>
          </w:p>
        </w:tc>
      </w:tr>
    </w:tbl>
    <w:p w14:paraId="2510B5B8" w14:textId="77777777" w:rsidR="005A3418" w:rsidRPr="00D36673" w:rsidRDefault="005A3418" w:rsidP="00F24F16">
      <w:pPr>
        <w:pStyle w:val="Numbered"/>
      </w:pPr>
      <w:r w:rsidRPr="00D36673">
        <w:t>Rather than necessarily being reflective of a change in how threat offences are sentenced, these changes in sentencing outcomes are consistent with changes in how offences are sentenced in the Magistrates’ Court overall; the number of community correction orders decreased each year in the three years to 2019–20, from about 10,000 to 6,500.</w:t>
      </w:r>
      <w:r w:rsidRPr="00D36673">
        <w:rPr>
          <w:rStyle w:val="Superscript"/>
        </w:rPr>
        <w:footnoteReference w:id="143"/>
      </w:r>
    </w:p>
    <w:p w14:paraId="0D180D8B" w14:textId="77777777" w:rsidR="005A3418" w:rsidRPr="00D36673" w:rsidRDefault="005A3418" w:rsidP="00F24F16">
      <w:pPr>
        <w:pStyle w:val="Numbered"/>
      </w:pPr>
      <w:r w:rsidRPr="00D36673">
        <w:t>Stakeholders commented that, in addition to the increasing proportion of cases linked to family violence, this change is likely to be related to recent changes in bail laws:</w:t>
      </w:r>
      <w:r w:rsidRPr="00D36673">
        <w:rPr>
          <w:rStyle w:val="Superscript"/>
        </w:rPr>
        <w:footnoteReference w:id="144"/>
      </w:r>
    </w:p>
    <w:p w14:paraId="6ECC3BB9" w14:textId="77777777" w:rsidR="005A3418" w:rsidRPr="00D36673" w:rsidRDefault="005A3418" w:rsidP="002F6D30">
      <w:pPr>
        <w:pStyle w:val="Quote"/>
      </w:pPr>
      <w:r w:rsidRPr="00D36673">
        <w:t xml:space="preserve">It seems to correspond with the changes to the bail laws. We find a lot more clients remanded who otherwise wouldn’t have been remanded, and either they spend a couple of days in custody before being sentenced on a plea – in which case they might be given an adjourned undertaking, taking into account the time they served in custody without that time being reckoned – or the time is reckoned. Whether they spend a couple of days and then they’re sentenced in the bail and </w:t>
      </w:r>
      <w:r w:rsidRPr="00D36673">
        <w:lastRenderedPageBreak/>
        <w:t>remand court or their matter gets adjourned for a month or so and then they’re sentenced, we are seeing a lot more clients in those circumstances receiving short imprisonment terms or receiving very low sentences to take into account the fact that they have served some time in custody. Often it is very common for clients that fall into this category, particularly in the family violence context, to be refused bail in the first instance, or to have lower prospects of bail, usually because of a history of making similar threats, and as we know it’s much more difficult to get bail in that context in the current climate … that probably accounts for both outcomes, at the low end and the high end.</w:t>
      </w:r>
      <w:r w:rsidRPr="002F6D30">
        <w:rPr>
          <w:rStyle w:val="Superscript"/>
        </w:rPr>
        <w:footnoteReference w:id="145"/>
      </w:r>
    </w:p>
    <w:p w14:paraId="2C1C2B2F" w14:textId="77777777" w:rsidR="005A3418" w:rsidRPr="00D36673" w:rsidRDefault="005A3418" w:rsidP="00F24F16">
      <w:pPr>
        <w:pStyle w:val="Numbered"/>
      </w:pPr>
      <w:r w:rsidRPr="00D36673">
        <w:t>Other factors could also contribute to the use of short sentences of imprisonment, including the use of remand to remove a perpetrator from the home in family violence cases.</w:t>
      </w:r>
      <w:r w:rsidRPr="00D36673">
        <w:rPr>
          <w:rStyle w:val="Superscript"/>
        </w:rPr>
        <w:footnoteReference w:id="146"/>
      </w:r>
      <w:r w:rsidRPr="00D36673">
        <w:t xml:space="preserve"> Consolidated hearings could also contribute to higher numbers of offences and consequently the use of remand and sentences of imprisonment, including time served prison sentences.</w:t>
      </w:r>
      <w:r w:rsidRPr="00D36673">
        <w:rPr>
          <w:rStyle w:val="Superscript"/>
        </w:rPr>
        <w:footnoteReference w:id="147"/>
      </w:r>
    </w:p>
    <w:p w14:paraId="4FB17108" w14:textId="77777777" w:rsidR="005A3418" w:rsidRPr="00D36673" w:rsidRDefault="005A3418" w:rsidP="00F67BC8">
      <w:pPr>
        <w:pStyle w:val="Heading3"/>
      </w:pPr>
      <w:r w:rsidRPr="00D36673">
        <w:t>Sentence type by gender</w:t>
      </w:r>
    </w:p>
    <w:p w14:paraId="654A1A45" w14:textId="77777777" w:rsidR="005A3418" w:rsidRPr="00D36673" w:rsidRDefault="005A3418" w:rsidP="00F24F16">
      <w:pPr>
        <w:pStyle w:val="Numbered"/>
      </w:pPr>
      <w:r w:rsidRPr="00D36673">
        <w:t>Figure 12 (page 28) shows that sentences varied substantially by gender. In cases where the threat offence was the principal proven offence, Males received imprisonment three times more often (27% of cases) than females (10% of cases).</w:t>
      </w:r>
      <w:r w:rsidRPr="00D36673">
        <w:rPr>
          <w:rStyle w:val="Superscript"/>
        </w:rPr>
        <w:footnoteReference w:id="148"/>
      </w:r>
      <w:r w:rsidRPr="00D36673">
        <w:t xml:space="preserve"> Males also received more community correction orders and fines. In contrast, women received higher proportions of adjourned </w:t>
      </w:r>
      <w:r w:rsidRPr="00D36673">
        <w:lastRenderedPageBreak/>
        <w:t>undertakings and other dispositions (primarily court-ordered diversion).</w:t>
      </w:r>
    </w:p>
    <w:p w14:paraId="66DEA527" w14:textId="77777777" w:rsidR="005A3418" w:rsidRPr="00D36673" w:rsidRDefault="005A3418" w:rsidP="00F24F16">
      <w:pPr>
        <w:pStyle w:val="Numbered"/>
      </w:pPr>
      <w:r w:rsidRPr="00D36673">
        <w:t>A number of factors are likely to contribute to female offenders receiving less severe penalties for threat offences, including the higher likelihood of male offenders having a prior criminal history, the perceived credibility of the threat, and the particularly strong role of past trauma in offending by females.</w:t>
      </w:r>
      <w:r w:rsidRPr="00D36673">
        <w:rPr>
          <w:rStyle w:val="Superscript"/>
        </w:rPr>
        <w:footnoteReference w:id="149"/>
      </w:r>
      <w:r w:rsidRPr="00D36673">
        <w:t xml:space="preserve"> Stakeholders commented that female offenders were not only less likely to have a criminal history (see Table 8, page 45) but also less likely to have a history of violence convictions when they </w:t>
      </w:r>
      <w:r w:rsidRPr="00A24E18">
        <w:rPr>
          <w:rStyle w:val="Emphasis"/>
        </w:rPr>
        <w:t>do</w:t>
      </w:r>
      <w:r w:rsidRPr="00D36673">
        <w:t xml:space="preserve"> have a criminal history.</w:t>
      </w:r>
      <w:r w:rsidRPr="00D36673">
        <w:rPr>
          <w:rStyle w:val="Superscript"/>
        </w:rPr>
        <w:footnoteReference w:id="150"/>
      </w:r>
      <w:r w:rsidRPr="00D36673">
        <w:t xml:space="preserve"> Further, women are often primary carers for children.</w:t>
      </w:r>
      <w:r w:rsidRPr="00D36673">
        <w:rPr>
          <w:rStyle w:val="Superscript"/>
        </w:rPr>
        <w:footnoteReference w:id="151"/>
      </w:r>
      <w:r w:rsidRPr="00D36673">
        <w:t xml:space="preserve"> They are less likely to make threats in a family violence context; when they do, a threat is often made in a context where they are primarily a victim who acted defensively.</w:t>
      </w:r>
      <w:r w:rsidRPr="00D36673">
        <w:rPr>
          <w:rStyle w:val="Superscript"/>
        </w:rPr>
        <w:footnoteReference w:id="152"/>
      </w:r>
    </w:p>
    <w:p w14:paraId="0672AC14" w14:textId="77777777" w:rsidR="005A3418" w:rsidRPr="00D36673" w:rsidRDefault="005A3418" w:rsidP="00711AFB">
      <w:pPr>
        <w:pStyle w:val="Caption"/>
      </w:pPr>
      <w:r w:rsidRPr="00C9259E">
        <w:t>Figure 12:</w:t>
      </w:r>
      <w:r w:rsidRPr="00D36673">
        <w:t xml:space="preserve"> Number and percentage of threat cases resulting in each sentence type in the Magistrates’ Court, by gender, 2015 to 2019</w:t>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946805" w:rsidRPr="00B60163" w14:paraId="4B66F047" w14:textId="77777777" w:rsidTr="00713FE2">
        <w:trPr>
          <w:trHeight w:val="300"/>
          <w:tblHeader/>
        </w:trPr>
        <w:tc>
          <w:tcPr>
            <w:tcW w:w="1000" w:type="pct"/>
            <w:noWrap/>
            <w:hideMark/>
          </w:tcPr>
          <w:p w14:paraId="4FC1DF5A" w14:textId="5E40BC16" w:rsidR="00B60163" w:rsidRPr="00946805" w:rsidRDefault="00B60163" w:rsidP="00946805">
            <w:pPr>
              <w:pStyle w:val="TableHeading"/>
            </w:pPr>
            <w:r w:rsidRPr="00946805">
              <w:t>Sentence type</w:t>
            </w:r>
          </w:p>
        </w:tc>
        <w:tc>
          <w:tcPr>
            <w:tcW w:w="1000" w:type="pct"/>
            <w:noWrap/>
            <w:hideMark/>
          </w:tcPr>
          <w:p w14:paraId="5BA2716F" w14:textId="392F4686" w:rsidR="00B60163" w:rsidRPr="00946805" w:rsidRDefault="00B60163" w:rsidP="00946805">
            <w:pPr>
              <w:pStyle w:val="TableHeading"/>
            </w:pPr>
            <w:r w:rsidRPr="00946805">
              <w:t>Number of female offenders</w:t>
            </w:r>
          </w:p>
        </w:tc>
        <w:tc>
          <w:tcPr>
            <w:tcW w:w="1000" w:type="pct"/>
            <w:noWrap/>
            <w:hideMark/>
          </w:tcPr>
          <w:p w14:paraId="01E6A531" w14:textId="16D7C0C8" w:rsidR="00B60163" w:rsidRPr="00946805" w:rsidRDefault="00B60163" w:rsidP="00946805">
            <w:pPr>
              <w:pStyle w:val="TableHeading"/>
            </w:pPr>
            <w:r w:rsidRPr="00946805">
              <w:t>Number of male offenders</w:t>
            </w:r>
          </w:p>
        </w:tc>
        <w:tc>
          <w:tcPr>
            <w:tcW w:w="1000" w:type="pct"/>
            <w:noWrap/>
            <w:hideMark/>
          </w:tcPr>
          <w:p w14:paraId="4A4EF3F6" w14:textId="677253CD" w:rsidR="00B60163" w:rsidRPr="00946805" w:rsidRDefault="00B60163" w:rsidP="00946805">
            <w:pPr>
              <w:pStyle w:val="TableHeading"/>
            </w:pPr>
            <w:r w:rsidRPr="00946805">
              <w:t>Percentage of female offenders</w:t>
            </w:r>
          </w:p>
        </w:tc>
        <w:tc>
          <w:tcPr>
            <w:tcW w:w="1000" w:type="pct"/>
            <w:noWrap/>
            <w:hideMark/>
          </w:tcPr>
          <w:p w14:paraId="51F1FC3F" w14:textId="22E6E6EB" w:rsidR="00B60163" w:rsidRPr="00946805" w:rsidRDefault="00B60163" w:rsidP="00946805">
            <w:pPr>
              <w:pStyle w:val="TableHeading"/>
            </w:pPr>
            <w:r w:rsidRPr="00946805">
              <w:t>Percentage of male offenders</w:t>
            </w:r>
          </w:p>
        </w:tc>
      </w:tr>
      <w:tr w:rsidR="00946805" w:rsidRPr="00B60163" w14:paraId="68848771" w14:textId="77777777" w:rsidTr="00713FE2">
        <w:trPr>
          <w:trHeight w:val="290"/>
        </w:trPr>
        <w:tc>
          <w:tcPr>
            <w:tcW w:w="1000" w:type="pct"/>
            <w:noWrap/>
            <w:hideMark/>
          </w:tcPr>
          <w:p w14:paraId="471CA324" w14:textId="77777777" w:rsidR="00B60163" w:rsidRPr="00946805" w:rsidRDefault="00B60163" w:rsidP="00946805">
            <w:pPr>
              <w:pStyle w:val="TableBody"/>
            </w:pPr>
            <w:r w:rsidRPr="00946805">
              <w:t>Imprisonment</w:t>
            </w:r>
          </w:p>
        </w:tc>
        <w:tc>
          <w:tcPr>
            <w:tcW w:w="1000" w:type="pct"/>
            <w:noWrap/>
            <w:hideMark/>
          </w:tcPr>
          <w:p w14:paraId="30AB83A1" w14:textId="77777777" w:rsidR="00B60163" w:rsidRPr="00946805" w:rsidRDefault="00B60163" w:rsidP="00946805">
            <w:pPr>
              <w:pStyle w:val="TableBody"/>
            </w:pPr>
            <w:r w:rsidRPr="00946805">
              <w:t>65</w:t>
            </w:r>
          </w:p>
        </w:tc>
        <w:tc>
          <w:tcPr>
            <w:tcW w:w="1000" w:type="pct"/>
            <w:noWrap/>
            <w:hideMark/>
          </w:tcPr>
          <w:p w14:paraId="3EE59260" w14:textId="69627047" w:rsidR="00B60163" w:rsidRPr="00946805" w:rsidRDefault="00B60163" w:rsidP="00946805">
            <w:pPr>
              <w:pStyle w:val="TableBody"/>
            </w:pPr>
            <w:r w:rsidRPr="00946805">
              <w:t>1</w:t>
            </w:r>
            <w:r w:rsidR="0079303F">
              <w:t>,</w:t>
            </w:r>
            <w:r w:rsidRPr="00946805">
              <w:t>129</w:t>
            </w:r>
          </w:p>
        </w:tc>
        <w:tc>
          <w:tcPr>
            <w:tcW w:w="1000" w:type="pct"/>
            <w:noWrap/>
            <w:hideMark/>
          </w:tcPr>
          <w:p w14:paraId="4DE4764C" w14:textId="77777777" w:rsidR="00B60163" w:rsidRPr="00946805" w:rsidRDefault="00B60163" w:rsidP="00946805">
            <w:pPr>
              <w:pStyle w:val="TableBody"/>
            </w:pPr>
            <w:r w:rsidRPr="00946805">
              <w:t>10%</w:t>
            </w:r>
          </w:p>
        </w:tc>
        <w:tc>
          <w:tcPr>
            <w:tcW w:w="1000" w:type="pct"/>
            <w:noWrap/>
            <w:hideMark/>
          </w:tcPr>
          <w:p w14:paraId="509B1514" w14:textId="77777777" w:rsidR="00B60163" w:rsidRPr="00946805" w:rsidRDefault="00B60163" w:rsidP="00946805">
            <w:pPr>
              <w:pStyle w:val="TableBody"/>
            </w:pPr>
            <w:r w:rsidRPr="00946805">
              <w:t>27%</w:t>
            </w:r>
          </w:p>
        </w:tc>
      </w:tr>
      <w:tr w:rsidR="00946805" w:rsidRPr="00B60163" w14:paraId="1E53BF5E" w14:textId="77777777" w:rsidTr="00713FE2">
        <w:trPr>
          <w:trHeight w:val="290"/>
        </w:trPr>
        <w:tc>
          <w:tcPr>
            <w:tcW w:w="1000" w:type="pct"/>
            <w:noWrap/>
            <w:hideMark/>
          </w:tcPr>
          <w:p w14:paraId="3F4CD876" w14:textId="77777777" w:rsidR="00B60163" w:rsidRPr="00946805" w:rsidRDefault="00B60163" w:rsidP="00946805">
            <w:pPr>
              <w:pStyle w:val="TableBody"/>
            </w:pPr>
            <w:r w:rsidRPr="00946805">
              <w:t>Community correction order</w:t>
            </w:r>
          </w:p>
        </w:tc>
        <w:tc>
          <w:tcPr>
            <w:tcW w:w="1000" w:type="pct"/>
            <w:noWrap/>
            <w:hideMark/>
          </w:tcPr>
          <w:p w14:paraId="0218FB9D" w14:textId="77777777" w:rsidR="00B60163" w:rsidRPr="00946805" w:rsidRDefault="00B60163" w:rsidP="00946805">
            <w:pPr>
              <w:pStyle w:val="TableBody"/>
            </w:pPr>
            <w:r w:rsidRPr="00946805">
              <w:t>129</w:t>
            </w:r>
          </w:p>
        </w:tc>
        <w:tc>
          <w:tcPr>
            <w:tcW w:w="1000" w:type="pct"/>
            <w:noWrap/>
            <w:hideMark/>
          </w:tcPr>
          <w:p w14:paraId="13797A39" w14:textId="007A356E" w:rsidR="00B60163" w:rsidRPr="00946805" w:rsidRDefault="00B60163" w:rsidP="00946805">
            <w:pPr>
              <w:pStyle w:val="TableBody"/>
            </w:pPr>
            <w:r w:rsidRPr="00946805">
              <w:t>1</w:t>
            </w:r>
            <w:r w:rsidR="0079303F">
              <w:t>,</w:t>
            </w:r>
            <w:r w:rsidRPr="00946805">
              <w:t>057</w:t>
            </w:r>
          </w:p>
        </w:tc>
        <w:tc>
          <w:tcPr>
            <w:tcW w:w="1000" w:type="pct"/>
            <w:noWrap/>
            <w:hideMark/>
          </w:tcPr>
          <w:p w14:paraId="1A21705A" w14:textId="77777777" w:rsidR="00B60163" w:rsidRPr="00946805" w:rsidRDefault="00B60163" w:rsidP="00946805">
            <w:pPr>
              <w:pStyle w:val="TableBody"/>
            </w:pPr>
            <w:r w:rsidRPr="00946805">
              <w:t>20%</w:t>
            </w:r>
          </w:p>
        </w:tc>
        <w:tc>
          <w:tcPr>
            <w:tcW w:w="1000" w:type="pct"/>
            <w:noWrap/>
            <w:hideMark/>
          </w:tcPr>
          <w:p w14:paraId="0FDFF8AD" w14:textId="77777777" w:rsidR="00B60163" w:rsidRPr="00946805" w:rsidRDefault="00B60163" w:rsidP="00946805">
            <w:pPr>
              <w:pStyle w:val="TableBody"/>
            </w:pPr>
            <w:r w:rsidRPr="00946805">
              <w:t>25%</w:t>
            </w:r>
          </w:p>
        </w:tc>
      </w:tr>
      <w:tr w:rsidR="00946805" w:rsidRPr="00B60163" w14:paraId="30F167FD" w14:textId="77777777" w:rsidTr="00713FE2">
        <w:trPr>
          <w:trHeight w:val="290"/>
        </w:trPr>
        <w:tc>
          <w:tcPr>
            <w:tcW w:w="1000" w:type="pct"/>
            <w:noWrap/>
            <w:hideMark/>
          </w:tcPr>
          <w:p w14:paraId="0DE14DAC" w14:textId="77777777" w:rsidR="00B60163" w:rsidRPr="00946805" w:rsidRDefault="00B60163" w:rsidP="00946805">
            <w:pPr>
              <w:pStyle w:val="TableBody"/>
            </w:pPr>
            <w:r w:rsidRPr="00946805">
              <w:t>Fine</w:t>
            </w:r>
          </w:p>
        </w:tc>
        <w:tc>
          <w:tcPr>
            <w:tcW w:w="1000" w:type="pct"/>
            <w:noWrap/>
            <w:hideMark/>
          </w:tcPr>
          <w:p w14:paraId="176D6EC4" w14:textId="77777777" w:rsidR="00B60163" w:rsidRPr="00946805" w:rsidRDefault="00B60163" w:rsidP="00946805">
            <w:pPr>
              <w:pStyle w:val="TableBody"/>
            </w:pPr>
            <w:r w:rsidRPr="00946805">
              <w:t>113</w:t>
            </w:r>
          </w:p>
        </w:tc>
        <w:tc>
          <w:tcPr>
            <w:tcW w:w="1000" w:type="pct"/>
            <w:noWrap/>
            <w:hideMark/>
          </w:tcPr>
          <w:p w14:paraId="5C3F2048" w14:textId="77777777" w:rsidR="00B60163" w:rsidRPr="00946805" w:rsidRDefault="00B60163" w:rsidP="00946805">
            <w:pPr>
              <w:pStyle w:val="TableBody"/>
            </w:pPr>
            <w:r w:rsidRPr="00946805">
              <w:t>905</w:t>
            </w:r>
          </w:p>
        </w:tc>
        <w:tc>
          <w:tcPr>
            <w:tcW w:w="1000" w:type="pct"/>
            <w:noWrap/>
            <w:hideMark/>
          </w:tcPr>
          <w:p w14:paraId="5D311F0C" w14:textId="77777777" w:rsidR="00B60163" w:rsidRPr="00946805" w:rsidRDefault="00B60163" w:rsidP="00946805">
            <w:pPr>
              <w:pStyle w:val="TableBody"/>
            </w:pPr>
            <w:r w:rsidRPr="00946805">
              <w:t>18%</w:t>
            </w:r>
          </w:p>
        </w:tc>
        <w:tc>
          <w:tcPr>
            <w:tcW w:w="1000" w:type="pct"/>
            <w:noWrap/>
            <w:hideMark/>
          </w:tcPr>
          <w:p w14:paraId="408106DF" w14:textId="77777777" w:rsidR="00B60163" w:rsidRPr="00946805" w:rsidRDefault="00B60163" w:rsidP="00946805">
            <w:pPr>
              <w:pStyle w:val="TableBody"/>
            </w:pPr>
            <w:r w:rsidRPr="00946805">
              <w:t>22%</w:t>
            </w:r>
          </w:p>
        </w:tc>
      </w:tr>
      <w:tr w:rsidR="00946805" w:rsidRPr="00B60163" w14:paraId="600653C3" w14:textId="77777777" w:rsidTr="00713FE2">
        <w:trPr>
          <w:trHeight w:val="290"/>
        </w:trPr>
        <w:tc>
          <w:tcPr>
            <w:tcW w:w="1000" w:type="pct"/>
            <w:noWrap/>
            <w:hideMark/>
          </w:tcPr>
          <w:p w14:paraId="382F199F" w14:textId="77777777" w:rsidR="00B60163" w:rsidRPr="00946805" w:rsidRDefault="00B60163" w:rsidP="00946805">
            <w:pPr>
              <w:pStyle w:val="TableBody"/>
            </w:pPr>
            <w:r w:rsidRPr="00946805">
              <w:t>Adjourned undertaking</w:t>
            </w:r>
          </w:p>
        </w:tc>
        <w:tc>
          <w:tcPr>
            <w:tcW w:w="1000" w:type="pct"/>
            <w:noWrap/>
            <w:hideMark/>
          </w:tcPr>
          <w:p w14:paraId="01F6B1E5" w14:textId="77777777" w:rsidR="00B60163" w:rsidRPr="00946805" w:rsidRDefault="00B60163" w:rsidP="00946805">
            <w:pPr>
              <w:pStyle w:val="TableBody"/>
            </w:pPr>
            <w:r w:rsidRPr="00946805">
              <w:t>222</w:t>
            </w:r>
          </w:p>
        </w:tc>
        <w:tc>
          <w:tcPr>
            <w:tcW w:w="1000" w:type="pct"/>
            <w:noWrap/>
            <w:hideMark/>
          </w:tcPr>
          <w:p w14:paraId="70135C74" w14:textId="77777777" w:rsidR="00B60163" w:rsidRPr="00946805" w:rsidRDefault="00B60163" w:rsidP="00946805">
            <w:pPr>
              <w:pStyle w:val="TableBody"/>
            </w:pPr>
            <w:r w:rsidRPr="00946805">
              <w:t>824</w:t>
            </w:r>
          </w:p>
        </w:tc>
        <w:tc>
          <w:tcPr>
            <w:tcW w:w="1000" w:type="pct"/>
            <w:noWrap/>
            <w:hideMark/>
          </w:tcPr>
          <w:p w14:paraId="657B9278" w14:textId="77777777" w:rsidR="00B60163" w:rsidRPr="00946805" w:rsidRDefault="00B60163" w:rsidP="00946805">
            <w:pPr>
              <w:pStyle w:val="TableBody"/>
            </w:pPr>
            <w:r w:rsidRPr="00946805">
              <w:t>35%</w:t>
            </w:r>
          </w:p>
        </w:tc>
        <w:tc>
          <w:tcPr>
            <w:tcW w:w="1000" w:type="pct"/>
            <w:noWrap/>
            <w:hideMark/>
          </w:tcPr>
          <w:p w14:paraId="50AEE14E" w14:textId="77777777" w:rsidR="00B60163" w:rsidRPr="00946805" w:rsidRDefault="00B60163" w:rsidP="00946805">
            <w:pPr>
              <w:pStyle w:val="TableBody"/>
            </w:pPr>
            <w:r w:rsidRPr="00946805">
              <w:t>20%</w:t>
            </w:r>
          </w:p>
        </w:tc>
      </w:tr>
      <w:tr w:rsidR="00946805" w:rsidRPr="00B60163" w14:paraId="3ED5398C" w14:textId="77777777" w:rsidTr="00713FE2">
        <w:trPr>
          <w:trHeight w:val="290"/>
        </w:trPr>
        <w:tc>
          <w:tcPr>
            <w:tcW w:w="1000" w:type="pct"/>
            <w:noWrap/>
            <w:hideMark/>
          </w:tcPr>
          <w:p w14:paraId="6DC8454A" w14:textId="77777777" w:rsidR="00B60163" w:rsidRPr="00946805" w:rsidRDefault="00B60163" w:rsidP="00946805">
            <w:pPr>
              <w:pStyle w:val="TableBody"/>
            </w:pPr>
            <w:r w:rsidRPr="00946805">
              <w:t>Other</w:t>
            </w:r>
          </w:p>
        </w:tc>
        <w:tc>
          <w:tcPr>
            <w:tcW w:w="1000" w:type="pct"/>
            <w:noWrap/>
            <w:hideMark/>
          </w:tcPr>
          <w:p w14:paraId="371725D7" w14:textId="77777777" w:rsidR="00B60163" w:rsidRPr="00946805" w:rsidRDefault="00B60163" w:rsidP="00946805">
            <w:pPr>
              <w:pStyle w:val="TableBody"/>
            </w:pPr>
            <w:r w:rsidRPr="00946805">
              <w:t>109</w:t>
            </w:r>
          </w:p>
        </w:tc>
        <w:tc>
          <w:tcPr>
            <w:tcW w:w="1000" w:type="pct"/>
            <w:noWrap/>
            <w:hideMark/>
          </w:tcPr>
          <w:p w14:paraId="0E13699F" w14:textId="77777777" w:rsidR="00B60163" w:rsidRPr="00946805" w:rsidRDefault="00B60163" w:rsidP="00946805">
            <w:pPr>
              <w:pStyle w:val="TableBody"/>
            </w:pPr>
            <w:r w:rsidRPr="00946805">
              <w:t>262</w:t>
            </w:r>
          </w:p>
        </w:tc>
        <w:tc>
          <w:tcPr>
            <w:tcW w:w="1000" w:type="pct"/>
            <w:noWrap/>
            <w:hideMark/>
          </w:tcPr>
          <w:p w14:paraId="1E6937D7" w14:textId="77777777" w:rsidR="00B60163" w:rsidRPr="00946805" w:rsidRDefault="00B60163" w:rsidP="00946805">
            <w:pPr>
              <w:pStyle w:val="TableBody"/>
            </w:pPr>
            <w:r w:rsidRPr="00946805">
              <w:t>17%</w:t>
            </w:r>
          </w:p>
        </w:tc>
        <w:tc>
          <w:tcPr>
            <w:tcW w:w="1000" w:type="pct"/>
            <w:noWrap/>
            <w:hideMark/>
          </w:tcPr>
          <w:p w14:paraId="458FF5CB" w14:textId="77777777" w:rsidR="00B60163" w:rsidRPr="00946805" w:rsidRDefault="00B60163" w:rsidP="00946805">
            <w:pPr>
              <w:pStyle w:val="TableBody"/>
            </w:pPr>
            <w:r w:rsidRPr="00946805">
              <w:t>6%</w:t>
            </w:r>
          </w:p>
        </w:tc>
      </w:tr>
      <w:tr w:rsidR="00946805" w:rsidRPr="00B60163" w14:paraId="1E8FB918" w14:textId="77777777" w:rsidTr="00713FE2">
        <w:trPr>
          <w:trHeight w:val="300"/>
        </w:trPr>
        <w:tc>
          <w:tcPr>
            <w:tcW w:w="1000" w:type="pct"/>
            <w:noWrap/>
            <w:hideMark/>
          </w:tcPr>
          <w:p w14:paraId="150D90AB" w14:textId="77777777" w:rsidR="00B60163" w:rsidRPr="00946805" w:rsidRDefault="00B60163" w:rsidP="00946805">
            <w:pPr>
              <w:pStyle w:val="TableBody"/>
              <w:rPr>
                <w:rStyle w:val="Strong"/>
              </w:rPr>
            </w:pPr>
            <w:r w:rsidRPr="00946805">
              <w:rPr>
                <w:rStyle w:val="Strong"/>
              </w:rPr>
              <w:t>Total</w:t>
            </w:r>
          </w:p>
        </w:tc>
        <w:tc>
          <w:tcPr>
            <w:tcW w:w="1000" w:type="pct"/>
            <w:noWrap/>
            <w:hideMark/>
          </w:tcPr>
          <w:p w14:paraId="4473BDAC" w14:textId="77777777" w:rsidR="00B60163" w:rsidRPr="00946805" w:rsidRDefault="00B60163" w:rsidP="00946805">
            <w:pPr>
              <w:pStyle w:val="TableBody"/>
              <w:rPr>
                <w:rStyle w:val="Strong"/>
              </w:rPr>
            </w:pPr>
            <w:r w:rsidRPr="00946805">
              <w:rPr>
                <w:rStyle w:val="Strong"/>
              </w:rPr>
              <w:t>638</w:t>
            </w:r>
          </w:p>
        </w:tc>
        <w:tc>
          <w:tcPr>
            <w:tcW w:w="1000" w:type="pct"/>
            <w:noWrap/>
            <w:hideMark/>
          </w:tcPr>
          <w:p w14:paraId="27404940" w14:textId="6B606412" w:rsidR="00B60163" w:rsidRPr="00946805" w:rsidRDefault="00B60163" w:rsidP="00946805">
            <w:pPr>
              <w:pStyle w:val="TableBody"/>
              <w:rPr>
                <w:rStyle w:val="Strong"/>
              </w:rPr>
            </w:pPr>
            <w:r w:rsidRPr="00946805">
              <w:rPr>
                <w:rStyle w:val="Strong"/>
              </w:rPr>
              <w:t>4</w:t>
            </w:r>
            <w:r w:rsidR="0079303F">
              <w:rPr>
                <w:rStyle w:val="Strong"/>
              </w:rPr>
              <w:t>,</w:t>
            </w:r>
            <w:r w:rsidRPr="00946805">
              <w:rPr>
                <w:rStyle w:val="Strong"/>
              </w:rPr>
              <w:t>177</w:t>
            </w:r>
          </w:p>
        </w:tc>
        <w:tc>
          <w:tcPr>
            <w:tcW w:w="1000" w:type="pct"/>
            <w:noWrap/>
            <w:hideMark/>
          </w:tcPr>
          <w:p w14:paraId="0316FC28" w14:textId="77777777" w:rsidR="00B60163" w:rsidRPr="00946805" w:rsidRDefault="00B60163" w:rsidP="00946805">
            <w:pPr>
              <w:pStyle w:val="TableBody"/>
              <w:rPr>
                <w:rStyle w:val="Strong"/>
              </w:rPr>
            </w:pPr>
            <w:r w:rsidRPr="00946805">
              <w:rPr>
                <w:rStyle w:val="Strong"/>
              </w:rPr>
              <w:t>100%</w:t>
            </w:r>
          </w:p>
        </w:tc>
        <w:tc>
          <w:tcPr>
            <w:tcW w:w="1000" w:type="pct"/>
            <w:noWrap/>
            <w:hideMark/>
          </w:tcPr>
          <w:p w14:paraId="23D43205" w14:textId="77777777" w:rsidR="00B60163" w:rsidRPr="00946805" w:rsidRDefault="00B60163" w:rsidP="00946805">
            <w:pPr>
              <w:pStyle w:val="TableBody"/>
              <w:rPr>
                <w:rStyle w:val="Strong"/>
              </w:rPr>
            </w:pPr>
            <w:r w:rsidRPr="00946805">
              <w:rPr>
                <w:rStyle w:val="Strong"/>
              </w:rPr>
              <w:t>100%</w:t>
            </w:r>
          </w:p>
        </w:tc>
      </w:tr>
    </w:tbl>
    <w:p w14:paraId="4FF51037" w14:textId="77777777" w:rsidR="005A3418" w:rsidRPr="00D36673" w:rsidRDefault="005A3418" w:rsidP="00F67BC8">
      <w:pPr>
        <w:pStyle w:val="Heading3"/>
      </w:pPr>
      <w:r w:rsidRPr="00D36673">
        <w:lastRenderedPageBreak/>
        <w:t>Sentence type by family violence indicator</w:t>
      </w:r>
    </w:p>
    <w:p w14:paraId="077BE354" w14:textId="77777777" w:rsidR="005A3418" w:rsidRPr="00D36673" w:rsidRDefault="005A3418" w:rsidP="00F24F16">
      <w:pPr>
        <w:pStyle w:val="Numbered"/>
      </w:pPr>
      <w:r w:rsidRPr="00D36673">
        <w:t>The sentence type imposed on threat offenders also varied by whether the case had a family violence indicator (Figure 13). When a threat offence was the principal proven offence in a case, family violence offenders received imprisonment and community correction orders in 29% and 26% of cases respectively, whereas non-family violence offenders received imprisonment and community correction orders in 20% and 23% of cases. Non-family violence offenders instead received higher rates than family violence offenders of fines and other dispositions, especially court-ordered diversion.</w:t>
      </w:r>
    </w:p>
    <w:p w14:paraId="36CCBCB9" w14:textId="77777777" w:rsidR="005A3418" w:rsidRPr="00D36673" w:rsidRDefault="005A3418" w:rsidP="00711AFB">
      <w:pPr>
        <w:pStyle w:val="Caption"/>
      </w:pPr>
      <w:r w:rsidRPr="00C9259E">
        <w:t>Figure 13:</w:t>
      </w:r>
      <w:r w:rsidRPr="00D36673">
        <w:t xml:space="preserve"> Sentencing outcomes in cases where a threat offence was the principal proven offence, by family violence indicator, Magistrates’ Court, 2015 to 2019</w:t>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935D47" w:rsidRPr="00791F41" w14:paraId="0CD767A0" w14:textId="77777777" w:rsidTr="005D0A9C">
        <w:trPr>
          <w:trHeight w:val="590"/>
          <w:tblHeader/>
        </w:trPr>
        <w:tc>
          <w:tcPr>
            <w:tcW w:w="1000" w:type="pct"/>
            <w:noWrap/>
            <w:hideMark/>
          </w:tcPr>
          <w:p w14:paraId="2BE98C55" w14:textId="233B0977" w:rsidR="00791F41" w:rsidRPr="00791F41" w:rsidRDefault="003D4ED9" w:rsidP="003D4ED9">
            <w:pPr>
              <w:pStyle w:val="TableHeading"/>
            </w:pPr>
            <w:r>
              <w:t>Sentence type</w:t>
            </w:r>
          </w:p>
        </w:tc>
        <w:tc>
          <w:tcPr>
            <w:tcW w:w="1000" w:type="pct"/>
            <w:hideMark/>
          </w:tcPr>
          <w:p w14:paraId="39B96096" w14:textId="06FB0C85" w:rsidR="00791F41" w:rsidRPr="00791F41" w:rsidRDefault="00791F41" w:rsidP="003D4ED9">
            <w:pPr>
              <w:pStyle w:val="TableHeading"/>
            </w:pPr>
            <w:r w:rsidRPr="00791F41">
              <w:t xml:space="preserve">Family violence </w:t>
            </w:r>
            <w:r w:rsidR="00D159D1">
              <w:t>cases</w:t>
            </w:r>
          </w:p>
        </w:tc>
        <w:tc>
          <w:tcPr>
            <w:tcW w:w="1000" w:type="pct"/>
            <w:hideMark/>
          </w:tcPr>
          <w:p w14:paraId="17BB2DD1" w14:textId="681BF672" w:rsidR="00791F41" w:rsidRPr="00791F41" w:rsidRDefault="00791F41" w:rsidP="003D4ED9">
            <w:pPr>
              <w:pStyle w:val="TableHeading"/>
            </w:pPr>
            <w:r w:rsidRPr="00791F41">
              <w:t>Non</w:t>
            </w:r>
            <w:r w:rsidR="006B7ED1">
              <w:t>-</w:t>
            </w:r>
            <w:r w:rsidRPr="00791F41">
              <w:t xml:space="preserve">family violence cases </w:t>
            </w:r>
          </w:p>
        </w:tc>
        <w:tc>
          <w:tcPr>
            <w:tcW w:w="1000" w:type="pct"/>
            <w:noWrap/>
            <w:hideMark/>
          </w:tcPr>
          <w:p w14:paraId="02D95DCE" w14:textId="58AE26F9" w:rsidR="00791F41" w:rsidRPr="00791F41" w:rsidRDefault="006D3117" w:rsidP="003D4ED9">
            <w:pPr>
              <w:pStyle w:val="TableHeading"/>
            </w:pPr>
            <w:r>
              <w:t>Percentage</w:t>
            </w:r>
            <w:r w:rsidR="00791F41" w:rsidRPr="00791F41">
              <w:t xml:space="preserve"> of </w:t>
            </w:r>
            <w:r>
              <w:t>family violence</w:t>
            </w:r>
            <w:r w:rsidR="00791F41" w:rsidRPr="00791F41">
              <w:t xml:space="preserve"> cases</w:t>
            </w:r>
          </w:p>
        </w:tc>
        <w:tc>
          <w:tcPr>
            <w:tcW w:w="1000" w:type="pct"/>
            <w:noWrap/>
            <w:hideMark/>
          </w:tcPr>
          <w:p w14:paraId="67F0681F" w14:textId="2C1A14B2" w:rsidR="00791F41" w:rsidRPr="00791F41" w:rsidRDefault="00935D47" w:rsidP="003D4ED9">
            <w:pPr>
              <w:pStyle w:val="TableHeading"/>
            </w:pPr>
            <w:r>
              <w:t>Percentage</w:t>
            </w:r>
            <w:r w:rsidR="00791F41" w:rsidRPr="00791F41">
              <w:t xml:space="preserve"> of non</w:t>
            </w:r>
            <w:r>
              <w:t xml:space="preserve">-family violence </w:t>
            </w:r>
            <w:r w:rsidR="00791F41" w:rsidRPr="00791F41">
              <w:t xml:space="preserve">cases </w:t>
            </w:r>
          </w:p>
        </w:tc>
      </w:tr>
      <w:tr w:rsidR="00935D47" w:rsidRPr="00791F41" w14:paraId="7AF01918" w14:textId="77777777" w:rsidTr="00B21C95">
        <w:trPr>
          <w:trHeight w:val="290"/>
        </w:trPr>
        <w:tc>
          <w:tcPr>
            <w:tcW w:w="1000" w:type="pct"/>
            <w:noWrap/>
            <w:hideMark/>
          </w:tcPr>
          <w:p w14:paraId="3EAF20FE" w14:textId="77777777" w:rsidR="00791F41" w:rsidRPr="00791F41" w:rsidRDefault="00791F41" w:rsidP="003D4ED9">
            <w:pPr>
              <w:pStyle w:val="TableBody"/>
            </w:pPr>
            <w:r w:rsidRPr="00791F41">
              <w:t>Imprisonment</w:t>
            </w:r>
          </w:p>
        </w:tc>
        <w:tc>
          <w:tcPr>
            <w:tcW w:w="1000" w:type="pct"/>
            <w:noWrap/>
            <w:hideMark/>
          </w:tcPr>
          <w:p w14:paraId="5F918F22" w14:textId="77777777" w:rsidR="00791F41" w:rsidRPr="00791F41" w:rsidRDefault="00791F41" w:rsidP="003D4ED9">
            <w:pPr>
              <w:pStyle w:val="TableBody"/>
            </w:pPr>
            <w:r w:rsidRPr="00791F41">
              <w:t>772</w:t>
            </w:r>
          </w:p>
        </w:tc>
        <w:tc>
          <w:tcPr>
            <w:tcW w:w="1000" w:type="pct"/>
            <w:noWrap/>
            <w:hideMark/>
          </w:tcPr>
          <w:p w14:paraId="6E2CE38A" w14:textId="77777777" w:rsidR="00791F41" w:rsidRPr="00791F41" w:rsidRDefault="00791F41" w:rsidP="003D4ED9">
            <w:pPr>
              <w:pStyle w:val="TableBody"/>
            </w:pPr>
            <w:r w:rsidRPr="00791F41">
              <w:t>422</w:t>
            </w:r>
          </w:p>
        </w:tc>
        <w:tc>
          <w:tcPr>
            <w:tcW w:w="1000" w:type="pct"/>
            <w:noWrap/>
            <w:hideMark/>
          </w:tcPr>
          <w:p w14:paraId="4B221D51" w14:textId="77777777" w:rsidR="00791F41" w:rsidRPr="00791F41" w:rsidRDefault="00791F41" w:rsidP="003D4ED9">
            <w:pPr>
              <w:pStyle w:val="TableBody"/>
            </w:pPr>
            <w:r w:rsidRPr="00791F41">
              <w:t>29%</w:t>
            </w:r>
          </w:p>
        </w:tc>
        <w:tc>
          <w:tcPr>
            <w:tcW w:w="1000" w:type="pct"/>
            <w:noWrap/>
            <w:hideMark/>
          </w:tcPr>
          <w:p w14:paraId="76CB93C0" w14:textId="77777777" w:rsidR="00791F41" w:rsidRPr="00791F41" w:rsidRDefault="00791F41" w:rsidP="003D4ED9">
            <w:pPr>
              <w:pStyle w:val="TableBody"/>
            </w:pPr>
            <w:r w:rsidRPr="00791F41">
              <w:t>20%</w:t>
            </w:r>
          </w:p>
        </w:tc>
      </w:tr>
      <w:tr w:rsidR="00935D47" w:rsidRPr="00791F41" w14:paraId="4B842053" w14:textId="77777777" w:rsidTr="00B21C95">
        <w:trPr>
          <w:trHeight w:val="290"/>
        </w:trPr>
        <w:tc>
          <w:tcPr>
            <w:tcW w:w="1000" w:type="pct"/>
            <w:noWrap/>
            <w:hideMark/>
          </w:tcPr>
          <w:p w14:paraId="67FFA0BB" w14:textId="77777777" w:rsidR="00791F41" w:rsidRPr="00791F41" w:rsidRDefault="00791F41" w:rsidP="003D4ED9">
            <w:pPr>
              <w:pStyle w:val="TableBody"/>
            </w:pPr>
            <w:r w:rsidRPr="00791F41">
              <w:t>Community correction order</w:t>
            </w:r>
          </w:p>
        </w:tc>
        <w:tc>
          <w:tcPr>
            <w:tcW w:w="1000" w:type="pct"/>
            <w:noWrap/>
            <w:hideMark/>
          </w:tcPr>
          <w:p w14:paraId="54C61F3E" w14:textId="77777777" w:rsidR="00791F41" w:rsidRPr="00791F41" w:rsidRDefault="00791F41" w:rsidP="003D4ED9">
            <w:pPr>
              <w:pStyle w:val="TableBody"/>
            </w:pPr>
            <w:r w:rsidRPr="00791F41">
              <w:t>690</w:t>
            </w:r>
          </w:p>
        </w:tc>
        <w:tc>
          <w:tcPr>
            <w:tcW w:w="1000" w:type="pct"/>
            <w:noWrap/>
            <w:hideMark/>
          </w:tcPr>
          <w:p w14:paraId="4FA96A49" w14:textId="77777777" w:rsidR="00791F41" w:rsidRPr="00791F41" w:rsidRDefault="00791F41" w:rsidP="003D4ED9">
            <w:pPr>
              <w:pStyle w:val="TableBody"/>
            </w:pPr>
            <w:r w:rsidRPr="00791F41">
              <w:t>496</w:t>
            </w:r>
          </w:p>
        </w:tc>
        <w:tc>
          <w:tcPr>
            <w:tcW w:w="1000" w:type="pct"/>
            <w:noWrap/>
            <w:hideMark/>
          </w:tcPr>
          <w:p w14:paraId="315F476A" w14:textId="77777777" w:rsidR="00791F41" w:rsidRPr="00791F41" w:rsidRDefault="00791F41" w:rsidP="003D4ED9">
            <w:pPr>
              <w:pStyle w:val="TableBody"/>
            </w:pPr>
            <w:r w:rsidRPr="00791F41">
              <w:t>26%</w:t>
            </w:r>
          </w:p>
        </w:tc>
        <w:tc>
          <w:tcPr>
            <w:tcW w:w="1000" w:type="pct"/>
            <w:noWrap/>
            <w:hideMark/>
          </w:tcPr>
          <w:p w14:paraId="2F437FA1" w14:textId="77777777" w:rsidR="00791F41" w:rsidRPr="00791F41" w:rsidRDefault="00791F41" w:rsidP="003D4ED9">
            <w:pPr>
              <w:pStyle w:val="TableBody"/>
            </w:pPr>
            <w:r w:rsidRPr="00791F41">
              <w:t>23%</w:t>
            </w:r>
          </w:p>
        </w:tc>
      </w:tr>
      <w:tr w:rsidR="00935D47" w:rsidRPr="00791F41" w14:paraId="4B702BA0" w14:textId="77777777" w:rsidTr="00B21C95">
        <w:trPr>
          <w:trHeight w:val="290"/>
        </w:trPr>
        <w:tc>
          <w:tcPr>
            <w:tcW w:w="1000" w:type="pct"/>
            <w:noWrap/>
            <w:hideMark/>
          </w:tcPr>
          <w:p w14:paraId="26D8EC04" w14:textId="77777777" w:rsidR="00791F41" w:rsidRPr="00791F41" w:rsidRDefault="00791F41" w:rsidP="003D4ED9">
            <w:pPr>
              <w:pStyle w:val="TableBody"/>
            </w:pPr>
            <w:r w:rsidRPr="00791F41">
              <w:t>Fine</w:t>
            </w:r>
          </w:p>
        </w:tc>
        <w:tc>
          <w:tcPr>
            <w:tcW w:w="1000" w:type="pct"/>
            <w:noWrap/>
            <w:hideMark/>
          </w:tcPr>
          <w:p w14:paraId="6AE32374" w14:textId="77777777" w:rsidR="00791F41" w:rsidRPr="00791F41" w:rsidRDefault="00791F41" w:rsidP="003D4ED9">
            <w:pPr>
              <w:pStyle w:val="TableBody"/>
            </w:pPr>
            <w:r w:rsidRPr="00791F41">
              <w:t>506</w:t>
            </w:r>
          </w:p>
        </w:tc>
        <w:tc>
          <w:tcPr>
            <w:tcW w:w="1000" w:type="pct"/>
            <w:noWrap/>
            <w:hideMark/>
          </w:tcPr>
          <w:p w14:paraId="26D3F65A" w14:textId="77777777" w:rsidR="00791F41" w:rsidRPr="00791F41" w:rsidRDefault="00791F41" w:rsidP="003D4ED9">
            <w:pPr>
              <w:pStyle w:val="TableBody"/>
            </w:pPr>
            <w:r w:rsidRPr="00791F41">
              <w:t>512</w:t>
            </w:r>
          </w:p>
        </w:tc>
        <w:tc>
          <w:tcPr>
            <w:tcW w:w="1000" w:type="pct"/>
            <w:noWrap/>
            <w:hideMark/>
          </w:tcPr>
          <w:p w14:paraId="2C9EB30A" w14:textId="77777777" w:rsidR="00791F41" w:rsidRPr="00791F41" w:rsidRDefault="00791F41" w:rsidP="003D4ED9">
            <w:pPr>
              <w:pStyle w:val="TableBody"/>
            </w:pPr>
            <w:r w:rsidRPr="00791F41">
              <w:t>19%</w:t>
            </w:r>
          </w:p>
        </w:tc>
        <w:tc>
          <w:tcPr>
            <w:tcW w:w="1000" w:type="pct"/>
            <w:noWrap/>
            <w:hideMark/>
          </w:tcPr>
          <w:p w14:paraId="5F474007" w14:textId="77777777" w:rsidR="00791F41" w:rsidRPr="00791F41" w:rsidRDefault="00791F41" w:rsidP="003D4ED9">
            <w:pPr>
              <w:pStyle w:val="TableBody"/>
            </w:pPr>
            <w:r w:rsidRPr="00791F41">
              <w:t>24%</w:t>
            </w:r>
          </w:p>
        </w:tc>
      </w:tr>
      <w:tr w:rsidR="00935D47" w:rsidRPr="00791F41" w14:paraId="598CF2A0" w14:textId="77777777" w:rsidTr="00B21C95">
        <w:trPr>
          <w:trHeight w:val="290"/>
        </w:trPr>
        <w:tc>
          <w:tcPr>
            <w:tcW w:w="1000" w:type="pct"/>
            <w:noWrap/>
            <w:hideMark/>
          </w:tcPr>
          <w:p w14:paraId="29468639" w14:textId="77777777" w:rsidR="00791F41" w:rsidRPr="00791F41" w:rsidRDefault="00791F41" w:rsidP="003D4ED9">
            <w:pPr>
              <w:pStyle w:val="TableBody"/>
            </w:pPr>
            <w:r w:rsidRPr="00791F41">
              <w:t>Adjourned undertaking</w:t>
            </w:r>
          </w:p>
        </w:tc>
        <w:tc>
          <w:tcPr>
            <w:tcW w:w="1000" w:type="pct"/>
            <w:noWrap/>
            <w:hideMark/>
          </w:tcPr>
          <w:p w14:paraId="1197FE2B" w14:textId="77777777" w:rsidR="00791F41" w:rsidRPr="00791F41" w:rsidRDefault="00791F41" w:rsidP="003D4ED9">
            <w:pPr>
              <w:pStyle w:val="TableBody"/>
            </w:pPr>
            <w:r w:rsidRPr="00791F41">
              <w:t>577</w:t>
            </w:r>
          </w:p>
        </w:tc>
        <w:tc>
          <w:tcPr>
            <w:tcW w:w="1000" w:type="pct"/>
            <w:noWrap/>
            <w:hideMark/>
          </w:tcPr>
          <w:p w14:paraId="0EFE79B6" w14:textId="77777777" w:rsidR="00791F41" w:rsidRPr="00791F41" w:rsidRDefault="00791F41" w:rsidP="003D4ED9">
            <w:pPr>
              <w:pStyle w:val="TableBody"/>
            </w:pPr>
            <w:r w:rsidRPr="00791F41">
              <w:t>469</w:t>
            </w:r>
          </w:p>
        </w:tc>
        <w:tc>
          <w:tcPr>
            <w:tcW w:w="1000" w:type="pct"/>
            <w:noWrap/>
            <w:hideMark/>
          </w:tcPr>
          <w:p w14:paraId="538FF689" w14:textId="77777777" w:rsidR="00791F41" w:rsidRPr="00791F41" w:rsidRDefault="00791F41" w:rsidP="003D4ED9">
            <w:pPr>
              <w:pStyle w:val="TableBody"/>
            </w:pPr>
            <w:r w:rsidRPr="00791F41">
              <w:t>22%</w:t>
            </w:r>
          </w:p>
        </w:tc>
        <w:tc>
          <w:tcPr>
            <w:tcW w:w="1000" w:type="pct"/>
            <w:noWrap/>
            <w:hideMark/>
          </w:tcPr>
          <w:p w14:paraId="54F1C12E" w14:textId="77777777" w:rsidR="00791F41" w:rsidRPr="00791F41" w:rsidRDefault="00791F41" w:rsidP="003D4ED9">
            <w:pPr>
              <w:pStyle w:val="TableBody"/>
            </w:pPr>
            <w:r w:rsidRPr="00791F41">
              <w:t>22%</w:t>
            </w:r>
          </w:p>
        </w:tc>
      </w:tr>
      <w:tr w:rsidR="00935D47" w:rsidRPr="00791F41" w14:paraId="5E2F3896" w14:textId="77777777" w:rsidTr="00B21C95">
        <w:trPr>
          <w:trHeight w:val="290"/>
        </w:trPr>
        <w:tc>
          <w:tcPr>
            <w:tcW w:w="1000" w:type="pct"/>
            <w:noWrap/>
            <w:hideMark/>
          </w:tcPr>
          <w:p w14:paraId="0F44DA11" w14:textId="77777777" w:rsidR="00791F41" w:rsidRPr="00791F41" w:rsidRDefault="00791F41" w:rsidP="003D4ED9">
            <w:pPr>
              <w:pStyle w:val="TableBody"/>
            </w:pPr>
            <w:r w:rsidRPr="00791F41">
              <w:t>Other</w:t>
            </w:r>
          </w:p>
        </w:tc>
        <w:tc>
          <w:tcPr>
            <w:tcW w:w="1000" w:type="pct"/>
            <w:noWrap/>
            <w:hideMark/>
          </w:tcPr>
          <w:p w14:paraId="5F6E6DE7" w14:textId="77777777" w:rsidR="00791F41" w:rsidRPr="00791F41" w:rsidRDefault="00791F41" w:rsidP="003D4ED9">
            <w:pPr>
              <w:pStyle w:val="TableBody"/>
            </w:pPr>
            <w:r w:rsidRPr="00791F41">
              <w:t>127</w:t>
            </w:r>
          </w:p>
        </w:tc>
        <w:tc>
          <w:tcPr>
            <w:tcW w:w="1000" w:type="pct"/>
            <w:noWrap/>
            <w:hideMark/>
          </w:tcPr>
          <w:p w14:paraId="2A7B2BCF" w14:textId="77777777" w:rsidR="00791F41" w:rsidRPr="00791F41" w:rsidRDefault="00791F41" w:rsidP="003D4ED9">
            <w:pPr>
              <w:pStyle w:val="TableBody"/>
            </w:pPr>
            <w:r w:rsidRPr="00791F41">
              <w:t>244</w:t>
            </w:r>
          </w:p>
        </w:tc>
        <w:tc>
          <w:tcPr>
            <w:tcW w:w="1000" w:type="pct"/>
            <w:noWrap/>
            <w:hideMark/>
          </w:tcPr>
          <w:p w14:paraId="524C6576" w14:textId="77777777" w:rsidR="00791F41" w:rsidRPr="00791F41" w:rsidRDefault="00791F41" w:rsidP="003D4ED9">
            <w:pPr>
              <w:pStyle w:val="TableBody"/>
            </w:pPr>
            <w:r w:rsidRPr="00791F41">
              <w:t>5%</w:t>
            </w:r>
          </w:p>
        </w:tc>
        <w:tc>
          <w:tcPr>
            <w:tcW w:w="1000" w:type="pct"/>
            <w:noWrap/>
            <w:hideMark/>
          </w:tcPr>
          <w:p w14:paraId="57DD41B9" w14:textId="77777777" w:rsidR="00791F41" w:rsidRPr="00791F41" w:rsidRDefault="00791F41" w:rsidP="003D4ED9">
            <w:pPr>
              <w:pStyle w:val="TableBody"/>
            </w:pPr>
            <w:r w:rsidRPr="00791F41">
              <w:t>11%</w:t>
            </w:r>
          </w:p>
        </w:tc>
      </w:tr>
      <w:tr w:rsidR="00935D47" w:rsidRPr="00791F41" w14:paraId="0AF20B07" w14:textId="77777777" w:rsidTr="00B21C95">
        <w:trPr>
          <w:trHeight w:val="300"/>
        </w:trPr>
        <w:tc>
          <w:tcPr>
            <w:tcW w:w="1000" w:type="pct"/>
            <w:noWrap/>
            <w:hideMark/>
          </w:tcPr>
          <w:p w14:paraId="549ABF4A" w14:textId="77777777" w:rsidR="00791F41" w:rsidRPr="003D4ED9" w:rsidRDefault="00791F41" w:rsidP="003D4ED9">
            <w:pPr>
              <w:pStyle w:val="TableBody"/>
              <w:rPr>
                <w:rStyle w:val="Strong"/>
              </w:rPr>
            </w:pPr>
            <w:r w:rsidRPr="003D4ED9">
              <w:rPr>
                <w:rStyle w:val="Strong"/>
              </w:rPr>
              <w:t>Total</w:t>
            </w:r>
          </w:p>
        </w:tc>
        <w:tc>
          <w:tcPr>
            <w:tcW w:w="1000" w:type="pct"/>
            <w:noWrap/>
            <w:hideMark/>
          </w:tcPr>
          <w:p w14:paraId="4FA949D5" w14:textId="77777777" w:rsidR="00791F41" w:rsidRPr="003D4ED9" w:rsidRDefault="00791F41" w:rsidP="003D4ED9">
            <w:pPr>
              <w:pStyle w:val="TableBody"/>
              <w:rPr>
                <w:rStyle w:val="Strong"/>
              </w:rPr>
            </w:pPr>
            <w:r w:rsidRPr="003D4ED9">
              <w:rPr>
                <w:rStyle w:val="Strong"/>
              </w:rPr>
              <w:t>2672</w:t>
            </w:r>
          </w:p>
        </w:tc>
        <w:tc>
          <w:tcPr>
            <w:tcW w:w="1000" w:type="pct"/>
            <w:noWrap/>
            <w:hideMark/>
          </w:tcPr>
          <w:p w14:paraId="2C8242F4" w14:textId="77777777" w:rsidR="00791F41" w:rsidRPr="003D4ED9" w:rsidRDefault="00791F41" w:rsidP="003D4ED9">
            <w:pPr>
              <w:pStyle w:val="TableBody"/>
              <w:rPr>
                <w:rStyle w:val="Strong"/>
              </w:rPr>
            </w:pPr>
            <w:r w:rsidRPr="003D4ED9">
              <w:rPr>
                <w:rStyle w:val="Strong"/>
              </w:rPr>
              <w:t>2143</w:t>
            </w:r>
          </w:p>
        </w:tc>
        <w:tc>
          <w:tcPr>
            <w:tcW w:w="1000" w:type="pct"/>
            <w:noWrap/>
            <w:hideMark/>
          </w:tcPr>
          <w:p w14:paraId="1C4F4490" w14:textId="77777777" w:rsidR="00791F41" w:rsidRPr="003D4ED9" w:rsidRDefault="00791F41" w:rsidP="003D4ED9">
            <w:pPr>
              <w:pStyle w:val="TableBody"/>
              <w:rPr>
                <w:rStyle w:val="Strong"/>
              </w:rPr>
            </w:pPr>
            <w:r w:rsidRPr="003D4ED9">
              <w:rPr>
                <w:rStyle w:val="Strong"/>
              </w:rPr>
              <w:t>100%</w:t>
            </w:r>
          </w:p>
        </w:tc>
        <w:tc>
          <w:tcPr>
            <w:tcW w:w="1000" w:type="pct"/>
            <w:noWrap/>
            <w:hideMark/>
          </w:tcPr>
          <w:p w14:paraId="28060B73" w14:textId="77777777" w:rsidR="00791F41" w:rsidRPr="003D4ED9" w:rsidRDefault="00791F41" w:rsidP="003D4ED9">
            <w:pPr>
              <w:pStyle w:val="TableBody"/>
              <w:rPr>
                <w:rStyle w:val="Strong"/>
              </w:rPr>
            </w:pPr>
            <w:r w:rsidRPr="003D4ED9">
              <w:rPr>
                <w:rStyle w:val="Strong"/>
              </w:rPr>
              <w:t>100%</w:t>
            </w:r>
          </w:p>
        </w:tc>
      </w:tr>
    </w:tbl>
    <w:p w14:paraId="6CE80689" w14:textId="77777777" w:rsidR="005A3418" w:rsidRPr="00D36673" w:rsidRDefault="005A3418" w:rsidP="00F67BC8">
      <w:pPr>
        <w:pStyle w:val="Heading3"/>
      </w:pPr>
      <w:r w:rsidRPr="00D36673">
        <w:t>Lengths of imprisonment terms: charge level</w:t>
      </w:r>
    </w:p>
    <w:p w14:paraId="1C4F9502" w14:textId="77777777" w:rsidR="005A3418" w:rsidRPr="00D36673" w:rsidRDefault="005A3418" w:rsidP="00F24F16">
      <w:pPr>
        <w:pStyle w:val="Numbered"/>
      </w:pPr>
      <w:r w:rsidRPr="00D36673">
        <w:t>There was a very high rate of aggregate sentences for threat offences in the Magistrates’ Court. Of the 5,818 threat charges that resulted in a sentence of imprisonment, 90% were part of an aggregate imprisonment term.</w:t>
      </w:r>
      <w:r w:rsidRPr="00D36673">
        <w:rPr>
          <w:rStyle w:val="Superscript"/>
        </w:rPr>
        <w:footnoteReference w:id="153"/>
      </w:r>
      <w:r w:rsidRPr="00D36673">
        <w:t xml:space="preserve"> However, 567 threat offences received a non-aggregate imprisonment term, making it possible </w:t>
      </w:r>
      <w:r w:rsidRPr="00D36673">
        <w:lastRenderedPageBreak/>
        <w:t xml:space="preserve">to analyse the lengths of imprisonment terms imposed on those offences. </w:t>
      </w:r>
    </w:p>
    <w:p w14:paraId="34141C1C" w14:textId="77777777" w:rsidR="005A3418" w:rsidRPr="00D36673" w:rsidRDefault="005A3418" w:rsidP="00F24F16">
      <w:pPr>
        <w:pStyle w:val="Numbered"/>
      </w:pPr>
      <w:r w:rsidRPr="00D36673">
        <w:t>Table 2 outlines the shortest, longest and average prison sentences for the three most common threat offences in the Magistrates’ Court.</w:t>
      </w:r>
      <w:r w:rsidRPr="00D36673">
        <w:rPr>
          <w:rStyle w:val="Superscript"/>
        </w:rPr>
        <w:footnoteReference w:id="154"/>
      </w:r>
      <w:r w:rsidRPr="00D36673">
        <w:t xml:space="preserve"> Figure 14 illustrates the distribution of sentence lengths for those offences. They show that threats to damage property tended to receive shorter prison sentences than threats to kill or injure. While threats to kill or seriously injure are usually sentenced very similarly, a small number of threat to kill cases received especially long prison sentences: 9% were 12 months or longer compared to 4% of prison sentences for threat to inflict serious injury.</w:t>
      </w:r>
    </w:p>
    <w:p w14:paraId="0287225C" w14:textId="77777777" w:rsidR="005A3418" w:rsidRPr="00D36673" w:rsidRDefault="005A3418" w:rsidP="00711AFB">
      <w:pPr>
        <w:pStyle w:val="Caption"/>
      </w:pPr>
      <w:r w:rsidRPr="00C9259E">
        <w:t>Table 2:</w:t>
      </w:r>
      <w:r w:rsidRPr="00D36673">
        <w:t xml:space="preserve"> Shortest, longest and average non-aggregate imprisonment terms imposed for threat to kill, threat to inflict serious injury and threat to destroy or damage property, Magistrates’ Court, 2015 to 2019</w:t>
      </w:r>
    </w:p>
    <w:tbl>
      <w:tblPr>
        <w:tblStyle w:val="Table"/>
        <w:tblW w:w="0" w:type="auto"/>
        <w:tblLayout w:type="fixed"/>
        <w:tblLook w:val="0020" w:firstRow="1" w:lastRow="0" w:firstColumn="0" w:lastColumn="0" w:noHBand="0" w:noVBand="0"/>
      </w:tblPr>
      <w:tblGrid>
        <w:gridCol w:w="1700"/>
        <w:gridCol w:w="1701"/>
        <w:gridCol w:w="1701"/>
        <w:gridCol w:w="1701"/>
        <w:gridCol w:w="1701"/>
      </w:tblGrid>
      <w:tr w:rsidR="005A3418" w:rsidRPr="00D36673" w14:paraId="4BA2AA72" w14:textId="77777777" w:rsidTr="00E6572F">
        <w:trPr>
          <w:trHeight w:val="60"/>
        </w:trPr>
        <w:tc>
          <w:tcPr>
            <w:tcW w:w="1700" w:type="dxa"/>
          </w:tcPr>
          <w:p w14:paraId="153DE224" w14:textId="77777777" w:rsidR="005A3418" w:rsidRPr="004F5269" w:rsidRDefault="005A3418" w:rsidP="004F5269">
            <w:pPr>
              <w:pStyle w:val="TableHeading"/>
            </w:pPr>
            <w:r w:rsidRPr="004F5269">
              <w:t>Offence</w:t>
            </w:r>
          </w:p>
        </w:tc>
        <w:tc>
          <w:tcPr>
            <w:tcW w:w="1701" w:type="dxa"/>
          </w:tcPr>
          <w:p w14:paraId="021933D6" w14:textId="77777777" w:rsidR="005A3418" w:rsidRPr="004F5269" w:rsidRDefault="005A3418" w:rsidP="004F5269">
            <w:pPr>
              <w:pStyle w:val="TableHeading"/>
            </w:pPr>
            <w:r w:rsidRPr="004F5269">
              <w:t>Number of charges</w:t>
            </w:r>
          </w:p>
        </w:tc>
        <w:tc>
          <w:tcPr>
            <w:tcW w:w="1701" w:type="dxa"/>
          </w:tcPr>
          <w:p w14:paraId="1BE63811" w14:textId="2EF626B2" w:rsidR="005A3418" w:rsidRPr="004F5269" w:rsidRDefault="005A3418" w:rsidP="004F5269">
            <w:pPr>
              <w:pStyle w:val="TableHeading"/>
            </w:pPr>
            <w:r w:rsidRPr="004F5269">
              <w:t>Shortest</w:t>
            </w:r>
            <w:r w:rsidR="00C70ACB">
              <w:t xml:space="preserve"> </w:t>
            </w:r>
            <w:r w:rsidRPr="004F5269">
              <w:t>term</w:t>
            </w:r>
          </w:p>
        </w:tc>
        <w:tc>
          <w:tcPr>
            <w:tcW w:w="1701" w:type="dxa"/>
          </w:tcPr>
          <w:p w14:paraId="6A0194CE" w14:textId="69BCF7C9" w:rsidR="005A3418" w:rsidRPr="004F5269" w:rsidRDefault="005A3418" w:rsidP="004F5269">
            <w:pPr>
              <w:pStyle w:val="TableHeading"/>
            </w:pPr>
            <w:r w:rsidRPr="004F5269">
              <w:t>Longest</w:t>
            </w:r>
            <w:r w:rsidR="00C70ACB">
              <w:t xml:space="preserve"> </w:t>
            </w:r>
            <w:r w:rsidRPr="004F5269">
              <w:t>term</w:t>
            </w:r>
          </w:p>
        </w:tc>
        <w:tc>
          <w:tcPr>
            <w:tcW w:w="1701" w:type="dxa"/>
          </w:tcPr>
          <w:p w14:paraId="59B68F42" w14:textId="2FF576E6" w:rsidR="005A3418" w:rsidRPr="004F5269" w:rsidRDefault="005A3418" w:rsidP="004F5269">
            <w:pPr>
              <w:pStyle w:val="TableHeading"/>
            </w:pPr>
            <w:r w:rsidRPr="004F5269">
              <w:t>Average</w:t>
            </w:r>
            <w:r w:rsidR="00C70ACB">
              <w:t xml:space="preserve"> </w:t>
            </w:r>
            <w:r w:rsidRPr="004F5269">
              <w:t>(mean) term</w:t>
            </w:r>
          </w:p>
        </w:tc>
      </w:tr>
      <w:tr w:rsidR="005A3418" w:rsidRPr="00D36673" w14:paraId="49114F87" w14:textId="77777777" w:rsidTr="00E6572F">
        <w:trPr>
          <w:trHeight w:val="60"/>
        </w:trPr>
        <w:tc>
          <w:tcPr>
            <w:tcW w:w="1700" w:type="dxa"/>
          </w:tcPr>
          <w:p w14:paraId="3A71BE97" w14:textId="77777777" w:rsidR="005A3418" w:rsidRPr="00D36673" w:rsidRDefault="005A3418" w:rsidP="00AC33C0">
            <w:pPr>
              <w:pStyle w:val="TableBody"/>
            </w:pPr>
            <w:r w:rsidRPr="00D36673">
              <w:t>Threat to kill</w:t>
            </w:r>
          </w:p>
        </w:tc>
        <w:tc>
          <w:tcPr>
            <w:tcW w:w="1701" w:type="dxa"/>
          </w:tcPr>
          <w:p w14:paraId="38A98544" w14:textId="77777777" w:rsidR="005A3418" w:rsidRPr="00D36673" w:rsidRDefault="005A3418" w:rsidP="0024118B">
            <w:pPr>
              <w:pStyle w:val="TableBody"/>
            </w:pPr>
            <w:r w:rsidRPr="00D36673">
              <w:t>345</w:t>
            </w:r>
          </w:p>
        </w:tc>
        <w:tc>
          <w:tcPr>
            <w:tcW w:w="1701" w:type="dxa"/>
          </w:tcPr>
          <w:p w14:paraId="5A6A5672" w14:textId="77777777" w:rsidR="005A3418" w:rsidRPr="00D36673" w:rsidRDefault="005A3418" w:rsidP="0024118B">
            <w:pPr>
              <w:pStyle w:val="TableBody"/>
            </w:pPr>
            <w:r w:rsidRPr="00D36673">
              <w:t>2 days</w:t>
            </w:r>
          </w:p>
        </w:tc>
        <w:tc>
          <w:tcPr>
            <w:tcW w:w="1701" w:type="dxa"/>
          </w:tcPr>
          <w:p w14:paraId="3C833DF6" w14:textId="77777777" w:rsidR="005A3418" w:rsidRPr="00D36673" w:rsidRDefault="005A3418" w:rsidP="0024118B">
            <w:pPr>
              <w:pStyle w:val="TableBody"/>
            </w:pPr>
            <w:r w:rsidRPr="00D36673">
              <w:t>24 months</w:t>
            </w:r>
          </w:p>
        </w:tc>
        <w:tc>
          <w:tcPr>
            <w:tcW w:w="1701" w:type="dxa"/>
          </w:tcPr>
          <w:p w14:paraId="11ECEB73" w14:textId="77777777" w:rsidR="005A3418" w:rsidRPr="00D36673" w:rsidRDefault="005A3418" w:rsidP="0024118B">
            <w:pPr>
              <w:pStyle w:val="TableBody"/>
            </w:pPr>
            <w:r w:rsidRPr="00D36673">
              <w:t>4 months</w:t>
            </w:r>
          </w:p>
        </w:tc>
      </w:tr>
      <w:tr w:rsidR="005A3418" w:rsidRPr="00D36673" w14:paraId="6C84A91B" w14:textId="77777777" w:rsidTr="00E6572F">
        <w:trPr>
          <w:trHeight w:val="60"/>
        </w:trPr>
        <w:tc>
          <w:tcPr>
            <w:tcW w:w="1700" w:type="dxa"/>
          </w:tcPr>
          <w:p w14:paraId="3824C316" w14:textId="77777777" w:rsidR="005A3418" w:rsidRPr="00D36673" w:rsidRDefault="005A3418" w:rsidP="00AC33C0">
            <w:pPr>
              <w:pStyle w:val="TableBody"/>
            </w:pPr>
            <w:r w:rsidRPr="00D36673">
              <w:t>Threat to inflict serious injury</w:t>
            </w:r>
          </w:p>
        </w:tc>
        <w:tc>
          <w:tcPr>
            <w:tcW w:w="1701" w:type="dxa"/>
          </w:tcPr>
          <w:p w14:paraId="755D030C" w14:textId="77777777" w:rsidR="005A3418" w:rsidRPr="00D36673" w:rsidRDefault="005A3418" w:rsidP="0024118B">
            <w:pPr>
              <w:pStyle w:val="TableBody"/>
            </w:pPr>
            <w:r w:rsidRPr="00D36673">
              <w:t>163</w:t>
            </w:r>
          </w:p>
        </w:tc>
        <w:tc>
          <w:tcPr>
            <w:tcW w:w="1701" w:type="dxa"/>
          </w:tcPr>
          <w:p w14:paraId="0C4ADE52" w14:textId="77777777" w:rsidR="005A3418" w:rsidRPr="00D36673" w:rsidRDefault="005A3418" w:rsidP="0024118B">
            <w:pPr>
              <w:pStyle w:val="TableBody"/>
            </w:pPr>
            <w:r w:rsidRPr="00D36673">
              <w:t>1 day</w:t>
            </w:r>
          </w:p>
        </w:tc>
        <w:tc>
          <w:tcPr>
            <w:tcW w:w="1701" w:type="dxa"/>
          </w:tcPr>
          <w:p w14:paraId="2F3FA61D" w14:textId="77777777" w:rsidR="005A3418" w:rsidRPr="00D36673" w:rsidRDefault="005A3418" w:rsidP="0024118B">
            <w:pPr>
              <w:pStyle w:val="TableBody"/>
            </w:pPr>
            <w:r w:rsidRPr="00D36673">
              <w:t>12 months</w:t>
            </w:r>
          </w:p>
        </w:tc>
        <w:tc>
          <w:tcPr>
            <w:tcW w:w="1701" w:type="dxa"/>
          </w:tcPr>
          <w:p w14:paraId="37D47476" w14:textId="77777777" w:rsidR="005A3418" w:rsidRPr="00D36673" w:rsidRDefault="005A3418" w:rsidP="0024118B">
            <w:pPr>
              <w:pStyle w:val="TableBody"/>
            </w:pPr>
            <w:r w:rsidRPr="00D36673">
              <w:t>4 months</w:t>
            </w:r>
          </w:p>
        </w:tc>
      </w:tr>
      <w:tr w:rsidR="005A3418" w:rsidRPr="00D36673" w14:paraId="00819D40" w14:textId="77777777" w:rsidTr="00E6572F">
        <w:trPr>
          <w:trHeight w:val="60"/>
        </w:trPr>
        <w:tc>
          <w:tcPr>
            <w:tcW w:w="1700" w:type="dxa"/>
          </w:tcPr>
          <w:p w14:paraId="385873A2" w14:textId="77777777" w:rsidR="005A3418" w:rsidRPr="00D36673" w:rsidRDefault="005A3418" w:rsidP="00AC33C0">
            <w:pPr>
              <w:pStyle w:val="TableBody"/>
            </w:pPr>
            <w:r w:rsidRPr="00D36673">
              <w:t>Threat to destroy or damage property</w:t>
            </w:r>
          </w:p>
        </w:tc>
        <w:tc>
          <w:tcPr>
            <w:tcW w:w="1701" w:type="dxa"/>
          </w:tcPr>
          <w:p w14:paraId="3458ED63" w14:textId="77777777" w:rsidR="005A3418" w:rsidRPr="00D36673" w:rsidRDefault="005A3418" w:rsidP="0024118B">
            <w:pPr>
              <w:pStyle w:val="TableBody"/>
            </w:pPr>
            <w:r w:rsidRPr="00D36673">
              <w:t>49</w:t>
            </w:r>
          </w:p>
        </w:tc>
        <w:tc>
          <w:tcPr>
            <w:tcW w:w="1701" w:type="dxa"/>
          </w:tcPr>
          <w:p w14:paraId="5297B925" w14:textId="77777777" w:rsidR="005A3418" w:rsidRPr="00D36673" w:rsidRDefault="005A3418" w:rsidP="0024118B">
            <w:pPr>
              <w:pStyle w:val="TableBody"/>
            </w:pPr>
            <w:r w:rsidRPr="00D36673">
              <w:t>4 days</w:t>
            </w:r>
          </w:p>
        </w:tc>
        <w:tc>
          <w:tcPr>
            <w:tcW w:w="1701" w:type="dxa"/>
          </w:tcPr>
          <w:p w14:paraId="21A6938A" w14:textId="77777777" w:rsidR="005A3418" w:rsidRPr="00D36673" w:rsidRDefault="005A3418" w:rsidP="0024118B">
            <w:pPr>
              <w:pStyle w:val="TableBody"/>
            </w:pPr>
            <w:r w:rsidRPr="00D36673">
              <w:t>10 months</w:t>
            </w:r>
          </w:p>
        </w:tc>
        <w:tc>
          <w:tcPr>
            <w:tcW w:w="1701" w:type="dxa"/>
          </w:tcPr>
          <w:p w14:paraId="0E76D979" w14:textId="77777777" w:rsidR="005A3418" w:rsidRPr="00D36673" w:rsidRDefault="005A3418" w:rsidP="0024118B">
            <w:pPr>
              <w:pStyle w:val="TableBody"/>
            </w:pPr>
            <w:r w:rsidRPr="00D36673">
              <w:t>2 months</w:t>
            </w:r>
          </w:p>
        </w:tc>
      </w:tr>
    </w:tbl>
    <w:p w14:paraId="79DF8444" w14:textId="21B95D44" w:rsidR="005A3418" w:rsidRDefault="005A3418" w:rsidP="00711AFB">
      <w:pPr>
        <w:pStyle w:val="Caption"/>
      </w:pPr>
      <w:r w:rsidRPr="00C9259E">
        <w:t xml:space="preserve">Figure 14: </w:t>
      </w:r>
      <w:r w:rsidRPr="00D36673">
        <w:t>Distribution of non-aggregate imprisonment lengths for threat to kill, threat to inflict serious injury and threat to destroy or damage property, Magistrates’ Court, 2015 to 2019</w:t>
      </w:r>
    </w:p>
    <w:tbl>
      <w:tblPr>
        <w:tblStyle w:val="Table"/>
        <w:tblW w:w="5000" w:type="pct"/>
        <w:tblLayout w:type="fixed"/>
        <w:tblLook w:val="04A0" w:firstRow="1" w:lastRow="0" w:firstColumn="1" w:lastColumn="0" w:noHBand="0" w:noVBand="1"/>
      </w:tblPr>
      <w:tblGrid>
        <w:gridCol w:w="2254"/>
        <w:gridCol w:w="2254"/>
        <w:gridCol w:w="2254"/>
        <w:gridCol w:w="2254"/>
      </w:tblGrid>
      <w:tr w:rsidR="002B5561" w:rsidRPr="002B5561" w14:paraId="51C7B0E9" w14:textId="77777777" w:rsidTr="002A670C">
        <w:trPr>
          <w:trHeight w:val="870"/>
          <w:tblHeader/>
        </w:trPr>
        <w:tc>
          <w:tcPr>
            <w:tcW w:w="1250" w:type="pct"/>
            <w:noWrap/>
            <w:hideMark/>
          </w:tcPr>
          <w:p w14:paraId="2C11CA8A" w14:textId="61C99BF1" w:rsidR="002B5561" w:rsidRPr="008F6DEB" w:rsidRDefault="00B81872" w:rsidP="008F6DEB">
            <w:pPr>
              <w:pStyle w:val="TableHeading"/>
            </w:pPr>
            <w:r>
              <w:t>Imprisonment length</w:t>
            </w:r>
          </w:p>
        </w:tc>
        <w:tc>
          <w:tcPr>
            <w:tcW w:w="1250" w:type="pct"/>
            <w:noWrap/>
            <w:hideMark/>
          </w:tcPr>
          <w:p w14:paraId="4193CABA" w14:textId="1DD27527" w:rsidR="002B5561" w:rsidRPr="008F6DEB" w:rsidRDefault="002B5561" w:rsidP="008F6DEB">
            <w:pPr>
              <w:pStyle w:val="TableHeading"/>
            </w:pPr>
            <w:r w:rsidRPr="008F6DEB">
              <w:t>Threat to kill (345 charges)</w:t>
            </w:r>
          </w:p>
        </w:tc>
        <w:tc>
          <w:tcPr>
            <w:tcW w:w="1250" w:type="pct"/>
            <w:hideMark/>
          </w:tcPr>
          <w:p w14:paraId="5DD51D0E" w14:textId="4C91C5E9" w:rsidR="002B5561" w:rsidRPr="008F6DEB" w:rsidRDefault="002B5561" w:rsidP="008F6DEB">
            <w:pPr>
              <w:pStyle w:val="TableHeading"/>
            </w:pPr>
            <w:r w:rsidRPr="008F6DEB">
              <w:t xml:space="preserve">Threat to </w:t>
            </w:r>
            <w:r w:rsidR="005941C3" w:rsidRPr="008F6DEB">
              <w:t>inflict serious injury</w:t>
            </w:r>
            <w:r w:rsidRPr="008F6DEB">
              <w:t xml:space="preserve"> (163 charges)</w:t>
            </w:r>
          </w:p>
        </w:tc>
        <w:tc>
          <w:tcPr>
            <w:tcW w:w="1250" w:type="pct"/>
            <w:hideMark/>
          </w:tcPr>
          <w:p w14:paraId="53C899F8" w14:textId="574C734F" w:rsidR="002B5561" w:rsidRPr="008F6DEB" w:rsidRDefault="002B5561" w:rsidP="008F6DEB">
            <w:pPr>
              <w:pStyle w:val="TableHeading"/>
            </w:pPr>
            <w:r w:rsidRPr="008F6DEB">
              <w:t xml:space="preserve">Threat to </w:t>
            </w:r>
            <w:r w:rsidR="00EC3FD1" w:rsidRPr="008F6DEB">
              <w:t xml:space="preserve">destroy or </w:t>
            </w:r>
            <w:r w:rsidRPr="008F6DEB">
              <w:t>damage property (49 charges)</w:t>
            </w:r>
          </w:p>
        </w:tc>
      </w:tr>
      <w:tr w:rsidR="002B5561" w:rsidRPr="002B5561" w14:paraId="37001A38" w14:textId="77777777" w:rsidTr="008F6DEB">
        <w:trPr>
          <w:trHeight w:val="290"/>
        </w:trPr>
        <w:tc>
          <w:tcPr>
            <w:tcW w:w="1250" w:type="pct"/>
            <w:noWrap/>
            <w:hideMark/>
          </w:tcPr>
          <w:p w14:paraId="74DAB11C" w14:textId="77777777" w:rsidR="002B5561" w:rsidRPr="008F6DEB" w:rsidRDefault="002B5561" w:rsidP="008F6DEB">
            <w:pPr>
              <w:pStyle w:val="TableBody"/>
            </w:pPr>
            <w:r w:rsidRPr="008F6DEB">
              <w:t>Less than 1 month</w:t>
            </w:r>
          </w:p>
        </w:tc>
        <w:tc>
          <w:tcPr>
            <w:tcW w:w="1250" w:type="pct"/>
            <w:noWrap/>
            <w:hideMark/>
          </w:tcPr>
          <w:p w14:paraId="04C9708B" w14:textId="77777777" w:rsidR="002B5561" w:rsidRPr="008F6DEB" w:rsidRDefault="002B5561" w:rsidP="008F6DEB">
            <w:pPr>
              <w:pStyle w:val="TableBody"/>
            </w:pPr>
            <w:r w:rsidRPr="008F6DEB">
              <w:t>42</w:t>
            </w:r>
          </w:p>
        </w:tc>
        <w:tc>
          <w:tcPr>
            <w:tcW w:w="1250" w:type="pct"/>
            <w:noWrap/>
            <w:hideMark/>
          </w:tcPr>
          <w:p w14:paraId="3EEF313B" w14:textId="77777777" w:rsidR="002B5561" w:rsidRPr="008F6DEB" w:rsidRDefault="002B5561" w:rsidP="008F6DEB">
            <w:pPr>
              <w:pStyle w:val="TableBody"/>
            </w:pPr>
            <w:r w:rsidRPr="008F6DEB">
              <w:t>26</w:t>
            </w:r>
          </w:p>
        </w:tc>
        <w:tc>
          <w:tcPr>
            <w:tcW w:w="1250" w:type="pct"/>
            <w:noWrap/>
            <w:hideMark/>
          </w:tcPr>
          <w:p w14:paraId="794068C4" w14:textId="77777777" w:rsidR="002B5561" w:rsidRPr="008F6DEB" w:rsidRDefault="002B5561" w:rsidP="008F6DEB">
            <w:pPr>
              <w:pStyle w:val="TableBody"/>
            </w:pPr>
            <w:r w:rsidRPr="008F6DEB">
              <w:t>10</w:t>
            </w:r>
          </w:p>
        </w:tc>
      </w:tr>
      <w:tr w:rsidR="002B5561" w:rsidRPr="002B5561" w14:paraId="5673A81F" w14:textId="77777777" w:rsidTr="008F6DEB">
        <w:trPr>
          <w:trHeight w:val="290"/>
        </w:trPr>
        <w:tc>
          <w:tcPr>
            <w:tcW w:w="1250" w:type="pct"/>
            <w:noWrap/>
            <w:hideMark/>
          </w:tcPr>
          <w:p w14:paraId="19FAA94B" w14:textId="77777777" w:rsidR="002B5561" w:rsidRPr="008F6DEB" w:rsidRDefault="002B5561" w:rsidP="008F6DEB">
            <w:pPr>
              <w:pStyle w:val="TableBody"/>
            </w:pPr>
            <w:r w:rsidRPr="008F6DEB">
              <w:t>1 month to less than 2 months</w:t>
            </w:r>
          </w:p>
        </w:tc>
        <w:tc>
          <w:tcPr>
            <w:tcW w:w="1250" w:type="pct"/>
            <w:noWrap/>
            <w:hideMark/>
          </w:tcPr>
          <w:p w14:paraId="403D58A5" w14:textId="77777777" w:rsidR="002B5561" w:rsidRPr="008F6DEB" w:rsidRDefault="002B5561" w:rsidP="008F6DEB">
            <w:pPr>
              <w:pStyle w:val="TableBody"/>
            </w:pPr>
            <w:r w:rsidRPr="008F6DEB">
              <w:t>66</w:t>
            </w:r>
          </w:p>
        </w:tc>
        <w:tc>
          <w:tcPr>
            <w:tcW w:w="1250" w:type="pct"/>
            <w:noWrap/>
            <w:hideMark/>
          </w:tcPr>
          <w:p w14:paraId="0C7E86D7" w14:textId="77777777" w:rsidR="002B5561" w:rsidRPr="008F6DEB" w:rsidRDefault="002B5561" w:rsidP="008F6DEB">
            <w:pPr>
              <w:pStyle w:val="TableBody"/>
            </w:pPr>
            <w:r w:rsidRPr="008F6DEB">
              <w:t>27</w:t>
            </w:r>
          </w:p>
        </w:tc>
        <w:tc>
          <w:tcPr>
            <w:tcW w:w="1250" w:type="pct"/>
            <w:noWrap/>
            <w:hideMark/>
          </w:tcPr>
          <w:p w14:paraId="6D0791DC" w14:textId="77777777" w:rsidR="002B5561" w:rsidRPr="008F6DEB" w:rsidRDefault="002B5561" w:rsidP="008F6DEB">
            <w:pPr>
              <w:pStyle w:val="TableBody"/>
            </w:pPr>
            <w:r w:rsidRPr="008F6DEB">
              <w:t>15</w:t>
            </w:r>
          </w:p>
        </w:tc>
      </w:tr>
      <w:tr w:rsidR="002B5561" w:rsidRPr="002B5561" w14:paraId="060A9F43" w14:textId="77777777" w:rsidTr="008F6DEB">
        <w:trPr>
          <w:trHeight w:val="290"/>
        </w:trPr>
        <w:tc>
          <w:tcPr>
            <w:tcW w:w="1250" w:type="pct"/>
            <w:noWrap/>
            <w:hideMark/>
          </w:tcPr>
          <w:p w14:paraId="2E058933" w14:textId="77777777" w:rsidR="002B5561" w:rsidRPr="008F6DEB" w:rsidRDefault="002B5561" w:rsidP="008F6DEB">
            <w:pPr>
              <w:pStyle w:val="TableBody"/>
            </w:pPr>
            <w:r w:rsidRPr="008F6DEB">
              <w:t>2 months to less than 3 months</w:t>
            </w:r>
          </w:p>
        </w:tc>
        <w:tc>
          <w:tcPr>
            <w:tcW w:w="1250" w:type="pct"/>
            <w:noWrap/>
            <w:hideMark/>
          </w:tcPr>
          <w:p w14:paraId="256D3E7F" w14:textId="77777777" w:rsidR="002B5561" w:rsidRPr="008F6DEB" w:rsidRDefault="002B5561" w:rsidP="008F6DEB">
            <w:pPr>
              <w:pStyle w:val="TableBody"/>
            </w:pPr>
            <w:r w:rsidRPr="008F6DEB">
              <w:t>46</w:t>
            </w:r>
          </w:p>
        </w:tc>
        <w:tc>
          <w:tcPr>
            <w:tcW w:w="1250" w:type="pct"/>
            <w:noWrap/>
            <w:hideMark/>
          </w:tcPr>
          <w:p w14:paraId="6B036739" w14:textId="77777777" w:rsidR="002B5561" w:rsidRPr="008F6DEB" w:rsidRDefault="002B5561" w:rsidP="008F6DEB">
            <w:pPr>
              <w:pStyle w:val="TableBody"/>
            </w:pPr>
            <w:r w:rsidRPr="008F6DEB">
              <w:t>20</w:t>
            </w:r>
          </w:p>
        </w:tc>
        <w:tc>
          <w:tcPr>
            <w:tcW w:w="1250" w:type="pct"/>
            <w:noWrap/>
            <w:hideMark/>
          </w:tcPr>
          <w:p w14:paraId="7C9BF4C8" w14:textId="77777777" w:rsidR="002B5561" w:rsidRPr="008F6DEB" w:rsidRDefault="002B5561" w:rsidP="008F6DEB">
            <w:pPr>
              <w:pStyle w:val="TableBody"/>
            </w:pPr>
            <w:r w:rsidRPr="008F6DEB">
              <w:t>4</w:t>
            </w:r>
          </w:p>
        </w:tc>
      </w:tr>
      <w:tr w:rsidR="002B5561" w:rsidRPr="002B5561" w14:paraId="4D51F10D" w14:textId="77777777" w:rsidTr="008F6DEB">
        <w:trPr>
          <w:trHeight w:val="290"/>
        </w:trPr>
        <w:tc>
          <w:tcPr>
            <w:tcW w:w="1250" w:type="pct"/>
            <w:noWrap/>
            <w:hideMark/>
          </w:tcPr>
          <w:p w14:paraId="608C7187" w14:textId="77777777" w:rsidR="002B5561" w:rsidRPr="008F6DEB" w:rsidRDefault="002B5561" w:rsidP="008F6DEB">
            <w:pPr>
              <w:pStyle w:val="TableBody"/>
            </w:pPr>
            <w:r w:rsidRPr="008F6DEB">
              <w:lastRenderedPageBreak/>
              <w:t>3 months to less than 4 months</w:t>
            </w:r>
          </w:p>
        </w:tc>
        <w:tc>
          <w:tcPr>
            <w:tcW w:w="1250" w:type="pct"/>
            <w:noWrap/>
            <w:hideMark/>
          </w:tcPr>
          <w:p w14:paraId="06EC3DFC" w14:textId="77777777" w:rsidR="002B5561" w:rsidRPr="008F6DEB" w:rsidRDefault="002B5561" w:rsidP="008F6DEB">
            <w:pPr>
              <w:pStyle w:val="TableBody"/>
            </w:pPr>
            <w:r w:rsidRPr="008F6DEB">
              <w:t>66</w:t>
            </w:r>
          </w:p>
        </w:tc>
        <w:tc>
          <w:tcPr>
            <w:tcW w:w="1250" w:type="pct"/>
            <w:noWrap/>
            <w:hideMark/>
          </w:tcPr>
          <w:p w14:paraId="30129C47" w14:textId="77777777" w:rsidR="002B5561" w:rsidRPr="008F6DEB" w:rsidRDefault="002B5561" w:rsidP="008F6DEB">
            <w:pPr>
              <w:pStyle w:val="TableBody"/>
            </w:pPr>
            <w:r w:rsidRPr="008F6DEB">
              <w:t>22</w:t>
            </w:r>
          </w:p>
        </w:tc>
        <w:tc>
          <w:tcPr>
            <w:tcW w:w="1250" w:type="pct"/>
            <w:noWrap/>
            <w:hideMark/>
          </w:tcPr>
          <w:p w14:paraId="55021E51" w14:textId="77777777" w:rsidR="002B5561" w:rsidRPr="008F6DEB" w:rsidRDefault="002B5561" w:rsidP="008F6DEB">
            <w:pPr>
              <w:pStyle w:val="TableBody"/>
            </w:pPr>
            <w:r w:rsidRPr="008F6DEB">
              <w:t>14</w:t>
            </w:r>
          </w:p>
        </w:tc>
      </w:tr>
      <w:tr w:rsidR="002B5561" w:rsidRPr="002B5561" w14:paraId="5AC961BE" w14:textId="77777777" w:rsidTr="008F6DEB">
        <w:trPr>
          <w:trHeight w:val="290"/>
        </w:trPr>
        <w:tc>
          <w:tcPr>
            <w:tcW w:w="1250" w:type="pct"/>
            <w:noWrap/>
            <w:hideMark/>
          </w:tcPr>
          <w:p w14:paraId="5B996194" w14:textId="77777777" w:rsidR="002B5561" w:rsidRPr="008F6DEB" w:rsidRDefault="002B5561" w:rsidP="008F6DEB">
            <w:pPr>
              <w:pStyle w:val="TableBody"/>
            </w:pPr>
            <w:r w:rsidRPr="008F6DEB">
              <w:t>4 months to less than 5 months</w:t>
            </w:r>
          </w:p>
        </w:tc>
        <w:tc>
          <w:tcPr>
            <w:tcW w:w="1250" w:type="pct"/>
            <w:noWrap/>
            <w:hideMark/>
          </w:tcPr>
          <w:p w14:paraId="26414D26" w14:textId="77777777" w:rsidR="002B5561" w:rsidRPr="008F6DEB" w:rsidRDefault="002B5561" w:rsidP="008F6DEB">
            <w:pPr>
              <w:pStyle w:val="TableBody"/>
            </w:pPr>
            <w:r w:rsidRPr="008F6DEB">
              <w:t>33</w:t>
            </w:r>
          </w:p>
        </w:tc>
        <w:tc>
          <w:tcPr>
            <w:tcW w:w="1250" w:type="pct"/>
            <w:noWrap/>
            <w:hideMark/>
          </w:tcPr>
          <w:p w14:paraId="3239713D" w14:textId="77777777" w:rsidR="002B5561" w:rsidRPr="008F6DEB" w:rsidRDefault="002B5561" w:rsidP="008F6DEB">
            <w:pPr>
              <w:pStyle w:val="TableBody"/>
            </w:pPr>
            <w:r w:rsidRPr="008F6DEB">
              <w:t>20</w:t>
            </w:r>
          </w:p>
        </w:tc>
        <w:tc>
          <w:tcPr>
            <w:tcW w:w="1250" w:type="pct"/>
            <w:noWrap/>
            <w:hideMark/>
          </w:tcPr>
          <w:p w14:paraId="60BA011B" w14:textId="77777777" w:rsidR="002B5561" w:rsidRPr="008F6DEB" w:rsidRDefault="002B5561" w:rsidP="008F6DEB">
            <w:pPr>
              <w:pStyle w:val="TableBody"/>
            </w:pPr>
            <w:r w:rsidRPr="008F6DEB">
              <w:t>1</w:t>
            </w:r>
          </w:p>
        </w:tc>
      </w:tr>
      <w:tr w:rsidR="002B5561" w:rsidRPr="002B5561" w14:paraId="073DE6BB" w14:textId="77777777" w:rsidTr="008F6DEB">
        <w:trPr>
          <w:trHeight w:val="290"/>
        </w:trPr>
        <w:tc>
          <w:tcPr>
            <w:tcW w:w="1250" w:type="pct"/>
            <w:noWrap/>
            <w:hideMark/>
          </w:tcPr>
          <w:p w14:paraId="7AB7964E" w14:textId="77777777" w:rsidR="002B5561" w:rsidRPr="008F6DEB" w:rsidRDefault="002B5561" w:rsidP="008F6DEB">
            <w:pPr>
              <w:pStyle w:val="TableBody"/>
            </w:pPr>
            <w:r w:rsidRPr="008F6DEB">
              <w:t>5 months to less than 6 months</w:t>
            </w:r>
          </w:p>
        </w:tc>
        <w:tc>
          <w:tcPr>
            <w:tcW w:w="1250" w:type="pct"/>
            <w:noWrap/>
            <w:hideMark/>
          </w:tcPr>
          <w:p w14:paraId="700E17D5" w14:textId="77777777" w:rsidR="002B5561" w:rsidRPr="008F6DEB" w:rsidRDefault="002B5561" w:rsidP="008F6DEB">
            <w:pPr>
              <w:pStyle w:val="TableBody"/>
            </w:pPr>
            <w:r w:rsidRPr="008F6DEB">
              <w:t>6</w:t>
            </w:r>
          </w:p>
        </w:tc>
        <w:tc>
          <w:tcPr>
            <w:tcW w:w="1250" w:type="pct"/>
            <w:noWrap/>
            <w:hideMark/>
          </w:tcPr>
          <w:p w14:paraId="67B53CFD" w14:textId="77777777" w:rsidR="002B5561" w:rsidRPr="008F6DEB" w:rsidRDefault="002B5561" w:rsidP="008F6DEB">
            <w:pPr>
              <w:pStyle w:val="TableBody"/>
            </w:pPr>
            <w:r w:rsidRPr="008F6DEB">
              <w:t>2</w:t>
            </w:r>
          </w:p>
        </w:tc>
        <w:tc>
          <w:tcPr>
            <w:tcW w:w="1250" w:type="pct"/>
            <w:noWrap/>
            <w:hideMark/>
          </w:tcPr>
          <w:p w14:paraId="2EF1A46E" w14:textId="77777777" w:rsidR="002B5561" w:rsidRPr="008F6DEB" w:rsidRDefault="002B5561" w:rsidP="008F6DEB">
            <w:pPr>
              <w:pStyle w:val="TableBody"/>
            </w:pPr>
            <w:r w:rsidRPr="008F6DEB">
              <w:t>0</w:t>
            </w:r>
          </w:p>
        </w:tc>
      </w:tr>
      <w:tr w:rsidR="002B5561" w:rsidRPr="002B5561" w14:paraId="675553A0" w14:textId="77777777" w:rsidTr="008F6DEB">
        <w:trPr>
          <w:trHeight w:val="290"/>
        </w:trPr>
        <w:tc>
          <w:tcPr>
            <w:tcW w:w="1250" w:type="pct"/>
            <w:noWrap/>
            <w:hideMark/>
          </w:tcPr>
          <w:p w14:paraId="6CC95472" w14:textId="77777777" w:rsidR="002B5561" w:rsidRPr="008F6DEB" w:rsidRDefault="002B5561" w:rsidP="008F6DEB">
            <w:pPr>
              <w:pStyle w:val="TableBody"/>
            </w:pPr>
            <w:r w:rsidRPr="008F6DEB">
              <w:t>6 months to less than 12 months</w:t>
            </w:r>
          </w:p>
        </w:tc>
        <w:tc>
          <w:tcPr>
            <w:tcW w:w="1250" w:type="pct"/>
            <w:noWrap/>
            <w:hideMark/>
          </w:tcPr>
          <w:p w14:paraId="02B98251" w14:textId="77777777" w:rsidR="002B5561" w:rsidRPr="008F6DEB" w:rsidRDefault="002B5561" w:rsidP="008F6DEB">
            <w:pPr>
              <w:pStyle w:val="TableBody"/>
            </w:pPr>
            <w:r w:rsidRPr="008F6DEB">
              <w:t>56</w:t>
            </w:r>
          </w:p>
        </w:tc>
        <w:tc>
          <w:tcPr>
            <w:tcW w:w="1250" w:type="pct"/>
            <w:noWrap/>
            <w:hideMark/>
          </w:tcPr>
          <w:p w14:paraId="21C91C4B" w14:textId="77777777" w:rsidR="002B5561" w:rsidRPr="008F6DEB" w:rsidRDefault="002B5561" w:rsidP="008F6DEB">
            <w:pPr>
              <w:pStyle w:val="TableBody"/>
            </w:pPr>
            <w:r w:rsidRPr="008F6DEB">
              <w:t>40</w:t>
            </w:r>
          </w:p>
        </w:tc>
        <w:tc>
          <w:tcPr>
            <w:tcW w:w="1250" w:type="pct"/>
            <w:noWrap/>
            <w:hideMark/>
          </w:tcPr>
          <w:p w14:paraId="3B4F2BEF" w14:textId="77777777" w:rsidR="002B5561" w:rsidRPr="008F6DEB" w:rsidRDefault="002B5561" w:rsidP="008F6DEB">
            <w:pPr>
              <w:pStyle w:val="TableBody"/>
            </w:pPr>
            <w:r w:rsidRPr="008F6DEB">
              <w:t>5</w:t>
            </w:r>
          </w:p>
        </w:tc>
      </w:tr>
      <w:tr w:rsidR="002B5561" w:rsidRPr="002B5561" w14:paraId="0216CD6A" w14:textId="77777777" w:rsidTr="008F6DEB">
        <w:trPr>
          <w:trHeight w:val="290"/>
        </w:trPr>
        <w:tc>
          <w:tcPr>
            <w:tcW w:w="1250" w:type="pct"/>
            <w:noWrap/>
            <w:hideMark/>
          </w:tcPr>
          <w:p w14:paraId="4F761F3B" w14:textId="77777777" w:rsidR="002B5561" w:rsidRPr="008F6DEB" w:rsidRDefault="002B5561" w:rsidP="008F6DEB">
            <w:pPr>
              <w:pStyle w:val="TableBody"/>
            </w:pPr>
            <w:r w:rsidRPr="008F6DEB">
              <w:t>12 months or more</w:t>
            </w:r>
          </w:p>
        </w:tc>
        <w:tc>
          <w:tcPr>
            <w:tcW w:w="1250" w:type="pct"/>
            <w:noWrap/>
            <w:hideMark/>
          </w:tcPr>
          <w:p w14:paraId="0198E8D0" w14:textId="77777777" w:rsidR="002B5561" w:rsidRPr="008F6DEB" w:rsidRDefault="002B5561" w:rsidP="008F6DEB">
            <w:pPr>
              <w:pStyle w:val="TableBody"/>
            </w:pPr>
            <w:r w:rsidRPr="008F6DEB">
              <w:t>30</w:t>
            </w:r>
          </w:p>
        </w:tc>
        <w:tc>
          <w:tcPr>
            <w:tcW w:w="1250" w:type="pct"/>
            <w:noWrap/>
            <w:hideMark/>
          </w:tcPr>
          <w:p w14:paraId="622826E3" w14:textId="77777777" w:rsidR="002B5561" w:rsidRPr="008F6DEB" w:rsidRDefault="002B5561" w:rsidP="008F6DEB">
            <w:pPr>
              <w:pStyle w:val="TableBody"/>
            </w:pPr>
            <w:r w:rsidRPr="008F6DEB">
              <w:t>6</w:t>
            </w:r>
          </w:p>
        </w:tc>
        <w:tc>
          <w:tcPr>
            <w:tcW w:w="1250" w:type="pct"/>
            <w:noWrap/>
            <w:hideMark/>
          </w:tcPr>
          <w:p w14:paraId="3968BC91" w14:textId="77777777" w:rsidR="002B5561" w:rsidRPr="008F6DEB" w:rsidRDefault="002B5561" w:rsidP="008F6DEB">
            <w:pPr>
              <w:pStyle w:val="TableBody"/>
            </w:pPr>
            <w:r w:rsidRPr="008F6DEB">
              <w:t>0</w:t>
            </w:r>
          </w:p>
        </w:tc>
      </w:tr>
    </w:tbl>
    <w:p w14:paraId="0EE22F96" w14:textId="77777777" w:rsidR="005A3418" w:rsidRPr="00D36673" w:rsidRDefault="005A3418" w:rsidP="00F67BC8">
      <w:pPr>
        <w:pStyle w:val="Heading3"/>
      </w:pPr>
      <w:r w:rsidRPr="00D36673">
        <w:t>Lengths of imprisonment terms: total effective sentences</w:t>
      </w:r>
    </w:p>
    <w:p w14:paraId="16484791" w14:textId="77777777" w:rsidR="005A3418" w:rsidRPr="00D36673" w:rsidRDefault="005A3418" w:rsidP="00F24F16">
      <w:pPr>
        <w:pStyle w:val="Numbered"/>
      </w:pPr>
      <w:r w:rsidRPr="00D36673">
        <w:t xml:space="preserve">When an offence is the principal proven offence in a case, this usually suggests that it is the main driver of the type and length of sentence imposed. A threat to kill, threat to inflict serious injury or threat to destroy or damage property was the principal proven offence in 4,623 cases; the offender received an imprisonment term in 1,134 of these cases. Table 3 outlines the shortest, longest and average total effective sentence of imprisonment in those cases, while Figure 15 illustrates the distribution of the total effective sentence lengths by the threat offence type. </w:t>
      </w:r>
    </w:p>
    <w:p w14:paraId="6DEE3062" w14:textId="77777777" w:rsidR="005A3418" w:rsidRPr="00D36673" w:rsidRDefault="005A3418" w:rsidP="00711AFB">
      <w:pPr>
        <w:pStyle w:val="Caption"/>
      </w:pPr>
      <w:r w:rsidRPr="00C9259E">
        <w:t xml:space="preserve">Table 3: </w:t>
      </w:r>
      <w:r w:rsidRPr="00D36673">
        <w:t>Total effective sentences of imprisonment imposed in cases where threat to kill, threat to inflict serious injury or threat to destroy or damage property was the principal proven offence, Magistrates’ Court, 2015 to 2019</w:t>
      </w:r>
    </w:p>
    <w:tbl>
      <w:tblPr>
        <w:tblStyle w:val="Table"/>
        <w:tblW w:w="5000" w:type="pct"/>
        <w:tblLook w:val="0020" w:firstRow="1" w:lastRow="0" w:firstColumn="0" w:lastColumn="0" w:noHBand="0" w:noVBand="0"/>
      </w:tblPr>
      <w:tblGrid>
        <w:gridCol w:w="1804"/>
        <w:gridCol w:w="1803"/>
        <w:gridCol w:w="1803"/>
        <w:gridCol w:w="1803"/>
        <w:gridCol w:w="1803"/>
      </w:tblGrid>
      <w:tr w:rsidR="005A3418" w:rsidRPr="00D36673" w14:paraId="01EE5281" w14:textId="77777777" w:rsidTr="00E6572F">
        <w:trPr>
          <w:trHeight w:val="60"/>
          <w:tblHeader/>
        </w:trPr>
        <w:tc>
          <w:tcPr>
            <w:tcW w:w="1000" w:type="pct"/>
          </w:tcPr>
          <w:p w14:paraId="65C30DF8" w14:textId="77777777" w:rsidR="005A3418" w:rsidRPr="00D36673" w:rsidRDefault="005A3418" w:rsidP="004F171B">
            <w:pPr>
              <w:pStyle w:val="TableHeading"/>
            </w:pPr>
            <w:r w:rsidRPr="00D36673">
              <w:t>Offence</w:t>
            </w:r>
          </w:p>
        </w:tc>
        <w:tc>
          <w:tcPr>
            <w:tcW w:w="1000" w:type="pct"/>
          </w:tcPr>
          <w:p w14:paraId="06FBD25E" w14:textId="77777777" w:rsidR="005A3418" w:rsidRPr="00D36673" w:rsidRDefault="005A3418" w:rsidP="004F171B">
            <w:pPr>
              <w:pStyle w:val="TableHeading"/>
            </w:pPr>
            <w:r w:rsidRPr="00D36673">
              <w:t>Number of cases</w:t>
            </w:r>
          </w:p>
        </w:tc>
        <w:tc>
          <w:tcPr>
            <w:tcW w:w="1000" w:type="pct"/>
          </w:tcPr>
          <w:p w14:paraId="05C20983" w14:textId="77777777" w:rsidR="005A3418" w:rsidRPr="00D36673" w:rsidRDefault="005A3418" w:rsidP="004F171B">
            <w:pPr>
              <w:pStyle w:val="TableHeading"/>
            </w:pPr>
            <w:r w:rsidRPr="00D36673">
              <w:t>Shortest term</w:t>
            </w:r>
          </w:p>
        </w:tc>
        <w:tc>
          <w:tcPr>
            <w:tcW w:w="1000" w:type="pct"/>
          </w:tcPr>
          <w:p w14:paraId="7FF3A441" w14:textId="77777777" w:rsidR="005A3418" w:rsidRPr="00D36673" w:rsidRDefault="005A3418" w:rsidP="004F171B">
            <w:pPr>
              <w:pStyle w:val="TableHeading"/>
            </w:pPr>
            <w:r w:rsidRPr="00D36673">
              <w:t>Longest term</w:t>
            </w:r>
          </w:p>
        </w:tc>
        <w:tc>
          <w:tcPr>
            <w:tcW w:w="1000" w:type="pct"/>
          </w:tcPr>
          <w:p w14:paraId="40F13E42" w14:textId="77777777" w:rsidR="005A3418" w:rsidRPr="00D36673" w:rsidRDefault="005A3418" w:rsidP="004F171B">
            <w:pPr>
              <w:pStyle w:val="TableHeading"/>
            </w:pPr>
            <w:r w:rsidRPr="00D36673">
              <w:t>Average (mean) term</w:t>
            </w:r>
          </w:p>
        </w:tc>
      </w:tr>
      <w:tr w:rsidR="005A3418" w:rsidRPr="00D36673" w14:paraId="6B2DC42D" w14:textId="77777777" w:rsidTr="00E6572F">
        <w:trPr>
          <w:trHeight w:val="60"/>
        </w:trPr>
        <w:tc>
          <w:tcPr>
            <w:tcW w:w="1000" w:type="pct"/>
          </w:tcPr>
          <w:p w14:paraId="2EDFE140" w14:textId="77777777" w:rsidR="005A3418" w:rsidRPr="00D36673" w:rsidRDefault="005A3418" w:rsidP="00AC33C0">
            <w:pPr>
              <w:pStyle w:val="TableBody"/>
            </w:pPr>
            <w:r w:rsidRPr="00D36673">
              <w:t>Threat to kill</w:t>
            </w:r>
          </w:p>
        </w:tc>
        <w:tc>
          <w:tcPr>
            <w:tcW w:w="1000" w:type="pct"/>
          </w:tcPr>
          <w:p w14:paraId="5DD12B8B" w14:textId="77777777" w:rsidR="005A3418" w:rsidRPr="00D36673" w:rsidRDefault="005A3418" w:rsidP="0024118B">
            <w:pPr>
              <w:pStyle w:val="TableBody"/>
            </w:pPr>
            <w:r w:rsidRPr="00D36673">
              <w:t>680</w:t>
            </w:r>
          </w:p>
        </w:tc>
        <w:tc>
          <w:tcPr>
            <w:tcW w:w="1000" w:type="pct"/>
          </w:tcPr>
          <w:p w14:paraId="3C80556E" w14:textId="77777777" w:rsidR="005A3418" w:rsidRPr="00D36673" w:rsidRDefault="005A3418" w:rsidP="0024118B">
            <w:pPr>
              <w:pStyle w:val="TableBody"/>
            </w:pPr>
            <w:r w:rsidRPr="00D36673">
              <w:t>1 day</w:t>
            </w:r>
          </w:p>
        </w:tc>
        <w:tc>
          <w:tcPr>
            <w:tcW w:w="1000" w:type="pct"/>
          </w:tcPr>
          <w:p w14:paraId="225A1FF3" w14:textId="77777777" w:rsidR="005A3418" w:rsidRPr="00D36673" w:rsidRDefault="005A3418" w:rsidP="0024118B">
            <w:pPr>
              <w:pStyle w:val="TableBody"/>
            </w:pPr>
            <w:r w:rsidRPr="00D36673">
              <w:t>27 months</w:t>
            </w:r>
          </w:p>
        </w:tc>
        <w:tc>
          <w:tcPr>
            <w:tcW w:w="1000" w:type="pct"/>
          </w:tcPr>
          <w:p w14:paraId="76886F96" w14:textId="77777777" w:rsidR="005A3418" w:rsidRPr="00D36673" w:rsidRDefault="005A3418" w:rsidP="0024118B">
            <w:pPr>
              <w:pStyle w:val="TableBody"/>
            </w:pPr>
            <w:r w:rsidRPr="00D36673">
              <w:t>4.2 months</w:t>
            </w:r>
          </w:p>
        </w:tc>
      </w:tr>
      <w:tr w:rsidR="005A3418" w:rsidRPr="00D36673" w14:paraId="073F2255" w14:textId="77777777" w:rsidTr="00E6572F">
        <w:trPr>
          <w:trHeight w:val="60"/>
        </w:trPr>
        <w:tc>
          <w:tcPr>
            <w:tcW w:w="1000" w:type="pct"/>
          </w:tcPr>
          <w:p w14:paraId="55CBE7C2" w14:textId="77777777" w:rsidR="005A3418" w:rsidRPr="00D36673" w:rsidRDefault="005A3418" w:rsidP="00AC33C0">
            <w:pPr>
              <w:pStyle w:val="TableBody"/>
            </w:pPr>
            <w:r w:rsidRPr="00D36673">
              <w:t>Threat to inflict serious injury</w:t>
            </w:r>
          </w:p>
        </w:tc>
        <w:tc>
          <w:tcPr>
            <w:tcW w:w="1000" w:type="pct"/>
          </w:tcPr>
          <w:p w14:paraId="0A86EF99" w14:textId="77777777" w:rsidR="005A3418" w:rsidRPr="00D36673" w:rsidRDefault="005A3418" w:rsidP="0024118B">
            <w:pPr>
              <w:pStyle w:val="TableBody"/>
            </w:pPr>
            <w:r w:rsidRPr="00D36673">
              <w:t>354</w:t>
            </w:r>
          </w:p>
        </w:tc>
        <w:tc>
          <w:tcPr>
            <w:tcW w:w="1000" w:type="pct"/>
          </w:tcPr>
          <w:p w14:paraId="75A26631" w14:textId="77777777" w:rsidR="005A3418" w:rsidRPr="00D36673" w:rsidRDefault="005A3418" w:rsidP="0024118B">
            <w:pPr>
              <w:pStyle w:val="TableBody"/>
            </w:pPr>
            <w:r w:rsidRPr="00D36673">
              <w:t>1 day</w:t>
            </w:r>
          </w:p>
        </w:tc>
        <w:tc>
          <w:tcPr>
            <w:tcW w:w="1000" w:type="pct"/>
          </w:tcPr>
          <w:p w14:paraId="72376D0B" w14:textId="77777777" w:rsidR="005A3418" w:rsidRPr="00D36673" w:rsidRDefault="005A3418" w:rsidP="0024118B">
            <w:pPr>
              <w:pStyle w:val="TableBody"/>
            </w:pPr>
            <w:r w:rsidRPr="00D36673">
              <w:t>39 months</w:t>
            </w:r>
          </w:p>
        </w:tc>
        <w:tc>
          <w:tcPr>
            <w:tcW w:w="1000" w:type="pct"/>
          </w:tcPr>
          <w:p w14:paraId="535F39F4" w14:textId="77777777" w:rsidR="005A3418" w:rsidRPr="00D36673" w:rsidRDefault="005A3418" w:rsidP="0024118B">
            <w:pPr>
              <w:pStyle w:val="TableBody"/>
            </w:pPr>
            <w:r w:rsidRPr="00D36673">
              <w:t>4.1 months</w:t>
            </w:r>
          </w:p>
        </w:tc>
      </w:tr>
      <w:tr w:rsidR="005A3418" w:rsidRPr="00D36673" w14:paraId="4E8F70FF" w14:textId="77777777" w:rsidTr="00E6572F">
        <w:trPr>
          <w:trHeight w:val="60"/>
        </w:trPr>
        <w:tc>
          <w:tcPr>
            <w:tcW w:w="1000" w:type="pct"/>
          </w:tcPr>
          <w:p w14:paraId="1C14BE72" w14:textId="77777777" w:rsidR="005A3418" w:rsidRPr="00D36673" w:rsidRDefault="005A3418" w:rsidP="00AC33C0">
            <w:pPr>
              <w:pStyle w:val="TableBody"/>
            </w:pPr>
            <w:r w:rsidRPr="00D36673">
              <w:t>Threat to destroy or damage property</w:t>
            </w:r>
          </w:p>
        </w:tc>
        <w:tc>
          <w:tcPr>
            <w:tcW w:w="1000" w:type="pct"/>
          </w:tcPr>
          <w:p w14:paraId="62DACB4B" w14:textId="77777777" w:rsidR="005A3418" w:rsidRPr="00D36673" w:rsidRDefault="005A3418" w:rsidP="0024118B">
            <w:pPr>
              <w:pStyle w:val="TableBody"/>
            </w:pPr>
            <w:r w:rsidRPr="00D36673">
              <w:t>100</w:t>
            </w:r>
          </w:p>
        </w:tc>
        <w:tc>
          <w:tcPr>
            <w:tcW w:w="1000" w:type="pct"/>
          </w:tcPr>
          <w:p w14:paraId="7EB5D8B4" w14:textId="77777777" w:rsidR="005A3418" w:rsidRPr="00D36673" w:rsidRDefault="005A3418" w:rsidP="0024118B">
            <w:pPr>
              <w:pStyle w:val="TableBody"/>
            </w:pPr>
            <w:r w:rsidRPr="00D36673">
              <w:t>1 day</w:t>
            </w:r>
          </w:p>
        </w:tc>
        <w:tc>
          <w:tcPr>
            <w:tcW w:w="1000" w:type="pct"/>
          </w:tcPr>
          <w:p w14:paraId="21477724" w14:textId="77777777" w:rsidR="005A3418" w:rsidRPr="00D36673" w:rsidRDefault="005A3418" w:rsidP="0024118B">
            <w:pPr>
              <w:pStyle w:val="TableBody"/>
            </w:pPr>
            <w:r w:rsidRPr="00D36673">
              <w:t>24 months</w:t>
            </w:r>
          </w:p>
        </w:tc>
        <w:tc>
          <w:tcPr>
            <w:tcW w:w="1000" w:type="pct"/>
          </w:tcPr>
          <w:p w14:paraId="4DB25C65" w14:textId="77777777" w:rsidR="005A3418" w:rsidRPr="00D36673" w:rsidRDefault="005A3418" w:rsidP="0024118B">
            <w:pPr>
              <w:pStyle w:val="TableBody"/>
            </w:pPr>
            <w:r w:rsidRPr="00D36673">
              <w:t>3.5 months</w:t>
            </w:r>
          </w:p>
        </w:tc>
      </w:tr>
    </w:tbl>
    <w:p w14:paraId="3726C54D" w14:textId="77777777" w:rsidR="005A3418" w:rsidRPr="00D36673" w:rsidRDefault="005A3418" w:rsidP="00711AFB">
      <w:pPr>
        <w:pStyle w:val="Caption"/>
      </w:pPr>
      <w:r w:rsidRPr="00C9259E">
        <w:lastRenderedPageBreak/>
        <w:t>Figure 15:</w:t>
      </w:r>
      <w:r w:rsidRPr="00D36673">
        <w:t xml:space="preserve"> Distribution of total effective imprisonment lengths for cases where threat to kill, threat to inflict serious injury or threat to destroy or damage property was the principal proven offence, Magistrates’ Court, 2015 to 2019</w:t>
      </w:r>
    </w:p>
    <w:tbl>
      <w:tblPr>
        <w:tblStyle w:val="Table"/>
        <w:tblW w:w="5000" w:type="pct"/>
        <w:tblLook w:val="04A0" w:firstRow="1" w:lastRow="0" w:firstColumn="1" w:lastColumn="0" w:noHBand="0" w:noVBand="1"/>
      </w:tblPr>
      <w:tblGrid>
        <w:gridCol w:w="3686"/>
        <w:gridCol w:w="1375"/>
        <w:gridCol w:w="1827"/>
        <w:gridCol w:w="2128"/>
      </w:tblGrid>
      <w:tr w:rsidR="00DF5255" w:rsidRPr="006A37BA" w14:paraId="1E7A52F5" w14:textId="77777777" w:rsidTr="00DF5255">
        <w:trPr>
          <w:trHeight w:val="20"/>
          <w:tblHeader/>
        </w:trPr>
        <w:tc>
          <w:tcPr>
            <w:tcW w:w="2044" w:type="pct"/>
            <w:noWrap/>
            <w:hideMark/>
          </w:tcPr>
          <w:p w14:paraId="2380E894" w14:textId="3EBC8144" w:rsidR="006A37BA" w:rsidRPr="002F2661" w:rsidRDefault="00D22A4A" w:rsidP="002F2661">
            <w:pPr>
              <w:pStyle w:val="TableHeading"/>
            </w:pPr>
            <w:r>
              <w:t>Imprisonment length</w:t>
            </w:r>
          </w:p>
        </w:tc>
        <w:tc>
          <w:tcPr>
            <w:tcW w:w="763" w:type="pct"/>
            <w:hideMark/>
          </w:tcPr>
          <w:p w14:paraId="23673289" w14:textId="17F28DEF" w:rsidR="006A37BA" w:rsidRPr="002F2661" w:rsidRDefault="006A37BA" w:rsidP="002F2661">
            <w:pPr>
              <w:pStyle w:val="TableHeading"/>
            </w:pPr>
            <w:r w:rsidRPr="002F2661">
              <w:t>Threat to kill</w:t>
            </w:r>
            <w:r w:rsidR="00875D7F">
              <w:t xml:space="preserve"> </w:t>
            </w:r>
            <w:r w:rsidRPr="002F2661">
              <w:t>(680 cases)</w:t>
            </w:r>
          </w:p>
        </w:tc>
        <w:tc>
          <w:tcPr>
            <w:tcW w:w="1013" w:type="pct"/>
            <w:hideMark/>
          </w:tcPr>
          <w:p w14:paraId="490A7129" w14:textId="506E0242" w:rsidR="006A37BA" w:rsidRPr="002F2661" w:rsidRDefault="006A37BA" w:rsidP="002F2661">
            <w:pPr>
              <w:pStyle w:val="TableHeading"/>
            </w:pPr>
            <w:r w:rsidRPr="002F2661">
              <w:t xml:space="preserve">Threat to </w:t>
            </w:r>
            <w:r w:rsidR="00875D7F">
              <w:t>inflict serious injury</w:t>
            </w:r>
            <w:r w:rsidRPr="002F2661">
              <w:t xml:space="preserve"> (354 cases)</w:t>
            </w:r>
          </w:p>
        </w:tc>
        <w:tc>
          <w:tcPr>
            <w:tcW w:w="1180" w:type="pct"/>
            <w:hideMark/>
          </w:tcPr>
          <w:p w14:paraId="30A3FEFF" w14:textId="629B3BD4" w:rsidR="006A37BA" w:rsidRPr="002F2661" w:rsidRDefault="006A37BA" w:rsidP="002F2661">
            <w:pPr>
              <w:pStyle w:val="TableHeading"/>
            </w:pPr>
            <w:r w:rsidRPr="002F2661">
              <w:t xml:space="preserve">Threat to </w:t>
            </w:r>
            <w:r w:rsidR="000A46D7">
              <w:t xml:space="preserve">destroy or </w:t>
            </w:r>
            <w:r w:rsidRPr="002F2661">
              <w:t>damage property (100 cases)</w:t>
            </w:r>
          </w:p>
        </w:tc>
      </w:tr>
      <w:tr w:rsidR="00DF5255" w:rsidRPr="006A37BA" w14:paraId="62455358" w14:textId="77777777" w:rsidTr="00DF5255">
        <w:trPr>
          <w:trHeight w:val="20"/>
          <w:tblHeader/>
        </w:trPr>
        <w:tc>
          <w:tcPr>
            <w:tcW w:w="2044" w:type="pct"/>
            <w:noWrap/>
            <w:hideMark/>
          </w:tcPr>
          <w:p w14:paraId="55CD3E12" w14:textId="77777777" w:rsidR="006A37BA" w:rsidRPr="002F2661" w:rsidRDefault="006A37BA" w:rsidP="002F2661">
            <w:pPr>
              <w:pStyle w:val="TableBody"/>
            </w:pPr>
            <w:r w:rsidRPr="002F2661">
              <w:t>Less than 3 months</w:t>
            </w:r>
          </w:p>
        </w:tc>
        <w:tc>
          <w:tcPr>
            <w:tcW w:w="763" w:type="pct"/>
            <w:noWrap/>
            <w:hideMark/>
          </w:tcPr>
          <w:p w14:paraId="3DD313CD" w14:textId="77777777" w:rsidR="006A37BA" w:rsidRPr="002F2661" w:rsidRDefault="006A37BA" w:rsidP="002F2661">
            <w:pPr>
              <w:pStyle w:val="TableBody"/>
            </w:pPr>
            <w:r w:rsidRPr="002F2661">
              <w:t>313</w:t>
            </w:r>
          </w:p>
        </w:tc>
        <w:tc>
          <w:tcPr>
            <w:tcW w:w="1013" w:type="pct"/>
            <w:noWrap/>
            <w:hideMark/>
          </w:tcPr>
          <w:p w14:paraId="65AB8273" w14:textId="77777777" w:rsidR="006A37BA" w:rsidRPr="002F2661" w:rsidRDefault="006A37BA" w:rsidP="002F2661">
            <w:pPr>
              <w:pStyle w:val="TableBody"/>
            </w:pPr>
            <w:r w:rsidRPr="002F2661">
              <w:t>164</w:t>
            </w:r>
          </w:p>
        </w:tc>
        <w:tc>
          <w:tcPr>
            <w:tcW w:w="1180" w:type="pct"/>
            <w:noWrap/>
            <w:hideMark/>
          </w:tcPr>
          <w:p w14:paraId="7FB873F4" w14:textId="77777777" w:rsidR="006A37BA" w:rsidRPr="002F2661" w:rsidRDefault="006A37BA" w:rsidP="002F2661">
            <w:pPr>
              <w:pStyle w:val="TableBody"/>
            </w:pPr>
            <w:r w:rsidRPr="002F2661">
              <w:t>46</w:t>
            </w:r>
          </w:p>
        </w:tc>
      </w:tr>
      <w:tr w:rsidR="00DF5255" w:rsidRPr="006A37BA" w14:paraId="5F8A10F4" w14:textId="77777777" w:rsidTr="00DF5255">
        <w:trPr>
          <w:trHeight w:val="290"/>
        </w:trPr>
        <w:tc>
          <w:tcPr>
            <w:tcW w:w="2044" w:type="pct"/>
            <w:noWrap/>
            <w:hideMark/>
          </w:tcPr>
          <w:p w14:paraId="189B52FA" w14:textId="77777777" w:rsidR="006A37BA" w:rsidRPr="002F2661" w:rsidRDefault="006A37BA" w:rsidP="002F2661">
            <w:pPr>
              <w:pStyle w:val="TableBody"/>
            </w:pPr>
            <w:r w:rsidRPr="002F2661">
              <w:t>3 months to less than 6 months</w:t>
            </w:r>
          </w:p>
        </w:tc>
        <w:tc>
          <w:tcPr>
            <w:tcW w:w="763" w:type="pct"/>
            <w:noWrap/>
            <w:hideMark/>
          </w:tcPr>
          <w:p w14:paraId="19CB0BE7" w14:textId="77777777" w:rsidR="006A37BA" w:rsidRPr="002F2661" w:rsidRDefault="006A37BA" w:rsidP="002F2661">
            <w:pPr>
              <w:pStyle w:val="TableBody"/>
            </w:pPr>
            <w:r w:rsidRPr="002F2661">
              <w:t>195</w:t>
            </w:r>
          </w:p>
        </w:tc>
        <w:tc>
          <w:tcPr>
            <w:tcW w:w="1013" w:type="pct"/>
            <w:noWrap/>
            <w:hideMark/>
          </w:tcPr>
          <w:p w14:paraId="1D94508C" w14:textId="77777777" w:rsidR="006A37BA" w:rsidRPr="002F2661" w:rsidRDefault="006A37BA" w:rsidP="002F2661">
            <w:pPr>
              <w:pStyle w:val="TableBody"/>
            </w:pPr>
            <w:r w:rsidRPr="002F2661">
              <w:t>111</w:t>
            </w:r>
          </w:p>
        </w:tc>
        <w:tc>
          <w:tcPr>
            <w:tcW w:w="1180" w:type="pct"/>
            <w:noWrap/>
            <w:hideMark/>
          </w:tcPr>
          <w:p w14:paraId="5DE2C41A" w14:textId="77777777" w:rsidR="006A37BA" w:rsidRPr="002F2661" w:rsidRDefault="006A37BA" w:rsidP="002F2661">
            <w:pPr>
              <w:pStyle w:val="TableBody"/>
            </w:pPr>
            <w:r w:rsidRPr="002F2661">
              <w:t>36</w:t>
            </w:r>
          </w:p>
        </w:tc>
      </w:tr>
      <w:tr w:rsidR="00DF5255" w:rsidRPr="006A37BA" w14:paraId="01894A8B" w14:textId="77777777" w:rsidTr="00DF5255">
        <w:trPr>
          <w:trHeight w:val="290"/>
        </w:trPr>
        <w:tc>
          <w:tcPr>
            <w:tcW w:w="2044" w:type="pct"/>
            <w:noWrap/>
            <w:hideMark/>
          </w:tcPr>
          <w:p w14:paraId="4EB955FA" w14:textId="77777777" w:rsidR="006A37BA" w:rsidRPr="002F2661" w:rsidRDefault="006A37BA" w:rsidP="002F2661">
            <w:pPr>
              <w:pStyle w:val="TableBody"/>
            </w:pPr>
            <w:r w:rsidRPr="002F2661">
              <w:t>6 months to less than 9 months</w:t>
            </w:r>
          </w:p>
        </w:tc>
        <w:tc>
          <w:tcPr>
            <w:tcW w:w="763" w:type="pct"/>
            <w:noWrap/>
            <w:hideMark/>
          </w:tcPr>
          <w:p w14:paraId="372442E5" w14:textId="77777777" w:rsidR="006A37BA" w:rsidRPr="002F2661" w:rsidRDefault="006A37BA" w:rsidP="002F2661">
            <w:pPr>
              <w:pStyle w:val="TableBody"/>
            </w:pPr>
            <w:r w:rsidRPr="002F2661">
              <w:t>88</w:t>
            </w:r>
          </w:p>
        </w:tc>
        <w:tc>
          <w:tcPr>
            <w:tcW w:w="1013" w:type="pct"/>
            <w:noWrap/>
            <w:hideMark/>
          </w:tcPr>
          <w:p w14:paraId="05271453" w14:textId="77777777" w:rsidR="006A37BA" w:rsidRPr="002F2661" w:rsidRDefault="006A37BA" w:rsidP="002F2661">
            <w:pPr>
              <w:pStyle w:val="TableBody"/>
            </w:pPr>
            <w:r w:rsidRPr="002F2661">
              <w:t>38</w:t>
            </w:r>
          </w:p>
        </w:tc>
        <w:tc>
          <w:tcPr>
            <w:tcW w:w="1180" w:type="pct"/>
            <w:noWrap/>
            <w:hideMark/>
          </w:tcPr>
          <w:p w14:paraId="4743726B" w14:textId="77777777" w:rsidR="006A37BA" w:rsidRPr="002F2661" w:rsidRDefault="006A37BA" w:rsidP="002F2661">
            <w:pPr>
              <w:pStyle w:val="TableBody"/>
            </w:pPr>
            <w:r w:rsidRPr="002F2661">
              <w:t>13</w:t>
            </w:r>
          </w:p>
        </w:tc>
      </w:tr>
      <w:tr w:rsidR="00DF5255" w:rsidRPr="006A37BA" w14:paraId="63248B6D" w14:textId="77777777" w:rsidTr="00DF5255">
        <w:trPr>
          <w:trHeight w:val="290"/>
        </w:trPr>
        <w:tc>
          <w:tcPr>
            <w:tcW w:w="2044" w:type="pct"/>
            <w:noWrap/>
            <w:hideMark/>
          </w:tcPr>
          <w:p w14:paraId="0AFD578B" w14:textId="77777777" w:rsidR="006A37BA" w:rsidRPr="002F2661" w:rsidRDefault="006A37BA" w:rsidP="002F2661">
            <w:pPr>
              <w:pStyle w:val="TableBody"/>
            </w:pPr>
            <w:r w:rsidRPr="002F2661">
              <w:t>9 months to less than 12 months</w:t>
            </w:r>
          </w:p>
        </w:tc>
        <w:tc>
          <w:tcPr>
            <w:tcW w:w="763" w:type="pct"/>
            <w:noWrap/>
            <w:hideMark/>
          </w:tcPr>
          <w:p w14:paraId="341426F2" w14:textId="77777777" w:rsidR="006A37BA" w:rsidRPr="002F2661" w:rsidRDefault="006A37BA" w:rsidP="002F2661">
            <w:pPr>
              <w:pStyle w:val="TableBody"/>
            </w:pPr>
            <w:r w:rsidRPr="002F2661">
              <w:t>23</w:t>
            </w:r>
          </w:p>
        </w:tc>
        <w:tc>
          <w:tcPr>
            <w:tcW w:w="1013" w:type="pct"/>
            <w:noWrap/>
            <w:hideMark/>
          </w:tcPr>
          <w:p w14:paraId="0426E0C8" w14:textId="77777777" w:rsidR="006A37BA" w:rsidRPr="002F2661" w:rsidRDefault="006A37BA" w:rsidP="002F2661">
            <w:pPr>
              <w:pStyle w:val="TableBody"/>
            </w:pPr>
            <w:r w:rsidRPr="002F2661">
              <w:t>13</w:t>
            </w:r>
          </w:p>
        </w:tc>
        <w:tc>
          <w:tcPr>
            <w:tcW w:w="1180" w:type="pct"/>
            <w:noWrap/>
            <w:hideMark/>
          </w:tcPr>
          <w:p w14:paraId="6289FFBB" w14:textId="77777777" w:rsidR="006A37BA" w:rsidRPr="002F2661" w:rsidRDefault="006A37BA" w:rsidP="002F2661">
            <w:pPr>
              <w:pStyle w:val="TableBody"/>
            </w:pPr>
            <w:r w:rsidRPr="002F2661">
              <w:t>2</w:t>
            </w:r>
          </w:p>
        </w:tc>
      </w:tr>
      <w:tr w:rsidR="00DF5255" w:rsidRPr="006A37BA" w14:paraId="4C3A09B0" w14:textId="77777777" w:rsidTr="00DF5255">
        <w:trPr>
          <w:trHeight w:val="290"/>
        </w:trPr>
        <w:tc>
          <w:tcPr>
            <w:tcW w:w="2044" w:type="pct"/>
            <w:noWrap/>
            <w:hideMark/>
          </w:tcPr>
          <w:p w14:paraId="0C05B8B5" w14:textId="77777777" w:rsidR="006A37BA" w:rsidRPr="002F2661" w:rsidRDefault="006A37BA" w:rsidP="002F2661">
            <w:pPr>
              <w:pStyle w:val="TableBody"/>
            </w:pPr>
            <w:r w:rsidRPr="002F2661">
              <w:t>12 months to less than 18 months</w:t>
            </w:r>
          </w:p>
        </w:tc>
        <w:tc>
          <w:tcPr>
            <w:tcW w:w="763" w:type="pct"/>
            <w:noWrap/>
            <w:hideMark/>
          </w:tcPr>
          <w:p w14:paraId="528B9EA4" w14:textId="77777777" w:rsidR="006A37BA" w:rsidRPr="002F2661" w:rsidRDefault="006A37BA" w:rsidP="002F2661">
            <w:pPr>
              <w:pStyle w:val="TableBody"/>
            </w:pPr>
            <w:r w:rsidRPr="002F2661">
              <w:t>35</w:t>
            </w:r>
          </w:p>
        </w:tc>
        <w:tc>
          <w:tcPr>
            <w:tcW w:w="1013" w:type="pct"/>
            <w:noWrap/>
            <w:hideMark/>
          </w:tcPr>
          <w:p w14:paraId="5151DDD5" w14:textId="77777777" w:rsidR="006A37BA" w:rsidRPr="002F2661" w:rsidRDefault="006A37BA" w:rsidP="002F2661">
            <w:pPr>
              <w:pStyle w:val="TableBody"/>
            </w:pPr>
            <w:r w:rsidRPr="002F2661">
              <w:t>17</w:t>
            </w:r>
          </w:p>
        </w:tc>
        <w:tc>
          <w:tcPr>
            <w:tcW w:w="1180" w:type="pct"/>
            <w:noWrap/>
            <w:hideMark/>
          </w:tcPr>
          <w:p w14:paraId="4CB80F91" w14:textId="77777777" w:rsidR="006A37BA" w:rsidRPr="002F2661" w:rsidRDefault="006A37BA" w:rsidP="002F2661">
            <w:pPr>
              <w:pStyle w:val="TableBody"/>
            </w:pPr>
            <w:r w:rsidRPr="002F2661">
              <w:t>1</w:t>
            </w:r>
          </w:p>
        </w:tc>
      </w:tr>
      <w:tr w:rsidR="00DF5255" w:rsidRPr="006A37BA" w14:paraId="5FE76E7E" w14:textId="77777777" w:rsidTr="00DF5255">
        <w:trPr>
          <w:trHeight w:val="290"/>
        </w:trPr>
        <w:tc>
          <w:tcPr>
            <w:tcW w:w="2044" w:type="pct"/>
            <w:noWrap/>
            <w:hideMark/>
          </w:tcPr>
          <w:p w14:paraId="699280DF" w14:textId="77777777" w:rsidR="006A37BA" w:rsidRPr="002F2661" w:rsidRDefault="006A37BA" w:rsidP="002F2661">
            <w:pPr>
              <w:pStyle w:val="TableBody"/>
            </w:pPr>
            <w:r w:rsidRPr="002F2661">
              <w:t>18 months to less than 24 months</w:t>
            </w:r>
          </w:p>
        </w:tc>
        <w:tc>
          <w:tcPr>
            <w:tcW w:w="763" w:type="pct"/>
            <w:noWrap/>
            <w:hideMark/>
          </w:tcPr>
          <w:p w14:paraId="3466E658" w14:textId="77777777" w:rsidR="006A37BA" w:rsidRPr="002F2661" w:rsidRDefault="006A37BA" w:rsidP="002F2661">
            <w:pPr>
              <w:pStyle w:val="TableBody"/>
            </w:pPr>
            <w:r w:rsidRPr="002F2661">
              <w:t>18</w:t>
            </w:r>
          </w:p>
        </w:tc>
        <w:tc>
          <w:tcPr>
            <w:tcW w:w="1013" w:type="pct"/>
            <w:noWrap/>
            <w:hideMark/>
          </w:tcPr>
          <w:p w14:paraId="6A9F970E" w14:textId="77777777" w:rsidR="006A37BA" w:rsidRPr="002F2661" w:rsidRDefault="006A37BA" w:rsidP="002F2661">
            <w:pPr>
              <w:pStyle w:val="TableBody"/>
            </w:pPr>
            <w:r w:rsidRPr="002F2661">
              <w:t>5</w:t>
            </w:r>
          </w:p>
        </w:tc>
        <w:tc>
          <w:tcPr>
            <w:tcW w:w="1180" w:type="pct"/>
            <w:noWrap/>
            <w:hideMark/>
          </w:tcPr>
          <w:p w14:paraId="0772F32B" w14:textId="77777777" w:rsidR="006A37BA" w:rsidRPr="002F2661" w:rsidRDefault="006A37BA" w:rsidP="002F2661">
            <w:pPr>
              <w:pStyle w:val="TableBody"/>
            </w:pPr>
            <w:r w:rsidRPr="002F2661">
              <w:t>0</w:t>
            </w:r>
          </w:p>
        </w:tc>
      </w:tr>
      <w:tr w:rsidR="00DF5255" w:rsidRPr="006A37BA" w14:paraId="78C3C127" w14:textId="77777777" w:rsidTr="00DF5255">
        <w:trPr>
          <w:trHeight w:val="290"/>
        </w:trPr>
        <w:tc>
          <w:tcPr>
            <w:tcW w:w="2044" w:type="pct"/>
            <w:noWrap/>
            <w:hideMark/>
          </w:tcPr>
          <w:p w14:paraId="4C86C89D" w14:textId="77777777" w:rsidR="006A37BA" w:rsidRPr="002F2661" w:rsidRDefault="006A37BA" w:rsidP="002F2661">
            <w:pPr>
              <w:pStyle w:val="TableBody"/>
            </w:pPr>
            <w:r w:rsidRPr="002F2661">
              <w:t>24 months or more</w:t>
            </w:r>
          </w:p>
        </w:tc>
        <w:tc>
          <w:tcPr>
            <w:tcW w:w="763" w:type="pct"/>
            <w:noWrap/>
            <w:hideMark/>
          </w:tcPr>
          <w:p w14:paraId="69CB1E00" w14:textId="77777777" w:rsidR="006A37BA" w:rsidRPr="002F2661" w:rsidRDefault="006A37BA" w:rsidP="002F2661">
            <w:pPr>
              <w:pStyle w:val="TableBody"/>
            </w:pPr>
            <w:r w:rsidRPr="002F2661">
              <w:t>8</w:t>
            </w:r>
          </w:p>
        </w:tc>
        <w:tc>
          <w:tcPr>
            <w:tcW w:w="1013" w:type="pct"/>
            <w:noWrap/>
            <w:hideMark/>
          </w:tcPr>
          <w:p w14:paraId="304AE694" w14:textId="77777777" w:rsidR="006A37BA" w:rsidRPr="002F2661" w:rsidRDefault="006A37BA" w:rsidP="002F2661">
            <w:pPr>
              <w:pStyle w:val="TableBody"/>
            </w:pPr>
            <w:r w:rsidRPr="002F2661">
              <w:t>6</w:t>
            </w:r>
          </w:p>
        </w:tc>
        <w:tc>
          <w:tcPr>
            <w:tcW w:w="1180" w:type="pct"/>
            <w:noWrap/>
            <w:hideMark/>
          </w:tcPr>
          <w:p w14:paraId="447C89EA" w14:textId="77777777" w:rsidR="006A37BA" w:rsidRPr="002F2661" w:rsidRDefault="006A37BA" w:rsidP="002F2661">
            <w:pPr>
              <w:pStyle w:val="TableBody"/>
            </w:pPr>
            <w:r w:rsidRPr="002F2661">
              <w:t>2</w:t>
            </w:r>
          </w:p>
        </w:tc>
      </w:tr>
    </w:tbl>
    <w:p w14:paraId="787C2E2A" w14:textId="77777777" w:rsidR="005A3418" w:rsidRPr="00D36673" w:rsidRDefault="005A3418" w:rsidP="00F24F16">
      <w:pPr>
        <w:pStyle w:val="Numbered"/>
      </w:pPr>
      <w:r w:rsidRPr="00D36673">
        <w:t xml:space="preserve">There is a remarkable similarity in the length of total effective sentences imposed on threat offenders regardless of the threat offence type they were sentenced for. In cases involving each threat offence type, 46% of total effective sentence lengths were less than three months. The case-level sentences were also remarkably similar to the charge-level sentences shown in Table 2 (page 29). Slightly longer prison sentences were imposed in cases involving threats to kill or seriously injure than in cases involving threats to destroy or damage property. And cases involving threats to destroy or damage property, in turn, received longer prison sentences than </w:t>
      </w:r>
      <w:r w:rsidRPr="00A24E18">
        <w:rPr>
          <w:rStyle w:val="Emphasis"/>
        </w:rPr>
        <w:t xml:space="preserve">charges </w:t>
      </w:r>
      <w:r w:rsidRPr="00D36673">
        <w:t xml:space="preserve">of threat to destroy or damage property; this is consistent with the use of threats in family violence cases as being reflective of the entirety of the offending. </w:t>
      </w:r>
    </w:p>
    <w:p w14:paraId="4F03F71F" w14:textId="77777777" w:rsidR="005A3418" w:rsidRPr="00D36673" w:rsidRDefault="005A3418" w:rsidP="00F24F16">
      <w:pPr>
        <w:pStyle w:val="Numbered"/>
      </w:pPr>
      <w:r w:rsidRPr="00D36673">
        <w:t xml:space="preserve">The short duration of these total effective sentences raises the question of how many might have been time served prison sentences, where the length of the sentence imposed is identical to the amount of time the offender spent on remand. Figure 16 shows that 25% of prison sentences imposed on threat offenders were time served prison sentences. Most were shorter than three months (231 of 281 time served prison sentences in threat </w:t>
      </w:r>
      <w:r w:rsidRPr="00D36673">
        <w:lastRenderedPageBreak/>
        <w:t>cases). This is slightly higher than the overall rate of time served prison sentences in Victoria (20% of all prison sentences in 2017–18).</w:t>
      </w:r>
      <w:r w:rsidRPr="00D36673">
        <w:rPr>
          <w:rStyle w:val="Superscript"/>
        </w:rPr>
        <w:footnoteReference w:id="155"/>
      </w:r>
    </w:p>
    <w:p w14:paraId="662C2F75" w14:textId="77777777" w:rsidR="005A3418" w:rsidRPr="00D36673" w:rsidRDefault="005A3418" w:rsidP="00711AFB">
      <w:pPr>
        <w:pStyle w:val="Caption"/>
      </w:pPr>
      <w:r w:rsidRPr="00C9259E">
        <w:t xml:space="preserve">Figure 16: </w:t>
      </w:r>
      <w:r w:rsidRPr="00D36673">
        <w:t>Prison sentences in cases with a threat offence as the principal proven offence, by threat offence type and relative length of imprisonment term, Magistrates’ Court, 2015 to 2019</w:t>
      </w:r>
      <w:r w:rsidRPr="00D36673">
        <w:rPr>
          <w:rStyle w:val="Superscript"/>
        </w:rPr>
        <w:footnoteReference w:id="156"/>
      </w:r>
    </w:p>
    <w:tbl>
      <w:tblPr>
        <w:tblStyle w:val="Table"/>
        <w:tblW w:w="5000" w:type="pct"/>
        <w:tblLayout w:type="fixed"/>
        <w:tblLook w:val="04A0" w:firstRow="1" w:lastRow="0" w:firstColumn="1" w:lastColumn="0" w:noHBand="0" w:noVBand="1"/>
      </w:tblPr>
      <w:tblGrid>
        <w:gridCol w:w="2254"/>
        <w:gridCol w:w="2254"/>
        <w:gridCol w:w="2254"/>
        <w:gridCol w:w="2254"/>
      </w:tblGrid>
      <w:tr w:rsidR="00540A99" w:rsidRPr="002643DE" w14:paraId="0AF87262" w14:textId="77777777" w:rsidTr="004078DA">
        <w:trPr>
          <w:trHeight w:val="290"/>
          <w:tblHeader/>
        </w:trPr>
        <w:tc>
          <w:tcPr>
            <w:tcW w:w="1250" w:type="pct"/>
            <w:noWrap/>
            <w:hideMark/>
          </w:tcPr>
          <w:p w14:paraId="620E0D25" w14:textId="08CB0CB1" w:rsidR="00540A99" w:rsidRPr="002643DE" w:rsidRDefault="00F0754B" w:rsidP="00277DD4">
            <w:pPr>
              <w:pStyle w:val="TableHeading"/>
            </w:pPr>
            <w:bookmarkStart w:id="8" w:name="RANGE!A1"/>
            <w:bookmarkEnd w:id="8"/>
            <w:r>
              <w:t>Relative</w:t>
            </w:r>
            <w:r w:rsidR="00614F6C">
              <w:t xml:space="preserve"> length of</w:t>
            </w:r>
            <w:r>
              <w:t xml:space="preserve"> i</w:t>
            </w:r>
            <w:r w:rsidR="00277DD4">
              <w:t xml:space="preserve">mprisonment </w:t>
            </w:r>
            <w:r w:rsidR="00614F6C">
              <w:t>term</w:t>
            </w:r>
          </w:p>
        </w:tc>
        <w:tc>
          <w:tcPr>
            <w:tcW w:w="1250" w:type="pct"/>
            <w:noWrap/>
            <w:hideMark/>
          </w:tcPr>
          <w:p w14:paraId="501B33C9" w14:textId="0C6EED8A" w:rsidR="00540A99" w:rsidRPr="006457E7" w:rsidRDefault="00540A99" w:rsidP="00277DD4">
            <w:pPr>
              <w:pStyle w:val="TableHeading"/>
            </w:pPr>
            <w:r w:rsidRPr="006457E7">
              <w:t>Threat to kill</w:t>
            </w:r>
          </w:p>
        </w:tc>
        <w:tc>
          <w:tcPr>
            <w:tcW w:w="1250" w:type="pct"/>
            <w:noWrap/>
            <w:hideMark/>
          </w:tcPr>
          <w:p w14:paraId="3E9E7CB6" w14:textId="4342CEBB" w:rsidR="00540A99" w:rsidRPr="006457E7" w:rsidRDefault="00540A99" w:rsidP="00277DD4">
            <w:pPr>
              <w:pStyle w:val="TableHeading"/>
            </w:pPr>
            <w:r w:rsidRPr="006457E7">
              <w:t xml:space="preserve">Threat to </w:t>
            </w:r>
            <w:r>
              <w:t>inflict serious injury</w:t>
            </w:r>
          </w:p>
        </w:tc>
        <w:tc>
          <w:tcPr>
            <w:tcW w:w="1250" w:type="pct"/>
            <w:noWrap/>
            <w:hideMark/>
          </w:tcPr>
          <w:p w14:paraId="61233206" w14:textId="60FD79ED" w:rsidR="00540A99" w:rsidRPr="006457E7" w:rsidRDefault="00540A99" w:rsidP="00277DD4">
            <w:pPr>
              <w:pStyle w:val="TableHeading"/>
            </w:pPr>
            <w:r w:rsidRPr="006457E7">
              <w:t xml:space="preserve">Threat to </w:t>
            </w:r>
            <w:r>
              <w:t xml:space="preserve">destroy or </w:t>
            </w:r>
            <w:r w:rsidRPr="006457E7">
              <w:t>damage property</w:t>
            </w:r>
          </w:p>
        </w:tc>
      </w:tr>
      <w:tr w:rsidR="00540A99" w:rsidRPr="002643DE" w14:paraId="5AD1D721" w14:textId="77777777" w:rsidTr="004078DA">
        <w:trPr>
          <w:trHeight w:val="290"/>
        </w:trPr>
        <w:tc>
          <w:tcPr>
            <w:tcW w:w="1250" w:type="pct"/>
            <w:noWrap/>
            <w:hideMark/>
          </w:tcPr>
          <w:p w14:paraId="7848DFCE" w14:textId="77777777" w:rsidR="00540A99" w:rsidRPr="006457E7" w:rsidRDefault="00540A99" w:rsidP="006457E7">
            <w:pPr>
              <w:pStyle w:val="TableBody"/>
            </w:pPr>
            <w:r w:rsidRPr="006457E7">
              <w:t>No time served</w:t>
            </w:r>
          </w:p>
        </w:tc>
        <w:tc>
          <w:tcPr>
            <w:tcW w:w="1250" w:type="pct"/>
            <w:noWrap/>
            <w:hideMark/>
          </w:tcPr>
          <w:p w14:paraId="1EBEE99C" w14:textId="5094998A" w:rsidR="00540A99" w:rsidRPr="00116306" w:rsidRDefault="00540A99" w:rsidP="00116306">
            <w:pPr>
              <w:pStyle w:val="TableBody"/>
            </w:pPr>
            <w:r w:rsidRPr="00116306">
              <w:t>233</w:t>
            </w:r>
            <w:r>
              <w:t xml:space="preserve"> (</w:t>
            </w:r>
            <w:r w:rsidRPr="00116306">
              <w:t>34%</w:t>
            </w:r>
            <w:r>
              <w:t>)</w:t>
            </w:r>
          </w:p>
        </w:tc>
        <w:tc>
          <w:tcPr>
            <w:tcW w:w="1250" w:type="pct"/>
            <w:noWrap/>
            <w:hideMark/>
          </w:tcPr>
          <w:p w14:paraId="1D14BE3F" w14:textId="116C9E6F" w:rsidR="00540A99" w:rsidRPr="00116306" w:rsidRDefault="00540A99" w:rsidP="00116306">
            <w:pPr>
              <w:pStyle w:val="TableBody"/>
            </w:pPr>
            <w:r w:rsidRPr="00116306">
              <w:t>136</w:t>
            </w:r>
            <w:r>
              <w:t xml:space="preserve"> (</w:t>
            </w:r>
            <w:r w:rsidRPr="00116306">
              <w:t>38%</w:t>
            </w:r>
            <w:r>
              <w:t>)</w:t>
            </w:r>
          </w:p>
        </w:tc>
        <w:tc>
          <w:tcPr>
            <w:tcW w:w="1250" w:type="pct"/>
            <w:noWrap/>
            <w:hideMark/>
          </w:tcPr>
          <w:p w14:paraId="3FD32FAF" w14:textId="76AB146E" w:rsidR="00540A99" w:rsidRPr="00116306" w:rsidRDefault="00540A99" w:rsidP="00116306">
            <w:pPr>
              <w:pStyle w:val="TableBody"/>
            </w:pPr>
            <w:r w:rsidRPr="00116306">
              <w:t>29</w:t>
            </w:r>
            <w:r>
              <w:t xml:space="preserve"> (</w:t>
            </w:r>
            <w:r w:rsidRPr="00116306">
              <w:t>29%</w:t>
            </w:r>
            <w:r>
              <w:t>)</w:t>
            </w:r>
          </w:p>
        </w:tc>
      </w:tr>
      <w:tr w:rsidR="00540A99" w:rsidRPr="002643DE" w14:paraId="7CAF9C8E" w14:textId="77777777" w:rsidTr="004078DA">
        <w:trPr>
          <w:trHeight w:val="290"/>
        </w:trPr>
        <w:tc>
          <w:tcPr>
            <w:tcW w:w="1250" w:type="pct"/>
            <w:noWrap/>
            <w:hideMark/>
          </w:tcPr>
          <w:p w14:paraId="3F36F5D0" w14:textId="77777777" w:rsidR="00540A99" w:rsidRPr="006457E7" w:rsidRDefault="00540A99" w:rsidP="006457E7">
            <w:pPr>
              <w:pStyle w:val="TableBody"/>
            </w:pPr>
            <w:r w:rsidRPr="006457E7">
              <w:t>Prison sentence shorter than time served</w:t>
            </w:r>
          </w:p>
        </w:tc>
        <w:tc>
          <w:tcPr>
            <w:tcW w:w="1250" w:type="pct"/>
            <w:noWrap/>
            <w:hideMark/>
          </w:tcPr>
          <w:p w14:paraId="3A810AD3" w14:textId="78A2BB6F" w:rsidR="00540A99" w:rsidRPr="00116306" w:rsidRDefault="00540A99" w:rsidP="00116306">
            <w:pPr>
              <w:pStyle w:val="TableBody"/>
            </w:pPr>
            <w:r w:rsidRPr="00116306">
              <w:t>14</w:t>
            </w:r>
            <w:r>
              <w:t xml:space="preserve"> (</w:t>
            </w:r>
            <w:r w:rsidRPr="00116306">
              <w:t>2%</w:t>
            </w:r>
            <w:r>
              <w:t>)</w:t>
            </w:r>
          </w:p>
        </w:tc>
        <w:tc>
          <w:tcPr>
            <w:tcW w:w="1250" w:type="pct"/>
            <w:noWrap/>
            <w:hideMark/>
          </w:tcPr>
          <w:p w14:paraId="03890777" w14:textId="774BA416" w:rsidR="00540A99" w:rsidRPr="00116306" w:rsidRDefault="00540A99" w:rsidP="00116306">
            <w:pPr>
              <w:pStyle w:val="TableBody"/>
            </w:pPr>
            <w:r w:rsidRPr="00116306">
              <w:t>10</w:t>
            </w:r>
            <w:r>
              <w:t xml:space="preserve"> (</w:t>
            </w:r>
            <w:r w:rsidRPr="00116306">
              <w:t>3%</w:t>
            </w:r>
            <w:r>
              <w:t>)</w:t>
            </w:r>
          </w:p>
        </w:tc>
        <w:tc>
          <w:tcPr>
            <w:tcW w:w="1250" w:type="pct"/>
            <w:noWrap/>
            <w:hideMark/>
          </w:tcPr>
          <w:p w14:paraId="3AF0064B" w14:textId="3B212222" w:rsidR="00540A99" w:rsidRPr="00116306" w:rsidRDefault="00540A99" w:rsidP="00116306">
            <w:pPr>
              <w:pStyle w:val="TableBody"/>
            </w:pPr>
            <w:r w:rsidRPr="00116306">
              <w:t>2</w:t>
            </w:r>
            <w:r>
              <w:t xml:space="preserve"> (</w:t>
            </w:r>
            <w:r w:rsidRPr="00116306">
              <w:t>2%</w:t>
            </w:r>
            <w:r>
              <w:t>)</w:t>
            </w:r>
          </w:p>
        </w:tc>
      </w:tr>
      <w:tr w:rsidR="00540A99" w:rsidRPr="002643DE" w14:paraId="43D6A4C7" w14:textId="77777777" w:rsidTr="004078DA">
        <w:trPr>
          <w:trHeight w:val="290"/>
        </w:trPr>
        <w:tc>
          <w:tcPr>
            <w:tcW w:w="1250" w:type="pct"/>
            <w:noWrap/>
            <w:hideMark/>
          </w:tcPr>
          <w:p w14:paraId="7815F1D6" w14:textId="77777777" w:rsidR="00540A99" w:rsidRPr="006457E7" w:rsidRDefault="00540A99" w:rsidP="006457E7">
            <w:pPr>
              <w:pStyle w:val="TableBody"/>
            </w:pPr>
            <w:r w:rsidRPr="006457E7">
              <w:t>Prison sentence equal to time served</w:t>
            </w:r>
          </w:p>
        </w:tc>
        <w:tc>
          <w:tcPr>
            <w:tcW w:w="1250" w:type="pct"/>
            <w:noWrap/>
            <w:hideMark/>
          </w:tcPr>
          <w:p w14:paraId="7CEBA17D" w14:textId="6D17B870" w:rsidR="00540A99" w:rsidRPr="00116306" w:rsidRDefault="00540A99" w:rsidP="00116306">
            <w:pPr>
              <w:pStyle w:val="TableBody"/>
            </w:pPr>
            <w:r w:rsidRPr="00116306">
              <w:t>164</w:t>
            </w:r>
            <w:r>
              <w:t xml:space="preserve"> (</w:t>
            </w:r>
            <w:r w:rsidRPr="00116306">
              <w:t>24%</w:t>
            </w:r>
            <w:r>
              <w:t>)</w:t>
            </w:r>
          </w:p>
        </w:tc>
        <w:tc>
          <w:tcPr>
            <w:tcW w:w="1250" w:type="pct"/>
            <w:noWrap/>
            <w:hideMark/>
          </w:tcPr>
          <w:p w14:paraId="769F3743" w14:textId="3491B407" w:rsidR="00540A99" w:rsidRPr="00116306" w:rsidRDefault="00540A99" w:rsidP="00116306">
            <w:pPr>
              <w:pStyle w:val="TableBody"/>
            </w:pPr>
            <w:r w:rsidRPr="00116306">
              <w:t>87</w:t>
            </w:r>
            <w:r>
              <w:t xml:space="preserve"> (</w:t>
            </w:r>
            <w:r w:rsidRPr="00116306">
              <w:t>25%</w:t>
            </w:r>
            <w:r>
              <w:t>)</w:t>
            </w:r>
          </w:p>
        </w:tc>
        <w:tc>
          <w:tcPr>
            <w:tcW w:w="1250" w:type="pct"/>
            <w:noWrap/>
            <w:hideMark/>
          </w:tcPr>
          <w:p w14:paraId="5517F31C" w14:textId="6D2E12FB" w:rsidR="00540A99" w:rsidRPr="00116306" w:rsidRDefault="00540A99" w:rsidP="00116306">
            <w:pPr>
              <w:pStyle w:val="TableBody"/>
            </w:pPr>
            <w:r w:rsidRPr="00116306">
              <w:t>30</w:t>
            </w:r>
            <w:r>
              <w:t xml:space="preserve"> (</w:t>
            </w:r>
            <w:r w:rsidRPr="00116306">
              <w:t>30%</w:t>
            </w:r>
            <w:r>
              <w:t>)</w:t>
            </w:r>
          </w:p>
        </w:tc>
      </w:tr>
      <w:tr w:rsidR="00540A99" w:rsidRPr="002643DE" w14:paraId="5AF16380" w14:textId="77777777" w:rsidTr="004078DA">
        <w:trPr>
          <w:trHeight w:val="290"/>
        </w:trPr>
        <w:tc>
          <w:tcPr>
            <w:tcW w:w="1250" w:type="pct"/>
            <w:noWrap/>
            <w:hideMark/>
          </w:tcPr>
          <w:p w14:paraId="1C7C4754" w14:textId="77777777" w:rsidR="00540A99" w:rsidRPr="006457E7" w:rsidRDefault="00540A99" w:rsidP="006457E7">
            <w:pPr>
              <w:pStyle w:val="TableBody"/>
            </w:pPr>
            <w:r w:rsidRPr="006457E7">
              <w:t>Prison sentence longer than time served</w:t>
            </w:r>
          </w:p>
        </w:tc>
        <w:tc>
          <w:tcPr>
            <w:tcW w:w="1250" w:type="pct"/>
            <w:noWrap/>
            <w:hideMark/>
          </w:tcPr>
          <w:p w14:paraId="66C91D9B" w14:textId="0E619B40" w:rsidR="00540A99" w:rsidRPr="00116306" w:rsidRDefault="00540A99" w:rsidP="00116306">
            <w:pPr>
              <w:pStyle w:val="TableBody"/>
            </w:pPr>
            <w:r w:rsidRPr="00116306">
              <w:t>269</w:t>
            </w:r>
            <w:r>
              <w:t xml:space="preserve"> (</w:t>
            </w:r>
            <w:r w:rsidRPr="00116306">
              <w:t>40%</w:t>
            </w:r>
            <w:r>
              <w:t>)</w:t>
            </w:r>
          </w:p>
        </w:tc>
        <w:tc>
          <w:tcPr>
            <w:tcW w:w="1250" w:type="pct"/>
            <w:noWrap/>
            <w:hideMark/>
          </w:tcPr>
          <w:p w14:paraId="4C81B713" w14:textId="6136362A" w:rsidR="00540A99" w:rsidRPr="00116306" w:rsidRDefault="00540A99" w:rsidP="00116306">
            <w:pPr>
              <w:pStyle w:val="TableBody"/>
            </w:pPr>
            <w:r w:rsidRPr="00116306">
              <w:t>121</w:t>
            </w:r>
            <w:r>
              <w:t xml:space="preserve"> (</w:t>
            </w:r>
            <w:r w:rsidRPr="00116306">
              <w:t>34%</w:t>
            </w:r>
            <w:r>
              <w:t>)</w:t>
            </w:r>
          </w:p>
        </w:tc>
        <w:tc>
          <w:tcPr>
            <w:tcW w:w="1250" w:type="pct"/>
            <w:noWrap/>
            <w:hideMark/>
          </w:tcPr>
          <w:p w14:paraId="27591FBB" w14:textId="55B2D166" w:rsidR="00540A99" w:rsidRPr="00116306" w:rsidRDefault="00540A99" w:rsidP="00116306">
            <w:pPr>
              <w:pStyle w:val="TableBody"/>
            </w:pPr>
            <w:r w:rsidRPr="00116306">
              <w:t>39</w:t>
            </w:r>
            <w:r>
              <w:t xml:space="preserve"> (</w:t>
            </w:r>
            <w:r w:rsidRPr="00116306">
              <w:t>39%</w:t>
            </w:r>
            <w:r>
              <w:t>)</w:t>
            </w:r>
          </w:p>
        </w:tc>
      </w:tr>
      <w:tr w:rsidR="00540A99" w:rsidRPr="002643DE" w14:paraId="08EAFCBA" w14:textId="77777777" w:rsidTr="004078DA">
        <w:trPr>
          <w:trHeight w:val="290"/>
        </w:trPr>
        <w:tc>
          <w:tcPr>
            <w:tcW w:w="1250" w:type="pct"/>
            <w:noWrap/>
            <w:hideMark/>
          </w:tcPr>
          <w:p w14:paraId="7982FA64" w14:textId="77777777" w:rsidR="00540A99" w:rsidRPr="008E1B24" w:rsidRDefault="00540A99" w:rsidP="006457E7">
            <w:pPr>
              <w:pStyle w:val="TableBody"/>
              <w:rPr>
                <w:rStyle w:val="Strong"/>
              </w:rPr>
            </w:pPr>
            <w:r w:rsidRPr="008E1B24">
              <w:rPr>
                <w:rStyle w:val="Strong"/>
              </w:rPr>
              <w:t>Total</w:t>
            </w:r>
          </w:p>
        </w:tc>
        <w:tc>
          <w:tcPr>
            <w:tcW w:w="1250" w:type="pct"/>
            <w:noWrap/>
            <w:hideMark/>
          </w:tcPr>
          <w:p w14:paraId="30CCC6D0" w14:textId="55131712" w:rsidR="00540A99" w:rsidRPr="008E1B24" w:rsidRDefault="00540A99" w:rsidP="00113200">
            <w:pPr>
              <w:pStyle w:val="TableBody"/>
              <w:rPr>
                <w:rStyle w:val="Strong"/>
              </w:rPr>
            </w:pPr>
            <w:r w:rsidRPr="008E1B24">
              <w:rPr>
                <w:rStyle w:val="Strong"/>
              </w:rPr>
              <w:t>680 (100%)</w:t>
            </w:r>
          </w:p>
        </w:tc>
        <w:tc>
          <w:tcPr>
            <w:tcW w:w="1250" w:type="pct"/>
            <w:noWrap/>
            <w:hideMark/>
          </w:tcPr>
          <w:p w14:paraId="3AF3F666" w14:textId="42076D47" w:rsidR="00540A99" w:rsidRPr="008E1B24" w:rsidRDefault="00540A99" w:rsidP="00116306">
            <w:pPr>
              <w:pStyle w:val="TableBody"/>
              <w:rPr>
                <w:rStyle w:val="Strong"/>
              </w:rPr>
            </w:pPr>
            <w:r w:rsidRPr="008E1B24">
              <w:rPr>
                <w:rStyle w:val="Strong"/>
              </w:rPr>
              <w:t>354 (100%)</w:t>
            </w:r>
          </w:p>
        </w:tc>
        <w:tc>
          <w:tcPr>
            <w:tcW w:w="1250" w:type="pct"/>
            <w:noWrap/>
            <w:hideMark/>
          </w:tcPr>
          <w:p w14:paraId="3C4082EB" w14:textId="19E00126" w:rsidR="00540A99" w:rsidRPr="008E1B24" w:rsidRDefault="00540A99" w:rsidP="00116306">
            <w:pPr>
              <w:pStyle w:val="TableBody"/>
              <w:rPr>
                <w:rStyle w:val="Strong"/>
              </w:rPr>
            </w:pPr>
            <w:r w:rsidRPr="008E1B24">
              <w:rPr>
                <w:rStyle w:val="Strong"/>
              </w:rPr>
              <w:t>100 (100%)</w:t>
            </w:r>
          </w:p>
        </w:tc>
      </w:tr>
    </w:tbl>
    <w:p w14:paraId="65CAA0D0" w14:textId="77777777" w:rsidR="005A3418" w:rsidRPr="00D36673" w:rsidRDefault="005A3418" w:rsidP="00F24F16">
      <w:pPr>
        <w:pStyle w:val="Numbered"/>
      </w:pPr>
      <w:r w:rsidRPr="00D36673">
        <w:t>Stakeholders also commented that prison sentences of one or two days’ duration were most likely to have resulted from a plea in a bail court, with offenders who had been remanded in custody pleading guilty and being released immediately.</w:t>
      </w:r>
      <w:r w:rsidRPr="00D36673">
        <w:rPr>
          <w:rStyle w:val="Superscript"/>
        </w:rPr>
        <w:footnoteReference w:id="157"/>
      </w:r>
    </w:p>
    <w:p w14:paraId="29883151" w14:textId="77777777" w:rsidR="005A3418" w:rsidRPr="00D36673" w:rsidRDefault="005A3418" w:rsidP="0086723D">
      <w:pPr>
        <w:pStyle w:val="Heading2"/>
      </w:pPr>
      <w:r w:rsidRPr="00D36673">
        <w:t>Sentencing in the higher courts</w:t>
      </w:r>
    </w:p>
    <w:p w14:paraId="68D8BD86" w14:textId="77777777" w:rsidR="005A3418" w:rsidRPr="00D36673" w:rsidRDefault="005A3418" w:rsidP="00F24F16">
      <w:pPr>
        <w:pStyle w:val="Numbered"/>
      </w:pPr>
      <w:r w:rsidRPr="00D36673">
        <w:t xml:space="preserve">In the higher courts, 521 threat offences were sentenced in 368 cases during the reference period. Many of these were threats to kill (72%). Of those 521 charges, 75% received an imprisonment term (Figure 17). Although threat to inflict serious injury carries a lower maximum penalty (five years’ imprisonment) than threat to kill (10 years’ imprisonment), slightly higher rates of prison sentences were actually imposed for threats to inflict serious injury. This could be because the sentences in those cases were </w:t>
      </w:r>
      <w:r w:rsidRPr="00D36673">
        <w:lastRenderedPageBreak/>
        <w:t xml:space="preserve">driven primarily by the co-sentenced offences. A threat offence was the principal proven offence in very few cases in the higher courts (48 of the 368 cases, 39 of which were threats to kill and nine of which were threats to inflict serious injury). </w:t>
      </w:r>
    </w:p>
    <w:p w14:paraId="5DEBBA5C" w14:textId="77777777" w:rsidR="005A3418" w:rsidRPr="00D36673" w:rsidRDefault="005A3418" w:rsidP="00F24F16">
      <w:pPr>
        <w:pStyle w:val="Numbered"/>
      </w:pPr>
      <w:r w:rsidRPr="00D36673">
        <w:t>Very few threat offences sentenced in the higher courts were committed by female offenders (39 of the 521 charges). Female threat offenders received imprisonment at a much lower rate (28%) than male threat offenders (79%).</w:t>
      </w:r>
      <w:r w:rsidRPr="00D36673">
        <w:rPr>
          <w:rStyle w:val="Superscript"/>
        </w:rPr>
        <w:footnoteReference w:id="158"/>
      </w:r>
      <w:r w:rsidRPr="00D36673">
        <w:t xml:space="preserve"> Higher courts data does not include a family violence indicator. </w:t>
      </w:r>
    </w:p>
    <w:p w14:paraId="37593EDA" w14:textId="77777777" w:rsidR="005A3418" w:rsidRPr="00D36673" w:rsidRDefault="005A3418" w:rsidP="00711AFB">
      <w:pPr>
        <w:pStyle w:val="Caption"/>
      </w:pPr>
      <w:r w:rsidRPr="00C9259E">
        <w:t>Figure 17:</w:t>
      </w:r>
      <w:r w:rsidRPr="00D36673">
        <w:t xml:space="preserve"> Sentencing outcomes for threat offences in the higher courts, by threat offence type, 2015 to 2019</w:t>
      </w:r>
      <w:r w:rsidRPr="00D36673">
        <w:rPr>
          <w:rStyle w:val="Superscript"/>
        </w:rPr>
        <w:footnoteReference w:id="159"/>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4237A9" w:rsidRPr="007924D5" w14:paraId="31499D34" w14:textId="77777777" w:rsidTr="00AD771B">
        <w:trPr>
          <w:trHeight w:val="1160"/>
          <w:tblHeader/>
        </w:trPr>
        <w:tc>
          <w:tcPr>
            <w:tcW w:w="1000" w:type="pct"/>
            <w:noWrap/>
            <w:hideMark/>
          </w:tcPr>
          <w:p w14:paraId="27F7C267" w14:textId="22525125" w:rsidR="004237A9" w:rsidRPr="007924D5" w:rsidRDefault="004237A9" w:rsidP="007924D5">
            <w:pPr>
              <w:pStyle w:val="TableHeading"/>
            </w:pPr>
            <w:r>
              <w:t>Sentencing outcome</w:t>
            </w:r>
          </w:p>
        </w:tc>
        <w:tc>
          <w:tcPr>
            <w:tcW w:w="1000" w:type="pct"/>
            <w:hideMark/>
          </w:tcPr>
          <w:p w14:paraId="66E9BA7D" w14:textId="4DA27D44" w:rsidR="004237A9" w:rsidRPr="007924D5" w:rsidRDefault="004237A9" w:rsidP="007924D5">
            <w:pPr>
              <w:pStyle w:val="TableHeading"/>
            </w:pPr>
            <w:r w:rsidRPr="007924D5">
              <w:t>Threat to kill</w:t>
            </w:r>
            <w:r w:rsidR="00432654">
              <w:t xml:space="preserve"> </w:t>
            </w:r>
            <w:r w:rsidRPr="007924D5">
              <w:t>(377 charges)</w:t>
            </w:r>
          </w:p>
        </w:tc>
        <w:tc>
          <w:tcPr>
            <w:tcW w:w="1000" w:type="pct"/>
            <w:hideMark/>
          </w:tcPr>
          <w:p w14:paraId="2FA43BC8" w14:textId="383A725B" w:rsidR="004237A9" w:rsidRPr="007924D5" w:rsidRDefault="004237A9" w:rsidP="007924D5">
            <w:pPr>
              <w:pStyle w:val="TableHeading"/>
            </w:pPr>
            <w:r w:rsidRPr="007924D5">
              <w:t xml:space="preserve">Threat to </w:t>
            </w:r>
            <w:r w:rsidR="00946DB4">
              <w:t>inflict serious injury</w:t>
            </w:r>
            <w:r w:rsidRPr="007924D5">
              <w:t xml:space="preserve"> (120 charges)</w:t>
            </w:r>
          </w:p>
        </w:tc>
        <w:tc>
          <w:tcPr>
            <w:tcW w:w="1000" w:type="pct"/>
            <w:hideMark/>
          </w:tcPr>
          <w:p w14:paraId="4A96307C" w14:textId="0E3EF6D6" w:rsidR="004237A9" w:rsidRPr="007924D5" w:rsidRDefault="004237A9" w:rsidP="007924D5">
            <w:pPr>
              <w:pStyle w:val="TableHeading"/>
            </w:pPr>
            <w:r w:rsidRPr="007924D5">
              <w:t>Threat to destroy</w:t>
            </w:r>
            <w:r w:rsidR="005B76C4">
              <w:t xml:space="preserve"> or </w:t>
            </w:r>
            <w:r w:rsidRPr="007924D5">
              <w:t>damage property</w:t>
            </w:r>
            <w:r w:rsidR="00432654">
              <w:t xml:space="preserve"> </w:t>
            </w:r>
            <w:r w:rsidRPr="007924D5">
              <w:t>(12 charges)</w:t>
            </w:r>
          </w:p>
        </w:tc>
        <w:tc>
          <w:tcPr>
            <w:tcW w:w="1000" w:type="pct"/>
            <w:noWrap/>
            <w:hideMark/>
          </w:tcPr>
          <w:p w14:paraId="6479D768" w14:textId="494C8AC3" w:rsidR="004237A9" w:rsidRPr="007924D5" w:rsidRDefault="004237A9" w:rsidP="007924D5">
            <w:pPr>
              <w:pStyle w:val="TableHeading"/>
            </w:pPr>
            <w:r w:rsidRPr="007924D5">
              <w:t>Total (521 charges)</w:t>
            </w:r>
          </w:p>
        </w:tc>
      </w:tr>
      <w:tr w:rsidR="004237A9" w:rsidRPr="007924D5" w14:paraId="1B12D99F" w14:textId="77777777" w:rsidTr="00BE32FF">
        <w:trPr>
          <w:trHeight w:val="290"/>
        </w:trPr>
        <w:tc>
          <w:tcPr>
            <w:tcW w:w="1000" w:type="pct"/>
            <w:noWrap/>
            <w:hideMark/>
          </w:tcPr>
          <w:p w14:paraId="7020A75C" w14:textId="77777777" w:rsidR="004237A9" w:rsidRPr="007924D5" w:rsidRDefault="004237A9" w:rsidP="007924D5">
            <w:pPr>
              <w:pStyle w:val="TableBody"/>
            </w:pPr>
            <w:r w:rsidRPr="007924D5">
              <w:t>Imprisonment</w:t>
            </w:r>
          </w:p>
        </w:tc>
        <w:tc>
          <w:tcPr>
            <w:tcW w:w="1000" w:type="pct"/>
            <w:noWrap/>
            <w:hideMark/>
          </w:tcPr>
          <w:p w14:paraId="2FC15B99" w14:textId="77777777" w:rsidR="004237A9" w:rsidRPr="007924D5" w:rsidRDefault="004237A9" w:rsidP="007924D5">
            <w:pPr>
              <w:pStyle w:val="TableBody"/>
            </w:pPr>
            <w:r w:rsidRPr="007924D5">
              <w:t>284</w:t>
            </w:r>
          </w:p>
        </w:tc>
        <w:tc>
          <w:tcPr>
            <w:tcW w:w="1000" w:type="pct"/>
            <w:noWrap/>
            <w:hideMark/>
          </w:tcPr>
          <w:p w14:paraId="27E3DB12" w14:textId="77777777" w:rsidR="004237A9" w:rsidRPr="007924D5" w:rsidRDefault="004237A9" w:rsidP="007924D5">
            <w:pPr>
              <w:pStyle w:val="TableBody"/>
            </w:pPr>
            <w:r w:rsidRPr="007924D5">
              <w:t>92</w:t>
            </w:r>
          </w:p>
        </w:tc>
        <w:tc>
          <w:tcPr>
            <w:tcW w:w="1000" w:type="pct"/>
            <w:noWrap/>
            <w:hideMark/>
          </w:tcPr>
          <w:p w14:paraId="6B57F6E3" w14:textId="77777777" w:rsidR="004237A9" w:rsidRPr="007924D5" w:rsidRDefault="004237A9" w:rsidP="007924D5">
            <w:pPr>
              <w:pStyle w:val="TableBody"/>
            </w:pPr>
            <w:r w:rsidRPr="007924D5">
              <w:t>9</w:t>
            </w:r>
          </w:p>
        </w:tc>
        <w:tc>
          <w:tcPr>
            <w:tcW w:w="1000" w:type="pct"/>
            <w:noWrap/>
            <w:hideMark/>
          </w:tcPr>
          <w:p w14:paraId="34A4385B" w14:textId="77777777" w:rsidR="004237A9" w:rsidRPr="007924D5" w:rsidRDefault="004237A9" w:rsidP="007924D5">
            <w:pPr>
              <w:pStyle w:val="TableBody"/>
            </w:pPr>
            <w:r w:rsidRPr="007924D5">
              <w:t>390</w:t>
            </w:r>
          </w:p>
        </w:tc>
      </w:tr>
      <w:tr w:rsidR="004237A9" w:rsidRPr="007924D5" w14:paraId="27567CA2" w14:textId="77777777" w:rsidTr="00BE32FF">
        <w:trPr>
          <w:trHeight w:val="290"/>
        </w:trPr>
        <w:tc>
          <w:tcPr>
            <w:tcW w:w="1000" w:type="pct"/>
            <w:noWrap/>
            <w:hideMark/>
          </w:tcPr>
          <w:p w14:paraId="3D336514" w14:textId="77777777" w:rsidR="004237A9" w:rsidRPr="007924D5" w:rsidRDefault="004237A9" w:rsidP="007924D5">
            <w:pPr>
              <w:pStyle w:val="TableBody"/>
            </w:pPr>
            <w:r w:rsidRPr="007924D5">
              <w:t>Community correction order</w:t>
            </w:r>
          </w:p>
        </w:tc>
        <w:tc>
          <w:tcPr>
            <w:tcW w:w="1000" w:type="pct"/>
            <w:noWrap/>
            <w:hideMark/>
          </w:tcPr>
          <w:p w14:paraId="77B99292" w14:textId="77777777" w:rsidR="004237A9" w:rsidRPr="007924D5" w:rsidRDefault="004237A9" w:rsidP="007924D5">
            <w:pPr>
              <w:pStyle w:val="TableBody"/>
            </w:pPr>
            <w:r w:rsidRPr="007924D5">
              <w:t>36</w:t>
            </w:r>
          </w:p>
        </w:tc>
        <w:tc>
          <w:tcPr>
            <w:tcW w:w="1000" w:type="pct"/>
            <w:noWrap/>
            <w:hideMark/>
          </w:tcPr>
          <w:p w14:paraId="2538D0DE" w14:textId="77777777" w:rsidR="004237A9" w:rsidRPr="007924D5" w:rsidRDefault="004237A9" w:rsidP="007924D5">
            <w:pPr>
              <w:pStyle w:val="TableBody"/>
            </w:pPr>
            <w:r w:rsidRPr="007924D5">
              <w:t>19</w:t>
            </w:r>
          </w:p>
        </w:tc>
        <w:tc>
          <w:tcPr>
            <w:tcW w:w="1000" w:type="pct"/>
            <w:noWrap/>
            <w:hideMark/>
          </w:tcPr>
          <w:p w14:paraId="0FB1A8CC" w14:textId="77777777" w:rsidR="004237A9" w:rsidRPr="007924D5" w:rsidRDefault="004237A9" w:rsidP="007924D5">
            <w:pPr>
              <w:pStyle w:val="TableBody"/>
            </w:pPr>
            <w:r w:rsidRPr="007924D5">
              <w:t>3</w:t>
            </w:r>
          </w:p>
        </w:tc>
        <w:tc>
          <w:tcPr>
            <w:tcW w:w="1000" w:type="pct"/>
            <w:noWrap/>
            <w:hideMark/>
          </w:tcPr>
          <w:p w14:paraId="39846654" w14:textId="77777777" w:rsidR="004237A9" w:rsidRPr="007924D5" w:rsidRDefault="004237A9" w:rsidP="007924D5">
            <w:pPr>
              <w:pStyle w:val="TableBody"/>
            </w:pPr>
            <w:r w:rsidRPr="007924D5">
              <w:t>60</w:t>
            </w:r>
          </w:p>
        </w:tc>
      </w:tr>
      <w:tr w:rsidR="004237A9" w:rsidRPr="007924D5" w14:paraId="4720F683" w14:textId="77777777" w:rsidTr="00BE32FF">
        <w:trPr>
          <w:trHeight w:val="290"/>
        </w:trPr>
        <w:tc>
          <w:tcPr>
            <w:tcW w:w="1000" w:type="pct"/>
            <w:noWrap/>
            <w:hideMark/>
          </w:tcPr>
          <w:p w14:paraId="3BF81DB5" w14:textId="77777777" w:rsidR="004237A9" w:rsidRPr="007924D5" w:rsidRDefault="004237A9" w:rsidP="007924D5">
            <w:pPr>
              <w:pStyle w:val="TableBody"/>
            </w:pPr>
            <w:r w:rsidRPr="007924D5">
              <w:t>Fine</w:t>
            </w:r>
          </w:p>
        </w:tc>
        <w:tc>
          <w:tcPr>
            <w:tcW w:w="1000" w:type="pct"/>
            <w:noWrap/>
            <w:hideMark/>
          </w:tcPr>
          <w:p w14:paraId="38986DD7" w14:textId="33A69106" w:rsidR="004237A9" w:rsidRPr="007924D5" w:rsidRDefault="00D62CE9" w:rsidP="007924D5">
            <w:pPr>
              <w:pStyle w:val="TableBody"/>
            </w:pPr>
            <w:r>
              <w:t>–</w:t>
            </w:r>
          </w:p>
        </w:tc>
        <w:tc>
          <w:tcPr>
            <w:tcW w:w="1000" w:type="pct"/>
            <w:noWrap/>
            <w:hideMark/>
          </w:tcPr>
          <w:p w14:paraId="4ABA96B7" w14:textId="77777777" w:rsidR="004237A9" w:rsidRPr="007924D5" w:rsidRDefault="004237A9" w:rsidP="007924D5">
            <w:pPr>
              <w:pStyle w:val="TableBody"/>
            </w:pPr>
            <w:r w:rsidRPr="007924D5">
              <w:t>2</w:t>
            </w:r>
          </w:p>
        </w:tc>
        <w:tc>
          <w:tcPr>
            <w:tcW w:w="1000" w:type="pct"/>
            <w:noWrap/>
            <w:hideMark/>
          </w:tcPr>
          <w:p w14:paraId="7334BA80" w14:textId="2CBDA8E2" w:rsidR="004237A9" w:rsidRPr="007924D5" w:rsidRDefault="00D62CE9" w:rsidP="007924D5">
            <w:pPr>
              <w:pStyle w:val="TableBody"/>
            </w:pPr>
            <w:r>
              <w:t>–</w:t>
            </w:r>
          </w:p>
        </w:tc>
        <w:tc>
          <w:tcPr>
            <w:tcW w:w="1000" w:type="pct"/>
            <w:noWrap/>
            <w:hideMark/>
          </w:tcPr>
          <w:p w14:paraId="64590BA7" w14:textId="77777777" w:rsidR="004237A9" w:rsidRPr="007924D5" w:rsidRDefault="004237A9" w:rsidP="007924D5">
            <w:pPr>
              <w:pStyle w:val="TableBody"/>
            </w:pPr>
            <w:r w:rsidRPr="007924D5">
              <w:t>2</w:t>
            </w:r>
          </w:p>
        </w:tc>
      </w:tr>
      <w:tr w:rsidR="004237A9" w:rsidRPr="007924D5" w14:paraId="6EB450AA" w14:textId="77777777" w:rsidTr="00BE32FF">
        <w:trPr>
          <w:trHeight w:val="290"/>
        </w:trPr>
        <w:tc>
          <w:tcPr>
            <w:tcW w:w="1000" w:type="pct"/>
            <w:noWrap/>
            <w:hideMark/>
          </w:tcPr>
          <w:p w14:paraId="569DC832" w14:textId="77777777" w:rsidR="004237A9" w:rsidRPr="007924D5" w:rsidRDefault="004237A9" w:rsidP="007924D5">
            <w:pPr>
              <w:pStyle w:val="TableBody"/>
            </w:pPr>
            <w:r w:rsidRPr="007924D5">
              <w:t>Adjourned undertaking</w:t>
            </w:r>
          </w:p>
        </w:tc>
        <w:tc>
          <w:tcPr>
            <w:tcW w:w="1000" w:type="pct"/>
            <w:noWrap/>
            <w:hideMark/>
          </w:tcPr>
          <w:p w14:paraId="7E160060" w14:textId="77777777" w:rsidR="004237A9" w:rsidRPr="007924D5" w:rsidRDefault="004237A9" w:rsidP="007924D5">
            <w:pPr>
              <w:pStyle w:val="TableBody"/>
            </w:pPr>
            <w:r w:rsidRPr="007924D5">
              <w:t>4</w:t>
            </w:r>
          </w:p>
        </w:tc>
        <w:tc>
          <w:tcPr>
            <w:tcW w:w="1000" w:type="pct"/>
            <w:noWrap/>
            <w:hideMark/>
          </w:tcPr>
          <w:p w14:paraId="2D195764" w14:textId="18165B6A" w:rsidR="004237A9" w:rsidRPr="007924D5" w:rsidRDefault="00D62CE9" w:rsidP="007924D5">
            <w:pPr>
              <w:pStyle w:val="TableBody"/>
            </w:pPr>
            <w:r>
              <w:t>–</w:t>
            </w:r>
          </w:p>
        </w:tc>
        <w:tc>
          <w:tcPr>
            <w:tcW w:w="1000" w:type="pct"/>
            <w:noWrap/>
            <w:hideMark/>
          </w:tcPr>
          <w:p w14:paraId="403A5C30" w14:textId="0304A27F" w:rsidR="004237A9" w:rsidRPr="007924D5" w:rsidRDefault="00D62CE9" w:rsidP="007924D5">
            <w:pPr>
              <w:pStyle w:val="TableBody"/>
            </w:pPr>
            <w:r>
              <w:t>–</w:t>
            </w:r>
          </w:p>
        </w:tc>
        <w:tc>
          <w:tcPr>
            <w:tcW w:w="1000" w:type="pct"/>
            <w:noWrap/>
            <w:hideMark/>
          </w:tcPr>
          <w:p w14:paraId="12555541" w14:textId="77777777" w:rsidR="004237A9" w:rsidRPr="007924D5" w:rsidRDefault="004237A9" w:rsidP="007924D5">
            <w:pPr>
              <w:pStyle w:val="TableBody"/>
            </w:pPr>
            <w:r w:rsidRPr="007924D5">
              <w:t>4</w:t>
            </w:r>
          </w:p>
        </w:tc>
      </w:tr>
      <w:tr w:rsidR="004237A9" w:rsidRPr="007924D5" w14:paraId="04CC6FAA" w14:textId="77777777" w:rsidTr="00BE32FF">
        <w:trPr>
          <w:trHeight w:val="290"/>
        </w:trPr>
        <w:tc>
          <w:tcPr>
            <w:tcW w:w="1000" w:type="pct"/>
            <w:noWrap/>
            <w:hideMark/>
          </w:tcPr>
          <w:p w14:paraId="1687707D" w14:textId="77777777" w:rsidR="004237A9" w:rsidRPr="007924D5" w:rsidRDefault="004237A9" w:rsidP="007924D5">
            <w:pPr>
              <w:pStyle w:val="TableBody"/>
            </w:pPr>
            <w:r w:rsidRPr="007924D5">
              <w:t>Other</w:t>
            </w:r>
          </w:p>
        </w:tc>
        <w:tc>
          <w:tcPr>
            <w:tcW w:w="1000" w:type="pct"/>
            <w:noWrap/>
            <w:hideMark/>
          </w:tcPr>
          <w:p w14:paraId="64F32015" w14:textId="77777777" w:rsidR="004237A9" w:rsidRPr="007924D5" w:rsidRDefault="004237A9" w:rsidP="007924D5">
            <w:pPr>
              <w:pStyle w:val="TableBody"/>
            </w:pPr>
            <w:r w:rsidRPr="007924D5">
              <w:t>53</w:t>
            </w:r>
          </w:p>
        </w:tc>
        <w:tc>
          <w:tcPr>
            <w:tcW w:w="1000" w:type="pct"/>
            <w:noWrap/>
            <w:hideMark/>
          </w:tcPr>
          <w:p w14:paraId="5E22BA11" w14:textId="77777777" w:rsidR="004237A9" w:rsidRPr="007924D5" w:rsidRDefault="004237A9" w:rsidP="007924D5">
            <w:pPr>
              <w:pStyle w:val="TableBody"/>
            </w:pPr>
            <w:r w:rsidRPr="007924D5">
              <w:t>7</w:t>
            </w:r>
          </w:p>
        </w:tc>
        <w:tc>
          <w:tcPr>
            <w:tcW w:w="1000" w:type="pct"/>
            <w:noWrap/>
            <w:hideMark/>
          </w:tcPr>
          <w:p w14:paraId="7549025A" w14:textId="63DAA50C" w:rsidR="004237A9" w:rsidRPr="007924D5" w:rsidRDefault="00D62CE9" w:rsidP="007924D5">
            <w:pPr>
              <w:pStyle w:val="TableBody"/>
            </w:pPr>
            <w:r>
              <w:t>–</w:t>
            </w:r>
          </w:p>
        </w:tc>
        <w:tc>
          <w:tcPr>
            <w:tcW w:w="1000" w:type="pct"/>
            <w:noWrap/>
            <w:hideMark/>
          </w:tcPr>
          <w:p w14:paraId="5C2B50ED" w14:textId="77777777" w:rsidR="004237A9" w:rsidRPr="007924D5" w:rsidRDefault="004237A9" w:rsidP="007924D5">
            <w:pPr>
              <w:pStyle w:val="TableBody"/>
            </w:pPr>
            <w:r w:rsidRPr="007924D5">
              <w:t>65</w:t>
            </w:r>
          </w:p>
        </w:tc>
      </w:tr>
    </w:tbl>
    <w:p w14:paraId="5663C77C" w14:textId="77777777" w:rsidR="005A3418" w:rsidRPr="00D36673" w:rsidRDefault="005A3418" w:rsidP="00F67BC8">
      <w:pPr>
        <w:pStyle w:val="Heading3"/>
      </w:pPr>
      <w:r w:rsidRPr="00D36673">
        <w:t>Length of imprisonment terms: charge level</w:t>
      </w:r>
    </w:p>
    <w:p w14:paraId="4CE8B7F0" w14:textId="77777777" w:rsidR="005A3418" w:rsidRPr="00D36673" w:rsidRDefault="005A3418" w:rsidP="00F24F16">
      <w:pPr>
        <w:pStyle w:val="Numbered"/>
      </w:pPr>
      <w:r w:rsidRPr="00D36673">
        <w:t xml:space="preserve">Aggregate sentences were much less common in the higher courts than in the Magistrates’ Court: 19% of prison sentences imposed in the higher courts for threat offences were part of an aggregate sentence. During the reference period, 316 threat offences received non-aggregate imprisonment terms (241 </w:t>
      </w:r>
      <w:r w:rsidRPr="00D36673">
        <w:lastRenderedPageBreak/>
        <w:t>threats to kill, 65 threats to inflict serious injury, and 10 other threat offences).</w:t>
      </w:r>
      <w:r w:rsidRPr="00D36673">
        <w:rPr>
          <w:rStyle w:val="Superscript"/>
        </w:rPr>
        <w:footnoteReference w:id="160"/>
      </w:r>
      <w:r w:rsidRPr="00D36673">
        <w:t xml:space="preserve"> </w:t>
      </w:r>
    </w:p>
    <w:p w14:paraId="16E54E81" w14:textId="5B6E3577" w:rsidR="005A3418" w:rsidRPr="00D36673" w:rsidRDefault="005A3418" w:rsidP="00F24F16">
      <w:pPr>
        <w:pStyle w:val="Numbered"/>
      </w:pPr>
      <w:r w:rsidRPr="00D36673">
        <w:t xml:space="preserve">Given how few threat offences were the principal proven offence in the higher courts, there is little utility in analysing the total effective sentence lengths imposed. There are, however, a sufficient number of </w:t>
      </w:r>
      <w:r w:rsidRPr="00A24E18">
        <w:rPr>
          <w:rStyle w:val="Emphasis"/>
        </w:rPr>
        <w:t xml:space="preserve">charges </w:t>
      </w:r>
      <w:r w:rsidRPr="00D36673">
        <w:t>to examine charge-level non-aggregate sentence lengths (Figure 18). Prison sentences for threat to inflict serious injury ranged from two months to 45 months, with an average of 12 months. And prison sentences for threat to kill ranged from one month to 48 months, with an average of 14 months. Unlike the prison sentence lengths for threats to inflict serious injury and threats to kill in the Magistrates’ Court, where the two offences received quite similar sentences, the prison sentence lengths for offences in the higher courts were more clearly delineated. Threats to kill received slightly longer prison sentences than threats to inflict serious injury: 59% of threats to kill resulted in imprisonment terms of 12 months or longer, compared to 48% of threats to inflict serious injury.</w:t>
      </w:r>
    </w:p>
    <w:p w14:paraId="760155F2" w14:textId="77777777" w:rsidR="005A3418" w:rsidRPr="00D36673" w:rsidRDefault="005A3418" w:rsidP="00711AFB">
      <w:pPr>
        <w:pStyle w:val="Caption"/>
      </w:pPr>
      <w:r w:rsidRPr="00C9259E">
        <w:t xml:space="preserve">Figure 18: </w:t>
      </w:r>
      <w:r w:rsidRPr="00D36673">
        <w:t>Distribution of non-aggregate imprisonment terms for threat to kill and threat to inflict serious injury, higher courts, 2015 to 2019</w:t>
      </w:r>
    </w:p>
    <w:tbl>
      <w:tblPr>
        <w:tblStyle w:val="Table"/>
        <w:tblW w:w="5000" w:type="pct"/>
        <w:tblLook w:val="04A0" w:firstRow="1" w:lastRow="0" w:firstColumn="1" w:lastColumn="0" w:noHBand="0" w:noVBand="1"/>
      </w:tblPr>
      <w:tblGrid>
        <w:gridCol w:w="3686"/>
        <w:gridCol w:w="2665"/>
        <w:gridCol w:w="2665"/>
      </w:tblGrid>
      <w:tr w:rsidR="00D015AC" w:rsidRPr="00D015AC" w14:paraId="689F41A3" w14:textId="77777777" w:rsidTr="002A0885">
        <w:trPr>
          <w:trHeight w:val="454"/>
          <w:tblHeader/>
        </w:trPr>
        <w:tc>
          <w:tcPr>
            <w:tcW w:w="1666" w:type="pct"/>
            <w:noWrap/>
            <w:hideMark/>
          </w:tcPr>
          <w:p w14:paraId="1D71BDAF" w14:textId="774260E5" w:rsidR="00D015AC" w:rsidRPr="00BB58C6" w:rsidRDefault="00CE5746" w:rsidP="00BB58C6">
            <w:pPr>
              <w:pStyle w:val="TableHeading"/>
            </w:pPr>
            <w:r w:rsidRPr="00BB58C6">
              <w:rPr>
                <w:rStyle w:val="Strong"/>
                <w:b/>
                <w:bCs w:val="0"/>
              </w:rPr>
              <w:t>Imprisonment length</w:t>
            </w:r>
          </w:p>
        </w:tc>
        <w:tc>
          <w:tcPr>
            <w:tcW w:w="1667" w:type="pct"/>
            <w:hideMark/>
          </w:tcPr>
          <w:p w14:paraId="2F86ADA7" w14:textId="612645B8" w:rsidR="00D015AC" w:rsidRPr="00BB58C6" w:rsidRDefault="00D015AC" w:rsidP="00BB58C6">
            <w:pPr>
              <w:pStyle w:val="TableHeading"/>
            </w:pPr>
            <w:r w:rsidRPr="00BB58C6">
              <w:t>Threat to kill</w:t>
            </w:r>
            <w:r w:rsidRPr="00BB58C6">
              <w:rPr>
                <w:rStyle w:val="Strong"/>
                <w:b/>
                <w:bCs w:val="0"/>
              </w:rPr>
              <w:t xml:space="preserve"> </w:t>
            </w:r>
            <w:r w:rsidRPr="00BB58C6">
              <w:t>(241 charges)</w:t>
            </w:r>
          </w:p>
        </w:tc>
        <w:tc>
          <w:tcPr>
            <w:tcW w:w="1667" w:type="pct"/>
            <w:hideMark/>
          </w:tcPr>
          <w:p w14:paraId="5CC0B9A8" w14:textId="005C2064" w:rsidR="00D015AC" w:rsidRPr="00BB58C6" w:rsidRDefault="00D015AC" w:rsidP="00BB58C6">
            <w:pPr>
              <w:pStyle w:val="TableHeading"/>
            </w:pPr>
            <w:r w:rsidRPr="00BB58C6">
              <w:t>Threat to seriously injure</w:t>
            </w:r>
            <w:r w:rsidRPr="00BB58C6">
              <w:rPr>
                <w:rStyle w:val="Strong"/>
                <w:b/>
                <w:bCs w:val="0"/>
              </w:rPr>
              <w:t xml:space="preserve"> </w:t>
            </w:r>
            <w:r w:rsidRPr="00BB58C6">
              <w:t>(65 charges)</w:t>
            </w:r>
          </w:p>
        </w:tc>
      </w:tr>
      <w:tr w:rsidR="00D015AC" w:rsidRPr="00D015AC" w14:paraId="6D2BB02B" w14:textId="77777777" w:rsidTr="004E2811">
        <w:trPr>
          <w:trHeight w:val="290"/>
        </w:trPr>
        <w:tc>
          <w:tcPr>
            <w:tcW w:w="1666" w:type="pct"/>
            <w:noWrap/>
            <w:hideMark/>
          </w:tcPr>
          <w:p w14:paraId="40A601BA" w14:textId="77777777" w:rsidR="00D015AC" w:rsidRPr="00D015AC" w:rsidRDefault="00D015AC" w:rsidP="00D015AC">
            <w:pPr>
              <w:pStyle w:val="TableBody"/>
            </w:pPr>
            <w:r w:rsidRPr="00D015AC">
              <w:t>Less than 6 months</w:t>
            </w:r>
          </w:p>
        </w:tc>
        <w:tc>
          <w:tcPr>
            <w:tcW w:w="1667" w:type="pct"/>
            <w:noWrap/>
            <w:hideMark/>
          </w:tcPr>
          <w:p w14:paraId="3B9D0B8C" w14:textId="77777777" w:rsidR="00D015AC" w:rsidRPr="00D015AC" w:rsidRDefault="00D015AC" w:rsidP="00D015AC">
            <w:pPr>
              <w:pStyle w:val="TableBody"/>
            </w:pPr>
            <w:r w:rsidRPr="00D015AC">
              <w:t>31</w:t>
            </w:r>
          </w:p>
        </w:tc>
        <w:tc>
          <w:tcPr>
            <w:tcW w:w="1667" w:type="pct"/>
            <w:noWrap/>
            <w:hideMark/>
          </w:tcPr>
          <w:p w14:paraId="12D0BE92" w14:textId="77777777" w:rsidR="00D015AC" w:rsidRPr="00D015AC" w:rsidRDefault="00D015AC" w:rsidP="00D015AC">
            <w:pPr>
              <w:pStyle w:val="TableBody"/>
            </w:pPr>
            <w:r w:rsidRPr="00D015AC">
              <w:t>11</w:t>
            </w:r>
          </w:p>
        </w:tc>
      </w:tr>
      <w:tr w:rsidR="00D015AC" w:rsidRPr="00D015AC" w14:paraId="28721BFF" w14:textId="77777777" w:rsidTr="004E2811">
        <w:trPr>
          <w:trHeight w:val="290"/>
        </w:trPr>
        <w:tc>
          <w:tcPr>
            <w:tcW w:w="1666" w:type="pct"/>
            <w:noWrap/>
            <w:hideMark/>
          </w:tcPr>
          <w:p w14:paraId="40124640" w14:textId="77777777" w:rsidR="00D015AC" w:rsidRPr="00D015AC" w:rsidRDefault="00D015AC" w:rsidP="00D015AC">
            <w:pPr>
              <w:pStyle w:val="TableBody"/>
            </w:pPr>
            <w:r w:rsidRPr="00D015AC">
              <w:t>6 months to less than 12 months</w:t>
            </w:r>
          </w:p>
        </w:tc>
        <w:tc>
          <w:tcPr>
            <w:tcW w:w="1667" w:type="pct"/>
            <w:noWrap/>
            <w:hideMark/>
          </w:tcPr>
          <w:p w14:paraId="181DDCFE" w14:textId="77777777" w:rsidR="00D015AC" w:rsidRPr="00D015AC" w:rsidRDefault="00D015AC" w:rsidP="00D015AC">
            <w:pPr>
              <w:pStyle w:val="TableBody"/>
            </w:pPr>
            <w:r w:rsidRPr="00D015AC">
              <w:t>67</w:t>
            </w:r>
          </w:p>
        </w:tc>
        <w:tc>
          <w:tcPr>
            <w:tcW w:w="1667" w:type="pct"/>
            <w:noWrap/>
            <w:hideMark/>
          </w:tcPr>
          <w:p w14:paraId="4CB3CAA6" w14:textId="77777777" w:rsidR="00D015AC" w:rsidRPr="00D015AC" w:rsidRDefault="00D015AC" w:rsidP="00D015AC">
            <w:pPr>
              <w:pStyle w:val="TableBody"/>
            </w:pPr>
            <w:r w:rsidRPr="00D015AC">
              <w:t>23</w:t>
            </w:r>
          </w:p>
        </w:tc>
      </w:tr>
      <w:tr w:rsidR="00D015AC" w:rsidRPr="00D015AC" w14:paraId="10AE7D2C" w14:textId="77777777" w:rsidTr="004E2811">
        <w:trPr>
          <w:trHeight w:val="290"/>
        </w:trPr>
        <w:tc>
          <w:tcPr>
            <w:tcW w:w="1666" w:type="pct"/>
            <w:noWrap/>
            <w:hideMark/>
          </w:tcPr>
          <w:p w14:paraId="3CA8C95F" w14:textId="77777777" w:rsidR="00D015AC" w:rsidRPr="00D015AC" w:rsidRDefault="00D015AC" w:rsidP="00D015AC">
            <w:pPr>
              <w:pStyle w:val="TableBody"/>
            </w:pPr>
            <w:r w:rsidRPr="00D015AC">
              <w:t>12 months to less than 18 months</w:t>
            </w:r>
          </w:p>
        </w:tc>
        <w:tc>
          <w:tcPr>
            <w:tcW w:w="1667" w:type="pct"/>
            <w:noWrap/>
            <w:hideMark/>
          </w:tcPr>
          <w:p w14:paraId="32422325" w14:textId="77777777" w:rsidR="00D015AC" w:rsidRPr="00D015AC" w:rsidRDefault="00D015AC" w:rsidP="00D015AC">
            <w:pPr>
              <w:pStyle w:val="TableBody"/>
            </w:pPr>
            <w:r w:rsidRPr="00D015AC">
              <w:t>67</w:t>
            </w:r>
          </w:p>
        </w:tc>
        <w:tc>
          <w:tcPr>
            <w:tcW w:w="1667" w:type="pct"/>
            <w:noWrap/>
            <w:hideMark/>
          </w:tcPr>
          <w:p w14:paraId="2E4B0FEB" w14:textId="77777777" w:rsidR="00D015AC" w:rsidRPr="00D015AC" w:rsidRDefault="00D015AC" w:rsidP="00D015AC">
            <w:pPr>
              <w:pStyle w:val="TableBody"/>
            </w:pPr>
            <w:r w:rsidRPr="00D015AC">
              <w:t>15</w:t>
            </w:r>
          </w:p>
        </w:tc>
      </w:tr>
      <w:tr w:rsidR="00D015AC" w:rsidRPr="00D015AC" w14:paraId="38B0E440" w14:textId="77777777" w:rsidTr="004E2811">
        <w:trPr>
          <w:trHeight w:val="290"/>
        </w:trPr>
        <w:tc>
          <w:tcPr>
            <w:tcW w:w="1666" w:type="pct"/>
            <w:noWrap/>
            <w:hideMark/>
          </w:tcPr>
          <w:p w14:paraId="1104A973" w14:textId="77777777" w:rsidR="00D015AC" w:rsidRPr="00D015AC" w:rsidRDefault="00D015AC" w:rsidP="00D015AC">
            <w:pPr>
              <w:pStyle w:val="TableBody"/>
            </w:pPr>
            <w:r w:rsidRPr="00D015AC">
              <w:t>18 months to less than 24 months</w:t>
            </w:r>
          </w:p>
        </w:tc>
        <w:tc>
          <w:tcPr>
            <w:tcW w:w="1667" w:type="pct"/>
            <w:noWrap/>
            <w:hideMark/>
          </w:tcPr>
          <w:p w14:paraId="7AE5578C" w14:textId="77777777" w:rsidR="00D015AC" w:rsidRPr="00D015AC" w:rsidRDefault="00D015AC" w:rsidP="00D015AC">
            <w:pPr>
              <w:pStyle w:val="TableBody"/>
            </w:pPr>
            <w:r w:rsidRPr="00D015AC">
              <w:t>28</w:t>
            </w:r>
          </w:p>
        </w:tc>
        <w:tc>
          <w:tcPr>
            <w:tcW w:w="1667" w:type="pct"/>
            <w:noWrap/>
            <w:hideMark/>
          </w:tcPr>
          <w:p w14:paraId="4B5C8D98" w14:textId="77777777" w:rsidR="00D015AC" w:rsidRPr="00D015AC" w:rsidRDefault="00D015AC" w:rsidP="00D015AC">
            <w:pPr>
              <w:pStyle w:val="TableBody"/>
            </w:pPr>
            <w:r w:rsidRPr="00D015AC">
              <w:t>8</w:t>
            </w:r>
          </w:p>
        </w:tc>
      </w:tr>
      <w:tr w:rsidR="00D015AC" w:rsidRPr="00D015AC" w14:paraId="4747A813" w14:textId="77777777" w:rsidTr="004E2811">
        <w:trPr>
          <w:trHeight w:val="290"/>
        </w:trPr>
        <w:tc>
          <w:tcPr>
            <w:tcW w:w="1666" w:type="pct"/>
            <w:noWrap/>
            <w:hideMark/>
          </w:tcPr>
          <w:p w14:paraId="75313188" w14:textId="77777777" w:rsidR="00D015AC" w:rsidRPr="00D015AC" w:rsidRDefault="00D015AC" w:rsidP="00D015AC">
            <w:pPr>
              <w:pStyle w:val="TableBody"/>
            </w:pPr>
            <w:r w:rsidRPr="00D015AC">
              <w:t>24 months to less than 30 months</w:t>
            </w:r>
          </w:p>
        </w:tc>
        <w:tc>
          <w:tcPr>
            <w:tcW w:w="1667" w:type="pct"/>
            <w:noWrap/>
            <w:hideMark/>
          </w:tcPr>
          <w:p w14:paraId="7B4616C7" w14:textId="77777777" w:rsidR="00D015AC" w:rsidRPr="00D015AC" w:rsidRDefault="00D015AC" w:rsidP="00D015AC">
            <w:pPr>
              <w:pStyle w:val="TableBody"/>
            </w:pPr>
            <w:r w:rsidRPr="00D015AC">
              <w:t>33</w:t>
            </w:r>
          </w:p>
        </w:tc>
        <w:tc>
          <w:tcPr>
            <w:tcW w:w="1667" w:type="pct"/>
            <w:noWrap/>
            <w:hideMark/>
          </w:tcPr>
          <w:p w14:paraId="4AE4D18B" w14:textId="77777777" w:rsidR="00D015AC" w:rsidRPr="00D015AC" w:rsidRDefault="00D015AC" w:rsidP="00D015AC">
            <w:pPr>
              <w:pStyle w:val="TableBody"/>
            </w:pPr>
            <w:r w:rsidRPr="00D015AC">
              <w:t>4</w:t>
            </w:r>
          </w:p>
        </w:tc>
      </w:tr>
      <w:tr w:rsidR="00D015AC" w:rsidRPr="00D015AC" w14:paraId="2DD8BECA" w14:textId="77777777" w:rsidTr="004E2811">
        <w:trPr>
          <w:trHeight w:val="290"/>
        </w:trPr>
        <w:tc>
          <w:tcPr>
            <w:tcW w:w="1666" w:type="pct"/>
            <w:noWrap/>
            <w:hideMark/>
          </w:tcPr>
          <w:p w14:paraId="2307ADEE" w14:textId="77777777" w:rsidR="00D015AC" w:rsidRPr="00D015AC" w:rsidRDefault="00D015AC" w:rsidP="00D015AC">
            <w:pPr>
              <w:pStyle w:val="TableBody"/>
            </w:pPr>
            <w:r w:rsidRPr="00D015AC">
              <w:t>30 months or more</w:t>
            </w:r>
          </w:p>
        </w:tc>
        <w:tc>
          <w:tcPr>
            <w:tcW w:w="1667" w:type="pct"/>
            <w:noWrap/>
            <w:hideMark/>
          </w:tcPr>
          <w:p w14:paraId="78A852CF" w14:textId="77777777" w:rsidR="00D015AC" w:rsidRPr="00D015AC" w:rsidRDefault="00D015AC" w:rsidP="00D015AC">
            <w:pPr>
              <w:pStyle w:val="TableBody"/>
            </w:pPr>
            <w:r w:rsidRPr="00D015AC">
              <w:t>15</w:t>
            </w:r>
          </w:p>
        </w:tc>
        <w:tc>
          <w:tcPr>
            <w:tcW w:w="1667" w:type="pct"/>
            <w:noWrap/>
            <w:hideMark/>
          </w:tcPr>
          <w:p w14:paraId="6C7DB6BF" w14:textId="77777777" w:rsidR="00D015AC" w:rsidRPr="00D015AC" w:rsidRDefault="00D015AC" w:rsidP="00D015AC">
            <w:pPr>
              <w:pStyle w:val="TableBody"/>
            </w:pPr>
            <w:r w:rsidRPr="00D015AC">
              <w:t>4</w:t>
            </w:r>
          </w:p>
        </w:tc>
      </w:tr>
    </w:tbl>
    <w:p w14:paraId="56A88694" w14:textId="77777777" w:rsidR="005A3418" w:rsidRPr="00D36673" w:rsidRDefault="005A3418" w:rsidP="0086723D">
      <w:pPr>
        <w:pStyle w:val="Heading2"/>
      </w:pPr>
      <w:r w:rsidRPr="00D36673">
        <w:lastRenderedPageBreak/>
        <w:t>Sentencing in the Children’s Court</w:t>
      </w:r>
    </w:p>
    <w:p w14:paraId="1A3FB455" w14:textId="07511BC1" w:rsidR="005A3418" w:rsidRPr="00D36673" w:rsidRDefault="005A3418" w:rsidP="00F24F16">
      <w:pPr>
        <w:pStyle w:val="Numbered"/>
      </w:pPr>
      <w:r w:rsidRPr="00D36673">
        <w:t xml:space="preserve">In the Children’s Court, 1,864 threat offences were sentenced in 1,255 cases. The threat offence was the principal proven offence in 300 of those cases. The most frequently imposed sentence was probation (514 charges or 28% of all threat offences). Custodial sentences were relatively infrequent (131 charges or 7%). Figure 19 shows the sentences imposed on each threat charge sentenced in the Children’s Court during the reference period. </w:t>
      </w:r>
    </w:p>
    <w:p w14:paraId="18F5EF2F" w14:textId="77777777" w:rsidR="005A3418" w:rsidRPr="00D36673" w:rsidRDefault="005A3418" w:rsidP="00711AFB">
      <w:pPr>
        <w:pStyle w:val="Caption"/>
      </w:pPr>
      <w:r w:rsidRPr="00C9259E">
        <w:t xml:space="preserve">Figure 19: </w:t>
      </w:r>
      <w:r w:rsidRPr="00D36673">
        <w:t>Sentence types imposed on charges of threat offences in the Children’s Court, by threat offence type, 2015 to 2019</w:t>
      </w:r>
      <w:r w:rsidRPr="00D36673">
        <w:rPr>
          <w:rStyle w:val="Superscript"/>
        </w:rPr>
        <w:footnoteReference w:id="161"/>
      </w:r>
    </w:p>
    <w:tbl>
      <w:tblPr>
        <w:tblStyle w:val="Table"/>
        <w:tblW w:w="5291" w:type="pct"/>
        <w:tblLayout w:type="fixed"/>
        <w:tblLook w:val="04A0" w:firstRow="1" w:lastRow="0" w:firstColumn="1" w:lastColumn="0" w:noHBand="0" w:noVBand="1"/>
      </w:tblPr>
      <w:tblGrid>
        <w:gridCol w:w="1645"/>
        <w:gridCol w:w="1292"/>
        <w:gridCol w:w="1288"/>
        <w:gridCol w:w="1288"/>
        <w:gridCol w:w="1471"/>
        <w:gridCol w:w="1288"/>
        <w:gridCol w:w="1269"/>
      </w:tblGrid>
      <w:tr w:rsidR="002A0885" w:rsidRPr="00E31158" w14:paraId="6FBAA201" w14:textId="77777777" w:rsidTr="002A0885">
        <w:trPr>
          <w:trHeight w:val="880"/>
          <w:tblHeader/>
        </w:trPr>
        <w:tc>
          <w:tcPr>
            <w:tcW w:w="862" w:type="pct"/>
            <w:noWrap/>
            <w:hideMark/>
          </w:tcPr>
          <w:p w14:paraId="09F11CA4" w14:textId="0818FAD8" w:rsidR="005F6116" w:rsidRPr="00E31158" w:rsidRDefault="005F6116" w:rsidP="008259A4">
            <w:pPr>
              <w:pStyle w:val="TableHeading"/>
            </w:pPr>
            <w:r>
              <w:t>Outcome</w:t>
            </w:r>
          </w:p>
        </w:tc>
        <w:tc>
          <w:tcPr>
            <w:tcW w:w="677" w:type="pct"/>
            <w:hideMark/>
          </w:tcPr>
          <w:p w14:paraId="01E46EB6" w14:textId="4723C2E4" w:rsidR="005F6116" w:rsidRPr="00E31158" w:rsidRDefault="005F6116" w:rsidP="008259A4">
            <w:pPr>
              <w:pStyle w:val="TableHeading"/>
            </w:pPr>
            <w:r w:rsidRPr="00E31158">
              <w:t>Threat to kill (761 charges)</w:t>
            </w:r>
          </w:p>
        </w:tc>
        <w:tc>
          <w:tcPr>
            <w:tcW w:w="675" w:type="pct"/>
            <w:hideMark/>
          </w:tcPr>
          <w:p w14:paraId="3377F943" w14:textId="2FA152BF" w:rsidR="005F6116" w:rsidRPr="00E31158" w:rsidRDefault="005F6116" w:rsidP="008259A4">
            <w:pPr>
              <w:pStyle w:val="TableHeading"/>
            </w:pPr>
            <w:r w:rsidRPr="00E31158">
              <w:t xml:space="preserve">Threat to </w:t>
            </w:r>
            <w:r w:rsidR="00240BAE">
              <w:t>inflict serious injury</w:t>
            </w:r>
            <w:r w:rsidRPr="00E31158">
              <w:t xml:space="preserve"> (861 charges)</w:t>
            </w:r>
          </w:p>
        </w:tc>
        <w:tc>
          <w:tcPr>
            <w:tcW w:w="675" w:type="pct"/>
            <w:hideMark/>
          </w:tcPr>
          <w:p w14:paraId="1CA23B36" w14:textId="6C669B92" w:rsidR="005F6116" w:rsidRPr="00E31158" w:rsidRDefault="005F6116" w:rsidP="008259A4">
            <w:pPr>
              <w:pStyle w:val="TableHeading"/>
            </w:pPr>
            <w:r w:rsidRPr="00E31158">
              <w:t>Threat to destroy</w:t>
            </w:r>
            <w:r w:rsidR="00405894">
              <w:t xml:space="preserve"> or </w:t>
            </w:r>
            <w:r w:rsidRPr="00E31158">
              <w:t>damage property (195 charges)</w:t>
            </w:r>
          </w:p>
        </w:tc>
        <w:tc>
          <w:tcPr>
            <w:tcW w:w="771" w:type="pct"/>
            <w:hideMark/>
          </w:tcPr>
          <w:p w14:paraId="16C6561E" w14:textId="1122041D" w:rsidR="005F6116" w:rsidRPr="00E31158" w:rsidRDefault="005F6116" w:rsidP="008259A4">
            <w:pPr>
              <w:pStyle w:val="TableHeading"/>
            </w:pPr>
            <w:r w:rsidRPr="00E31158">
              <w:t xml:space="preserve">Threat to assault </w:t>
            </w:r>
            <w:r w:rsidR="0027601E">
              <w:t xml:space="preserve">an </w:t>
            </w:r>
            <w:r w:rsidRPr="00E31158">
              <w:t>emergency worker (42 charges)</w:t>
            </w:r>
          </w:p>
        </w:tc>
        <w:tc>
          <w:tcPr>
            <w:tcW w:w="675" w:type="pct"/>
            <w:hideMark/>
          </w:tcPr>
          <w:p w14:paraId="51E28C06" w14:textId="7E5EB7B4" w:rsidR="005F6116" w:rsidRPr="00E31158" w:rsidRDefault="005F6116" w:rsidP="008259A4">
            <w:pPr>
              <w:pStyle w:val="TableHeading"/>
            </w:pPr>
            <w:r w:rsidRPr="00E31158">
              <w:t>Threat to commit a sexual offence (5 cases)</w:t>
            </w:r>
          </w:p>
        </w:tc>
        <w:tc>
          <w:tcPr>
            <w:tcW w:w="665" w:type="pct"/>
            <w:noWrap/>
            <w:hideMark/>
          </w:tcPr>
          <w:p w14:paraId="5F44DC0C" w14:textId="77777777" w:rsidR="005F6116" w:rsidRPr="00E31158" w:rsidRDefault="005F6116" w:rsidP="008259A4">
            <w:pPr>
              <w:pStyle w:val="TableHeading"/>
            </w:pPr>
            <w:r w:rsidRPr="00E31158">
              <w:t>Total (1,864 charges)</w:t>
            </w:r>
          </w:p>
        </w:tc>
      </w:tr>
      <w:tr w:rsidR="002A0885" w:rsidRPr="00E31158" w14:paraId="1157C248" w14:textId="77777777" w:rsidTr="002A0885">
        <w:trPr>
          <w:trHeight w:val="290"/>
        </w:trPr>
        <w:tc>
          <w:tcPr>
            <w:tcW w:w="862" w:type="pct"/>
            <w:noWrap/>
            <w:hideMark/>
          </w:tcPr>
          <w:p w14:paraId="65E604E9" w14:textId="77777777" w:rsidR="005F6116" w:rsidRPr="00E31158" w:rsidRDefault="005F6116" w:rsidP="008259A4">
            <w:pPr>
              <w:pStyle w:val="TableBody"/>
            </w:pPr>
            <w:r w:rsidRPr="00E31158">
              <w:t>Youth residential or justice centre order</w:t>
            </w:r>
          </w:p>
        </w:tc>
        <w:tc>
          <w:tcPr>
            <w:tcW w:w="677" w:type="pct"/>
            <w:noWrap/>
            <w:hideMark/>
          </w:tcPr>
          <w:p w14:paraId="445744EC" w14:textId="77777777" w:rsidR="005F6116" w:rsidRPr="00E31158" w:rsidRDefault="005F6116" w:rsidP="008259A4">
            <w:pPr>
              <w:pStyle w:val="TableBody"/>
            </w:pPr>
            <w:r w:rsidRPr="00E31158">
              <w:t>58</w:t>
            </w:r>
          </w:p>
        </w:tc>
        <w:tc>
          <w:tcPr>
            <w:tcW w:w="675" w:type="pct"/>
            <w:noWrap/>
            <w:hideMark/>
          </w:tcPr>
          <w:p w14:paraId="62FBE940" w14:textId="77777777" w:rsidR="005F6116" w:rsidRPr="00E31158" w:rsidRDefault="005F6116" w:rsidP="008259A4">
            <w:pPr>
              <w:pStyle w:val="TableBody"/>
            </w:pPr>
            <w:r w:rsidRPr="00E31158">
              <w:t>64</w:t>
            </w:r>
          </w:p>
        </w:tc>
        <w:tc>
          <w:tcPr>
            <w:tcW w:w="675" w:type="pct"/>
            <w:noWrap/>
            <w:hideMark/>
          </w:tcPr>
          <w:p w14:paraId="75301C15" w14:textId="77777777" w:rsidR="005F6116" w:rsidRPr="00E31158" w:rsidRDefault="005F6116" w:rsidP="008259A4">
            <w:pPr>
              <w:pStyle w:val="TableBody"/>
            </w:pPr>
            <w:r w:rsidRPr="00E31158">
              <w:t>4</w:t>
            </w:r>
          </w:p>
        </w:tc>
        <w:tc>
          <w:tcPr>
            <w:tcW w:w="771" w:type="pct"/>
            <w:noWrap/>
            <w:hideMark/>
          </w:tcPr>
          <w:p w14:paraId="51B237AE" w14:textId="77777777" w:rsidR="005F6116" w:rsidRPr="00E31158" w:rsidRDefault="005F6116" w:rsidP="008259A4">
            <w:pPr>
              <w:pStyle w:val="TableBody"/>
            </w:pPr>
            <w:r w:rsidRPr="00E31158">
              <w:t>5</w:t>
            </w:r>
          </w:p>
        </w:tc>
        <w:tc>
          <w:tcPr>
            <w:tcW w:w="675" w:type="pct"/>
            <w:noWrap/>
            <w:hideMark/>
          </w:tcPr>
          <w:p w14:paraId="3D0EF756" w14:textId="77777777" w:rsidR="005F6116" w:rsidRPr="00E31158" w:rsidRDefault="005F6116" w:rsidP="008259A4">
            <w:pPr>
              <w:pStyle w:val="TableBody"/>
            </w:pPr>
            <w:r w:rsidRPr="00E31158">
              <w:t>0</w:t>
            </w:r>
          </w:p>
        </w:tc>
        <w:tc>
          <w:tcPr>
            <w:tcW w:w="665" w:type="pct"/>
            <w:noWrap/>
            <w:hideMark/>
          </w:tcPr>
          <w:p w14:paraId="0128B296" w14:textId="77777777" w:rsidR="005F6116" w:rsidRPr="00E31158" w:rsidRDefault="005F6116" w:rsidP="008259A4">
            <w:pPr>
              <w:pStyle w:val="TableBody"/>
            </w:pPr>
            <w:r w:rsidRPr="00E31158">
              <w:t>131</w:t>
            </w:r>
          </w:p>
        </w:tc>
      </w:tr>
      <w:tr w:rsidR="002A0885" w:rsidRPr="00E31158" w14:paraId="664437E4" w14:textId="77777777" w:rsidTr="002A0885">
        <w:trPr>
          <w:trHeight w:val="290"/>
        </w:trPr>
        <w:tc>
          <w:tcPr>
            <w:tcW w:w="862" w:type="pct"/>
            <w:noWrap/>
            <w:hideMark/>
          </w:tcPr>
          <w:p w14:paraId="6EC4EC34" w14:textId="77777777" w:rsidR="005F6116" w:rsidRPr="00E31158" w:rsidRDefault="005F6116" w:rsidP="008259A4">
            <w:pPr>
              <w:pStyle w:val="TableBody"/>
            </w:pPr>
            <w:r w:rsidRPr="00E31158">
              <w:t xml:space="preserve">Youth attendance or supervision order </w:t>
            </w:r>
          </w:p>
        </w:tc>
        <w:tc>
          <w:tcPr>
            <w:tcW w:w="677" w:type="pct"/>
            <w:noWrap/>
            <w:hideMark/>
          </w:tcPr>
          <w:p w14:paraId="13A682C0" w14:textId="77777777" w:rsidR="005F6116" w:rsidRPr="00E31158" w:rsidRDefault="005F6116" w:rsidP="008259A4">
            <w:pPr>
              <w:pStyle w:val="TableBody"/>
            </w:pPr>
            <w:r w:rsidRPr="00E31158">
              <w:t>149</w:t>
            </w:r>
          </w:p>
        </w:tc>
        <w:tc>
          <w:tcPr>
            <w:tcW w:w="675" w:type="pct"/>
            <w:noWrap/>
            <w:hideMark/>
          </w:tcPr>
          <w:p w14:paraId="75F2BCF7" w14:textId="77777777" w:rsidR="005F6116" w:rsidRPr="00E31158" w:rsidRDefault="005F6116" w:rsidP="008259A4">
            <w:pPr>
              <w:pStyle w:val="TableBody"/>
            </w:pPr>
            <w:r w:rsidRPr="00E31158">
              <w:t>210</w:t>
            </w:r>
          </w:p>
        </w:tc>
        <w:tc>
          <w:tcPr>
            <w:tcW w:w="675" w:type="pct"/>
            <w:noWrap/>
            <w:hideMark/>
          </w:tcPr>
          <w:p w14:paraId="7C4838ED" w14:textId="77777777" w:rsidR="005F6116" w:rsidRPr="00E31158" w:rsidRDefault="005F6116" w:rsidP="008259A4">
            <w:pPr>
              <w:pStyle w:val="TableBody"/>
            </w:pPr>
            <w:r w:rsidRPr="00E31158">
              <w:t>45</w:t>
            </w:r>
          </w:p>
        </w:tc>
        <w:tc>
          <w:tcPr>
            <w:tcW w:w="771" w:type="pct"/>
            <w:noWrap/>
            <w:hideMark/>
          </w:tcPr>
          <w:p w14:paraId="79BCDD32" w14:textId="77777777" w:rsidR="005F6116" w:rsidRPr="00E31158" w:rsidRDefault="005F6116" w:rsidP="008259A4">
            <w:pPr>
              <w:pStyle w:val="TableBody"/>
            </w:pPr>
            <w:r w:rsidRPr="00E31158">
              <w:t>17</w:t>
            </w:r>
          </w:p>
        </w:tc>
        <w:tc>
          <w:tcPr>
            <w:tcW w:w="675" w:type="pct"/>
            <w:noWrap/>
            <w:hideMark/>
          </w:tcPr>
          <w:p w14:paraId="5D7EC62B" w14:textId="77777777" w:rsidR="005F6116" w:rsidRPr="00E31158" w:rsidRDefault="005F6116" w:rsidP="008259A4">
            <w:pPr>
              <w:pStyle w:val="TableBody"/>
            </w:pPr>
            <w:r w:rsidRPr="00E31158">
              <w:t>2</w:t>
            </w:r>
          </w:p>
        </w:tc>
        <w:tc>
          <w:tcPr>
            <w:tcW w:w="665" w:type="pct"/>
            <w:noWrap/>
            <w:hideMark/>
          </w:tcPr>
          <w:p w14:paraId="7B0ABEBC" w14:textId="77777777" w:rsidR="005F6116" w:rsidRPr="00E31158" w:rsidRDefault="005F6116" w:rsidP="008259A4">
            <w:pPr>
              <w:pStyle w:val="TableBody"/>
            </w:pPr>
            <w:r w:rsidRPr="00E31158">
              <w:t>423</w:t>
            </w:r>
          </w:p>
        </w:tc>
      </w:tr>
      <w:tr w:rsidR="002A0885" w:rsidRPr="00E31158" w14:paraId="3ED81A9B" w14:textId="77777777" w:rsidTr="002A0885">
        <w:trPr>
          <w:trHeight w:val="290"/>
        </w:trPr>
        <w:tc>
          <w:tcPr>
            <w:tcW w:w="862" w:type="pct"/>
            <w:noWrap/>
            <w:hideMark/>
          </w:tcPr>
          <w:p w14:paraId="622120EF" w14:textId="77777777" w:rsidR="005F6116" w:rsidRPr="00E31158" w:rsidRDefault="005F6116" w:rsidP="008259A4">
            <w:pPr>
              <w:pStyle w:val="TableBody"/>
            </w:pPr>
            <w:r w:rsidRPr="00E31158">
              <w:t>Probation</w:t>
            </w:r>
          </w:p>
        </w:tc>
        <w:tc>
          <w:tcPr>
            <w:tcW w:w="677" w:type="pct"/>
            <w:noWrap/>
            <w:hideMark/>
          </w:tcPr>
          <w:p w14:paraId="2BF95B60" w14:textId="77777777" w:rsidR="005F6116" w:rsidRPr="00E31158" w:rsidRDefault="005F6116" w:rsidP="008259A4">
            <w:pPr>
              <w:pStyle w:val="TableBody"/>
            </w:pPr>
            <w:r w:rsidRPr="00E31158">
              <w:t>187</w:t>
            </w:r>
          </w:p>
        </w:tc>
        <w:tc>
          <w:tcPr>
            <w:tcW w:w="675" w:type="pct"/>
            <w:noWrap/>
            <w:hideMark/>
          </w:tcPr>
          <w:p w14:paraId="18333098" w14:textId="77777777" w:rsidR="005F6116" w:rsidRPr="00E31158" w:rsidRDefault="005F6116" w:rsidP="008259A4">
            <w:pPr>
              <w:pStyle w:val="TableBody"/>
            </w:pPr>
            <w:r w:rsidRPr="00E31158">
              <w:t>256</w:t>
            </w:r>
          </w:p>
        </w:tc>
        <w:tc>
          <w:tcPr>
            <w:tcW w:w="675" w:type="pct"/>
            <w:noWrap/>
            <w:hideMark/>
          </w:tcPr>
          <w:p w14:paraId="7EDBEBF7" w14:textId="77777777" w:rsidR="005F6116" w:rsidRPr="00E31158" w:rsidRDefault="005F6116" w:rsidP="008259A4">
            <w:pPr>
              <w:pStyle w:val="TableBody"/>
            </w:pPr>
            <w:r w:rsidRPr="00E31158">
              <w:t>64</w:t>
            </w:r>
          </w:p>
        </w:tc>
        <w:tc>
          <w:tcPr>
            <w:tcW w:w="771" w:type="pct"/>
            <w:noWrap/>
            <w:hideMark/>
          </w:tcPr>
          <w:p w14:paraId="55F85E23" w14:textId="77777777" w:rsidR="005F6116" w:rsidRPr="00E31158" w:rsidRDefault="005F6116" w:rsidP="008259A4">
            <w:pPr>
              <w:pStyle w:val="TableBody"/>
            </w:pPr>
            <w:r w:rsidRPr="00E31158">
              <w:t>5</w:t>
            </w:r>
          </w:p>
        </w:tc>
        <w:tc>
          <w:tcPr>
            <w:tcW w:w="675" w:type="pct"/>
            <w:noWrap/>
            <w:hideMark/>
          </w:tcPr>
          <w:p w14:paraId="344044D9" w14:textId="77777777" w:rsidR="005F6116" w:rsidRPr="00E31158" w:rsidRDefault="005F6116" w:rsidP="008259A4">
            <w:pPr>
              <w:pStyle w:val="TableBody"/>
            </w:pPr>
            <w:r w:rsidRPr="00E31158">
              <w:t>2</w:t>
            </w:r>
          </w:p>
        </w:tc>
        <w:tc>
          <w:tcPr>
            <w:tcW w:w="665" w:type="pct"/>
            <w:noWrap/>
            <w:hideMark/>
          </w:tcPr>
          <w:p w14:paraId="37792DA0" w14:textId="77777777" w:rsidR="005F6116" w:rsidRPr="00E31158" w:rsidRDefault="005F6116" w:rsidP="008259A4">
            <w:pPr>
              <w:pStyle w:val="TableBody"/>
            </w:pPr>
            <w:r w:rsidRPr="00E31158">
              <w:t>514</w:t>
            </w:r>
          </w:p>
        </w:tc>
      </w:tr>
      <w:tr w:rsidR="002A0885" w:rsidRPr="00E31158" w14:paraId="611BA5A0" w14:textId="77777777" w:rsidTr="002A0885">
        <w:trPr>
          <w:trHeight w:val="290"/>
        </w:trPr>
        <w:tc>
          <w:tcPr>
            <w:tcW w:w="862" w:type="pct"/>
            <w:noWrap/>
            <w:hideMark/>
          </w:tcPr>
          <w:p w14:paraId="03819117" w14:textId="77777777" w:rsidR="005F6116" w:rsidRPr="00E31158" w:rsidRDefault="005F6116" w:rsidP="008259A4">
            <w:pPr>
              <w:pStyle w:val="TableBody"/>
            </w:pPr>
            <w:r w:rsidRPr="00E31158">
              <w:t xml:space="preserve">Fine </w:t>
            </w:r>
          </w:p>
        </w:tc>
        <w:tc>
          <w:tcPr>
            <w:tcW w:w="677" w:type="pct"/>
            <w:noWrap/>
            <w:hideMark/>
          </w:tcPr>
          <w:p w14:paraId="1CA7DE99" w14:textId="77777777" w:rsidR="005F6116" w:rsidRPr="00E31158" w:rsidRDefault="005F6116" w:rsidP="008259A4">
            <w:pPr>
              <w:pStyle w:val="TableBody"/>
            </w:pPr>
            <w:r w:rsidRPr="00E31158">
              <w:t>4</w:t>
            </w:r>
          </w:p>
        </w:tc>
        <w:tc>
          <w:tcPr>
            <w:tcW w:w="675" w:type="pct"/>
            <w:noWrap/>
            <w:hideMark/>
          </w:tcPr>
          <w:p w14:paraId="6F1352BE" w14:textId="77777777" w:rsidR="005F6116" w:rsidRPr="00E31158" w:rsidRDefault="005F6116" w:rsidP="008259A4">
            <w:pPr>
              <w:pStyle w:val="TableBody"/>
            </w:pPr>
            <w:r w:rsidRPr="00E31158">
              <w:t>4</w:t>
            </w:r>
          </w:p>
        </w:tc>
        <w:tc>
          <w:tcPr>
            <w:tcW w:w="675" w:type="pct"/>
            <w:noWrap/>
            <w:hideMark/>
          </w:tcPr>
          <w:p w14:paraId="535A47F2" w14:textId="77777777" w:rsidR="005F6116" w:rsidRPr="00E31158" w:rsidRDefault="005F6116" w:rsidP="008259A4">
            <w:pPr>
              <w:pStyle w:val="TableBody"/>
            </w:pPr>
            <w:r w:rsidRPr="00E31158">
              <w:t>3</w:t>
            </w:r>
          </w:p>
        </w:tc>
        <w:tc>
          <w:tcPr>
            <w:tcW w:w="771" w:type="pct"/>
            <w:noWrap/>
            <w:hideMark/>
          </w:tcPr>
          <w:p w14:paraId="4986F1BF" w14:textId="77777777" w:rsidR="005F6116" w:rsidRPr="00E31158" w:rsidRDefault="005F6116" w:rsidP="008259A4">
            <w:pPr>
              <w:pStyle w:val="TableBody"/>
            </w:pPr>
            <w:r w:rsidRPr="00E31158">
              <w:t>0</w:t>
            </w:r>
          </w:p>
        </w:tc>
        <w:tc>
          <w:tcPr>
            <w:tcW w:w="675" w:type="pct"/>
            <w:noWrap/>
            <w:hideMark/>
          </w:tcPr>
          <w:p w14:paraId="58F4F644" w14:textId="77777777" w:rsidR="005F6116" w:rsidRPr="00E31158" w:rsidRDefault="005F6116" w:rsidP="008259A4">
            <w:pPr>
              <w:pStyle w:val="TableBody"/>
            </w:pPr>
            <w:r w:rsidRPr="00E31158">
              <w:t>0</w:t>
            </w:r>
          </w:p>
        </w:tc>
        <w:tc>
          <w:tcPr>
            <w:tcW w:w="665" w:type="pct"/>
            <w:noWrap/>
            <w:hideMark/>
          </w:tcPr>
          <w:p w14:paraId="264C8875" w14:textId="77777777" w:rsidR="005F6116" w:rsidRPr="00E31158" w:rsidRDefault="005F6116" w:rsidP="008259A4">
            <w:pPr>
              <w:pStyle w:val="TableBody"/>
            </w:pPr>
            <w:r w:rsidRPr="00E31158">
              <w:t>11</w:t>
            </w:r>
          </w:p>
        </w:tc>
      </w:tr>
      <w:tr w:rsidR="002A0885" w:rsidRPr="00E31158" w14:paraId="78C552C6" w14:textId="77777777" w:rsidTr="002A0885">
        <w:trPr>
          <w:trHeight w:val="290"/>
        </w:trPr>
        <w:tc>
          <w:tcPr>
            <w:tcW w:w="862" w:type="pct"/>
            <w:noWrap/>
            <w:hideMark/>
          </w:tcPr>
          <w:p w14:paraId="7CADE302" w14:textId="77777777" w:rsidR="005F6116" w:rsidRPr="00E31158" w:rsidRDefault="005F6116" w:rsidP="008259A4">
            <w:pPr>
              <w:pStyle w:val="TableBody"/>
            </w:pPr>
            <w:r w:rsidRPr="00E31158">
              <w:t>Good behaviour bond</w:t>
            </w:r>
          </w:p>
        </w:tc>
        <w:tc>
          <w:tcPr>
            <w:tcW w:w="677" w:type="pct"/>
            <w:noWrap/>
            <w:hideMark/>
          </w:tcPr>
          <w:p w14:paraId="35EAB58B" w14:textId="77777777" w:rsidR="005F6116" w:rsidRPr="00E31158" w:rsidRDefault="005F6116" w:rsidP="008259A4">
            <w:pPr>
              <w:pStyle w:val="TableBody"/>
            </w:pPr>
            <w:r w:rsidRPr="00E31158">
              <w:t>163</w:t>
            </w:r>
          </w:p>
        </w:tc>
        <w:tc>
          <w:tcPr>
            <w:tcW w:w="675" w:type="pct"/>
            <w:noWrap/>
            <w:hideMark/>
          </w:tcPr>
          <w:p w14:paraId="08436C0B" w14:textId="77777777" w:rsidR="005F6116" w:rsidRPr="00E31158" w:rsidRDefault="005F6116" w:rsidP="008259A4">
            <w:pPr>
              <w:pStyle w:val="TableBody"/>
            </w:pPr>
            <w:r w:rsidRPr="00E31158">
              <w:t>158</w:t>
            </w:r>
          </w:p>
        </w:tc>
        <w:tc>
          <w:tcPr>
            <w:tcW w:w="675" w:type="pct"/>
            <w:noWrap/>
            <w:hideMark/>
          </w:tcPr>
          <w:p w14:paraId="1D948D9B" w14:textId="77777777" w:rsidR="005F6116" w:rsidRPr="00E31158" w:rsidRDefault="005F6116" w:rsidP="008259A4">
            <w:pPr>
              <w:pStyle w:val="TableBody"/>
            </w:pPr>
            <w:r w:rsidRPr="00E31158">
              <w:t>43</w:t>
            </w:r>
          </w:p>
        </w:tc>
        <w:tc>
          <w:tcPr>
            <w:tcW w:w="771" w:type="pct"/>
            <w:noWrap/>
            <w:hideMark/>
          </w:tcPr>
          <w:p w14:paraId="67094235" w14:textId="77777777" w:rsidR="005F6116" w:rsidRPr="00E31158" w:rsidRDefault="005F6116" w:rsidP="008259A4">
            <w:pPr>
              <w:pStyle w:val="TableBody"/>
            </w:pPr>
            <w:r w:rsidRPr="00E31158">
              <w:t>9</w:t>
            </w:r>
          </w:p>
        </w:tc>
        <w:tc>
          <w:tcPr>
            <w:tcW w:w="675" w:type="pct"/>
            <w:noWrap/>
            <w:hideMark/>
          </w:tcPr>
          <w:p w14:paraId="693DCF5B" w14:textId="77777777" w:rsidR="005F6116" w:rsidRPr="00E31158" w:rsidRDefault="005F6116" w:rsidP="008259A4">
            <w:pPr>
              <w:pStyle w:val="TableBody"/>
            </w:pPr>
            <w:r w:rsidRPr="00E31158">
              <w:t>0</w:t>
            </w:r>
          </w:p>
        </w:tc>
        <w:tc>
          <w:tcPr>
            <w:tcW w:w="665" w:type="pct"/>
            <w:noWrap/>
            <w:hideMark/>
          </w:tcPr>
          <w:p w14:paraId="612237D8" w14:textId="77777777" w:rsidR="005F6116" w:rsidRPr="00E31158" w:rsidRDefault="005F6116" w:rsidP="008259A4">
            <w:pPr>
              <w:pStyle w:val="TableBody"/>
            </w:pPr>
            <w:r w:rsidRPr="00E31158">
              <w:t>373</w:t>
            </w:r>
          </w:p>
        </w:tc>
      </w:tr>
      <w:tr w:rsidR="002A0885" w:rsidRPr="00E31158" w14:paraId="23DC86E5" w14:textId="77777777" w:rsidTr="002A0885">
        <w:trPr>
          <w:trHeight w:val="290"/>
        </w:trPr>
        <w:tc>
          <w:tcPr>
            <w:tcW w:w="862" w:type="pct"/>
            <w:noWrap/>
            <w:hideMark/>
          </w:tcPr>
          <w:p w14:paraId="4505790E" w14:textId="77777777" w:rsidR="005F6116" w:rsidRPr="00E31158" w:rsidRDefault="005F6116" w:rsidP="008259A4">
            <w:pPr>
              <w:pStyle w:val="TableBody"/>
            </w:pPr>
            <w:r w:rsidRPr="00E31158">
              <w:t xml:space="preserve">Undertaking </w:t>
            </w:r>
          </w:p>
        </w:tc>
        <w:tc>
          <w:tcPr>
            <w:tcW w:w="677" w:type="pct"/>
            <w:noWrap/>
            <w:hideMark/>
          </w:tcPr>
          <w:p w14:paraId="7E01E320" w14:textId="77777777" w:rsidR="005F6116" w:rsidRPr="00E31158" w:rsidRDefault="005F6116" w:rsidP="008259A4">
            <w:pPr>
              <w:pStyle w:val="TableBody"/>
            </w:pPr>
            <w:r w:rsidRPr="00E31158">
              <w:t>24</w:t>
            </w:r>
          </w:p>
        </w:tc>
        <w:tc>
          <w:tcPr>
            <w:tcW w:w="675" w:type="pct"/>
            <w:noWrap/>
            <w:hideMark/>
          </w:tcPr>
          <w:p w14:paraId="2973490C" w14:textId="77777777" w:rsidR="005F6116" w:rsidRPr="00E31158" w:rsidRDefault="005F6116" w:rsidP="008259A4">
            <w:pPr>
              <w:pStyle w:val="TableBody"/>
            </w:pPr>
            <w:r w:rsidRPr="00E31158">
              <w:t>18</w:t>
            </w:r>
          </w:p>
        </w:tc>
        <w:tc>
          <w:tcPr>
            <w:tcW w:w="675" w:type="pct"/>
            <w:noWrap/>
            <w:hideMark/>
          </w:tcPr>
          <w:p w14:paraId="46C6261A" w14:textId="77777777" w:rsidR="005F6116" w:rsidRPr="00E31158" w:rsidRDefault="005F6116" w:rsidP="008259A4">
            <w:pPr>
              <w:pStyle w:val="TableBody"/>
            </w:pPr>
            <w:r w:rsidRPr="00E31158">
              <w:t>6</w:t>
            </w:r>
          </w:p>
        </w:tc>
        <w:tc>
          <w:tcPr>
            <w:tcW w:w="771" w:type="pct"/>
            <w:noWrap/>
            <w:hideMark/>
          </w:tcPr>
          <w:p w14:paraId="3AB09DFE" w14:textId="77777777" w:rsidR="005F6116" w:rsidRPr="00E31158" w:rsidRDefault="005F6116" w:rsidP="008259A4">
            <w:pPr>
              <w:pStyle w:val="TableBody"/>
            </w:pPr>
            <w:r w:rsidRPr="00E31158">
              <w:t>0</w:t>
            </w:r>
          </w:p>
        </w:tc>
        <w:tc>
          <w:tcPr>
            <w:tcW w:w="675" w:type="pct"/>
            <w:noWrap/>
            <w:hideMark/>
          </w:tcPr>
          <w:p w14:paraId="24A9FE5B" w14:textId="77777777" w:rsidR="005F6116" w:rsidRPr="00E31158" w:rsidRDefault="005F6116" w:rsidP="008259A4">
            <w:pPr>
              <w:pStyle w:val="TableBody"/>
            </w:pPr>
            <w:r w:rsidRPr="00E31158">
              <w:t>0</w:t>
            </w:r>
          </w:p>
        </w:tc>
        <w:tc>
          <w:tcPr>
            <w:tcW w:w="665" w:type="pct"/>
            <w:noWrap/>
            <w:hideMark/>
          </w:tcPr>
          <w:p w14:paraId="7C42A5B8" w14:textId="77777777" w:rsidR="005F6116" w:rsidRPr="00E31158" w:rsidRDefault="005F6116" w:rsidP="008259A4">
            <w:pPr>
              <w:pStyle w:val="TableBody"/>
            </w:pPr>
            <w:r w:rsidRPr="00E31158">
              <w:t>48</w:t>
            </w:r>
          </w:p>
        </w:tc>
      </w:tr>
      <w:tr w:rsidR="002A0885" w:rsidRPr="00E31158" w14:paraId="05AB0EF7" w14:textId="77777777" w:rsidTr="002A0885">
        <w:trPr>
          <w:trHeight w:val="290"/>
        </w:trPr>
        <w:tc>
          <w:tcPr>
            <w:tcW w:w="862" w:type="pct"/>
            <w:noWrap/>
            <w:hideMark/>
          </w:tcPr>
          <w:p w14:paraId="5E2FCD31" w14:textId="77777777" w:rsidR="005F6116" w:rsidRPr="00E31158" w:rsidRDefault="005F6116" w:rsidP="008259A4">
            <w:pPr>
              <w:pStyle w:val="TableBody"/>
            </w:pPr>
            <w:r w:rsidRPr="00E31158">
              <w:t xml:space="preserve">Discharge/dismissal </w:t>
            </w:r>
          </w:p>
        </w:tc>
        <w:tc>
          <w:tcPr>
            <w:tcW w:w="677" w:type="pct"/>
            <w:noWrap/>
            <w:hideMark/>
          </w:tcPr>
          <w:p w14:paraId="6ADFAE02" w14:textId="77777777" w:rsidR="005F6116" w:rsidRPr="00E31158" w:rsidRDefault="005F6116" w:rsidP="008259A4">
            <w:pPr>
              <w:pStyle w:val="TableBody"/>
            </w:pPr>
            <w:r w:rsidRPr="00E31158">
              <w:t>2</w:t>
            </w:r>
          </w:p>
        </w:tc>
        <w:tc>
          <w:tcPr>
            <w:tcW w:w="675" w:type="pct"/>
            <w:noWrap/>
            <w:hideMark/>
          </w:tcPr>
          <w:p w14:paraId="2223816F" w14:textId="77777777" w:rsidR="005F6116" w:rsidRPr="00E31158" w:rsidRDefault="005F6116" w:rsidP="008259A4">
            <w:pPr>
              <w:pStyle w:val="TableBody"/>
            </w:pPr>
            <w:r w:rsidRPr="00E31158">
              <w:t>2</w:t>
            </w:r>
          </w:p>
        </w:tc>
        <w:tc>
          <w:tcPr>
            <w:tcW w:w="675" w:type="pct"/>
            <w:noWrap/>
            <w:hideMark/>
          </w:tcPr>
          <w:p w14:paraId="472938CB" w14:textId="77777777" w:rsidR="005F6116" w:rsidRPr="00E31158" w:rsidRDefault="005F6116" w:rsidP="008259A4">
            <w:pPr>
              <w:pStyle w:val="TableBody"/>
            </w:pPr>
            <w:r w:rsidRPr="00E31158">
              <w:t>0</w:t>
            </w:r>
          </w:p>
        </w:tc>
        <w:tc>
          <w:tcPr>
            <w:tcW w:w="771" w:type="pct"/>
            <w:noWrap/>
            <w:hideMark/>
          </w:tcPr>
          <w:p w14:paraId="1374A9CD" w14:textId="77777777" w:rsidR="005F6116" w:rsidRPr="00E31158" w:rsidRDefault="005F6116" w:rsidP="008259A4">
            <w:pPr>
              <w:pStyle w:val="TableBody"/>
            </w:pPr>
            <w:r w:rsidRPr="00E31158">
              <w:t>0</w:t>
            </w:r>
          </w:p>
        </w:tc>
        <w:tc>
          <w:tcPr>
            <w:tcW w:w="675" w:type="pct"/>
            <w:noWrap/>
            <w:hideMark/>
          </w:tcPr>
          <w:p w14:paraId="7DA2E015" w14:textId="77777777" w:rsidR="005F6116" w:rsidRPr="00E31158" w:rsidRDefault="005F6116" w:rsidP="008259A4">
            <w:pPr>
              <w:pStyle w:val="TableBody"/>
            </w:pPr>
            <w:r w:rsidRPr="00E31158">
              <w:t>0</w:t>
            </w:r>
          </w:p>
        </w:tc>
        <w:tc>
          <w:tcPr>
            <w:tcW w:w="665" w:type="pct"/>
            <w:noWrap/>
            <w:hideMark/>
          </w:tcPr>
          <w:p w14:paraId="4F1F7A7E" w14:textId="77777777" w:rsidR="005F6116" w:rsidRPr="00E31158" w:rsidRDefault="005F6116" w:rsidP="008259A4">
            <w:pPr>
              <w:pStyle w:val="TableBody"/>
            </w:pPr>
            <w:r w:rsidRPr="00E31158">
              <w:t>4</w:t>
            </w:r>
          </w:p>
        </w:tc>
      </w:tr>
      <w:tr w:rsidR="002A0885" w:rsidRPr="00E31158" w14:paraId="65BBB11F" w14:textId="77777777" w:rsidTr="002A0885">
        <w:trPr>
          <w:trHeight w:val="300"/>
        </w:trPr>
        <w:tc>
          <w:tcPr>
            <w:tcW w:w="862" w:type="pct"/>
            <w:noWrap/>
            <w:hideMark/>
          </w:tcPr>
          <w:p w14:paraId="0E69CF62" w14:textId="77777777" w:rsidR="005F6116" w:rsidRPr="00E31158" w:rsidRDefault="005F6116" w:rsidP="008259A4">
            <w:pPr>
              <w:pStyle w:val="TableBody"/>
            </w:pPr>
            <w:r w:rsidRPr="00E31158">
              <w:t>Youth diversion</w:t>
            </w:r>
          </w:p>
        </w:tc>
        <w:tc>
          <w:tcPr>
            <w:tcW w:w="677" w:type="pct"/>
            <w:noWrap/>
            <w:hideMark/>
          </w:tcPr>
          <w:p w14:paraId="0C45982E" w14:textId="77777777" w:rsidR="005F6116" w:rsidRPr="00E31158" w:rsidRDefault="005F6116" w:rsidP="008259A4">
            <w:pPr>
              <w:pStyle w:val="TableBody"/>
            </w:pPr>
            <w:r w:rsidRPr="00E31158">
              <w:t>174</w:t>
            </w:r>
          </w:p>
        </w:tc>
        <w:tc>
          <w:tcPr>
            <w:tcW w:w="675" w:type="pct"/>
            <w:noWrap/>
            <w:hideMark/>
          </w:tcPr>
          <w:p w14:paraId="64EBCB50" w14:textId="77777777" w:rsidR="005F6116" w:rsidRPr="00E31158" w:rsidRDefault="005F6116" w:rsidP="008259A4">
            <w:pPr>
              <w:pStyle w:val="TableBody"/>
            </w:pPr>
            <w:r w:rsidRPr="00E31158">
              <w:t>149</w:t>
            </w:r>
          </w:p>
        </w:tc>
        <w:tc>
          <w:tcPr>
            <w:tcW w:w="675" w:type="pct"/>
            <w:noWrap/>
            <w:hideMark/>
          </w:tcPr>
          <w:p w14:paraId="44E3BB84" w14:textId="77777777" w:rsidR="005F6116" w:rsidRPr="00E31158" w:rsidRDefault="005F6116" w:rsidP="008259A4">
            <w:pPr>
              <w:pStyle w:val="TableBody"/>
            </w:pPr>
            <w:r w:rsidRPr="00E31158">
              <w:t>30</w:t>
            </w:r>
          </w:p>
        </w:tc>
        <w:tc>
          <w:tcPr>
            <w:tcW w:w="771" w:type="pct"/>
            <w:noWrap/>
            <w:hideMark/>
          </w:tcPr>
          <w:p w14:paraId="6F9D8FAA" w14:textId="77777777" w:rsidR="005F6116" w:rsidRPr="00E31158" w:rsidRDefault="005F6116" w:rsidP="008259A4">
            <w:pPr>
              <w:pStyle w:val="TableBody"/>
            </w:pPr>
            <w:r w:rsidRPr="00E31158">
              <w:t>6</w:t>
            </w:r>
          </w:p>
        </w:tc>
        <w:tc>
          <w:tcPr>
            <w:tcW w:w="675" w:type="pct"/>
            <w:noWrap/>
            <w:hideMark/>
          </w:tcPr>
          <w:p w14:paraId="0A9D6F5D" w14:textId="77777777" w:rsidR="005F6116" w:rsidRPr="00E31158" w:rsidRDefault="005F6116" w:rsidP="008259A4">
            <w:pPr>
              <w:pStyle w:val="TableBody"/>
            </w:pPr>
            <w:r w:rsidRPr="00E31158">
              <w:t>1</w:t>
            </w:r>
          </w:p>
        </w:tc>
        <w:tc>
          <w:tcPr>
            <w:tcW w:w="665" w:type="pct"/>
            <w:noWrap/>
            <w:hideMark/>
          </w:tcPr>
          <w:p w14:paraId="22D8798C" w14:textId="77777777" w:rsidR="005F6116" w:rsidRPr="00E31158" w:rsidRDefault="005F6116" w:rsidP="008259A4">
            <w:pPr>
              <w:pStyle w:val="TableBody"/>
            </w:pPr>
            <w:r w:rsidRPr="00E31158">
              <w:t>360</w:t>
            </w:r>
          </w:p>
        </w:tc>
      </w:tr>
      <w:tr w:rsidR="002A0885" w:rsidRPr="00E31158" w14:paraId="17391929" w14:textId="77777777" w:rsidTr="002A0885">
        <w:trPr>
          <w:trHeight w:val="300"/>
        </w:trPr>
        <w:tc>
          <w:tcPr>
            <w:tcW w:w="862" w:type="pct"/>
            <w:noWrap/>
            <w:hideMark/>
          </w:tcPr>
          <w:p w14:paraId="6C86D41E" w14:textId="77777777" w:rsidR="005F6116" w:rsidRPr="00DC58E0" w:rsidRDefault="005F6116" w:rsidP="008259A4">
            <w:pPr>
              <w:pStyle w:val="TableBody"/>
              <w:rPr>
                <w:rStyle w:val="Strong"/>
              </w:rPr>
            </w:pPr>
            <w:r w:rsidRPr="00DC58E0">
              <w:rPr>
                <w:rStyle w:val="Strong"/>
              </w:rPr>
              <w:t>Total</w:t>
            </w:r>
          </w:p>
        </w:tc>
        <w:tc>
          <w:tcPr>
            <w:tcW w:w="677" w:type="pct"/>
            <w:noWrap/>
            <w:hideMark/>
          </w:tcPr>
          <w:p w14:paraId="0B846548" w14:textId="77777777" w:rsidR="005F6116" w:rsidRPr="00DC58E0" w:rsidRDefault="005F6116" w:rsidP="008259A4">
            <w:pPr>
              <w:pStyle w:val="TableBody"/>
              <w:rPr>
                <w:rStyle w:val="Strong"/>
              </w:rPr>
            </w:pPr>
            <w:r w:rsidRPr="00DC58E0">
              <w:rPr>
                <w:rStyle w:val="Strong"/>
              </w:rPr>
              <w:t>761</w:t>
            </w:r>
          </w:p>
        </w:tc>
        <w:tc>
          <w:tcPr>
            <w:tcW w:w="675" w:type="pct"/>
            <w:noWrap/>
            <w:hideMark/>
          </w:tcPr>
          <w:p w14:paraId="712E41A9" w14:textId="77777777" w:rsidR="005F6116" w:rsidRPr="00DC58E0" w:rsidRDefault="005F6116" w:rsidP="008259A4">
            <w:pPr>
              <w:pStyle w:val="TableBody"/>
              <w:rPr>
                <w:rStyle w:val="Strong"/>
              </w:rPr>
            </w:pPr>
            <w:r w:rsidRPr="00DC58E0">
              <w:rPr>
                <w:rStyle w:val="Strong"/>
              </w:rPr>
              <w:t>861</w:t>
            </w:r>
          </w:p>
        </w:tc>
        <w:tc>
          <w:tcPr>
            <w:tcW w:w="675" w:type="pct"/>
            <w:noWrap/>
            <w:hideMark/>
          </w:tcPr>
          <w:p w14:paraId="1699EDAD" w14:textId="77777777" w:rsidR="005F6116" w:rsidRPr="00DC58E0" w:rsidRDefault="005F6116" w:rsidP="008259A4">
            <w:pPr>
              <w:pStyle w:val="TableBody"/>
              <w:rPr>
                <w:rStyle w:val="Strong"/>
              </w:rPr>
            </w:pPr>
            <w:r w:rsidRPr="00DC58E0">
              <w:rPr>
                <w:rStyle w:val="Strong"/>
              </w:rPr>
              <w:t>195</w:t>
            </w:r>
          </w:p>
        </w:tc>
        <w:tc>
          <w:tcPr>
            <w:tcW w:w="771" w:type="pct"/>
            <w:noWrap/>
            <w:hideMark/>
          </w:tcPr>
          <w:p w14:paraId="2A3FD44D" w14:textId="77777777" w:rsidR="005F6116" w:rsidRPr="00DC58E0" w:rsidRDefault="005F6116" w:rsidP="008259A4">
            <w:pPr>
              <w:pStyle w:val="TableBody"/>
              <w:rPr>
                <w:rStyle w:val="Strong"/>
              </w:rPr>
            </w:pPr>
            <w:r w:rsidRPr="00DC58E0">
              <w:rPr>
                <w:rStyle w:val="Strong"/>
              </w:rPr>
              <w:t>42</w:t>
            </w:r>
          </w:p>
        </w:tc>
        <w:tc>
          <w:tcPr>
            <w:tcW w:w="675" w:type="pct"/>
            <w:noWrap/>
            <w:hideMark/>
          </w:tcPr>
          <w:p w14:paraId="6DC04844" w14:textId="77777777" w:rsidR="005F6116" w:rsidRPr="00DC58E0" w:rsidRDefault="005F6116" w:rsidP="008259A4">
            <w:pPr>
              <w:pStyle w:val="TableBody"/>
              <w:rPr>
                <w:rStyle w:val="Strong"/>
              </w:rPr>
            </w:pPr>
            <w:r w:rsidRPr="00DC58E0">
              <w:rPr>
                <w:rStyle w:val="Strong"/>
              </w:rPr>
              <w:t>5</w:t>
            </w:r>
          </w:p>
        </w:tc>
        <w:tc>
          <w:tcPr>
            <w:tcW w:w="665" w:type="pct"/>
            <w:noWrap/>
            <w:hideMark/>
          </w:tcPr>
          <w:p w14:paraId="0DF1FB0F" w14:textId="45C0C5BE" w:rsidR="005F6116" w:rsidRPr="00DC58E0" w:rsidRDefault="005F6116" w:rsidP="008259A4">
            <w:pPr>
              <w:pStyle w:val="TableBody"/>
              <w:rPr>
                <w:rStyle w:val="Strong"/>
              </w:rPr>
            </w:pPr>
            <w:r w:rsidRPr="00DC58E0">
              <w:rPr>
                <w:rStyle w:val="Strong"/>
              </w:rPr>
              <w:t>1</w:t>
            </w:r>
            <w:r w:rsidR="00DC58E0">
              <w:rPr>
                <w:rStyle w:val="Strong"/>
              </w:rPr>
              <w:t>,</w:t>
            </w:r>
            <w:r w:rsidRPr="00DC58E0">
              <w:rPr>
                <w:rStyle w:val="Strong"/>
              </w:rPr>
              <w:t>864</w:t>
            </w:r>
          </w:p>
        </w:tc>
      </w:tr>
    </w:tbl>
    <w:p w14:paraId="59FC8C2E" w14:textId="77777777" w:rsidR="005A3418" w:rsidRPr="00D36673" w:rsidRDefault="005A3418" w:rsidP="00F24F16">
      <w:pPr>
        <w:pStyle w:val="Numbered"/>
      </w:pPr>
      <w:r w:rsidRPr="00D36673">
        <w:t xml:space="preserve">In the 300 cases where a threat was the principal proven offence, the sentences were less severe: 2% (seven cases) received a custodial sentence, 15% (44 cases) received a youth attendance </w:t>
      </w:r>
      <w:r w:rsidRPr="00D36673">
        <w:lastRenderedPageBreak/>
        <w:t>order or youth supervision order, and 23% (68 cases) received a probation order. Good behaviour bonds (28%) and youth diversion orders (26%) were the most common outcomes and together made up more than half of all outcomes in these cases.</w:t>
      </w:r>
    </w:p>
    <w:p w14:paraId="489AA1F8" w14:textId="77777777" w:rsidR="005A3418" w:rsidRPr="00D36673" w:rsidRDefault="005A3418" w:rsidP="00F24F16">
      <w:pPr>
        <w:pStyle w:val="Numbered"/>
      </w:pPr>
      <w:r w:rsidRPr="00D36673">
        <w:t>Figure 20 shows the change in the sentence types imposed for charges of threat offences in the Children’s Court during the reference period. There was a drop in the rates of probation orders, fines and youth attendance orders or youth supervision orders, and a substantial increase in the rate of youth diversion orders. This is consistent with an overall trend in Children’s Court outcomes, with youth diversion orders increasing from 19% of all outcomes in 2015–16 to 37% of all outcomes in 2018–19.</w:t>
      </w:r>
      <w:r w:rsidRPr="00D36673">
        <w:rPr>
          <w:rStyle w:val="Superscript"/>
        </w:rPr>
        <w:footnoteReference w:id="162"/>
      </w:r>
    </w:p>
    <w:p w14:paraId="6F447817" w14:textId="77777777" w:rsidR="005A3418" w:rsidRPr="00D36673" w:rsidRDefault="005A3418" w:rsidP="00711AFB">
      <w:pPr>
        <w:pStyle w:val="Caption"/>
      </w:pPr>
      <w:r w:rsidRPr="00C9259E">
        <w:t>Figure 20:</w:t>
      </w:r>
      <w:r w:rsidRPr="00D36673">
        <w:t xml:space="preserve"> Sentence types imposed on charges of threat offences in the Children’s Court, 2015 to 2019</w:t>
      </w:r>
    </w:p>
    <w:tbl>
      <w:tblPr>
        <w:tblStyle w:val="Table"/>
        <w:tblW w:w="9550" w:type="dxa"/>
        <w:tblLayout w:type="fixed"/>
        <w:tblLook w:val="04A0" w:firstRow="1" w:lastRow="0" w:firstColumn="1" w:lastColumn="0" w:noHBand="0" w:noVBand="1"/>
      </w:tblPr>
      <w:tblGrid>
        <w:gridCol w:w="1591"/>
        <w:gridCol w:w="1592"/>
        <w:gridCol w:w="1592"/>
        <w:gridCol w:w="1591"/>
        <w:gridCol w:w="1592"/>
        <w:gridCol w:w="1592"/>
      </w:tblGrid>
      <w:tr w:rsidR="00DA5DB1" w:rsidRPr="00C14695" w14:paraId="2E9FECB3" w14:textId="77777777" w:rsidTr="00254C1D">
        <w:trPr>
          <w:trHeight w:val="20"/>
          <w:tblHeader/>
        </w:trPr>
        <w:tc>
          <w:tcPr>
            <w:tcW w:w="1591" w:type="dxa"/>
            <w:hideMark/>
          </w:tcPr>
          <w:p w14:paraId="769ED749" w14:textId="223E1F25" w:rsidR="00DA5DB1" w:rsidRPr="00C14695" w:rsidRDefault="00DA5DB1" w:rsidP="00896965">
            <w:pPr>
              <w:pStyle w:val="TableHeading"/>
            </w:pPr>
            <w:r w:rsidRPr="00C14695">
              <w:t>2015 (414 charges)</w:t>
            </w:r>
          </w:p>
        </w:tc>
        <w:tc>
          <w:tcPr>
            <w:tcW w:w="1592" w:type="dxa"/>
            <w:hideMark/>
          </w:tcPr>
          <w:p w14:paraId="46B5FADD" w14:textId="443D8943" w:rsidR="00DA5DB1" w:rsidRPr="00C14695" w:rsidRDefault="00DA5DB1" w:rsidP="00896965">
            <w:pPr>
              <w:pStyle w:val="TableHeading"/>
            </w:pPr>
            <w:r w:rsidRPr="00C14695">
              <w:t>2016 (404 charges)</w:t>
            </w:r>
          </w:p>
        </w:tc>
        <w:tc>
          <w:tcPr>
            <w:tcW w:w="1592" w:type="dxa"/>
            <w:hideMark/>
          </w:tcPr>
          <w:p w14:paraId="4E65C720" w14:textId="07C7995F" w:rsidR="00DA5DB1" w:rsidRPr="00C14695" w:rsidRDefault="00DA5DB1" w:rsidP="00896965">
            <w:pPr>
              <w:pStyle w:val="TableHeading"/>
            </w:pPr>
            <w:r w:rsidRPr="00C14695">
              <w:t>2017 (403 charges)</w:t>
            </w:r>
          </w:p>
        </w:tc>
        <w:tc>
          <w:tcPr>
            <w:tcW w:w="1591" w:type="dxa"/>
            <w:hideMark/>
          </w:tcPr>
          <w:p w14:paraId="31950479" w14:textId="0F5396AD" w:rsidR="00DA5DB1" w:rsidRPr="00C14695" w:rsidRDefault="00DA5DB1" w:rsidP="00896965">
            <w:pPr>
              <w:pStyle w:val="TableHeading"/>
            </w:pPr>
            <w:r w:rsidRPr="00C14695">
              <w:t>2018 (317 charges)</w:t>
            </w:r>
          </w:p>
        </w:tc>
        <w:tc>
          <w:tcPr>
            <w:tcW w:w="1592" w:type="dxa"/>
            <w:hideMark/>
          </w:tcPr>
          <w:p w14:paraId="3CD9545F" w14:textId="14C81110" w:rsidR="00DA5DB1" w:rsidRPr="00C14695" w:rsidRDefault="00DA5DB1" w:rsidP="00896965">
            <w:pPr>
              <w:pStyle w:val="TableHeading"/>
            </w:pPr>
            <w:r w:rsidRPr="00C14695">
              <w:t>2019 (326 charges)</w:t>
            </w:r>
          </w:p>
        </w:tc>
        <w:tc>
          <w:tcPr>
            <w:tcW w:w="1592" w:type="dxa"/>
            <w:hideMark/>
          </w:tcPr>
          <w:p w14:paraId="7886A61D" w14:textId="5A435EB7" w:rsidR="00DA5DB1" w:rsidRPr="00C14695" w:rsidRDefault="00DA5DB1" w:rsidP="00896965">
            <w:pPr>
              <w:pStyle w:val="TableHeading"/>
            </w:pPr>
            <w:r w:rsidRPr="00C14695">
              <w:t>Total (1,864 charges)</w:t>
            </w:r>
          </w:p>
        </w:tc>
      </w:tr>
      <w:tr w:rsidR="00DA5DB1" w:rsidRPr="00C14695" w14:paraId="2AE224DE" w14:textId="77777777" w:rsidTr="00254C1D">
        <w:trPr>
          <w:trHeight w:val="20"/>
        </w:trPr>
        <w:tc>
          <w:tcPr>
            <w:tcW w:w="1591" w:type="dxa"/>
            <w:noWrap/>
            <w:hideMark/>
          </w:tcPr>
          <w:p w14:paraId="4848554F" w14:textId="77777777" w:rsidR="00DA5DB1" w:rsidRPr="00C14695" w:rsidRDefault="00DA5DB1" w:rsidP="00653915">
            <w:pPr>
              <w:pStyle w:val="TableBody"/>
            </w:pPr>
            <w:r w:rsidRPr="00C14695">
              <w:t>33</w:t>
            </w:r>
          </w:p>
        </w:tc>
        <w:tc>
          <w:tcPr>
            <w:tcW w:w="1592" w:type="dxa"/>
            <w:noWrap/>
            <w:hideMark/>
          </w:tcPr>
          <w:p w14:paraId="19FDA014" w14:textId="77777777" w:rsidR="00DA5DB1" w:rsidRPr="00C14695" w:rsidRDefault="00DA5DB1" w:rsidP="00653915">
            <w:pPr>
              <w:pStyle w:val="TableBody"/>
            </w:pPr>
            <w:r w:rsidRPr="00C14695">
              <w:t>30</w:t>
            </w:r>
          </w:p>
        </w:tc>
        <w:tc>
          <w:tcPr>
            <w:tcW w:w="1592" w:type="dxa"/>
            <w:noWrap/>
            <w:hideMark/>
          </w:tcPr>
          <w:p w14:paraId="31F2D3B7" w14:textId="77777777" w:rsidR="00DA5DB1" w:rsidRPr="00C14695" w:rsidRDefault="00DA5DB1" w:rsidP="00653915">
            <w:pPr>
              <w:pStyle w:val="TableBody"/>
            </w:pPr>
            <w:r w:rsidRPr="00C14695">
              <w:t>30</w:t>
            </w:r>
          </w:p>
        </w:tc>
        <w:tc>
          <w:tcPr>
            <w:tcW w:w="1591" w:type="dxa"/>
            <w:noWrap/>
            <w:hideMark/>
          </w:tcPr>
          <w:p w14:paraId="4BB0F303" w14:textId="77777777" w:rsidR="00DA5DB1" w:rsidRPr="00C14695" w:rsidRDefault="00DA5DB1" w:rsidP="00653915">
            <w:pPr>
              <w:pStyle w:val="TableBody"/>
            </w:pPr>
            <w:r w:rsidRPr="00C14695">
              <w:t>16</w:t>
            </w:r>
          </w:p>
        </w:tc>
        <w:tc>
          <w:tcPr>
            <w:tcW w:w="1592" w:type="dxa"/>
            <w:noWrap/>
            <w:hideMark/>
          </w:tcPr>
          <w:p w14:paraId="5E67AAA1" w14:textId="77777777" w:rsidR="00DA5DB1" w:rsidRPr="00C14695" w:rsidRDefault="00DA5DB1" w:rsidP="00653915">
            <w:pPr>
              <w:pStyle w:val="TableBody"/>
            </w:pPr>
            <w:r w:rsidRPr="00C14695">
              <w:t>22</w:t>
            </w:r>
          </w:p>
        </w:tc>
        <w:tc>
          <w:tcPr>
            <w:tcW w:w="1592" w:type="dxa"/>
            <w:noWrap/>
            <w:hideMark/>
          </w:tcPr>
          <w:p w14:paraId="4A09DBF2" w14:textId="77777777" w:rsidR="00DA5DB1" w:rsidRPr="00C14695" w:rsidRDefault="00DA5DB1" w:rsidP="00653915">
            <w:pPr>
              <w:pStyle w:val="TableBody"/>
            </w:pPr>
            <w:r w:rsidRPr="00C14695">
              <w:t>131</w:t>
            </w:r>
          </w:p>
        </w:tc>
      </w:tr>
      <w:tr w:rsidR="00DA5DB1" w:rsidRPr="00C14695" w14:paraId="0D9D8CF4" w14:textId="77777777" w:rsidTr="00254C1D">
        <w:trPr>
          <w:trHeight w:val="20"/>
        </w:trPr>
        <w:tc>
          <w:tcPr>
            <w:tcW w:w="1591" w:type="dxa"/>
            <w:noWrap/>
            <w:hideMark/>
          </w:tcPr>
          <w:p w14:paraId="40AD314A" w14:textId="77777777" w:rsidR="00DA5DB1" w:rsidRPr="00C14695" w:rsidRDefault="00DA5DB1" w:rsidP="00653915">
            <w:pPr>
              <w:pStyle w:val="TableBody"/>
            </w:pPr>
            <w:r w:rsidRPr="00C14695">
              <w:t>103</w:t>
            </w:r>
          </w:p>
        </w:tc>
        <w:tc>
          <w:tcPr>
            <w:tcW w:w="1592" w:type="dxa"/>
            <w:noWrap/>
            <w:hideMark/>
          </w:tcPr>
          <w:p w14:paraId="4F48B927" w14:textId="77777777" w:rsidR="00DA5DB1" w:rsidRPr="00C14695" w:rsidRDefault="00DA5DB1" w:rsidP="00653915">
            <w:pPr>
              <w:pStyle w:val="TableBody"/>
            </w:pPr>
            <w:r w:rsidRPr="00C14695">
              <w:t>93</w:t>
            </w:r>
          </w:p>
        </w:tc>
        <w:tc>
          <w:tcPr>
            <w:tcW w:w="1592" w:type="dxa"/>
            <w:noWrap/>
            <w:hideMark/>
          </w:tcPr>
          <w:p w14:paraId="33F3DBC5" w14:textId="77777777" w:rsidR="00DA5DB1" w:rsidRPr="00C14695" w:rsidRDefault="00DA5DB1" w:rsidP="00653915">
            <w:pPr>
              <w:pStyle w:val="TableBody"/>
            </w:pPr>
            <w:r w:rsidRPr="00C14695">
              <w:t>88</w:t>
            </w:r>
          </w:p>
        </w:tc>
        <w:tc>
          <w:tcPr>
            <w:tcW w:w="1591" w:type="dxa"/>
            <w:noWrap/>
            <w:hideMark/>
          </w:tcPr>
          <w:p w14:paraId="2D42DCCC" w14:textId="77777777" w:rsidR="00DA5DB1" w:rsidRPr="00C14695" w:rsidRDefault="00DA5DB1" w:rsidP="00653915">
            <w:pPr>
              <w:pStyle w:val="TableBody"/>
            </w:pPr>
            <w:r w:rsidRPr="00C14695">
              <w:t>68</w:t>
            </w:r>
          </w:p>
        </w:tc>
        <w:tc>
          <w:tcPr>
            <w:tcW w:w="1592" w:type="dxa"/>
            <w:noWrap/>
            <w:hideMark/>
          </w:tcPr>
          <w:p w14:paraId="791D5BD7" w14:textId="77777777" w:rsidR="00DA5DB1" w:rsidRPr="00C14695" w:rsidRDefault="00DA5DB1" w:rsidP="00653915">
            <w:pPr>
              <w:pStyle w:val="TableBody"/>
            </w:pPr>
            <w:r w:rsidRPr="00C14695">
              <w:t>71</w:t>
            </w:r>
          </w:p>
        </w:tc>
        <w:tc>
          <w:tcPr>
            <w:tcW w:w="1592" w:type="dxa"/>
            <w:noWrap/>
            <w:hideMark/>
          </w:tcPr>
          <w:p w14:paraId="76595039" w14:textId="77777777" w:rsidR="00DA5DB1" w:rsidRPr="00C14695" w:rsidRDefault="00DA5DB1" w:rsidP="00653915">
            <w:pPr>
              <w:pStyle w:val="TableBody"/>
            </w:pPr>
            <w:r w:rsidRPr="00C14695">
              <w:t>423</w:t>
            </w:r>
          </w:p>
        </w:tc>
      </w:tr>
      <w:tr w:rsidR="00DA5DB1" w:rsidRPr="00C14695" w14:paraId="47CA97FB" w14:textId="77777777" w:rsidTr="00254C1D">
        <w:trPr>
          <w:trHeight w:val="20"/>
        </w:trPr>
        <w:tc>
          <w:tcPr>
            <w:tcW w:w="1591" w:type="dxa"/>
            <w:noWrap/>
            <w:hideMark/>
          </w:tcPr>
          <w:p w14:paraId="7035310C" w14:textId="77777777" w:rsidR="00DA5DB1" w:rsidRPr="00C14695" w:rsidRDefault="00DA5DB1" w:rsidP="00653915">
            <w:pPr>
              <w:pStyle w:val="TableBody"/>
            </w:pPr>
            <w:r w:rsidRPr="00C14695">
              <w:t>138</w:t>
            </w:r>
          </w:p>
        </w:tc>
        <w:tc>
          <w:tcPr>
            <w:tcW w:w="1592" w:type="dxa"/>
            <w:noWrap/>
            <w:hideMark/>
          </w:tcPr>
          <w:p w14:paraId="43A79358" w14:textId="77777777" w:rsidR="00DA5DB1" w:rsidRPr="00C14695" w:rsidRDefault="00DA5DB1" w:rsidP="00653915">
            <w:pPr>
              <w:pStyle w:val="TableBody"/>
            </w:pPr>
            <w:r w:rsidRPr="00C14695">
              <w:t>129</w:t>
            </w:r>
          </w:p>
        </w:tc>
        <w:tc>
          <w:tcPr>
            <w:tcW w:w="1592" w:type="dxa"/>
            <w:noWrap/>
            <w:hideMark/>
          </w:tcPr>
          <w:p w14:paraId="0ECC65B9" w14:textId="77777777" w:rsidR="00DA5DB1" w:rsidRPr="00C14695" w:rsidRDefault="00DA5DB1" w:rsidP="00653915">
            <w:pPr>
              <w:pStyle w:val="TableBody"/>
            </w:pPr>
            <w:r w:rsidRPr="00C14695">
              <w:t>87</w:t>
            </w:r>
          </w:p>
        </w:tc>
        <w:tc>
          <w:tcPr>
            <w:tcW w:w="1591" w:type="dxa"/>
            <w:noWrap/>
            <w:hideMark/>
          </w:tcPr>
          <w:p w14:paraId="52671A03" w14:textId="77777777" w:rsidR="00DA5DB1" w:rsidRPr="00C14695" w:rsidRDefault="00DA5DB1" w:rsidP="00653915">
            <w:pPr>
              <w:pStyle w:val="TableBody"/>
            </w:pPr>
            <w:r w:rsidRPr="00C14695">
              <w:t>86</w:t>
            </w:r>
          </w:p>
        </w:tc>
        <w:tc>
          <w:tcPr>
            <w:tcW w:w="1592" w:type="dxa"/>
            <w:noWrap/>
            <w:hideMark/>
          </w:tcPr>
          <w:p w14:paraId="585DBA95" w14:textId="77777777" w:rsidR="00DA5DB1" w:rsidRPr="00C14695" w:rsidRDefault="00DA5DB1" w:rsidP="00653915">
            <w:pPr>
              <w:pStyle w:val="TableBody"/>
            </w:pPr>
            <w:r w:rsidRPr="00C14695">
              <w:t>74</w:t>
            </w:r>
          </w:p>
        </w:tc>
        <w:tc>
          <w:tcPr>
            <w:tcW w:w="1592" w:type="dxa"/>
            <w:noWrap/>
            <w:hideMark/>
          </w:tcPr>
          <w:p w14:paraId="1ECBC9A3" w14:textId="77777777" w:rsidR="00DA5DB1" w:rsidRPr="00C14695" w:rsidRDefault="00DA5DB1" w:rsidP="00653915">
            <w:pPr>
              <w:pStyle w:val="TableBody"/>
            </w:pPr>
            <w:r w:rsidRPr="00C14695">
              <w:t>514</w:t>
            </w:r>
          </w:p>
        </w:tc>
      </w:tr>
      <w:tr w:rsidR="00DA5DB1" w:rsidRPr="00C14695" w14:paraId="10392716" w14:textId="77777777" w:rsidTr="00254C1D">
        <w:trPr>
          <w:trHeight w:val="20"/>
        </w:trPr>
        <w:tc>
          <w:tcPr>
            <w:tcW w:w="1591" w:type="dxa"/>
            <w:noWrap/>
            <w:hideMark/>
          </w:tcPr>
          <w:p w14:paraId="42354B0E" w14:textId="77777777" w:rsidR="00DA5DB1" w:rsidRPr="00C14695" w:rsidRDefault="00DA5DB1" w:rsidP="00653915">
            <w:pPr>
              <w:pStyle w:val="TableBody"/>
            </w:pPr>
            <w:r w:rsidRPr="00C14695">
              <w:t>5</w:t>
            </w:r>
          </w:p>
        </w:tc>
        <w:tc>
          <w:tcPr>
            <w:tcW w:w="1592" w:type="dxa"/>
            <w:noWrap/>
            <w:hideMark/>
          </w:tcPr>
          <w:p w14:paraId="118D2DE2" w14:textId="77777777" w:rsidR="00DA5DB1" w:rsidRPr="00C14695" w:rsidRDefault="00DA5DB1" w:rsidP="00653915">
            <w:pPr>
              <w:pStyle w:val="TableBody"/>
            </w:pPr>
            <w:r w:rsidRPr="00C14695">
              <w:t>1</w:t>
            </w:r>
          </w:p>
        </w:tc>
        <w:tc>
          <w:tcPr>
            <w:tcW w:w="1592" w:type="dxa"/>
            <w:noWrap/>
            <w:hideMark/>
          </w:tcPr>
          <w:p w14:paraId="7025E9C0" w14:textId="77777777" w:rsidR="00DA5DB1" w:rsidRPr="00C14695" w:rsidRDefault="00DA5DB1" w:rsidP="00653915">
            <w:pPr>
              <w:pStyle w:val="TableBody"/>
            </w:pPr>
            <w:r w:rsidRPr="00C14695">
              <w:t>4</w:t>
            </w:r>
          </w:p>
        </w:tc>
        <w:tc>
          <w:tcPr>
            <w:tcW w:w="1591" w:type="dxa"/>
            <w:noWrap/>
            <w:hideMark/>
          </w:tcPr>
          <w:p w14:paraId="798562DB" w14:textId="77777777" w:rsidR="00DA5DB1" w:rsidRPr="00C14695" w:rsidRDefault="00DA5DB1" w:rsidP="00653915">
            <w:pPr>
              <w:pStyle w:val="TableBody"/>
            </w:pPr>
            <w:r w:rsidRPr="00C14695">
              <w:t>1</w:t>
            </w:r>
          </w:p>
        </w:tc>
        <w:tc>
          <w:tcPr>
            <w:tcW w:w="1592" w:type="dxa"/>
            <w:noWrap/>
            <w:hideMark/>
          </w:tcPr>
          <w:p w14:paraId="0D2E725C" w14:textId="77777777" w:rsidR="00DA5DB1" w:rsidRPr="00C14695" w:rsidRDefault="00DA5DB1" w:rsidP="00653915">
            <w:pPr>
              <w:pStyle w:val="TableBody"/>
            </w:pPr>
            <w:r w:rsidRPr="00C14695">
              <w:t>0</w:t>
            </w:r>
          </w:p>
        </w:tc>
        <w:tc>
          <w:tcPr>
            <w:tcW w:w="1592" w:type="dxa"/>
            <w:noWrap/>
            <w:hideMark/>
          </w:tcPr>
          <w:p w14:paraId="49E5DE35" w14:textId="77777777" w:rsidR="00DA5DB1" w:rsidRPr="00C14695" w:rsidRDefault="00DA5DB1" w:rsidP="00653915">
            <w:pPr>
              <w:pStyle w:val="TableBody"/>
            </w:pPr>
            <w:r w:rsidRPr="00C14695">
              <w:t>11</w:t>
            </w:r>
          </w:p>
        </w:tc>
      </w:tr>
      <w:tr w:rsidR="00DA5DB1" w:rsidRPr="00C14695" w14:paraId="5872D4DC" w14:textId="77777777" w:rsidTr="00254C1D">
        <w:trPr>
          <w:trHeight w:val="20"/>
        </w:trPr>
        <w:tc>
          <w:tcPr>
            <w:tcW w:w="1591" w:type="dxa"/>
            <w:noWrap/>
            <w:hideMark/>
          </w:tcPr>
          <w:p w14:paraId="7B9D3AB9" w14:textId="77777777" w:rsidR="00DA5DB1" w:rsidRPr="00C14695" w:rsidRDefault="00DA5DB1" w:rsidP="00653915">
            <w:pPr>
              <w:pStyle w:val="TableBody"/>
            </w:pPr>
            <w:r w:rsidRPr="00C14695">
              <w:t>104</w:t>
            </w:r>
          </w:p>
        </w:tc>
        <w:tc>
          <w:tcPr>
            <w:tcW w:w="1592" w:type="dxa"/>
            <w:noWrap/>
            <w:hideMark/>
          </w:tcPr>
          <w:p w14:paraId="59E2D333" w14:textId="77777777" w:rsidR="00DA5DB1" w:rsidRPr="00C14695" w:rsidRDefault="00DA5DB1" w:rsidP="00653915">
            <w:pPr>
              <w:pStyle w:val="TableBody"/>
            </w:pPr>
            <w:r w:rsidRPr="00C14695">
              <w:t>80</w:t>
            </w:r>
          </w:p>
        </w:tc>
        <w:tc>
          <w:tcPr>
            <w:tcW w:w="1592" w:type="dxa"/>
            <w:noWrap/>
            <w:hideMark/>
          </w:tcPr>
          <w:p w14:paraId="6DCD3F70" w14:textId="77777777" w:rsidR="00DA5DB1" w:rsidRPr="00C14695" w:rsidRDefault="00DA5DB1" w:rsidP="00653915">
            <w:pPr>
              <w:pStyle w:val="TableBody"/>
            </w:pPr>
            <w:r w:rsidRPr="00C14695">
              <w:t>78</w:t>
            </w:r>
          </w:p>
        </w:tc>
        <w:tc>
          <w:tcPr>
            <w:tcW w:w="1591" w:type="dxa"/>
            <w:noWrap/>
            <w:hideMark/>
          </w:tcPr>
          <w:p w14:paraId="7607ABD0" w14:textId="77777777" w:rsidR="00DA5DB1" w:rsidRPr="00C14695" w:rsidRDefault="00DA5DB1" w:rsidP="00653915">
            <w:pPr>
              <w:pStyle w:val="TableBody"/>
            </w:pPr>
            <w:r w:rsidRPr="00C14695">
              <w:t>57</w:t>
            </w:r>
          </w:p>
        </w:tc>
        <w:tc>
          <w:tcPr>
            <w:tcW w:w="1592" w:type="dxa"/>
            <w:noWrap/>
            <w:hideMark/>
          </w:tcPr>
          <w:p w14:paraId="1F573BC8" w14:textId="77777777" w:rsidR="00DA5DB1" w:rsidRPr="00C14695" w:rsidRDefault="00DA5DB1" w:rsidP="00653915">
            <w:pPr>
              <w:pStyle w:val="TableBody"/>
            </w:pPr>
            <w:r w:rsidRPr="00C14695">
              <w:t>54</w:t>
            </w:r>
          </w:p>
        </w:tc>
        <w:tc>
          <w:tcPr>
            <w:tcW w:w="1592" w:type="dxa"/>
            <w:noWrap/>
            <w:hideMark/>
          </w:tcPr>
          <w:p w14:paraId="709D2CD0" w14:textId="77777777" w:rsidR="00DA5DB1" w:rsidRPr="00C14695" w:rsidRDefault="00DA5DB1" w:rsidP="00653915">
            <w:pPr>
              <w:pStyle w:val="TableBody"/>
            </w:pPr>
            <w:r w:rsidRPr="00C14695">
              <w:t>373</w:t>
            </w:r>
          </w:p>
        </w:tc>
      </w:tr>
      <w:tr w:rsidR="00DA5DB1" w:rsidRPr="00C14695" w14:paraId="5B93E340" w14:textId="77777777" w:rsidTr="00254C1D">
        <w:trPr>
          <w:trHeight w:val="20"/>
        </w:trPr>
        <w:tc>
          <w:tcPr>
            <w:tcW w:w="1591" w:type="dxa"/>
            <w:noWrap/>
            <w:hideMark/>
          </w:tcPr>
          <w:p w14:paraId="485CDD67" w14:textId="77777777" w:rsidR="00DA5DB1" w:rsidRPr="00C14695" w:rsidRDefault="00DA5DB1" w:rsidP="00653915">
            <w:pPr>
              <w:pStyle w:val="TableBody"/>
            </w:pPr>
            <w:r w:rsidRPr="00C14695">
              <w:t>1</w:t>
            </w:r>
          </w:p>
        </w:tc>
        <w:tc>
          <w:tcPr>
            <w:tcW w:w="1592" w:type="dxa"/>
            <w:noWrap/>
            <w:hideMark/>
          </w:tcPr>
          <w:p w14:paraId="2DA69E52" w14:textId="77777777" w:rsidR="00DA5DB1" w:rsidRPr="00C14695" w:rsidRDefault="00DA5DB1" w:rsidP="00653915">
            <w:pPr>
              <w:pStyle w:val="TableBody"/>
            </w:pPr>
            <w:r w:rsidRPr="00C14695">
              <w:t>11</w:t>
            </w:r>
          </w:p>
        </w:tc>
        <w:tc>
          <w:tcPr>
            <w:tcW w:w="1592" w:type="dxa"/>
            <w:noWrap/>
            <w:hideMark/>
          </w:tcPr>
          <w:p w14:paraId="6C148AD3" w14:textId="77777777" w:rsidR="00DA5DB1" w:rsidRPr="00C14695" w:rsidRDefault="00DA5DB1" w:rsidP="00653915">
            <w:pPr>
              <w:pStyle w:val="TableBody"/>
            </w:pPr>
            <w:r w:rsidRPr="00C14695">
              <w:t>9</w:t>
            </w:r>
          </w:p>
        </w:tc>
        <w:tc>
          <w:tcPr>
            <w:tcW w:w="1591" w:type="dxa"/>
            <w:noWrap/>
            <w:hideMark/>
          </w:tcPr>
          <w:p w14:paraId="6B1EB517" w14:textId="77777777" w:rsidR="00DA5DB1" w:rsidRPr="00C14695" w:rsidRDefault="00DA5DB1" w:rsidP="00653915">
            <w:pPr>
              <w:pStyle w:val="TableBody"/>
            </w:pPr>
            <w:r w:rsidRPr="00C14695">
              <w:t>16</w:t>
            </w:r>
          </w:p>
        </w:tc>
        <w:tc>
          <w:tcPr>
            <w:tcW w:w="1592" w:type="dxa"/>
            <w:noWrap/>
            <w:hideMark/>
          </w:tcPr>
          <w:p w14:paraId="141617B0" w14:textId="77777777" w:rsidR="00DA5DB1" w:rsidRPr="00C14695" w:rsidRDefault="00DA5DB1" w:rsidP="00653915">
            <w:pPr>
              <w:pStyle w:val="TableBody"/>
            </w:pPr>
            <w:r w:rsidRPr="00C14695">
              <w:t>11</w:t>
            </w:r>
          </w:p>
        </w:tc>
        <w:tc>
          <w:tcPr>
            <w:tcW w:w="1592" w:type="dxa"/>
            <w:noWrap/>
            <w:hideMark/>
          </w:tcPr>
          <w:p w14:paraId="2E9776CE" w14:textId="77777777" w:rsidR="00DA5DB1" w:rsidRPr="00C14695" w:rsidRDefault="00DA5DB1" w:rsidP="00653915">
            <w:pPr>
              <w:pStyle w:val="TableBody"/>
            </w:pPr>
            <w:r w:rsidRPr="00C14695">
              <w:t>48</w:t>
            </w:r>
          </w:p>
        </w:tc>
      </w:tr>
      <w:tr w:rsidR="00DA5DB1" w:rsidRPr="00C14695" w14:paraId="66586C1E" w14:textId="77777777" w:rsidTr="00254C1D">
        <w:trPr>
          <w:trHeight w:val="20"/>
        </w:trPr>
        <w:tc>
          <w:tcPr>
            <w:tcW w:w="1591" w:type="dxa"/>
            <w:noWrap/>
            <w:hideMark/>
          </w:tcPr>
          <w:p w14:paraId="5381E8B0" w14:textId="77777777" w:rsidR="00DA5DB1" w:rsidRPr="00C14695" w:rsidRDefault="00DA5DB1" w:rsidP="00653915">
            <w:pPr>
              <w:pStyle w:val="TableBody"/>
            </w:pPr>
            <w:r w:rsidRPr="00C14695">
              <w:t>1</w:t>
            </w:r>
          </w:p>
        </w:tc>
        <w:tc>
          <w:tcPr>
            <w:tcW w:w="1592" w:type="dxa"/>
            <w:noWrap/>
            <w:hideMark/>
          </w:tcPr>
          <w:p w14:paraId="39C88AFE" w14:textId="77777777" w:rsidR="00DA5DB1" w:rsidRPr="00C14695" w:rsidRDefault="00DA5DB1" w:rsidP="00653915">
            <w:pPr>
              <w:pStyle w:val="TableBody"/>
            </w:pPr>
            <w:r w:rsidRPr="00C14695">
              <w:t>0</w:t>
            </w:r>
          </w:p>
        </w:tc>
        <w:tc>
          <w:tcPr>
            <w:tcW w:w="1592" w:type="dxa"/>
            <w:noWrap/>
            <w:hideMark/>
          </w:tcPr>
          <w:p w14:paraId="5D89110E" w14:textId="77777777" w:rsidR="00DA5DB1" w:rsidRPr="00C14695" w:rsidRDefault="00DA5DB1" w:rsidP="00653915">
            <w:pPr>
              <w:pStyle w:val="TableBody"/>
            </w:pPr>
            <w:r w:rsidRPr="00C14695">
              <w:t>2</w:t>
            </w:r>
          </w:p>
        </w:tc>
        <w:tc>
          <w:tcPr>
            <w:tcW w:w="1591" w:type="dxa"/>
            <w:noWrap/>
            <w:hideMark/>
          </w:tcPr>
          <w:p w14:paraId="6E603DAB" w14:textId="77777777" w:rsidR="00DA5DB1" w:rsidRPr="00C14695" w:rsidRDefault="00DA5DB1" w:rsidP="00653915">
            <w:pPr>
              <w:pStyle w:val="TableBody"/>
            </w:pPr>
            <w:r w:rsidRPr="00C14695">
              <w:t>0</w:t>
            </w:r>
          </w:p>
        </w:tc>
        <w:tc>
          <w:tcPr>
            <w:tcW w:w="1592" w:type="dxa"/>
            <w:noWrap/>
            <w:hideMark/>
          </w:tcPr>
          <w:p w14:paraId="7D2AC56C" w14:textId="77777777" w:rsidR="00DA5DB1" w:rsidRPr="00C14695" w:rsidRDefault="00DA5DB1" w:rsidP="00653915">
            <w:pPr>
              <w:pStyle w:val="TableBody"/>
            </w:pPr>
            <w:r w:rsidRPr="00C14695">
              <w:t>1</w:t>
            </w:r>
          </w:p>
        </w:tc>
        <w:tc>
          <w:tcPr>
            <w:tcW w:w="1592" w:type="dxa"/>
            <w:noWrap/>
            <w:hideMark/>
          </w:tcPr>
          <w:p w14:paraId="6CE4CD9F" w14:textId="77777777" w:rsidR="00DA5DB1" w:rsidRPr="00C14695" w:rsidRDefault="00DA5DB1" w:rsidP="00653915">
            <w:pPr>
              <w:pStyle w:val="TableBody"/>
            </w:pPr>
            <w:r w:rsidRPr="00C14695">
              <w:t>4</w:t>
            </w:r>
          </w:p>
        </w:tc>
      </w:tr>
      <w:tr w:rsidR="00DA5DB1" w:rsidRPr="00C14695" w14:paraId="5B6D6BE6" w14:textId="77777777" w:rsidTr="00254C1D">
        <w:trPr>
          <w:trHeight w:val="20"/>
        </w:trPr>
        <w:tc>
          <w:tcPr>
            <w:tcW w:w="1591" w:type="dxa"/>
            <w:noWrap/>
            <w:hideMark/>
          </w:tcPr>
          <w:p w14:paraId="6938B45B" w14:textId="77777777" w:rsidR="00DA5DB1" w:rsidRPr="00C14695" w:rsidRDefault="00DA5DB1" w:rsidP="00653915">
            <w:pPr>
              <w:pStyle w:val="TableBody"/>
            </w:pPr>
            <w:r w:rsidRPr="00C14695">
              <w:t>29</w:t>
            </w:r>
          </w:p>
        </w:tc>
        <w:tc>
          <w:tcPr>
            <w:tcW w:w="1592" w:type="dxa"/>
            <w:noWrap/>
            <w:hideMark/>
          </w:tcPr>
          <w:p w14:paraId="3F6BF1C2" w14:textId="77777777" w:rsidR="00DA5DB1" w:rsidRPr="00C14695" w:rsidRDefault="00DA5DB1" w:rsidP="00653915">
            <w:pPr>
              <w:pStyle w:val="TableBody"/>
            </w:pPr>
            <w:r w:rsidRPr="00C14695">
              <w:t>60</w:t>
            </w:r>
          </w:p>
        </w:tc>
        <w:tc>
          <w:tcPr>
            <w:tcW w:w="1592" w:type="dxa"/>
            <w:noWrap/>
            <w:hideMark/>
          </w:tcPr>
          <w:p w14:paraId="2B266C21" w14:textId="77777777" w:rsidR="00DA5DB1" w:rsidRPr="00C14695" w:rsidRDefault="00DA5DB1" w:rsidP="00653915">
            <w:pPr>
              <w:pStyle w:val="TableBody"/>
            </w:pPr>
            <w:r w:rsidRPr="00C14695">
              <w:t>105</w:t>
            </w:r>
          </w:p>
        </w:tc>
        <w:tc>
          <w:tcPr>
            <w:tcW w:w="1591" w:type="dxa"/>
            <w:noWrap/>
            <w:hideMark/>
          </w:tcPr>
          <w:p w14:paraId="7C0F00DB" w14:textId="77777777" w:rsidR="00DA5DB1" w:rsidRPr="00C14695" w:rsidRDefault="00DA5DB1" w:rsidP="00653915">
            <w:pPr>
              <w:pStyle w:val="TableBody"/>
            </w:pPr>
            <w:r w:rsidRPr="00C14695">
              <w:t>73</w:t>
            </w:r>
          </w:p>
        </w:tc>
        <w:tc>
          <w:tcPr>
            <w:tcW w:w="1592" w:type="dxa"/>
            <w:noWrap/>
            <w:hideMark/>
          </w:tcPr>
          <w:p w14:paraId="66A0CDB6" w14:textId="77777777" w:rsidR="00DA5DB1" w:rsidRPr="00C14695" w:rsidRDefault="00DA5DB1" w:rsidP="00653915">
            <w:pPr>
              <w:pStyle w:val="TableBody"/>
            </w:pPr>
            <w:r w:rsidRPr="00C14695">
              <w:t>93</w:t>
            </w:r>
          </w:p>
        </w:tc>
        <w:tc>
          <w:tcPr>
            <w:tcW w:w="1592" w:type="dxa"/>
            <w:noWrap/>
            <w:hideMark/>
          </w:tcPr>
          <w:p w14:paraId="4200BE92" w14:textId="77777777" w:rsidR="00DA5DB1" w:rsidRPr="00C14695" w:rsidRDefault="00DA5DB1" w:rsidP="00653915">
            <w:pPr>
              <w:pStyle w:val="TableBody"/>
            </w:pPr>
            <w:r w:rsidRPr="00C14695">
              <w:t>360</w:t>
            </w:r>
          </w:p>
        </w:tc>
      </w:tr>
    </w:tbl>
    <w:p w14:paraId="4EAA6C6D" w14:textId="77777777" w:rsidR="005A3418" w:rsidRPr="00D36673" w:rsidRDefault="005A3418" w:rsidP="00F24F16">
      <w:pPr>
        <w:pStyle w:val="Numbered"/>
      </w:pPr>
      <w:r w:rsidRPr="00D36673">
        <w:t>Stakeholders commented that the increasing rates of diversion, particularly the even higher rates of diversion in family violence cases, suggested that therapeutic options were increasingly being used, especially to respond to adolescent family violence. Stakeholders saw this as a positive development, in contrast to the increasing use of prison sentences in the Magistrates’ Court.</w:t>
      </w:r>
    </w:p>
    <w:p w14:paraId="7B0E8057" w14:textId="77777777" w:rsidR="005A3418" w:rsidRPr="00D36673" w:rsidRDefault="005A3418" w:rsidP="00F67BC8">
      <w:pPr>
        <w:pStyle w:val="Heading3"/>
      </w:pPr>
      <w:r w:rsidRPr="00D36673">
        <w:lastRenderedPageBreak/>
        <w:t>Family violence</w:t>
      </w:r>
    </w:p>
    <w:p w14:paraId="765E7546" w14:textId="77777777" w:rsidR="005A3418" w:rsidRPr="00D36673" w:rsidRDefault="005A3418" w:rsidP="00F24F16">
      <w:pPr>
        <w:pStyle w:val="Numbered"/>
      </w:pPr>
      <w:r w:rsidRPr="00D36673">
        <w:t>In the Children’s Court, threat cases with a family violence indicator tended to receive less severe sentences than threat cases without one. Of the 300 cases where a threat was the most serious offence, 78 had a family violence indicator while 222 did not. Of those cases with a family violence indicator, none received a youth justice centre order or a youth residential centre order, while 3% of non-family violence cases received those sentence types. This is most likely due to the different family violence case profile among children compared to adults. Children whose cases are linked to family violence are often primarily victims rather than perpetrators of family violence, and children who perpetrate family violence tend to be especially vulnerable.</w:t>
      </w:r>
      <w:r w:rsidRPr="00D36673">
        <w:rPr>
          <w:rStyle w:val="Superscript"/>
        </w:rPr>
        <w:footnoteReference w:id="163"/>
      </w:r>
      <w:r w:rsidRPr="00D36673">
        <w:t xml:space="preserve"> Stakeholders also commented that in the Children’s Court, much of the violence perpetrated by children was most likely violence by a child against a parent. Such violence often receives less severe outcomes than intimate partner violence for various reasons, potentially including the wishes of the victim, the vulnerability of the child, and the availability of supports and therapeutic options prior to sentence.</w:t>
      </w:r>
      <w:r w:rsidRPr="00D36673">
        <w:rPr>
          <w:rStyle w:val="Superscript"/>
        </w:rPr>
        <w:footnoteReference w:id="164"/>
      </w:r>
      <w:r w:rsidRPr="00D36673">
        <w:t xml:space="preserve"> </w:t>
      </w:r>
    </w:p>
    <w:p w14:paraId="20C5FF62" w14:textId="77777777" w:rsidR="005A3418" w:rsidRPr="00D36673" w:rsidRDefault="005A3418" w:rsidP="00F67BC8">
      <w:pPr>
        <w:pStyle w:val="Heading3"/>
      </w:pPr>
      <w:r w:rsidRPr="00D36673">
        <w:t>Gender</w:t>
      </w:r>
    </w:p>
    <w:p w14:paraId="66E31D4E" w14:textId="77777777" w:rsidR="005A3418" w:rsidRPr="00D36673" w:rsidRDefault="005A3418" w:rsidP="00F24F16">
      <w:pPr>
        <w:pStyle w:val="Numbered"/>
      </w:pPr>
      <w:r w:rsidRPr="00D36673">
        <w:t xml:space="preserve">In the Children’s Court, female offenders tended to receive less severe sentences than their male counterparts where the principal proven offence was a threat offence. However, the difference appeared less pronounced than that in the adult courts. Young males, for example, received twice the proportion of youth attendance orders or youth supervision orders as young females </w:t>
      </w:r>
      <w:r w:rsidRPr="00D36673">
        <w:lastRenderedPageBreak/>
        <w:t>did (16% of cases with a threat offence as the principal proven offence compared to 8%). Both groups, though, had similar rates of custodial sentences (2% of cases involving males and 3% of cases involving females). Again, this is most likely attributable to the differences between adults’ and children’s experiences of family violence, as well as the particular vulnerability of young female offenders.</w:t>
      </w:r>
    </w:p>
    <w:p w14:paraId="31E816D9" w14:textId="13B7FCDC" w:rsidR="005A3418" w:rsidRPr="00D36673" w:rsidRDefault="005A3418" w:rsidP="00957F3A">
      <w:pPr>
        <w:pStyle w:val="Heading1Numbered"/>
      </w:pPr>
      <w:bookmarkStart w:id="9" w:name="_Toc75445783"/>
      <w:r w:rsidRPr="00D36673">
        <w:lastRenderedPageBreak/>
        <w:t>Co-sentenced offences</w:t>
      </w:r>
      <w:bookmarkEnd w:id="9"/>
    </w:p>
    <w:p w14:paraId="2FC150AF" w14:textId="77777777" w:rsidR="005A3418" w:rsidRPr="00D36673" w:rsidRDefault="005A3418" w:rsidP="00FE74B5">
      <w:pPr>
        <w:pStyle w:val="Numbered"/>
      </w:pPr>
      <w:r w:rsidRPr="00D36673">
        <w:t>Between 1 January 2015 and 31 December 2019 (the reference period), 105,179 offences in total were sentenced in 13,846 cases involving a threat offence. This chapter examines the other</w:t>
      </w:r>
      <w:r w:rsidRPr="00A24E18">
        <w:rPr>
          <w:rStyle w:val="Emphasis"/>
        </w:rPr>
        <w:t xml:space="preserve"> </w:t>
      </w:r>
      <w:r w:rsidRPr="00D36673">
        <w:t>charges that were co-sentenced with threat offences in each jurisdiction, including whether the types of co-sentenced offences in the Magistrates’ Court varied between family violence cases and non-family violence cases, and between the various threat offence types.</w:t>
      </w:r>
    </w:p>
    <w:p w14:paraId="264118DA" w14:textId="77777777" w:rsidR="005A3418" w:rsidRPr="00D36673" w:rsidRDefault="005A3418" w:rsidP="00FE74B5">
      <w:pPr>
        <w:pStyle w:val="Numbered"/>
      </w:pPr>
      <w:r w:rsidRPr="00D36673">
        <w:t>This chapter also includes an analysis of the offence dates for different charges sentenced in the same case. This analysis aims to gauge how many offenders threaten and then offend violently later, as opposed to threaten as part of an outburst that also includes violence.</w:t>
      </w:r>
    </w:p>
    <w:p w14:paraId="2A631D6B" w14:textId="77777777" w:rsidR="005A3418" w:rsidRPr="00D36673" w:rsidRDefault="005A3418" w:rsidP="00FE74B5">
      <w:pPr>
        <w:pStyle w:val="Numbered"/>
      </w:pPr>
      <w:r w:rsidRPr="00D36673">
        <w:t>In the Children’s Court – and to a lesser extent in the Magistrates’ Court – multiple, unrelated cases are sometimes consolidated for procedural reasons. As a result, co-sentenced offences may appear more often simply because they are common overall,</w:t>
      </w:r>
      <w:r w:rsidRPr="00D36673">
        <w:rPr>
          <w:rStyle w:val="Superscript"/>
        </w:rPr>
        <w:footnoteReference w:id="165"/>
      </w:r>
      <w:r w:rsidRPr="00D36673">
        <w:t xml:space="preserve"> rather than because they are specifically related to threats. Case consolidation can also affect the family violence designation of a case: if just one of the cases consolidated together has a family violence indicator, that indicator also applies to the consolidated case. The co-sentenced offences in these jurisdictions should therefore be regarded with caution.</w:t>
      </w:r>
    </w:p>
    <w:p w14:paraId="376C4A85" w14:textId="77777777" w:rsidR="005A3418" w:rsidRPr="00D36673" w:rsidRDefault="005A3418" w:rsidP="0086723D">
      <w:pPr>
        <w:pStyle w:val="Heading2"/>
      </w:pPr>
      <w:r w:rsidRPr="00D36673">
        <w:t>Number of charges per case</w:t>
      </w:r>
    </w:p>
    <w:p w14:paraId="50739014" w14:textId="77777777" w:rsidR="005A3418" w:rsidRPr="00D36673" w:rsidRDefault="005A3418" w:rsidP="00FE74B5">
      <w:pPr>
        <w:pStyle w:val="Numbered"/>
      </w:pPr>
      <w:r w:rsidRPr="00D36673">
        <w:t xml:space="preserve">Overall, threat cases involved high numbers of offences per case: an average of 7.2 in the Magistrates’ Court and higher courts, and </w:t>
      </w:r>
      <w:r w:rsidRPr="00D36673">
        <w:lastRenderedPageBreak/>
        <w:t>11.3 in the Children’s Court. This was not merely due to a few prolific offenders: more than half of threat cases involved four or more offences in total (Figure 21). However, the high numbers in the Children’s Court are most likely linked to the common practice in that court of consolidating unrelated charges into a single case.</w:t>
      </w:r>
      <w:r w:rsidRPr="00D36673">
        <w:rPr>
          <w:rStyle w:val="Superscript"/>
        </w:rPr>
        <w:footnoteReference w:id="166"/>
      </w:r>
      <w:r w:rsidRPr="00D36673">
        <w:t xml:space="preserve"> Most threat offenders were sentenced for a combination of a single threat offence and some other offence type.</w:t>
      </w:r>
    </w:p>
    <w:p w14:paraId="7C6B3F35" w14:textId="192F7F79" w:rsidR="005A3418" w:rsidRDefault="005A3418" w:rsidP="00711AFB">
      <w:pPr>
        <w:pStyle w:val="Caption"/>
      </w:pPr>
      <w:r w:rsidRPr="00C9259E">
        <w:t xml:space="preserve">Figure 21: </w:t>
      </w:r>
      <w:r w:rsidRPr="00D36673">
        <w:t>Number of threat charges and total charges per threat case, all courts, 2015 to 2019</w:t>
      </w:r>
    </w:p>
    <w:tbl>
      <w:tblPr>
        <w:tblStyle w:val="Table"/>
        <w:tblW w:w="5000" w:type="pct"/>
        <w:tblLook w:val="04A0" w:firstRow="1" w:lastRow="0" w:firstColumn="1" w:lastColumn="0" w:noHBand="0" w:noVBand="1"/>
      </w:tblPr>
      <w:tblGrid>
        <w:gridCol w:w="2421"/>
        <w:gridCol w:w="1411"/>
        <w:gridCol w:w="1411"/>
        <w:gridCol w:w="1802"/>
        <w:gridCol w:w="1971"/>
      </w:tblGrid>
      <w:tr w:rsidR="00F373E9" w:rsidRPr="00BF4DD1" w14:paraId="65F06F50" w14:textId="77777777" w:rsidTr="00BF4DD1">
        <w:trPr>
          <w:trHeight w:val="290"/>
          <w:tblHeader/>
        </w:trPr>
        <w:tc>
          <w:tcPr>
            <w:tcW w:w="1000" w:type="pct"/>
            <w:noWrap/>
            <w:hideMark/>
          </w:tcPr>
          <w:p w14:paraId="09EB7043" w14:textId="0BB2A5C7" w:rsidR="00BF4DD1" w:rsidRPr="00BF4DD1" w:rsidRDefault="00BF4DD1" w:rsidP="00BF4DD1">
            <w:pPr>
              <w:pStyle w:val="TableHeading"/>
            </w:pPr>
            <w:r w:rsidRPr="00BF4DD1">
              <w:t>N</w:t>
            </w:r>
            <w:r w:rsidR="00F373E9">
              <w:t>umber of</w:t>
            </w:r>
            <w:r w:rsidRPr="00BF4DD1">
              <w:t xml:space="preserve"> offences</w:t>
            </w:r>
          </w:p>
        </w:tc>
        <w:tc>
          <w:tcPr>
            <w:tcW w:w="1000" w:type="pct"/>
            <w:noWrap/>
            <w:hideMark/>
          </w:tcPr>
          <w:p w14:paraId="283E6F77" w14:textId="77777777" w:rsidR="00BF4DD1" w:rsidRPr="00BF4DD1" w:rsidRDefault="00BF4DD1" w:rsidP="00BF4DD1">
            <w:pPr>
              <w:pStyle w:val="TableHeading"/>
            </w:pPr>
            <w:r w:rsidRPr="00BF4DD1">
              <w:t>Threats</w:t>
            </w:r>
          </w:p>
        </w:tc>
        <w:tc>
          <w:tcPr>
            <w:tcW w:w="1000" w:type="pct"/>
            <w:noWrap/>
            <w:hideMark/>
          </w:tcPr>
          <w:p w14:paraId="7E46F9C0" w14:textId="77777777" w:rsidR="00BF4DD1" w:rsidRPr="00BF4DD1" w:rsidRDefault="00BF4DD1" w:rsidP="00BF4DD1">
            <w:pPr>
              <w:pStyle w:val="TableHeading"/>
            </w:pPr>
            <w:r w:rsidRPr="00BF4DD1">
              <w:t>All</w:t>
            </w:r>
          </w:p>
        </w:tc>
        <w:tc>
          <w:tcPr>
            <w:tcW w:w="1000" w:type="pct"/>
            <w:noWrap/>
            <w:hideMark/>
          </w:tcPr>
          <w:p w14:paraId="03E82C92" w14:textId="77777777" w:rsidR="00BF4DD1" w:rsidRPr="00BF4DD1" w:rsidRDefault="00BF4DD1" w:rsidP="00BF4DD1">
            <w:pPr>
              <w:pStyle w:val="TableHeading"/>
            </w:pPr>
            <w:r w:rsidRPr="00BF4DD1">
              <w:t>Total offences</w:t>
            </w:r>
          </w:p>
        </w:tc>
        <w:tc>
          <w:tcPr>
            <w:tcW w:w="1000" w:type="pct"/>
            <w:noWrap/>
            <w:hideMark/>
          </w:tcPr>
          <w:p w14:paraId="7D028D37" w14:textId="77777777" w:rsidR="00BF4DD1" w:rsidRPr="00BF4DD1" w:rsidRDefault="00BF4DD1" w:rsidP="00BF4DD1">
            <w:pPr>
              <w:pStyle w:val="TableHeading"/>
            </w:pPr>
            <w:r w:rsidRPr="00BF4DD1">
              <w:t>Threat offences</w:t>
            </w:r>
          </w:p>
        </w:tc>
      </w:tr>
      <w:tr w:rsidR="00F373E9" w:rsidRPr="00BF4DD1" w14:paraId="75D9916D" w14:textId="77777777" w:rsidTr="00BF4DD1">
        <w:trPr>
          <w:trHeight w:val="290"/>
        </w:trPr>
        <w:tc>
          <w:tcPr>
            <w:tcW w:w="1000" w:type="pct"/>
            <w:noWrap/>
            <w:hideMark/>
          </w:tcPr>
          <w:p w14:paraId="53EB4579" w14:textId="77777777" w:rsidR="00BF4DD1" w:rsidRPr="00BF4DD1" w:rsidRDefault="00BF4DD1" w:rsidP="00BF4DD1">
            <w:pPr>
              <w:pStyle w:val="TableBody"/>
            </w:pPr>
            <w:r w:rsidRPr="00BF4DD1">
              <w:t>1</w:t>
            </w:r>
          </w:p>
        </w:tc>
        <w:tc>
          <w:tcPr>
            <w:tcW w:w="1000" w:type="pct"/>
            <w:noWrap/>
            <w:hideMark/>
          </w:tcPr>
          <w:p w14:paraId="03D52500" w14:textId="73DF610A" w:rsidR="00BF4DD1" w:rsidRPr="00BF4DD1" w:rsidRDefault="00BF4DD1" w:rsidP="00BF4DD1">
            <w:pPr>
              <w:pStyle w:val="TableBody"/>
            </w:pPr>
            <w:r w:rsidRPr="00BF4DD1">
              <w:t>10</w:t>
            </w:r>
            <w:r w:rsidR="00E86F5C">
              <w:t>,</w:t>
            </w:r>
            <w:r w:rsidRPr="00BF4DD1">
              <w:t>552</w:t>
            </w:r>
          </w:p>
        </w:tc>
        <w:tc>
          <w:tcPr>
            <w:tcW w:w="1000" w:type="pct"/>
            <w:noWrap/>
            <w:hideMark/>
          </w:tcPr>
          <w:p w14:paraId="22F93603" w14:textId="5A902C62" w:rsidR="00BF4DD1" w:rsidRPr="00BF4DD1" w:rsidRDefault="00BF4DD1" w:rsidP="00BF4DD1">
            <w:pPr>
              <w:pStyle w:val="TableBody"/>
            </w:pPr>
            <w:r w:rsidRPr="00BF4DD1">
              <w:t>1</w:t>
            </w:r>
            <w:r w:rsidR="00E86F5C">
              <w:t>,</w:t>
            </w:r>
            <w:r w:rsidRPr="00BF4DD1">
              <w:t>173</w:t>
            </w:r>
          </w:p>
        </w:tc>
        <w:tc>
          <w:tcPr>
            <w:tcW w:w="1000" w:type="pct"/>
            <w:noWrap/>
            <w:hideMark/>
          </w:tcPr>
          <w:p w14:paraId="4D99CFBB" w14:textId="77777777" w:rsidR="00BF4DD1" w:rsidRPr="00BF4DD1" w:rsidRDefault="00BF4DD1" w:rsidP="00BF4DD1">
            <w:pPr>
              <w:pStyle w:val="TableBody"/>
            </w:pPr>
            <w:r w:rsidRPr="00BF4DD1">
              <w:t>8%</w:t>
            </w:r>
          </w:p>
        </w:tc>
        <w:tc>
          <w:tcPr>
            <w:tcW w:w="1000" w:type="pct"/>
            <w:noWrap/>
            <w:hideMark/>
          </w:tcPr>
          <w:p w14:paraId="20C30D15" w14:textId="77777777" w:rsidR="00BF4DD1" w:rsidRPr="00BF4DD1" w:rsidRDefault="00BF4DD1" w:rsidP="00BF4DD1">
            <w:pPr>
              <w:pStyle w:val="TableBody"/>
            </w:pPr>
            <w:r w:rsidRPr="00BF4DD1">
              <w:t>76%</w:t>
            </w:r>
          </w:p>
        </w:tc>
      </w:tr>
      <w:tr w:rsidR="00F373E9" w:rsidRPr="00BF4DD1" w14:paraId="13B55304" w14:textId="77777777" w:rsidTr="00BF4DD1">
        <w:trPr>
          <w:trHeight w:val="290"/>
        </w:trPr>
        <w:tc>
          <w:tcPr>
            <w:tcW w:w="1000" w:type="pct"/>
            <w:noWrap/>
            <w:hideMark/>
          </w:tcPr>
          <w:p w14:paraId="36AD08A5" w14:textId="77777777" w:rsidR="00BF4DD1" w:rsidRPr="00BF4DD1" w:rsidRDefault="00BF4DD1" w:rsidP="00BF4DD1">
            <w:pPr>
              <w:pStyle w:val="TableBody"/>
            </w:pPr>
            <w:r w:rsidRPr="00BF4DD1">
              <w:t>2</w:t>
            </w:r>
          </w:p>
        </w:tc>
        <w:tc>
          <w:tcPr>
            <w:tcW w:w="1000" w:type="pct"/>
            <w:noWrap/>
            <w:hideMark/>
          </w:tcPr>
          <w:p w14:paraId="27317A22" w14:textId="5B9ABEA2" w:rsidR="00BF4DD1" w:rsidRPr="00BF4DD1" w:rsidRDefault="00BF4DD1" w:rsidP="00BF4DD1">
            <w:pPr>
              <w:pStyle w:val="TableBody"/>
            </w:pPr>
            <w:r w:rsidRPr="00BF4DD1">
              <w:t>2</w:t>
            </w:r>
            <w:r w:rsidR="00E86F5C">
              <w:t>,</w:t>
            </w:r>
            <w:r w:rsidRPr="00BF4DD1">
              <w:t>370</w:t>
            </w:r>
          </w:p>
        </w:tc>
        <w:tc>
          <w:tcPr>
            <w:tcW w:w="1000" w:type="pct"/>
            <w:noWrap/>
            <w:hideMark/>
          </w:tcPr>
          <w:p w14:paraId="30273C2D" w14:textId="68039C24" w:rsidR="00BF4DD1" w:rsidRPr="00BF4DD1" w:rsidRDefault="00BF4DD1" w:rsidP="00BF4DD1">
            <w:pPr>
              <w:pStyle w:val="TableBody"/>
            </w:pPr>
            <w:r w:rsidRPr="00BF4DD1">
              <w:t>2</w:t>
            </w:r>
            <w:r w:rsidR="00E86F5C">
              <w:t>,</w:t>
            </w:r>
            <w:r w:rsidRPr="00BF4DD1">
              <w:t>232</w:t>
            </w:r>
          </w:p>
        </w:tc>
        <w:tc>
          <w:tcPr>
            <w:tcW w:w="1000" w:type="pct"/>
            <w:noWrap/>
            <w:hideMark/>
          </w:tcPr>
          <w:p w14:paraId="6C3C4B4F" w14:textId="77777777" w:rsidR="00BF4DD1" w:rsidRPr="00BF4DD1" w:rsidRDefault="00BF4DD1" w:rsidP="00BF4DD1">
            <w:pPr>
              <w:pStyle w:val="TableBody"/>
            </w:pPr>
            <w:r w:rsidRPr="00BF4DD1">
              <w:t>16%</w:t>
            </w:r>
          </w:p>
        </w:tc>
        <w:tc>
          <w:tcPr>
            <w:tcW w:w="1000" w:type="pct"/>
            <w:noWrap/>
            <w:hideMark/>
          </w:tcPr>
          <w:p w14:paraId="6022020B" w14:textId="77777777" w:rsidR="00BF4DD1" w:rsidRPr="00BF4DD1" w:rsidRDefault="00BF4DD1" w:rsidP="00BF4DD1">
            <w:pPr>
              <w:pStyle w:val="TableBody"/>
            </w:pPr>
            <w:r w:rsidRPr="00BF4DD1">
              <w:t>17%</w:t>
            </w:r>
          </w:p>
        </w:tc>
      </w:tr>
      <w:tr w:rsidR="00F373E9" w:rsidRPr="00BF4DD1" w14:paraId="76EDC20A" w14:textId="77777777" w:rsidTr="00BF4DD1">
        <w:trPr>
          <w:trHeight w:val="290"/>
        </w:trPr>
        <w:tc>
          <w:tcPr>
            <w:tcW w:w="1000" w:type="pct"/>
            <w:noWrap/>
            <w:hideMark/>
          </w:tcPr>
          <w:p w14:paraId="2E3E6CF6" w14:textId="77777777" w:rsidR="00BF4DD1" w:rsidRPr="00BF4DD1" w:rsidRDefault="00BF4DD1" w:rsidP="00BF4DD1">
            <w:pPr>
              <w:pStyle w:val="TableBody"/>
            </w:pPr>
            <w:r w:rsidRPr="00BF4DD1">
              <w:t>3</w:t>
            </w:r>
          </w:p>
        </w:tc>
        <w:tc>
          <w:tcPr>
            <w:tcW w:w="1000" w:type="pct"/>
            <w:noWrap/>
            <w:hideMark/>
          </w:tcPr>
          <w:p w14:paraId="2BE6EF29" w14:textId="77777777" w:rsidR="00BF4DD1" w:rsidRPr="00BF4DD1" w:rsidRDefault="00BF4DD1" w:rsidP="00BF4DD1">
            <w:pPr>
              <w:pStyle w:val="TableBody"/>
            </w:pPr>
            <w:r w:rsidRPr="00BF4DD1">
              <w:t>551</w:t>
            </w:r>
          </w:p>
        </w:tc>
        <w:tc>
          <w:tcPr>
            <w:tcW w:w="1000" w:type="pct"/>
            <w:noWrap/>
            <w:hideMark/>
          </w:tcPr>
          <w:p w14:paraId="5571D0E9" w14:textId="6D8A0A89" w:rsidR="00BF4DD1" w:rsidRPr="00BF4DD1" w:rsidRDefault="00BF4DD1" w:rsidP="00BF4DD1">
            <w:pPr>
              <w:pStyle w:val="TableBody"/>
            </w:pPr>
            <w:r w:rsidRPr="00BF4DD1">
              <w:t>1</w:t>
            </w:r>
            <w:r w:rsidR="00E86F5C">
              <w:t>,</w:t>
            </w:r>
            <w:r w:rsidRPr="00BF4DD1">
              <w:t>878</w:t>
            </w:r>
          </w:p>
        </w:tc>
        <w:tc>
          <w:tcPr>
            <w:tcW w:w="1000" w:type="pct"/>
            <w:noWrap/>
            <w:hideMark/>
          </w:tcPr>
          <w:p w14:paraId="0A684C65" w14:textId="77777777" w:rsidR="00BF4DD1" w:rsidRPr="00BF4DD1" w:rsidRDefault="00BF4DD1" w:rsidP="00BF4DD1">
            <w:pPr>
              <w:pStyle w:val="TableBody"/>
            </w:pPr>
            <w:r w:rsidRPr="00BF4DD1">
              <w:t>14%</w:t>
            </w:r>
          </w:p>
        </w:tc>
        <w:tc>
          <w:tcPr>
            <w:tcW w:w="1000" w:type="pct"/>
            <w:noWrap/>
            <w:hideMark/>
          </w:tcPr>
          <w:p w14:paraId="5E4778AF" w14:textId="77777777" w:rsidR="00BF4DD1" w:rsidRPr="00BF4DD1" w:rsidRDefault="00BF4DD1" w:rsidP="00BF4DD1">
            <w:pPr>
              <w:pStyle w:val="TableBody"/>
            </w:pPr>
            <w:r w:rsidRPr="00BF4DD1">
              <w:t>4%</w:t>
            </w:r>
          </w:p>
        </w:tc>
      </w:tr>
      <w:tr w:rsidR="00F373E9" w:rsidRPr="00BF4DD1" w14:paraId="1CDE741E" w14:textId="77777777" w:rsidTr="00BF4DD1">
        <w:trPr>
          <w:trHeight w:val="290"/>
        </w:trPr>
        <w:tc>
          <w:tcPr>
            <w:tcW w:w="1000" w:type="pct"/>
            <w:noWrap/>
            <w:hideMark/>
          </w:tcPr>
          <w:p w14:paraId="1A39EC20" w14:textId="77777777" w:rsidR="00BF4DD1" w:rsidRPr="00BF4DD1" w:rsidRDefault="00BF4DD1" w:rsidP="00BF4DD1">
            <w:pPr>
              <w:pStyle w:val="TableBody"/>
            </w:pPr>
            <w:r w:rsidRPr="00BF4DD1">
              <w:t>4</w:t>
            </w:r>
          </w:p>
        </w:tc>
        <w:tc>
          <w:tcPr>
            <w:tcW w:w="1000" w:type="pct"/>
            <w:noWrap/>
            <w:hideMark/>
          </w:tcPr>
          <w:p w14:paraId="3B245015" w14:textId="77777777" w:rsidR="00BF4DD1" w:rsidRPr="00BF4DD1" w:rsidRDefault="00BF4DD1" w:rsidP="00BF4DD1">
            <w:pPr>
              <w:pStyle w:val="TableBody"/>
            </w:pPr>
            <w:r w:rsidRPr="00BF4DD1">
              <w:t>213</w:t>
            </w:r>
          </w:p>
        </w:tc>
        <w:tc>
          <w:tcPr>
            <w:tcW w:w="1000" w:type="pct"/>
            <w:noWrap/>
            <w:hideMark/>
          </w:tcPr>
          <w:p w14:paraId="7B2101E7" w14:textId="63C31477" w:rsidR="00BF4DD1" w:rsidRPr="00BF4DD1" w:rsidRDefault="00BF4DD1" w:rsidP="00BF4DD1">
            <w:pPr>
              <w:pStyle w:val="TableBody"/>
            </w:pPr>
            <w:r w:rsidRPr="00BF4DD1">
              <w:t>1</w:t>
            </w:r>
            <w:r w:rsidR="00E86F5C">
              <w:t>,</w:t>
            </w:r>
            <w:r w:rsidRPr="00BF4DD1">
              <w:t>426</w:t>
            </w:r>
          </w:p>
        </w:tc>
        <w:tc>
          <w:tcPr>
            <w:tcW w:w="1000" w:type="pct"/>
            <w:noWrap/>
            <w:hideMark/>
          </w:tcPr>
          <w:p w14:paraId="3C52F7AD" w14:textId="77777777" w:rsidR="00BF4DD1" w:rsidRPr="00BF4DD1" w:rsidRDefault="00BF4DD1" w:rsidP="00BF4DD1">
            <w:pPr>
              <w:pStyle w:val="TableBody"/>
            </w:pPr>
            <w:r w:rsidRPr="00BF4DD1">
              <w:t>10%</w:t>
            </w:r>
          </w:p>
        </w:tc>
        <w:tc>
          <w:tcPr>
            <w:tcW w:w="1000" w:type="pct"/>
            <w:noWrap/>
            <w:hideMark/>
          </w:tcPr>
          <w:p w14:paraId="55F46BF5" w14:textId="77777777" w:rsidR="00BF4DD1" w:rsidRPr="00BF4DD1" w:rsidRDefault="00BF4DD1" w:rsidP="00BF4DD1">
            <w:pPr>
              <w:pStyle w:val="TableBody"/>
            </w:pPr>
            <w:r w:rsidRPr="00BF4DD1">
              <w:t>2%</w:t>
            </w:r>
          </w:p>
        </w:tc>
      </w:tr>
      <w:tr w:rsidR="00F373E9" w:rsidRPr="00BF4DD1" w14:paraId="4988A709" w14:textId="77777777" w:rsidTr="00BF4DD1">
        <w:trPr>
          <w:trHeight w:val="290"/>
        </w:trPr>
        <w:tc>
          <w:tcPr>
            <w:tcW w:w="1000" w:type="pct"/>
            <w:noWrap/>
            <w:hideMark/>
          </w:tcPr>
          <w:p w14:paraId="1D195BC5" w14:textId="77777777" w:rsidR="00BF4DD1" w:rsidRPr="00BF4DD1" w:rsidRDefault="00BF4DD1" w:rsidP="00BF4DD1">
            <w:pPr>
              <w:pStyle w:val="TableBody"/>
            </w:pPr>
            <w:r w:rsidRPr="00BF4DD1">
              <w:t>9</w:t>
            </w:r>
          </w:p>
        </w:tc>
        <w:tc>
          <w:tcPr>
            <w:tcW w:w="1000" w:type="pct"/>
            <w:noWrap/>
            <w:hideMark/>
          </w:tcPr>
          <w:p w14:paraId="70E2693C" w14:textId="77777777" w:rsidR="00BF4DD1" w:rsidRPr="00BF4DD1" w:rsidRDefault="00BF4DD1" w:rsidP="00BF4DD1">
            <w:pPr>
              <w:pStyle w:val="TableBody"/>
            </w:pPr>
            <w:r w:rsidRPr="00BF4DD1">
              <w:t>151</w:t>
            </w:r>
          </w:p>
        </w:tc>
        <w:tc>
          <w:tcPr>
            <w:tcW w:w="1000" w:type="pct"/>
            <w:noWrap/>
            <w:hideMark/>
          </w:tcPr>
          <w:p w14:paraId="38EC0661" w14:textId="4DF50C3F" w:rsidR="00BF4DD1" w:rsidRPr="00BF4DD1" w:rsidRDefault="00BF4DD1" w:rsidP="00BF4DD1">
            <w:pPr>
              <w:pStyle w:val="TableBody"/>
            </w:pPr>
            <w:r w:rsidRPr="00BF4DD1">
              <w:t>3</w:t>
            </w:r>
            <w:r w:rsidR="00E86F5C">
              <w:t>,</w:t>
            </w:r>
            <w:r w:rsidRPr="00BF4DD1">
              <w:t>785</w:t>
            </w:r>
          </w:p>
        </w:tc>
        <w:tc>
          <w:tcPr>
            <w:tcW w:w="1000" w:type="pct"/>
            <w:noWrap/>
            <w:hideMark/>
          </w:tcPr>
          <w:p w14:paraId="51BD7A26" w14:textId="77777777" w:rsidR="00BF4DD1" w:rsidRPr="00BF4DD1" w:rsidRDefault="00BF4DD1" w:rsidP="00BF4DD1">
            <w:pPr>
              <w:pStyle w:val="TableBody"/>
            </w:pPr>
            <w:r w:rsidRPr="00BF4DD1">
              <w:t>27%</w:t>
            </w:r>
          </w:p>
        </w:tc>
        <w:tc>
          <w:tcPr>
            <w:tcW w:w="1000" w:type="pct"/>
            <w:noWrap/>
            <w:hideMark/>
          </w:tcPr>
          <w:p w14:paraId="6D03E582" w14:textId="77777777" w:rsidR="00BF4DD1" w:rsidRPr="00BF4DD1" w:rsidRDefault="00BF4DD1" w:rsidP="00BF4DD1">
            <w:pPr>
              <w:pStyle w:val="TableBody"/>
            </w:pPr>
            <w:r w:rsidRPr="00BF4DD1">
              <w:t>1%</w:t>
            </w:r>
          </w:p>
        </w:tc>
      </w:tr>
      <w:tr w:rsidR="00F373E9" w:rsidRPr="00BF4DD1" w14:paraId="4DFB76C6" w14:textId="77777777" w:rsidTr="00BF4DD1">
        <w:trPr>
          <w:trHeight w:val="290"/>
        </w:trPr>
        <w:tc>
          <w:tcPr>
            <w:tcW w:w="1000" w:type="pct"/>
            <w:noWrap/>
            <w:hideMark/>
          </w:tcPr>
          <w:p w14:paraId="1A7CD306" w14:textId="77777777" w:rsidR="00BF4DD1" w:rsidRPr="00BF4DD1" w:rsidRDefault="00BF4DD1" w:rsidP="00BF4DD1">
            <w:pPr>
              <w:pStyle w:val="TableBody"/>
            </w:pPr>
            <w:r w:rsidRPr="00BF4DD1">
              <w:t>19</w:t>
            </w:r>
          </w:p>
        </w:tc>
        <w:tc>
          <w:tcPr>
            <w:tcW w:w="1000" w:type="pct"/>
            <w:noWrap/>
            <w:hideMark/>
          </w:tcPr>
          <w:p w14:paraId="41B83CFC" w14:textId="77777777" w:rsidR="00BF4DD1" w:rsidRPr="00BF4DD1" w:rsidRDefault="00BF4DD1" w:rsidP="00BF4DD1">
            <w:pPr>
              <w:pStyle w:val="TableBody"/>
            </w:pPr>
            <w:r w:rsidRPr="00BF4DD1">
              <w:t>8</w:t>
            </w:r>
          </w:p>
        </w:tc>
        <w:tc>
          <w:tcPr>
            <w:tcW w:w="1000" w:type="pct"/>
            <w:noWrap/>
            <w:hideMark/>
          </w:tcPr>
          <w:p w14:paraId="5408650A" w14:textId="4CE39FC2" w:rsidR="00BF4DD1" w:rsidRPr="00BF4DD1" w:rsidRDefault="00BF4DD1" w:rsidP="00BF4DD1">
            <w:pPr>
              <w:pStyle w:val="TableBody"/>
            </w:pPr>
            <w:r w:rsidRPr="00BF4DD1">
              <w:t>2</w:t>
            </w:r>
            <w:r w:rsidR="00E86F5C">
              <w:t>,</w:t>
            </w:r>
            <w:r w:rsidRPr="00BF4DD1">
              <w:t>326</w:t>
            </w:r>
          </w:p>
        </w:tc>
        <w:tc>
          <w:tcPr>
            <w:tcW w:w="1000" w:type="pct"/>
            <w:noWrap/>
            <w:hideMark/>
          </w:tcPr>
          <w:p w14:paraId="61191423" w14:textId="77777777" w:rsidR="00BF4DD1" w:rsidRPr="00BF4DD1" w:rsidRDefault="00BF4DD1" w:rsidP="00BF4DD1">
            <w:pPr>
              <w:pStyle w:val="TableBody"/>
            </w:pPr>
            <w:r w:rsidRPr="00BF4DD1">
              <w:t>17%</w:t>
            </w:r>
          </w:p>
        </w:tc>
        <w:tc>
          <w:tcPr>
            <w:tcW w:w="1000" w:type="pct"/>
            <w:noWrap/>
            <w:hideMark/>
          </w:tcPr>
          <w:p w14:paraId="1A2664F3" w14:textId="77777777" w:rsidR="00BF4DD1" w:rsidRPr="00BF4DD1" w:rsidRDefault="00BF4DD1" w:rsidP="00BF4DD1">
            <w:pPr>
              <w:pStyle w:val="TableBody"/>
            </w:pPr>
            <w:r w:rsidRPr="00BF4DD1">
              <w:t>0%</w:t>
            </w:r>
          </w:p>
        </w:tc>
      </w:tr>
      <w:tr w:rsidR="00F373E9" w:rsidRPr="00BF4DD1" w14:paraId="3186FE2F" w14:textId="77777777" w:rsidTr="00BF4DD1">
        <w:trPr>
          <w:trHeight w:val="290"/>
        </w:trPr>
        <w:tc>
          <w:tcPr>
            <w:tcW w:w="1000" w:type="pct"/>
            <w:noWrap/>
            <w:hideMark/>
          </w:tcPr>
          <w:p w14:paraId="4308621F" w14:textId="77777777" w:rsidR="00BF4DD1" w:rsidRPr="00BF4DD1" w:rsidRDefault="00BF4DD1" w:rsidP="00BF4DD1">
            <w:pPr>
              <w:pStyle w:val="TableBody"/>
            </w:pPr>
            <w:r w:rsidRPr="00BF4DD1">
              <w:t>49</w:t>
            </w:r>
          </w:p>
        </w:tc>
        <w:tc>
          <w:tcPr>
            <w:tcW w:w="1000" w:type="pct"/>
            <w:noWrap/>
            <w:hideMark/>
          </w:tcPr>
          <w:p w14:paraId="33A91116" w14:textId="77777777" w:rsidR="00BF4DD1" w:rsidRPr="00BF4DD1" w:rsidRDefault="00BF4DD1" w:rsidP="00BF4DD1">
            <w:pPr>
              <w:pStyle w:val="TableBody"/>
            </w:pPr>
            <w:r w:rsidRPr="00BF4DD1">
              <w:t>1</w:t>
            </w:r>
          </w:p>
        </w:tc>
        <w:tc>
          <w:tcPr>
            <w:tcW w:w="1000" w:type="pct"/>
            <w:noWrap/>
            <w:hideMark/>
          </w:tcPr>
          <w:p w14:paraId="780139F4" w14:textId="77777777" w:rsidR="00BF4DD1" w:rsidRPr="00BF4DD1" w:rsidRDefault="00BF4DD1" w:rsidP="00BF4DD1">
            <w:pPr>
              <w:pStyle w:val="TableBody"/>
            </w:pPr>
            <w:r w:rsidRPr="00BF4DD1">
              <w:t>942</w:t>
            </w:r>
          </w:p>
        </w:tc>
        <w:tc>
          <w:tcPr>
            <w:tcW w:w="1000" w:type="pct"/>
            <w:noWrap/>
            <w:hideMark/>
          </w:tcPr>
          <w:p w14:paraId="621931FC" w14:textId="77777777" w:rsidR="00BF4DD1" w:rsidRPr="00BF4DD1" w:rsidRDefault="00BF4DD1" w:rsidP="00BF4DD1">
            <w:pPr>
              <w:pStyle w:val="TableBody"/>
            </w:pPr>
            <w:r w:rsidRPr="00BF4DD1">
              <w:t>7%</w:t>
            </w:r>
          </w:p>
        </w:tc>
        <w:tc>
          <w:tcPr>
            <w:tcW w:w="1000" w:type="pct"/>
            <w:noWrap/>
            <w:hideMark/>
          </w:tcPr>
          <w:p w14:paraId="7B9F838F" w14:textId="77777777" w:rsidR="00BF4DD1" w:rsidRPr="00BF4DD1" w:rsidRDefault="00BF4DD1" w:rsidP="00BF4DD1">
            <w:pPr>
              <w:pStyle w:val="TableBody"/>
            </w:pPr>
            <w:r w:rsidRPr="00BF4DD1">
              <w:t>0%</w:t>
            </w:r>
          </w:p>
        </w:tc>
      </w:tr>
      <w:tr w:rsidR="00F373E9" w:rsidRPr="00BF4DD1" w14:paraId="3FFE5A65" w14:textId="77777777" w:rsidTr="00BF4DD1">
        <w:trPr>
          <w:trHeight w:val="300"/>
        </w:trPr>
        <w:tc>
          <w:tcPr>
            <w:tcW w:w="1000" w:type="pct"/>
            <w:noWrap/>
            <w:hideMark/>
          </w:tcPr>
          <w:p w14:paraId="22D22705" w14:textId="77777777" w:rsidR="00BF4DD1" w:rsidRPr="00BF4DD1" w:rsidRDefault="00BF4DD1" w:rsidP="00BF4DD1">
            <w:pPr>
              <w:pStyle w:val="TableBody"/>
            </w:pPr>
            <w:r w:rsidRPr="00BF4DD1">
              <w:t>50+</w:t>
            </w:r>
          </w:p>
        </w:tc>
        <w:tc>
          <w:tcPr>
            <w:tcW w:w="1000" w:type="pct"/>
            <w:noWrap/>
            <w:hideMark/>
          </w:tcPr>
          <w:p w14:paraId="732FAB67" w14:textId="77777777" w:rsidR="00BF4DD1" w:rsidRPr="00BF4DD1" w:rsidRDefault="00BF4DD1" w:rsidP="00BF4DD1">
            <w:pPr>
              <w:pStyle w:val="TableBody"/>
            </w:pPr>
            <w:r w:rsidRPr="00BF4DD1">
              <w:t>0</w:t>
            </w:r>
          </w:p>
        </w:tc>
        <w:tc>
          <w:tcPr>
            <w:tcW w:w="1000" w:type="pct"/>
            <w:noWrap/>
            <w:hideMark/>
          </w:tcPr>
          <w:p w14:paraId="06CF7E4A" w14:textId="77777777" w:rsidR="00BF4DD1" w:rsidRPr="00BF4DD1" w:rsidRDefault="00BF4DD1" w:rsidP="00BF4DD1">
            <w:pPr>
              <w:pStyle w:val="TableBody"/>
            </w:pPr>
            <w:r w:rsidRPr="00BF4DD1">
              <w:t>84</w:t>
            </w:r>
          </w:p>
        </w:tc>
        <w:tc>
          <w:tcPr>
            <w:tcW w:w="1000" w:type="pct"/>
            <w:noWrap/>
            <w:hideMark/>
          </w:tcPr>
          <w:p w14:paraId="612C97B3" w14:textId="77777777" w:rsidR="00BF4DD1" w:rsidRPr="00BF4DD1" w:rsidRDefault="00BF4DD1" w:rsidP="00BF4DD1">
            <w:pPr>
              <w:pStyle w:val="TableBody"/>
            </w:pPr>
            <w:r w:rsidRPr="00BF4DD1">
              <w:t>1%</w:t>
            </w:r>
          </w:p>
        </w:tc>
        <w:tc>
          <w:tcPr>
            <w:tcW w:w="1000" w:type="pct"/>
            <w:noWrap/>
            <w:hideMark/>
          </w:tcPr>
          <w:p w14:paraId="06C49E6C" w14:textId="77777777" w:rsidR="00BF4DD1" w:rsidRPr="00BF4DD1" w:rsidRDefault="00BF4DD1" w:rsidP="00BF4DD1">
            <w:pPr>
              <w:pStyle w:val="TableBody"/>
            </w:pPr>
            <w:r w:rsidRPr="00BF4DD1">
              <w:t>0%</w:t>
            </w:r>
          </w:p>
        </w:tc>
      </w:tr>
    </w:tbl>
    <w:p w14:paraId="3964BC54" w14:textId="77777777" w:rsidR="005A3418" w:rsidRPr="00D36673" w:rsidRDefault="005A3418" w:rsidP="0086723D">
      <w:pPr>
        <w:pStyle w:val="Heading2"/>
      </w:pPr>
      <w:r w:rsidRPr="00D36673">
        <w:t>Timing of co-sentenced offences</w:t>
      </w:r>
    </w:p>
    <w:p w14:paraId="6899C7E4" w14:textId="77777777" w:rsidR="005A3418" w:rsidRPr="00D36673" w:rsidRDefault="005A3418" w:rsidP="00FE74B5">
      <w:pPr>
        <w:pStyle w:val="Numbered"/>
      </w:pPr>
      <w:r w:rsidRPr="00D36673">
        <w:t>This section analyses offenders who were sentenced for a threat offence along with a violent offence, a property offence or breach of family violence order in the same case. It compares the offence date for the threat with the offence date for the other offence.</w:t>
      </w:r>
      <w:r w:rsidRPr="00D36673">
        <w:rPr>
          <w:rStyle w:val="Superscript"/>
        </w:rPr>
        <w:footnoteReference w:id="167"/>
      </w:r>
      <w:r w:rsidRPr="00D36673">
        <w:t xml:space="preserve"> </w:t>
      </w:r>
    </w:p>
    <w:p w14:paraId="6E966CD0" w14:textId="77777777" w:rsidR="005A3418" w:rsidRPr="00D36673" w:rsidRDefault="005A3418" w:rsidP="00FE74B5">
      <w:pPr>
        <w:pStyle w:val="Numbered"/>
      </w:pPr>
      <w:r w:rsidRPr="00D36673">
        <w:t>Of the 12,332 offenders sentenced for at least one threat offence during the reference period, offence dates were available for the threats of 11,337 (92%). Among these, 6,309 (56%) had a co-</w:t>
      </w:r>
      <w:r w:rsidRPr="00D36673">
        <w:lastRenderedPageBreak/>
        <w:t>sentenced violent offence for which an offence date was available; 3,649 (32%) had a co-sentenced property damage offence for which an offence date was available; and 2,958 (26%) had a co-sentenced breach of family violence order for which an offence date was available.</w:t>
      </w:r>
      <w:r w:rsidRPr="00D36673">
        <w:rPr>
          <w:rStyle w:val="Superscript"/>
        </w:rPr>
        <w:footnoteReference w:id="168"/>
      </w:r>
      <w:r w:rsidRPr="00D36673">
        <w:t xml:space="preserve"> </w:t>
      </w:r>
    </w:p>
    <w:p w14:paraId="1BD9527D" w14:textId="77777777" w:rsidR="005A3418" w:rsidRPr="00D36673" w:rsidRDefault="005A3418" w:rsidP="00FE74B5">
      <w:pPr>
        <w:pStyle w:val="Numbered"/>
      </w:pPr>
      <w:r w:rsidRPr="00D36673">
        <w:t xml:space="preserve">Figure 22 shows the distribution of offenders who committed a specified offence before, on the same day as, or after their threat offence. </w:t>
      </w:r>
    </w:p>
    <w:p w14:paraId="7B3E40AD" w14:textId="77777777" w:rsidR="005A3418" w:rsidRPr="00D36673" w:rsidRDefault="005A3418" w:rsidP="00711AFB">
      <w:pPr>
        <w:pStyle w:val="Caption"/>
      </w:pPr>
      <w:r w:rsidRPr="00C9259E">
        <w:t>Figure 22:</w:t>
      </w:r>
      <w:r w:rsidRPr="00D36673">
        <w:t xml:space="preserve"> Number of offenders whose co-sentenced offences occurred before, on the same day as and after their threats, all courts, 2015 to 2019</w:t>
      </w:r>
    </w:p>
    <w:tbl>
      <w:tblPr>
        <w:tblStyle w:val="Table"/>
        <w:tblW w:w="5000" w:type="pct"/>
        <w:tblLayout w:type="fixed"/>
        <w:tblLook w:val="04A0" w:firstRow="1" w:lastRow="0" w:firstColumn="1" w:lastColumn="0" w:noHBand="0" w:noVBand="1"/>
      </w:tblPr>
      <w:tblGrid>
        <w:gridCol w:w="1804"/>
        <w:gridCol w:w="1803"/>
        <w:gridCol w:w="1803"/>
        <w:gridCol w:w="1803"/>
        <w:gridCol w:w="1803"/>
      </w:tblGrid>
      <w:tr w:rsidR="00805B0D" w:rsidRPr="0001504F" w14:paraId="2A3A5EB9" w14:textId="77777777" w:rsidTr="00E425E4">
        <w:trPr>
          <w:trHeight w:val="290"/>
          <w:tblHeader/>
        </w:trPr>
        <w:tc>
          <w:tcPr>
            <w:tcW w:w="1000" w:type="pct"/>
            <w:noWrap/>
            <w:hideMark/>
          </w:tcPr>
          <w:p w14:paraId="2A3F691F" w14:textId="0A338DE9" w:rsidR="0001504F" w:rsidRPr="00DE0993" w:rsidRDefault="00DE0993" w:rsidP="00DE0993">
            <w:pPr>
              <w:pStyle w:val="TableHeading"/>
            </w:pPr>
            <w:r>
              <w:t>Offence type</w:t>
            </w:r>
          </w:p>
        </w:tc>
        <w:tc>
          <w:tcPr>
            <w:tcW w:w="1000" w:type="pct"/>
            <w:noWrap/>
            <w:hideMark/>
          </w:tcPr>
          <w:p w14:paraId="5DB082C2" w14:textId="31C29282" w:rsidR="0001504F" w:rsidRPr="00DE0993" w:rsidRDefault="0001504F" w:rsidP="00DE0993">
            <w:pPr>
              <w:pStyle w:val="TableHeading"/>
            </w:pPr>
            <w:r w:rsidRPr="00DE0993">
              <w:t>Total</w:t>
            </w:r>
            <w:r w:rsidR="00370A32">
              <w:t xml:space="preserve"> offenders</w:t>
            </w:r>
          </w:p>
        </w:tc>
        <w:tc>
          <w:tcPr>
            <w:tcW w:w="1000" w:type="pct"/>
            <w:noWrap/>
            <w:hideMark/>
          </w:tcPr>
          <w:p w14:paraId="579524AB" w14:textId="77777777" w:rsidR="0001504F" w:rsidRPr="00DE0993" w:rsidRDefault="0001504F" w:rsidP="00DE0993">
            <w:pPr>
              <w:pStyle w:val="TableHeading"/>
            </w:pPr>
            <w:r w:rsidRPr="00DE0993">
              <w:t>Before threat</w:t>
            </w:r>
          </w:p>
        </w:tc>
        <w:tc>
          <w:tcPr>
            <w:tcW w:w="1000" w:type="pct"/>
            <w:noWrap/>
            <w:hideMark/>
          </w:tcPr>
          <w:p w14:paraId="0FAC85F2" w14:textId="77777777" w:rsidR="0001504F" w:rsidRPr="00DE0993" w:rsidRDefault="0001504F" w:rsidP="00DE0993">
            <w:pPr>
              <w:pStyle w:val="TableHeading"/>
            </w:pPr>
            <w:r w:rsidRPr="00DE0993">
              <w:t>Same day as threat</w:t>
            </w:r>
          </w:p>
        </w:tc>
        <w:tc>
          <w:tcPr>
            <w:tcW w:w="1000" w:type="pct"/>
            <w:noWrap/>
            <w:hideMark/>
          </w:tcPr>
          <w:p w14:paraId="689B55E0" w14:textId="77777777" w:rsidR="0001504F" w:rsidRPr="00DE0993" w:rsidRDefault="0001504F" w:rsidP="00DE0993">
            <w:pPr>
              <w:pStyle w:val="TableHeading"/>
            </w:pPr>
            <w:r w:rsidRPr="00DE0993">
              <w:t>After threat</w:t>
            </w:r>
          </w:p>
        </w:tc>
      </w:tr>
      <w:tr w:rsidR="00805B0D" w:rsidRPr="0001504F" w14:paraId="57098FC4" w14:textId="77777777" w:rsidTr="00805B0D">
        <w:trPr>
          <w:trHeight w:val="590"/>
        </w:trPr>
        <w:tc>
          <w:tcPr>
            <w:tcW w:w="1000" w:type="pct"/>
            <w:hideMark/>
          </w:tcPr>
          <w:p w14:paraId="1C50ABB6" w14:textId="4E187EB8" w:rsidR="0001504F" w:rsidRPr="00DE0993" w:rsidRDefault="0001504F" w:rsidP="00DE0993">
            <w:pPr>
              <w:pStyle w:val="TableBody"/>
            </w:pPr>
            <w:r w:rsidRPr="00DE0993">
              <w:t xml:space="preserve">Violent offence </w:t>
            </w:r>
          </w:p>
        </w:tc>
        <w:tc>
          <w:tcPr>
            <w:tcW w:w="1000" w:type="pct"/>
            <w:hideMark/>
          </w:tcPr>
          <w:p w14:paraId="5DD82A0D" w14:textId="107B6391" w:rsidR="0001504F" w:rsidRPr="00DE0993" w:rsidRDefault="0001504F" w:rsidP="00DE0993">
            <w:pPr>
              <w:pStyle w:val="TableBody"/>
            </w:pPr>
            <w:r w:rsidRPr="00DE0993">
              <w:t>6</w:t>
            </w:r>
            <w:r w:rsidR="00370A32">
              <w:t>,</w:t>
            </w:r>
            <w:r w:rsidRPr="00DE0993">
              <w:t>309</w:t>
            </w:r>
          </w:p>
        </w:tc>
        <w:tc>
          <w:tcPr>
            <w:tcW w:w="1000" w:type="pct"/>
            <w:hideMark/>
          </w:tcPr>
          <w:p w14:paraId="48D212C2" w14:textId="38693C0C" w:rsidR="0001504F" w:rsidRPr="00DE0993" w:rsidRDefault="0001504F" w:rsidP="00DE0993">
            <w:pPr>
              <w:pStyle w:val="TableBody"/>
            </w:pPr>
            <w:r w:rsidRPr="00DE0993">
              <w:t>1</w:t>
            </w:r>
            <w:r w:rsidR="00D741D1">
              <w:t>,</w:t>
            </w:r>
            <w:r w:rsidRPr="00DE0993">
              <w:t>618</w:t>
            </w:r>
          </w:p>
        </w:tc>
        <w:tc>
          <w:tcPr>
            <w:tcW w:w="1000" w:type="pct"/>
            <w:hideMark/>
          </w:tcPr>
          <w:p w14:paraId="3E2674BE" w14:textId="5B3928BC" w:rsidR="0001504F" w:rsidRPr="00DE0993" w:rsidRDefault="0001504F" w:rsidP="00DE0993">
            <w:pPr>
              <w:pStyle w:val="TableBody"/>
            </w:pPr>
            <w:r w:rsidRPr="00DE0993">
              <w:t>4</w:t>
            </w:r>
            <w:r w:rsidR="00D741D1">
              <w:t>,</w:t>
            </w:r>
            <w:r w:rsidRPr="00DE0993">
              <w:t>799</w:t>
            </w:r>
          </w:p>
        </w:tc>
        <w:tc>
          <w:tcPr>
            <w:tcW w:w="1000" w:type="pct"/>
            <w:hideMark/>
          </w:tcPr>
          <w:p w14:paraId="645975D0" w14:textId="12961509" w:rsidR="0001504F" w:rsidRPr="00DE0993" w:rsidRDefault="0001504F" w:rsidP="00DE0993">
            <w:pPr>
              <w:pStyle w:val="TableBody"/>
            </w:pPr>
            <w:r w:rsidRPr="00DE0993">
              <w:t>1</w:t>
            </w:r>
            <w:r w:rsidR="00D741D1">
              <w:t>,</w:t>
            </w:r>
            <w:r w:rsidRPr="00DE0993">
              <w:t>537</w:t>
            </w:r>
          </w:p>
        </w:tc>
      </w:tr>
      <w:tr w:rsidR="00805B0D" w:rsidRPr="0001504F" w14:paraId="6999AB9C" w14:textId="77777777" w:rsidTr="00805B0D">
        <w:trPr>
          <w:trHeight w:val="590"/>
        </w:trPr>
        <w:tc>
          <w:tcPr>
            <w:tcW w:w="1000" w:type="pct"/>
            <w:hideMark/>
          </w:tcPr>
          <w:p w14:paraId="24DD3EED" w14:textId="4C018B15" w:rsidR="0001504F" w:rsidRPr="00DE0993" w:rsidRDefault="0001504F" w:rsidP="00DE0993">
            <w:pPr>
              <w:pStyle w:val="TableBody"/>
            </w:pPr>
            <w:r w:rsidRPr="00DE0993">
              <w:t>Property damage offence</w:t>
            </w:r>
          </w:p>
        </w:tc>
        <w:tc>
          <w:tcPr>
            <w:tcW w:w="1000" w:type="pct"/>
            <w:hideMark/>
          </w:tcPr>
          <w:p w14:paraId="56C3D314" w14:textId="68A75916" w:rsidR="0001504F" w:rsidRPr="00DE0993" w:rsidRDefault="0001504F" w:rsidP="00DE0993">
            <w:pPr>
              <w:pStyle w:val="TableBody"/>
            </w:pPr>
            <w:r w:rsidRPr="00DE0993">
              <w:t>3</w:t>
            </w:r>
            <w:r w:rsidR="00370A32">
              <w:t>,</w:t>
            </w:r>
            <w:r w:rsidRPr="00DE0993">
              <w:t>649</w:t>
            </w:r>
          </w:p>
        </w:tc>
        <w:tc>
          <w:tcPr>
            <w:tcW w:w="1000" w:type="pct"/>
            <w:hideMark/>
          </w:tcPr>
          <w:p w14:paraId="31857CF5" w14:textId="38316D41" w:rsidR="0001504F" w:rsidRPr="00DE0993" w:rsidRDefault="0001504F" w:rsidP="00DE0993">
            <w:pPr>
              <w:pStyle w:val="TableBody"/>
            </w:pPr>
            <w:r w:rsidRPr="00DE0993">
              <w:t>1</w:t>
            </w:r>
            <w:r w:rsidR="00D741D1">
              <w:t>,</w:t>
            </w:r>
            <w:r w:rsidRPr="00DE0993">
              <w:t>055</w:t>
            </w:r>
          </w:p>
        </w:tc>
        <w:tc>
          <w:tcPr>
            <w:tcW w:w="1000" w:type="pct"/>
            <w:hideMark/>
          </w:tcPr>
          <w:p w14:paraId="6917A2E9" w14:textId="3ADC9122" w:rsidR="0001504F" w:rsidRPr="00DE0993" w:rsidRDefault="0001504F" w:rsidP="00DE0993">
            <w:pPr>
              <w:pStyle w:val="TableBody"/>
            </w:pPr>
            <w:r w:rsidRPr="00DE0993">
              <w:t>2</w:t>
            </w:r>
            <w:r w:rsidR="00D741D1">
              <w:t>,</w:t>
            </w:r>
            <w:r w:rsidRPr="00DE0993">
              <w:t>190</w:t>
            </w:r>
          </w:p>
        </w:tc>
        <w:tc>
          <w:tcPr>
            <w:tcW w:w="1000" w:type="pct"/>
            <w:hideMark/>
          </w:tcPr>
          <w:p w14:paraId="4AD1B1AA" w14:textId="1A4CE266" w:rsidR="0001504F" w:rsidRPr="00DE0993" w:rsidRDefault="0001504F" w:rsidP="00DE0993">
            <w:pPr>
              <w:pStyle w:val="TableBody"/>
            </w:pPr>
            <w:r w:rsidRPr="00DE0993">
              <w:t>1</w:t>
            </w:r>
            <w:r w:rsidR="00D741D1">
              <w:t>,</w:t>
            </w:r>
            <w:r w:rsidRPr="00DE0993">
              <w:t>070</w:t>
            </w:r>
          </w:p>
        </w:tc>
      </w:tr>
      <w:tr w:rsidR="00805B0D" w:rsidRPr="0001504F" w14:paraId="56B75DE4" w14:textId="77777777" w:rsidTr="00805B0D">
        <w:trPr>
          <w:trHeight w:val="580"/>
        </w:trPr>
        <w:tc>
          <w:tcPr>
            <w:tcW w:w="1000" w:type="pct"/>
            <w:hideMark/>
          </w:tcPr>
          <w:p w14:paraId="47596C3E" w14:textId="4DD20A0B" w:rsidR="0001504F" w:rsidRPr="00DE0993" w:rsidRDefault="0001504F" w:rsidP="00DE0993">
            <w:pPr>
              <w:pStyle w:val="TableBody"/>
            </w:pPr>
            <w:r w:rsidRPr="00DE0993">
              <w:t>Breach of family violence order</w:t>
            </w:r>
          </w:p>
        </w:tc>
        <w:tc>
          <w:tcPr>
            <w:tcW w:w="1000" w:type="pct"/>
            <w:hideMark/>
          </w:tcPr>
          <w:p w14:paraId="4C9A67EE" w14:textId="77118FA9" w:rsidR="0001504F" w:rsidRPr="00DE0993" w:rsidRDefault="0001504F" w:rsidP="00DE0993">
            <w:pPr>
              <w:pStyle w:val="TableBody"/>
            </w:pPr>
            <w:r w:rsidRPr="00DE0993">
              <w:t>2</w:t>
            </w:r>
            <w:r w:rsidR="00370A32">
              <w:t>,</w:t>
            </w:r>
            <w:r w:rsidRPr="00DE0993">
              <w:t>958</w:t>
            </w:r>
          </w:p>
        </w:tc>
        <w:tc>
          <w:tcPr>
            <w:tcW w:w="1000" w:type="pct"/>
            <w:hideMark/>
          </w:tcPr>
          <w:p w14:paraId="5A91F465" w14:textId="77777777" w:rsidR="0001504F" w:rsidRPr="00DE0993" w:rsidRDefault="0001504F" w:rsidP="00DE0993">
            <w:pPr>
              <w:pStyle w:val="TableBody"/>
            </w:pPr>
            <w:r w:rsidRPr="00DE0993">
              <w:t>989</w:t>
            </w:r>
          </w:p>
        </w:tc>
        <w:tc>
          <w:tcPr>
            <w:tcW w:w="1000" w:type="pct"/>
            <w:hideMark/>
          </w:tcPr>
          <w:p w14:paraId="2C59A5DA" w14:textId="3AB8A137" w:rsidR="0001504F" w:rsidRPr="00DE0993" w:rsidRDefault="0001504F" w:rsidP="00DE0993">
            <w:pPr>
              <w:pStyle w:val="TableBody"/>
            </w:pPr>
            <w:r w:rsidRPr="00DE0993">
              <w:t>1</w:t>
            </w:r>
            <w:r w:rsidR="00D741D1">
              <w:t>,</w:t>
            </w:r>
            <w:r w:rsidRPr="00DE0993">
              <w:t>364</w:t>
            </w:r>
          </w:p>
        </w:tc>
        <w:tc>
          <w:tcPr>
            <w:tcW w:w="1000" w:type="pct"/>
            <w:hideMark/>
          </w:tcPr>
          <w:p w14:paraId="063C69E6" w14:textId="580D88FB" w:rsidR="0001504F" w:rsidRPr="00DE0993" w:rsidRDefault="0001504F" w:rsidP="00DE0993">
            <w:pPr>
              <w:pStyle w:val="TableBody"/>
            </w:pPr>
            <w:r w:rsidRPr="00DE0993">
              <w:t>1</w:t>
            </w:r>
            <w:r w:rsidR="00D741D1">
              <w:t>,</w:t>
            </w:r>
            <w:r w:rsidRPr="00DE0993">
              <w:t>481</w:t>
            </w:r>
          </w:p>
        </w:tc>
      </w:tr>
    </w:tbl>
    <w:p w14:paraId="36A6D2E2" w14:textId="77777777" w:rsidR="005A3418" w:rsidRPr="00D36673" w:rsidRDefault="005A3418" w:rsidP="00FE74B5">
      <w:pPr>
        <w:pStyle w:val="Numbered"/>
      </w:pPr>
      <w:r w:rsidRPr="00D36673">
        <w:t xml:space="preserve">This shows that most offenders who were sentenced for a violent offence (76%) or a property damage offence (60%) alongside a threat offence committed that offence on the same day as the threat offence. Further, the proportion of offenders who offended before making the threat was roughly the same as the proportion of offenders who offended after making the threat. This suggests that if threateners make a threat to kill, seriously injure or destroy or damage property and then carry it out in whole or in part, they are often doing so rapidly, most likely as part of the same incident. This is consistent with stakeholder comments that </w:t>
      </w:r>
      <w:r w:rsidRPr="00D36673">
        <w:lastRenderedPageBreak/>
        <w:t>violence and property damage often occur at the same time as the threat and increase the seriousness of the threat.</w:t>
      </w:r>
      <w:r w:rsidRPr="00D36673">
        <w:rPr>
          <w:rStyle w:val="Superscript"/>
        </w:rPr>
        <w:footnoteReference w:id="169"/>
      </w:r>
      <w:r w:rsidRPr="00D36673">
        <w:t xml:space="preserve"> It also supports comments by stakeholders that people who threaten, especially outside the family violence context, often offend repeatedly and that their threats are not particularly targeted.</w:t>
      </w:r>
      <w:r w:rsidRPr="00D36673">
        <w:rPr>
          <w:rStyle w:val="Superscript"/>
        </w:rPr>
        <w:footnoteReference w:id="170"/>
      </w:r>
      <w:r w:rsidRPr="00D36673">
        <w:t xml:space="preserve"> </w:t>
      </w:r>
    </w:p>
    <w:p w14:paraId="38F504DD" w14:textId="77777777" w:rsidR="005A3418" w:rsidRPr="00D36673" w:rsidRDefault="005A3418" w:rsidP="00FE74B5">
      <w:pPr>
        <w:pStyle w:val="Numbered"/>
      </w:pPr>
      <w:r w:rsidRPr="00D36673">
        <w:t xml:space="preserve">However, for breaches of family violence orders, a different trend emerges. Offenders sentenced for a threat offence and a breach of family violence order in the same case had most often committed the breach offence on a date </w:t>
      </w:r>
      <w:r w:rsidRPr="00A24E18">
        <w:rPr>
          <w:rStyle w:val="Emphasis"/>
        </w:rPr>
        <w:t>after</w:t>
      </w:r>
      <w:r w:rsidRPr="00D36673">
        <w:t>, rather than before or on the same day as, the threat offence. This suggests that threats predict breaches of family violence orders in the short term; this is consistent with the categorisation of threats as a risk factor by Victoria’s Family Violence Multi-Agency Risk Assessment and Management Framework (MARAM).</w:t>
      </w:r>
      <w:r w:rsidRPr="00D36673">
        <w:rPr>
          <w:rStyle w:val="Superscript"/>
        </w:rPr>
        <w:footnoteReference w:id="171"/>
      </w:r>
    </w:p>
    <w:p w14:paraId="2AC8672E" w14:textId="77777777" w:rsidR="005A3418" w:rsidRPr="00D36673" w:rsidRDefault="005A3418" w:rsidP="0086723D">
      <w:pPr>
        <w:pStyle w:val="Heading2"/>
      </w:pPr>
      <w:r w:rsidRPr="00D36673">
        <w:t>Types of co-sentenced offences</w:t>
      </w:r>
    </w:p>
    <w:p w14:paraId="652B21D5" w14:textId="77777777" w:rsidR="005A3418" w:rsidRPr="00D36673" w:rsidRDefault="005A3418" w:rsidP="00FE74B5">
      <w:pPr>
        <w:pStyle w:val="Numbered"/>
      </w:pPr>
      <w:r w:rsidRPr="00D36673">
        <w:t>The 10 most common offences sentenced alongside threat offences in each court during the reference period are set out in Table 4 (page 40). As is often the case, the highest rates of co-sentenced offences were in the Children’s Court: more than half of children sentenced for threat offences were also co-sentenced for either unlawful assault or criminal damage. In the Magistrates’ Court, unlawful assault was the most common co-sentenced offence, followed by bail-related offences. And in the higher courts, causing injury was the most common co-sentenced offence, followed by criminal damage.</w:t>
      </w:r>
      <w:r w:rsidRPr="00D36673">
        <w:rPr>
          <w:rStyle w:val="Superscript"/>
        </w:rPr>
        <w:footnoteReference w:id="172"/>
      </w:r>
      <w:r w:rsidRPr="00D36673">
        <w:t xml:space="preserve"> </w:t>
      </w:r>
    </w:p>
    <w:p w14:paraId="42BDC537" w14:textId="77777777" w:rsidR="005A3418" w:rsidRPr="00D36673" w:rsidRDefault="005A3418" w:rsidP="00F67BC8">
      <w:pPr>
        <w:pStyle w:val="Heading3"/>
      </w:pPr>
      <w:r w:rsidRPr="00D36673">
        <w:lastRenderedPageBreak/>
        <w:t>Co-sentenced offences by family violence indicator: Magistrates’ Court</w:t>
      </w:r>
    </w:p>
    <w:p w14:paraId="0543AAD9" w14:textId="77777777" w:rsidR="005A3418" w:rsidRPr="00D36673" w:rsidRDefault="005A3418" w:rsidP="00FE74B5">
      <w:pPr>
        <w:pStyle w:val="Numbered"/>
      </w:pPr>
      <w:r w:rsidRPr="00D36673">
        <w:t>Table 5 (page 41) highlights the differences in the offence types co-sentenced with threat offences in the Magistrates’ Court by whether or not the case had a family violence indicator. Almost half (47%) of family violence offenders sentenced in threat cases were also co-sentenced for breach of family violence order, and nearly as many (44%) were co-sentenced for an assault offence. Bail-related offences (38%) and property damage (32%) were also common. This suggests that the likelihood of threat offenders being co-sentenced for closely related substantive offences (actually causing injury or damaging property) is greater when the threat is made in a family violence context.</w:t>
      </w:r>
    </w:p>
    <w:p w14:paraId="0FFDEE79" w14:textId="77777777" w:rsidR="005A3418" w:rsidRPr="00D36673" w:rsidRDefault="005A3418" w:rsidP="00FE74B5">
      <w:pPr>
        <w:pStyle w:val="Numbered"/>
      </w:pPr>
      <w:r w:rsidRPr="00D36673">
        <w:t>Theft was the only co-sentenced offence that was more common in non-family violence cases than in family violence cases (and even then, not by much). Stakeholders commented that this could occur in scenarios similar to robbery, as a result of plea negotiations or where the threat took place after the property was taken.</w:t>
      </w:r>
      <w:r w:rsidRPr="00D36673">
        <w:rPr>
          <w:rStyle w:val="Superscript"/>
        </w:rPr>
        <w:footnoteReference w:id="173"/>
      </w:r>
    </w:p>
    <w:p w14:paraId="1BB24ECF" w14:textId="77777777" w:rsidR="005A3418" w:rsidRPr="00D36673" w:rsidRDefault="005A3418" w:rsidP="00711AFB">
      <w:pPr>
        <w:pStyle w:val="Caption"/>
      </w:pPr>
      <w:r w:rsidRPr="00C9259E">
        <w:t xml:space="preserve">Table 4: </w:t>
      </w:r>
      <w:r w:rsidRPr="00D36673">
        <w:t>Percentage of all threat cases in each court in which other offence types were co-sentenced, by 10 most common non-threat offence types, 2015 to 2019</w:t>
      </w:r>
      <w:r w:rsidRPr="00D36673">
        <w:rPr>
          <w:vertAlign w:val="superscript"/>
        </w:rPr>
        <w:footnoteReference w:id="174"/>
      </w:r>
    </w:p>
    <w:tbl>
      <w:tblPr>
        <w:tblStyle w:val="Table"/>
        <w:tblW w:w="5039" w:type="pct"/>
        <w:tblLook w:val="0020" w:firstRow="1" w:lastRow="0" w:firstColumn="0" w:lastColumn="0" w:noHBand="0" w:noVBand="0"/>
      </w:tblPr>
      <w:tblGrid>
        <w:gridCol w:w="2254"/>
        <w:gridCol w:w="2325"/>
        <w:gridCol w:w="2254"/>
        <w:gridCol w:w="2253"/>
      </w:tblGrid>
      <w:tr w:rsidR="005A3418" w:rsidRPr="00D36673" w14:paraId="1F3D118F" w14:textId="77777777" w:rsidTr="00E6572F">
        <w:trPr>
          <w:trHeight w:val="60"/>
          <w:tblHeader/>
        </w:trPr>
        <w:tc>
          <w:tcPr>
            <w:tcW w:w="1240" w:type="pct"/>
          </w:tcPr>
          <w:p w14:paraId="22860D2E" w14:textId="77777777" w:rsidR="005A3418" w:rsidRPr="00D36673" w:rsidRDefault="005A3418" w:rsidP="008721F7">
            <w:pPr>
              <w:pStyle w:val="TableHeading"/>
            </w:pPr>
            <w:r w:rsidRPr="00D36673">
              <w:t>Co-sentenced offence</w:t>
            </w:r>
          </w:p>
        </w:tc>
        <w:tc>
          <w:tcPr>
            <w:tcW w:w="1279" w:type="pct"/>
          </w:tcPr>
          <w:p w14:paraId="0BB4571C" w14:textId="1D5D8401" w:rsidR="005A3418" w:rsidRPr="00D36673" w:rsidRDefault="005A3418" w:rsidP="008721F7">
            <w:pPr>
              <w:pStyle w:val="TableHeading"/>
            </w:pPr>
            <w:r w:rsidRPr="00D36673">
              <w:t>Magistrates’ Court</w:t>
            </w:r>
            <w:r w:rsidR="008721F7">
              <w:t xml:space="preserve"> </w:t>
            </w:r>
            <w:r w:rsidRPr="00D36673">
              <w:t>(12,223 cases)</w:t>
            </w:r>
          </w:p>
        </w:tc>
        <w:tc>
          <w:tcPr>
            <w:tcW w:w="1240" w:type="pct"/>
          </w:tcPr>
          <w:p w14:paraId="207E85E5" w14:textId="6E4467E0" w:rsidR="005A3418" w:rsidRPr="00D36673" w:rsidRDefault="005A3418" w:rsidP="008721F7">
            <w:pPr>
              <w:pStyle w:val="TableHeading"/>
            </w:pPr>
            <w:r w:rsidRPr="00D36673">
              <w:t>Higher courts</w:t>
            </w:r>
            <w:r w:rsidR="008721F7">
              <w:t xml:space="preserve"> </w:t>
            </w:r>
            <w:r w:rsidRPr="00D36673">
              <w:t>(368 cases)</w:t>
            </w:r>
          </w:p>
        </w:tc>
        <w:tc>
          <w:tcPr>
            <w:tcW w:w="1240" w:type="pct"/>
          </w:tcPr>
          <w:p w14:paraId="30E368ED" w14:textId="4F48630D" w:rsidR="005A3418" w:rsidRPr="00D36673" w:rsidRDefault="005A3418" w:rsidP="008721F7">
            <w:pPr>
              <w:pStyle w:val="TableHeading"/>
            </w:pPr>
            <w:r w:rsidRPr="00D36673">
              <w:t>Children’s Court</w:t>
            </w:r>
            <w:r w:rsidR="008721F7">
              <w:t xml:space="preserve"> </w:t>
            </w:r>
            <w:r w:rsidRPr="00D36673">
              <w:t>(1,255 cases)</w:t>
            </w:r>
          </w:p>
        </w:tc>
      </w:tr>
      <w:tr w:rsidR="005A3418" w:rsidRPr="00D36673" w14:paraId="7D4D3DA3" w14:textId="77777777" w:rsidTr="00E6572F">
        <w:trPr>
          <w:trHeight w:val="60"/>
        </w:trPr>
        <w:tc>
          <w:tcPr>
            <w:tcW w:w="1240" w:type="pct"/>
          </w:tcPr>
          <w:p w14:paraId="04D75D0A" w14:textId="77777777" w:rsidR="005A3418" w:rsidRPr="00D36673" w:rsidRDefault="005A3418" w:rsidP="00AC33C0">
            <w:pPr>
              <w:pStyle w:val="TableBody"/>
            </w:pPr>
            <w:r w:rsidRPr="00D36673">
              <w:t>Unlawful assault</w:t>
            </w:r>
            <w:r w:rsidRPr="002F6D30">
              <w:rPr>
                <w:rStyle w:val="Superscript"/>
              </w:rPr>
              <w:t>(a)</w:t>
            </w:r>
          </w:p>
        </w:tc>
        <w:tc>
          <w:tcPr>
            <w:tcW w:w="1279" w:type="pct"/>
          </w:tcPr>
          <w:p w14:paraId="5519040D" w14:textId="77777777" w:rsidR="005A3418" w:rsidRPr="00D36673" w:rsidRDefault="005A3418" w:rsidP="0024118B">
            <w:pPr>
              <w:pStyle w:val="TableBody"/>
            </w:pPr>
            <w:r w:rsidRPr="00D36673">
              <w:t>39%</w:t>
            </w:r>
          </w:p>
        </w:tc>
        <w:tc>
          <w:tcPr>
            <w:tcW w:w="1240" w:type="pct"/>
          </w:tcPr>
          <w:p w14:paraId="3BBD4223" w14:textId="77777777" w:rsidR="005A3418" w:rsidRPr="00D36673" w:rsidRDefault="005A3418" w:rsidP="0024118B">
            <w:pPr>
              <w:pStyle w:val="TableBody"/>
            </w:pPr>
            <w:r w:rsidRPr="00D36673">
              <w:t>16%</w:t>
            </w:r>
          </w:p>
        </w:tc>
        <w:tc>
          <w:tcPr>
            <w:tcW w:w="1240" w:type="pct"/>
          </w:tcPr>
          <w:p w14:paraId="669F0344" w14:textId="77777777" w:rsidR="005A3418" w:rsidRPr="00D36673" w:rsidRDefault="005A3418" w:rsidP="0024118B">
            <w:pPr>
              <w:pStyle w:val="TableBody"/>
            </w:pPr>
            <w:r w:rsidRPr="00D36673">
              <w:t>53%</w:t>
            </w:r>
          </w:p>
        </w:tc>
      </w:tr>
      <w:tr w:rsidR="005A3418" w:rsidRPr="00D36673" w14:paraId="2AF868CF" w14:textId="77777777" w:rsidTr="00E6572F">
        <w:trPr>
          <w:trHeight w:val="60"/>
        </w:trPr>
        <w:tc>
          <w:tcPr>
            <w:tcW w:w="1240" w:type="pct"/>
          </w:tcPr>
          <w:p w14:paraId="174292AC" w14:textId="77777777" w:rsidR="005A3418" w:rsidRPr="00D36673" w:rsidRDefault="005A3418" w:rsidP="00AC33C0">
            <w:pPr>
              <w:pStyle w:val="TableBody"/>
            </w:pPr>
            <w:r w:rsidRPr="00D36673">
              <w:t>Bail-related offences</w:t>
            </w:r>
            <w:r w:rsidRPr="002F6D30">
              <w:rPr>
                <w:rStyle w:val="Superscript"/>
              </w:rPr>
              <w:t>(b)</w:t>
            </w:r>
          </w:p>
        </w:tc>
        <w:tc>
          <w:tcPr>
            <w:tcW w:w="1279" w:type="pct"/>
          </w:tcPr>
          <w:p w14:paraId="70019F15" w14:textId="77777777" w:rsidR="005A3418" w:rsidRPr="00D36673" w:rsidRDefault="005A3418" w:rsidP="0024118B">
            <w:pPr>
              <w:pStyle w:val="TableBody"/>
            </w:pPr>
            <w:r w:rsidRPr="00D36673">
              <w:t>35%</w:t>
            </w:r>
          </w:p>
        </w:tc>
        <w:tc>
          <w:tcPr>
            <w:tcW w:w="1240" w:type="pct"/>
          </w:tcPr>
          <w:p w14:paraId="0940D73A" w14:textId="77777777" w:rsidR="005A3418" w:rsidRPr="00D36673" w:rsidRDefault="005A3418" w:rsidP="0024118B">
            <w:pPr>
              <w:pStyle w:val="TableBody"/>
            </w:pPr>
            <w:r w:rsidRPr="00D36673">
              <w:t>18%</w:t>
            </w:r>
          </w:p>
        </w:tc>
        <w:tc>
          <w:tcPr>
            <w:tcW w:w="1240" w:type="pct"/>
          </w:tcPr>
          <w:p w14:paraId="178D8372" w14:textId="77777777" w:rsidR="005A3418" w:rsidRPr="00D36673" w:rsidRDefault="005A3418" w:rsidP="0024118B">
            <w:pPr>
              <w:pStyle w:val="TableBody"/>
            </w:pPr>
            <w:r w:rsidRPr="00D36673">
              <w:t>44%</w:t>
            </w:r>
          </w:p>
        </w:tc>
      </w:tr>
      <w:tr w:rsidR="005A3418" w:rsidRPr="00D36673" w14:paraId="44394519" w14:textId="77777777" w:rsidTr="00E6572F">
        <w:trPr>
          <w:trHeight w:val="60"/>
        </w:trPr>
        <w:tc>
          <w:tcPr>
            <w:tcW w:w="1240" w:type="pct"/>
          </w:tcPr>
          <w:p w14:paraId="16D9901D" w14:textId="77777777" w:rsidR="005A3418" w:rsidRPr="00D36673" w:rsidRDefault="005A3418" w:rsidP="00AC33C0">
            <w:pPr>
              <w:pStyle w:val="TableBody"/>
            </w:pPr>
            <w:r w:rsidRPr="00D36673">
              <w:t>Breach of family violence order</w:t>
            </w:r>
            <w:r w:rsidRPr="002F6D30">
              <w:rPr>
                <w:rStyle w:val="Superscript"/>
              </w:rPr>
              <w:t>(c)</w:t>
            </w:r>
          </w:p>
        </w:tc>
        <w:tc>
          <w:tcPr>
            <w:tcW w:w="1279" w:type="pct"/>
          </w:tcPr>
          <w:p w14:paraId="337A63E1" w14:textId="77777777" w:rsidR="005A3418" w:rsidRPr="00D36673" w:rsidRDefault="005A3418" w:rsidP="0024118B">
            <w:pPr>
              <w:pStyle w:val="TableBody"/>
            </w:pPr>
            <w:r w:rsidRPr="00D36673">
              <w:t>31%</w:t>
            </w:r>
          </w:p>
        </w:tc>
        <w:tc>
          <w:tcPr>
            <w:tcW w:w="1240" w:type="pct"/>
          </w:tcPr>
          <w:p w14:paraId="7956832E" w14:textId="77777777" w:rsidR="005A3418" w:rsidRPr="00D36673" w:rsidRDefault="005A3418" w:rsidP="0024118B">
            <w:pPr>
              <w:pStyle w:val="TableBody"/>
            </w:pPr>
            <w:r w:rsidRPr="00D36673">
              <w:t>20%</w:t>
            </w:r>
          </w:p>
        </w:tc>
        <w:tc>
          <w:tcPr>
            <w:tcW w:w="1240" w:type="pct"/>
          </w:tcPr>
          <w:p w14:paraId="06F370C1" w14:textId="77777777" w:rsidR="005A3418" w:rsidRPr="00D36673" w:rsidRDefault="005A3418" w:rsidP="0024118B">
            <w:pPr>
              <w:pStyle w:val="TableBody"/>
            </w:pPr>
            <w:r w:rsidRPr="00D36673">
              <w:t>16%</w:t>
            </w:r>
          </w:p>
        </w:tc>
      </w:tr>
      <w:tr w:rsidR="005A3418" w:rsidRPr="00D36673" w14:paraId="7492F0E5" w14:textId="77777777" w:rsidTr="00E6572F">
        <w:trPr>
          <w:trHeight w:val="60"/>
        </w:trPr>
        <w:tc>
          <w:tcPr>
            <w:tcW w:w="1240" w:type="pct"/>
          </w:tcPr>
          <w:p w14:paraId="641CB7A2" w14:textId="77777777" w:rsidR="005A3418" w:rsidRPr="00D36673" w:rsidRDefault="005A3418" w:rsidP="00AC33C0">
            <w:pPr>
              <w:pStyle w:val="TableBody"/>
            </w:pPr>
            <w:r w:rsidRPr="00D36673">
              <w:t>Criminal damage</w:t>
            </w:r>
            <w:r w:rsidRPr="002F6D30">
              <w:rPr>
                <w:rStyle w:val="Superscript"/>
              </w:rPr>
              <w:t>(d)</w:t>
            </w:r>
          </w:p>
        </w:tc>
        <w:tc>
          <w:tcPr>
            <w:tcW w:w="1279" w:type="pct"/>
          </w:tcPr>
          <w:p w14:paraId="3CBD9CBD" w14:textId="77777777" w:rsidR="005A3418" w:rsidRPr="00D36673" w:rsidRDefault="005A3418" w:rsidP="0024118B">
            <w:pPr>
              <w:pStyle w:val="TableBody"/>
            </w:pPr>
            <w:r w:rsidRPr="00D36673">
              <w:t>29%</w:t>
            </w:r>
          </w:p>
        </w:tc>
        <w:tc>
          <w:tcPr>
            <w:tcW w:w="1240" w:type="pct"/>
          </w:tcPr>
          <w:p w14:paraId="5132E529" w14:textId="77777777" w:rsidR="005A3418" w:rsidRPr="00D36673" w:rsidRDefault="005A3418" w:rsidP="0024118B">
            <w:pPr>
              <w:pStyle w:val="TableBody"/>
            </w:pPr>
            <w:r w:rsidRPr="00D36673">
              <w:t>25%</w:t>
            </w:r>
          </w:p>
        </w:tc>
        <w:tc>
          <w:tcPr>
            <w:tcW w:w="1240" w:type="pct"/>
          </w:tcPr>
          <w:p w14:paraId="288E4251" w14:textId="77777777" w:rsidR="005A3418" w:rsidRPr="00D36673" w:rsidRDefault="005A3418" w:rsidP="0024118B">
            <w:pPr>
              <w:pStyle w:val="TableBody"/>
            </w:pPr>
            <w:r w:rsidRPr="00D36673">
              <w:t>52%</w:t>
            </w:r>
          </w:p>
        </w:tc>
      </w:tr>
      <w:tr w:rsidR="005A3418" w:rsidRPr="00D36673" w14:paraId="0490E81E" w14:textId="77777777" w:rsidTr="00E6572F">
        <w:trPr>
          <w:trHeight w:val="60"/>
        </w:trPr>
        <w:tc>
          <w:tcPr>
            <w:tcW w:w="1240" w:type="pct"/>
          </w:tcPr>
          <w:p w14:paraId="4430685E" w14:textId="77777777" w:rsidR="005A3418" w:rsidRPr="00D36673" w:rsidRDefault="005A3418" w:rsidP="00AC33C0">
            <w:pPr>
              <w:pStyle w:val="TableBody"/>
            </w:pPr>
            <w:r w:rsidRPr="00D36673">
              <w:t>Second threat</w:t>
            </w:r>
            <w:r w:rsidRPr="002F6D30">
              <w:rPr>
                <w:rStyle w:val="Superscript"/>
              </w:rPr>
              <w:t>(e)</w:t>
            </w:r>
          </w:p>
        </w:tc>
        <w:tc>
          <w:tcPr>
            <w:tcW w:w="1279" w:type="pct"/>
          </w:tcPr>
          <w:p w14:paraId="1020BCA3" w14:textId="77777777" w:rsidR="005A3418" w:rsidRPr="00D36673" w:rsidRDefault="005A3418" w:rsidP="0024118B">
            <w:pPr>
              <w:pStyle w:val="TableBody"/>
            </w:pPr>
            <w:r w:rsidRPr="00D36673">
              <w:t>23%</w:t>
            </w:r>
          </w:p>
        </w:tc>
        <w:tc>
          <w:tcPr>
            <w:tcW w:w="1240" w:type="pct"/>
          </w:tcPr>
          <w:p w14:paraId="52F16E90" w14:textId="77777777" w:rsidR="005A3418" w:rsidRPr="00D36673" w:rsidRDefault="005A3418" w:rsidP="0024118B">
            <w:pPr>
              <w:pStyle w:val="TableBody"/>
            </w:pPr>
            <w:r w:rsidRPr="00D36673">
              <w:t>27%</w:t>
            </w:r>
          </w:p>
        </w:tc>
        <w:tc>
          <w:tcPr>
            <w:tcW w:w="1240" w:type="pct"/>
          </w:tcPr>
          <w:p w14:paraId="132B70BE" w14:textId="77777777" w:rsidR="005A3418" w:rsidRPr="00D36673" w:rsidRDefault="005A3418" w:rsidP="0024118B">
            <w:pPr>
              <w:pStyle w:val="TableBody"/>
            </w:pPr>
            <w:r w:rsidRPr="00D36673">
              <w:t>28%</w:t>
            </w:r>
          </w:p>
        </w:tc>
      </w:tr>
      <w:tr w:rsidR="005A3418" w:rsidRPr="00D36673" w14:paraId="2E509A01" w14:textId="77777777" w:rsidTr="00E6572F">
        <w:trPr>
          <w:trHeight w:val="60"/>
        </w:trPr>
        <w:tc>
          <w:tcPr>
            <w:tcW w:w="1240" w:type="pct"/>
          </w:tcPr>
          <w:p w14:paraId="46257820" w14:textId="77777777" w:rsidR="005A3418" w:rsidRPr="00D36673" w:rsidRDefault="005A3418" w:rsidP="00AC33C0">
            <w:pPr>
              <w:pStyle w:val="TableBody"/>
            </w:pPr>
            <w:r w:rsidRPr="00D36673">
              <w:t>Theft</w:t>
            </w:r>
            <w:r w:rsidRPr="002F6D30">
              <w:rPr>
                <w:rStyle w:val="Superscript"/>
              </w:rPr>
              <w:t>(f)</w:t>
            </w:r>
          </w:p>
        </w:tc>
        <w:tc>
          <w:tcPr>
            <w:tcW w:w="1279" w:type="pct"/>
          </w:tcPr>
          <w:p w14:paraId="267E4A6E" w14:textId="77777777" w:rsidR="005A3418" w:rsidRPr="00D36673" w:rsidRDefault="005A3418" w:rsidP="0024118B">
            <w:pPr>
              <w:pStyle w:val="TableBody"/>
            </w:pPr>
            <w:r w:rsidRPr="00D36673">
              <w:t>17%</w:t>
            </w:r>
          </w:p>
        </w:tc>
        <w:tc>
          <w:tcPr>
            <w:tcW w:w="1240" w:type="pct"/>
          </w:tcPr>
          <w:p w14:paraId="55FA1987" w14:textId="77777777" w:rsidR="005A3418" w:rsidRPr="00D36673" w:rsidRDefault="005A3418" w:rsidP="0024118B">
            <w:pPr>
              <w:pStyle w:val="TableBody"/>
            </w:pPr>
            <w:r w:rsidRPr="00D36673">
              <w:t>16%</w:t>
            </w:r>
          </w:p>
        </w:tc>
        <w:tc>
          <w:tcPr>
            <w:tcW w:w="1240" w:type="pct"/>
          </w:tcPr>
          <w:p w14:paraId="76B23964" w14:textId="77777777" w:rsidR="005A3418" w:rsidRPr="00D36673" w:rsidRDefault="005A3418" w:rsidP="0024118B">
            <w:pPr>
              <w:pStyle w:val="TableBody"/>
            </w:pPr>
            <w:r w:rsidRPr="00D36673">
              <w:t>37%</w:t>
            </w:r>
          </w:p>
        </w:tc>
      </w:tr>
      <w:tr w:rsidR="005A3418" w:rsidRPr="00D36673" w14:paraId="6C12F6A8" w14:textId="77777777" w:rsidTr="00E6572F">
        <w:trPr>
          <w:trHeight w:val="60"/>
        </w:trPr>
        <w:tc>
          <w:tcPr>
            <w:tcW w:w="1240" w:type="pct"/>
          </w:tcPr>
          <w:p w14:paraId="6530E8C2" w14:textId="77777777" w:rsidR="005A3418" w:rsidRPr="00D36673" w:rsidRDefault="005A3418" w:rsidP="00AC33C0">
            <w:pPr>
              <w:pStyle w:val="TableBody"/>
            </w:pPr>
            <w:r w:rsidRPr="00D36673">
              <w:lastRenderedPageBreak/>
              <w:t>Causing injury intentionally or recklessly</w:t>
            </w:r>
            <w:r w:rsidRPr="002F6D30">
              <w:rPr>
                <w:rStyle w:val="Superscript"/>
              </w:rPr>
              <w:t>(g)</w:t>
            </w:r>
          </w:p>
        </w:tc>
        <w:tc>
          <w:tcPr>
            <w:tcW w:w="1279" w:type="pct"/>
          </w:tcPr>
          <w:p w14:paraId="205E56DC" w14:textId="77777777" w:rsidR="005A3418" w:rsidRPr="00D36673" w:rsidRDefault="005A3418" w:rsidP="0024118B">
            <w:pPr>
              <w:pStyle w:val="TableBody"/>
            </w:pPr>
            <w:r w:rsidRPr="00D36673">
              <w:t>15%</w:t>
            </w:r>
          </w:p>
        </w:tc>
        <w:tc>
          <w:tcPr>
            <w:tcW w:w="1240" w:type="pct"/>
          </w:tcPr>
          <w:p w14:paraId="5E36FD7A" w14:textId="77777777" w:rsidR="005A3418" w:rsidRPr="00D36673" w:rsidRDefault="005A3418" w:rsidP="0024118B">
            <w:pPr>
              <w:pStyle w:val="TableBody"/>
            </w:pPr>
            <w:r w:rsidRPr="00D36673">
              <w:t>37%</w:t>
            </w:r>
          </w:p>
        </w:tc>
        <w:tc>
          <w:tcPr>
            <w:tcW w:w="1240" w:type="pct"/>
          </w:tcPr>
          <w:p w14:paraId="7EA71D10" w14:textId="77777777" w:rsidR="005A3418" w:rsidRPr="00D36673" w:rsidRDefault="005A3418" w:rsidP="0024118B">
            <w:pPr>
              <w:pStyle w:val="TableBody"/>
            </w:pPr>
            <w:r w:rsidRPr="00D36673">
              <w:t>18%</w:t>
            </w:r>
          </w:p>
        </w:tc>
      </w:tr>
      <w:tr w:rsidR="005A3418" w:rsidRPr="00D36673" w14:paraId="2DCE12BE" w14:textId="77777777" w:rsidTr="00E6572F">
        <w:trPr>
          <w:trHeight w:val="60"/>
        </w:trPr>
        <w:tc>
          <w:tcPr>
            <w:tcW w:w="1240" w:type="pct"/>
          </w:tcPr>
          <w:p w14:paraId="2E8D7103" w14:textId="77777777" w:rsidR="005A3418" w:rsidRPr="00D36673" w:rsidRDefault="005A3418" w:rsidP="00AC33C0">
            <w:pPr>
              <w:pStyle w:val="TableBody"/>
            </w:pPr>
            <w:r w:rsidRPr="00D36673">
              <w:t>Possess a drug of dependence</w:t>
            </w:r>
            <w:r w:rsidRPr="002F6D30">
              <w:rPr>
                <w:rStyle w:val="Superscript"/>
              </w:rPr>
              <w:t>(h)</w:t>
            </w:r>
          </w:p>
        </w:tc>
        <w:tc>
          <w:tcPr>
            <w:tcW w:w="1279" w:type="pct"/>
          </w:tcPr>
          <w:p w14:paraId="03353BD0" w14:textId="77777777" w:rsidR="005A3418" w:rsidRPr="00D36673" w:rsidRDefault="005A3418" w:rsidP="0024118B">
            <w:pPr>
              <w:pStyle w:val="TableBody"/>
            </w:pPr>
            <w:r w:rsidRPr="00D36673">
              <w:t>12%</w:t>
            </w:r>
          </w:p>
        </w:tc>
        <w:tc>
          <w:tcPr>
            <w:tcW w:w="1240" w:type="pct"/>
          </w:tcPr>
          <w:p w14:paraId="2C444520" w14:textId="43B57BDA"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521C96B2" w14:textId="245D2BB8"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r>
      <w:tr w:rsidR="005A3418" w:rsidRPr="00D36673" w14:paraId="1CF884A8" w14:textId="77777777" w:rsidTr="00E6572F">
        <w:trPr>
          <w:trHeight w:val="60"/>
        </w:trPr>
        <w:tc>
          <w:tcPr>
            <w:tcW w:w="1240" w:type="pct"/>
          </w:tcPr>
          <w:p w14:paraId="55B1C1F6" w14:textId="77777777" w:rsidR="005A3418" w:rsidRPr="00D36673" w:rsidRDefault="005A3418" w:rsidP="00AC33C0">
            <w:pPr>
              <w:pStyle w:val="TableBody"/>
            </w:pPr>
            <w:r w:rsidRPr="00D36673">
              <w:t>Using a carriage service to menace, harass or cause offence</w:t>
            </w:r>
            <w:r w:rsidRPr="002F6D30">
              <w:rPr>
                <w:rStyle w:val="Superscript"/>
              </w:rPr>
              <w:t>(i)</w:t>
            </w:r>
          </w:p>
        </w:tc>
        <w:tc>
          <w:tcPr>
            <w:tcW w:w="1279" w:type="pct"/>
          </w:tcPr>
          <w:p w14:paraId="1F6AEA63" w14:textId="77777777" w:rsidR="005A3418" w:rsidRPr="00D36673" w:rsidRDefault="005A3418" w:rsidP="0024118B">
            <w:pPr>
              <w:pStyle w:val="TableBody"/>
            </w:pPr>
            <w:r w:rsidRPr="00D36673">
              <w:t>10%</w:t>
            </w:r>
          </w:p>
        </w:tc>
        <w:tc>
          <w:tcPr>
            <w:tcW w:w="1240" w:type="pct"/>
          </w:tcPr>
          <w:p w14:paraId="63AEA0A5" w14:textId="2562FD4C"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3D55BB20" w14:textId="619C2313"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r>
      <w:tr w:rsidR="005A3418" w:rsidRPr="00D36673" w14:paraId="301DA5EA" w14:textId="77777777" w:rsidTr="00E6572F">
        <w:trPr>
          <w:trHeight w:val="60"/>
        </w:trPr>
        <w:tc>
          <w:tcPr>
            <w:tcW w:w="1240" w:type="pct"/>
          </w:tcPr>
          <w:p w14:paraId="0505E632" w14:textId="77777777" w:rsidR="005A3418" w:rsidRPr="00D36673" w:rsidRDefault="005A3418" w:rsidP="00AC33C0">
            <w:pPr>
              <w:pStyle w:val="TableBody"/>
            </w:pPr>
            <w:r w:rsidRPr="00D36673">
              <w:t>Aggravated assault</w:t>
            </w:r>
            <w:r w:rsidRPr="002F6D30">
              <w:rPr>
                <w:rStyle w:val="Superscript"/>
              </w:rPr>
              <w:t>(j)</w:t>
            </w:r>
          </w:p>
        </w:tc>
        <w:tc>
          <w:tcPr>
            <w:tcW w:w="1279" w:type="pct"/>
          </w:tcPr>
          <w:p w14:paraId="4E5CB260" w14:textId="77777777" w:rsidR="005A3418" w:rsidRPr="00D36673" w:rsidRDefault="005A3418" w:rsidP="0024118B">
            <w:pPr>
              <w:pStyle w:val="TableBody"/>
            </w:pPr>
            <w:r w:rsidRPr="00D36673">
              <w:t>8%</w:t>
            </w:r>
          </w:p>
        </w:tc>
        <w:tc>
          <w:tcPr>
            <w:tcW w:w="1240" w:type="pct"/>
          </w:tcPr>
          <w:p w14:paraId="5533FF24" w14:textId="3DFA8145"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46CFE1FE" w14:textId="77777777" w:rsidR="005A3418" w:rsidRPr="00D36673" w:rsidRDefault="005A3418" w:rsidP="0024118B">
            <w:pPr>
              <w:pStyle w:val="TableBody"/>
            </w:pPr>
            <w:r w:rsidRPr="00D36673">
              <w:t>20%</w:t>
            </w:r>
          </w:p>
        </w:tc>
      </w:tr>
      <w:tr w:rsidR="005A3418" w:rsidRPr="00D36673" w14:paraId="0A21323E" w14:textId="77777777" w:rsidTr="00E6572F">
        <w:trPr>
          <w:trHeight w:val="60"/>
        </w:trPr>
        <w:tc>
          <w:tcPr>
            <w:tcW w:w="1240" w:type="pct"/>
          </w:tcPr>
          <w:p w14:paraId="7C72D746" w14:textId="77777777" w:rsidR="005A3418" w:rsidRPr="00D36673" w:rsidRDefault="005A3418" w:rsidP="00AC33C0">
            <w:pPr>
              <w:pStyle w:val="TableBody"/>
            </w:pPr>
            <w:r w:rsidRPr="00D36673">
              <w:t>Common law assault</w:t>
            </w:r>
            <w:r w:rsidRPr="002F6D30">
              <w:rPr>
                <w:rStyle w:val="Superscript"/>
              </w:rPr>
              <w:t>(k)</w:t>
            </w:r>
          </w:p>
        </w:tc>
        <w:tc>
          <w:tcPr>
            <w:tcW w:w="1279" w:type="pct"/>
          </w:tcPr>
          <w:p w14:paraId="5CB98D64" w14:textId="4E3E0716"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557223FF" w14:textId="77777777" w:rsidR="005A3418" w:rsidRPr="00D36673" w:rsidRDefault="005A3418" w:rsidP="0024118B">
            <w:pPr>
              <w:pStyle w:val="TableBody"/>
            </w:pPr>
            <w:r w:rsidRPr="00D36673">
              <w:t>24%</w:t>
            </w:r>
          </w:p>
        </w:tc>
        <w:tc>
          <w:tcPr>
            <w:tcW w:w="1240" w:type="pct"/>
          </w:tcPr>
          <w:p w14:paraId="16DBD258" w14:textId="0D4DC7D7"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r>
      <w:tr w:rsidR="005A3418" w:rsidRPr="00D36673" w14:paraId="0A7F798F" w14:textId="77777777" w:rsidTr="00E6572F">
        <w:trPr>
          <w:trHeight w:val="363"/>
        </w:trPr>
        <w:tc>
          <w:tcPr>
            <w:tcW w:w="1240" w:type="pct"/>
          </w:tcPr>
          <w:p w14:paraId="369137CF" w14:textId="77777777" w:rsidR="005A3418" w:rsidRPr="00D36673" w:rsidRDefault="005A3418" w:rsidP="00AC33C0">
            <w:pPr>
              <w:pStyle w:val="TableBody"/>
            </w:pPr>
            <w:r w:rsidRPr="00D36673">
              <w:t>Aggravated burglary</w:t>
            </w:r>
            <w:r w:rsidRPr="002F6D30">
              <w:rPr>
                <w:rStyle w:val="Superscript"/>
              </w:rPr>
              <w:t>(l)</w:t>
            </w:r>
          </w:p>
        </w:tc>
        <w:tc>
          <w:tcPr>
            <w:tcW w:w="1279" w:type="pct"/>
          </w:tcPr>
          <w:p w14:paraId="7C16DE61" w14:textId="3CA2BAB9"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145E3BCF" w14:textId="77777777" w:rsidR="005A3418" w:rsidRPr="00D36673" w:rsidRDefault="005A3418" w:rsidP="0024118B">
            <w:pPr>
              <w:pStyle w:val="TableBody"/>
            </w:pPr>
            <w:r w:rsidRPr="00D36673">
              <w:t>23%</w:t>
            </w:r>
          </w:p>
        </w:tc>
        <w:tc>
          <w:tcPr>
            <w:tcW w:w="1240" w:type="pct"/>
          </w:tcPr>
          <w:p w14:paraId="7E291E61" w14:textId="01E37009"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r>
      <w:tr w:rsidR="005A3418" w:rsidRPr="00D36673" w14:paraId="562A13B9" w14:textId="77777777" w:rsidTr="00E6572F">
        <w:trPr>
          <w:trHeight w:val="60"/>
        </w:trPr>
        <w:tc>
          <w:tcPr>
            <w:tcW w:w="1240" w:type="pct"/>
          </w:tcPr>
          <w:p w14:paraId="5767226A" w14:textId="77777777" w:rsidR="005A3418" w:rsidRPr="00D36673" w:rsidRDefault="005A3418" w:rsidP="00AC33C0">
            <w:pPr>
              <w:pStyle w:val="TableBody"/>
            </w:pPr>
            <w:r w:rsidRPr="00D36673">
              <w:t>False imprisonment</w:t>
            </w:r>
            <w:r w:rsidRPr="002F6D30">
              <w:rPr>
                <w:rStyle w:val="Superscript"/>
              </w:rPr>
              <w:t>(m)</w:t>
            </w:r>
          </w:p>
        </w:tc>
        <w:tc>
          <w:tcPr>
            <w:tcW w:w="1279" w:type="pct"/>
          </w:tcPr>
          <w:p w14:paraId="2AA01094" w14:textId="49E21BFB"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59A8CFF6" w14:textId="77777777" w:rsidR="005A3418" w:rsidRPr="00D36673" w:rsidRDefault="005A3418" w:rsidP="0024118B">
            <w:pPr>
              <w:pStyle w:val="TableBody"/>
            </w:pPr>
            <w:r w:rsidRPr="00D36673">
              <w:t>16%</w:t>
            </w:r>
          </w:p>
        </w:tc>
        <w:tc>
          <w:tcPr>
            <w:tcW w:w="1240" w:type="pct"/>
          </w:tcPr>
          <w:p w14:paraId="3C3EF42C" w14:textId="5C31E9CE"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r>
      <w:tr w:rsidR="005A3418" w:rsidRPr="00D36673" w14:paraId="0793CBF8" w14:textId="77777777" w:rsidTr="00E6572F">
        <w:trPr>
          <w:trHeight w:val="60"/>
        </w:trPr>
        <w:tc>
          <w:tcPr>
            <w:tcW w:w="1240" w:type="pct"/>
          </w:tcPr>
          <w:p w14:paraId="274394F2" w14:textId="77777777" w:rsidR="005A3418" w:rsidRPr="00D36673" w:rsidRDefault="005A3418" w:rsidP="00AC33C0">
            <w:pPr>
              <w:pStyle w:val="TableBody"/>
            </w:pPr>
            <w:r w:rsidRPr="00D36673">
              <w:t>Possess a controlled weapon</w:t>
            </w:r>
            <w:r w:rsidRPr="002F6D30">
              <w:rPr>
                <w:rStyle w:val="Superscript"/>
              </w:rPr>
              <w:t>(n)</w:t>
            </w:r>
          </w:p>
        </w:tc>
        <w:tc>
          <w:tcPr>
            <w:tcW w:w="1279" w:type="pct"/>
          </w:tcPr>
          <w:p w14:paraId="66B5E19A" w14:textId="02583EAF"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6A9CBB0B" w14:textId="7E5B6C4C"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19C076A1" w14:textId="77777777" w:rsidR="005A3418" w:rsidRPr="00D36673" w:rsidRDefault="005A3418" w:rsidP="0024118B">
            <w:pPr>
              <w:pStyle w:val="TableBody"/>
            </w:pPr>
            <w:r w:rsidRPr="00D36673">
              <w:t>13%</w:t>
            </w:r>
          </w:p>
        </w:tc>
      </w:tr>
      <w:tr w:rsidR="005A3418" w:rsidRPr="00D36673" w14:paraId="2747CB36" w14:textId="77777777" w:rsidTr="00E6572F">
        <w:trPr>
          <w:trHeight w:val="60"/>
        </w:trPr>
        <w:tc>
          <w:tcPr>
            <w:tcW w:w="1240" w:type="pct"/>
          </w:tcPr>
          <w:p w14:paraId="4C049587" w14:textId="77777777" w:rsidR="005A3418" w:rsidRPr="00D36673" w:rsidRDefault="005A3418" w:rsidP="00AC33C0">
            <w:pPr>
              <w:pStyle w:val="TableBody"/>
            </w:pPr>
            <w:r w:rsidRPr="00D36673">
              <w:t>Wilful damage</w:t>
            </w:r>
            <w:r w:rsidRPr="002F6D30">
              <w:rPr>
                <w:rStyle w:val="Superscript"/>
              </w:rPr>
              <w:t>(o)</w:t>
            </w:r>
          </w:p>
        </w:tc>
        <w:tc>
          <w:tcPr>
            <w:tcW w:w="1279" w:type="pct"/>
          </w:tcPr>
          <w:p w14:paraId="66E92ADE" w14:textId="0E697287"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1A1E63C9" w14:textId="1456ACDA" w:rsidR="005A3418" w:rsidRPr="00D36673" w:rsidRDefault="001F148E" w:rsidP="00EB0405">
            <w:pPr>
              <w:pStyle w:val="NoParagraphStyle"/>
              <w:spacing w:line="240" w:lineRule="auto"/>
              <w:textAlignment w:val="auto"/>
              <w:rPr>
                <w:rFonts w:ascii="Verdana" w:hAnsi="Verdana" w:cstheme="minorBidi"/>
                <w:color w:val="auto"/>
                <w:lang w:val="en-AU"/>
              </w:rPr>
            </w:pPr>
            <w:r>
              <w:rPr>
                <w:rFonts w:ascii="Verdana" w:hAnsi="Verdana" w:cstheme="minorBidi"/>
                <w:color w:val="auto"/>
                <w:lang w:val="en-AU"/>
              </w:rPr>
              <w:t>-</w:t>
            </w:r>
          </w:p>
        </w:tc>
        <w:tc>
          <w:tcPr>
            <w:tcW w:w="1240" w:type="pct"/>
          </w:tcPr>
          <w:p w14:paraId="1AE6E765" w14:textId="77777777" w:rsidR="005A3418" w:rsidRPr="00D36673" w:rsidRDefault="005A3418" w:rsidP="0024118B">
            <w:pPr>
              <w:pStyle w:val="TableBody"/>
            </w:pPr>
            <w:r w:rsidRPr="00D36673">
              <w:t>13%</w:t>
            </w:r>
          </w:p>
        </w:tc>
      </w:tr>
    </w:tbl>
    <w:p w14:paraId="55B863FC" w14:textId="77777777" w:rsidR="005A3418" w:rsidRPr="00D36673" w:rsidRDefault="005A3418" w:rsidP="0019459C">
      <w:pPr>
        <w:pStyle w:val="Footnote"/>
        <w:numPr>
          <w:ilvl w:val="0"/>
          <w:numId w:val="9"/>
        </w:numPr>
      </w:pPr>
      <w:r w:rsidRPr="00A24E18">
        <w:rPr>
          <w:rStyle w:val="Emphasis"/>
        </w:rPr>
        <w:t>Summary Offences Act 1966</w:t>
      </w:r>
      <w:r w:rsidRPr="00D36673">
        <w:t xml:space="preserve"> (Vic) s 23.</w:t>
      </w:r>
    </w:p>
    <w:p w14:paraId="1DE0949D" w14:textId="77777777" w:rsidR="005A3418" w:rsidRPr="00D36673" w:rsidRDefault="005A3418" w:rsidP="0019459C">
      <w:pPr>
        <w:pStyle w:val="Footnote"/>
        <w:numPr>
          <w:ilvl w:val="0"/>
          <w:numId w:val="9"/>
        </w:numPr>
      </w:pPr>
      <w:r w:rsidRPr="00A24E18">
        <w:rPr>
          <w:rStyle w:val="Emphasis"/>
        </w:rPr>
        <w:t>Bail Act 1977</w:t>
      </w:r>
      <w:r w:rsidRPr="00D36673">
        <w:t xml:space="preserve"> (Vic) ss 30, 30A, 30B. In all courts, the most common of these was committing an indictable offence whilst on bail (present in just over 80% of cases involving a bail-related offence in the higher courts and Children’s Court, and just over 60% of those in the Magistrates’ Court).</w:t>
      </w:r>
    </w:p>
    <w:p w14:paraId="4BB20B40" w14:textId="77777777" w:rsidR="005A3418" w:rsidRPr="00D36673" w:rsidRDefault="005A3418" w:rsidP="0019459C">
      <w:pPr>
        <w:pStyle w:val="Footnote"/>
        <w:numPr>
          <w:ilvl w:val="0"/>
          <w:numId w:val="9"/>
        </w:numPr>
      </w:pPr>
      <w:r w:rsidRPr="00A24E18">
        <w:rPr>
          <w:rStyle w:val="Emphasis"/>
        </w:rPr>
        <w:t>Family Violence Protection Act 2008</w:t>
      </w:r>
      <w:r w:rsidRPr="00D36673">
        <w:t xml:space="preserve"> (Vic) ss 37, 37A, 123, 123A, 125A, 129(5), 130(4). Most of these cases involved charges of breach of family violence intervention order or family violence safety notice. Persistent contraventions were charged in 34% of these cases in the Magistrates’ Court, 29% in the higher courts and just 14% in the Children’s Court. Breaches of family violence intervention orders with intent to cause harm or fear were charged in 26% of these cases in the Magistrates’ Court, 25% in the higher courts and 28% in the Children’s Court.</w:t>
      </w:r>
    </w:p>
    <w:p w14:paraId="08666348" w14:textId="77777777" w:rsidR="005A3418" w:rsidRPr="00D36673" w:rsidRDefault="005A3418" w:rsidP="0019459C">
      <w:pPr>
        <w:pStyle w:val="Footnote"/>
        <w:numPr>
          <w:ilvl w:val="0"/>
          <w:numId w:val="9"/>
        </w:numPr>
      </w:pPr>
      <w:r w:rsidRPr="00A24E18">
        <w:rPr>
          <w:rStyle w:val="Emphasis"/>
        </w:rPr>
        <w:t>Crimes Act 1958</w:t>
      </w:r>
      <w:r w:rsidRPr="00D36673">
        <w:t xml:space="preserve"> (Vic) s 197(1).</w:t>
      </w:r>
    </w:p>
    <w:p w14:paraId="5AFB6A24" w14:textId="77777777" w:rsidR="005A3418" w:rsidRPr="00D36673" w:rsidRDefault="005A3418" w:rsidP="0019459C">
      <w:pPr>
        <w:pStyle w:val="Footnote"/>
        <w:numPr>
          <w:ilvl w:val="0"/>
          <w:numId w:val="9"/>
        </w:numPr>
      </w:pPr>
      <w:r w:rsidRPr="00D36673">
        <w:t>Any case in which more than two index threat offences are sentenced is considered to involve a second threat. The second threat need not be of a different type from the first threat.</w:t>
      </w:r>
    </w:p>
    <w:p w14:paraId="7A23CEA0" w14:textId="77777777" w:rsidR="005A3418" w:rsidRPr="00D36673" w:rsidRDefault="005A3418" w:rsidP="0019459C">
      <w:pPr>
        <w:pStyle w:val="Footnote"/>
        <w:numPr>
          <w:ilvl w:val="0"/>
          <w:numId w:val="9"/>
        </w:numPr>
      </w:pPr>
      <w:r w:rsidRPr="00A24E18">
        <w:rPr>
          <w:rStyle w:val="Emphasis"/>
        </w:rPr>
        <w:t>Crimes Act 1958</w:t>
      </w:r>
      <w:r w:rsidRPr="00D36673">
        <w:t xml:space="preserve"> (Vic) s 74.</w:t>
      </w:r>
    </w:p>
    <w:p w14:paraId="4ABAD160" w14:textId="77777777" w:rsidR="005A3418" w:rsidRPr="00D36673" w:rsidRDefault="005A3418" w:rsidP="0019459C">
      <w:pPr>
        <w:pStyle w:val="Footnote"/>
        <w:numPr>
          <w:ilvl w:val="0"/>
          <w:numId w:val="9"/>
        </w:numPr>
      </w:pPr>
      <w:r w:rsidRPr="00A24E18">
        <w:rPr>
          <w:rStyle w:val="Emphasis"/>
        </w:rPr>
        <w:t>Crimes Act 1958</w:t>
      </w:r>
      <w:r w:rsidRPr="00D36673">
        <w:t xml:space="preserve"> (Vic) s 18. In the Magistrates’ Court and Children’s Court, more than three-quarters of these cases involved causing injury recklessly and just under one-third involved causing injury intentionally; in the higher courts, those proportions were reversed.</w:t>
      </w:r>
    </w:p>
    <w:p w14:paraId="7BFF3673" w14:textId="77777777" w:rsidR="005A3418" w:rsidRPr="00D36673" w:rsidRDefault="005A3418" w:rsidP="0019459C">
      <w:pPr>
        <w:pStyle w:val="Footnote"/>
        <w:numPr>
          <w:ilvl w:val="0"/>
          <w:numId w:val="9"/>
        </w:numPr>
      </w:pPr>
      <w:r w:rsidRPr="00A24E18">
        <w:rPr>
          <w:rStyle w:val="Emphasis"/>
        </w:rPr>
        <w:t>Drugs, Poisons and Controlled Substances Act 1981</w:t>
      </w:r>
      <w:r w:rsidRPr="00D36673">
        <w:t xml:space="preserve"> (Vic) s 73.</w:t>
      </w:r>
    </w:p>
    <w:p w14:paraId="08D8CD2C" w14:textId="77777777" w:rsidR="005A3418" w:rsidRPr="00D36673" w:rsidRDefault="005A3418" w:rsidP="0019459C">
      <w:pPr>
        <w:pStyle w:val="Footnote"/>
        <w:numPr>
          <w:ilvl w:val="0"/>
          <w:numId w:val="9"/>
        </w:numPr>
      </w:pPr>
      <w:r w:rsidRPr="00A24E18">
        <w:rPr>
          <w:rStyle w:val="Emphasis"/>
        </w:rPr>
        <w:t>Criminal Code Act 1995</w:t>
      </w:r>
      <w:r w:rsidRPr="00D36673">
        <w:t xml:space="preserve"> (Cth) s 474.17.</w:t>
      </w:r>
    </w:p>
    <w:p w14:paraId="0043B9F9" w14:textId="77777777" w:rsidR="005A3418" w:rsidRPr="00D36673" w:rsidRDefault="005A3418" w:rsidP="0019459C">
      <w:pPr>
        <w:pStyle w:val="Footnote"/>
        <w:numPr>
          <w:ilvl w:val="0"/>
          <w:numId w:val="9"/>
        </w:numPr>
      </w:pPr>
      <w:r w:rsidRPr="00A24E18">
        <w:rPr>
          <w:rStyle w:val="Emphasis"/>
        </w:rPr>
        <w:t>Summary Offences Act 1966</w:t>
      </w:r>
      <w:r w:rsidRPr="00D36673">
        <w:t xml:space="preserve"> (Vic) s 24.</w:t>
      </w:r>
    </w:p>
    <w:p w14:paraId="414246A5" w14:textId="77777777" w:rsidR="005A3418" w:rsidRPr="00D36673" w:rsidRDefault="005A3418" w:rsidP="0019459C">
      <w:pPr>
        <w:pStyle w:val="Footnote"/>
        <w:numPr>
          <w:ilvl w:val="0"/>
          <w:numId w:val="9"/>
        </w:numPr>
      </w:pPr>
      <w:r w:rsidRPr="00A24E18">
        <w:rPr>
          <w:rStyle w:val="Emphasis"/>
        </w:rPr>
        <w:t>Crimes Act 1958</w:t>
      </w:r>
      <w:r w:rsidRPr="00D36673">
        <w:t xml:space="preserve"> (Vic) s 320: the maximum penalty for this assault offence is five years’ imprisonment.</w:t>
      </w:r>
    </w:p>
    <w:p w14:paraId="269D02D5" w14:textId="77777777" w:rsidR="005A3418" w:rsidRPr="00D36673" w:rsidRDefault="005A3418" w:rsidP="0019459C">
      <w:pPr>
        <w:pStyle w:val="Footnote"/>
        <w:numPr>
          <w:ilvl w:val="0"/>
          <w:numId w:val="9"/>
        </w:numPr>
      </w:pPr>
      <w:r w:rsidRPr="00A24E18">
        <w:rPr>
          <w:rStyle w:val="Emphasis"/>
        </w:rPr>
        <w:t>Crimes Act 1958</w:t>
      </w:r>
      <w:r w:rsidRPr="00D36673">
        <w:t xml:space="preserve"> (Vic) s 77.</w:t>
      </w:r>
    </w:p>
    <w:p w14:paraId="708273E7" w14:textId="77777777" w:rsidR="005A3418" w:rsidRPr="00D36673" w:rsidRDefault="005A3418" w:rsidP="0019459C">
      <w:pPr>
        <w:pStyle w:val="Footnote"/>
        <w:numPr>
          <w:ilvl w:val="0"/>
          <w:numId w:val="9"/>
        </w:numPr>
      </w:pPr>
      <w:r w:rsidRPr="00A24E18">
        <w:rPr>
          <w:rStyle w:val="Emphasis"/>
        </w:rPr>
        <w:t>Crimes Act 1958</w:t>
      </w:r>
      <w:r w:rsidRPr="00D36673">
        <w:t xml:space="preserve"> (Vic) s 320: the maximum penalty for this offence is 10 years’ imprisonment.</w:t>
      </w:r>
    </w:p>
    <w:p w14:paraId="57A54C8B" w14:textId="77777777" w:rsidR="005A3418" w:rsidRPr="00D36673" w:rsidRDefault="005A3418" w:rsidP="0019459C">
      <w:pPr>
        <w:pStyle w:val="Footnote"/>
        <w:numPr>
          <w:ilvl w:val="0"/>
          <w:numId w:val="9"/>
        </w:numPr>
      </w:pPr>
      <w:r w:rsidRPr="00A24E18">
        <w:rPr>
          <w:rStyle w:val="Emphasis"/>
        </w:rPr>
        <w:t>Control of Weapons Act 1990</w:t>
      </w:r>
      <w:r w:rsidRPr="00D36673">
        <w:t xml:space="preserve"> (Vic) s 6(1). Controlled weapons are legal to possess in certain contexts (for example, kitchen knives at home) rather than weapons that are illegal or require a licence (for example, firearms).</w:t>
      </w:r>
    </w:p>
    <w:p w14:paraId="7B76526D" w14:textId="77777777" w:rsidR="005A3418" w:rsidRPr="00D36673" w:rsidRDefault="005A3418" w:rsidP="0019459C">
      <w:pPr>
        <w:pStyle w:val="Footnote"/>
        <w:numPr>
          <w:ilvl w:val="0"/>
          <w:numId w:val="9"/>
        </w:numPr>
      </w:pPr>
      <w:r w:rsidRPr="00A24E18">
        <w:rPr>
          <w:rStyle w:val="Emphasis"/>
        </w:rPr>
        <w:t>Summary Offences Act 1966</w:t>
      </w:r>
      <w:r w:rsidRPr="00D36673">
        <w:t xml:space="preserve"> (Vic) s 9.</w:t>
      </w:r>
    </w:p>
    <w:p w14:paraId="054508F3" w14:textId="77777777" w:rsidR="005A3418" w:rsidRPr="00D36673" w:rsidRDefault="005A3418" w:rsidP="00711AFB">
      <w:pPr>
        <w:pStyle w:val="Caption"/>
      </w:pPr>
      <w:r w:rsidRPr="00C9259E">
        <w:lastRenderedPageBreak/>
        <w:t xml:space="preserve">Table 5: </w:t>
      </w:r>
      <w:r w:rsidRPr="00D36673">
        <w:t>Percentage of all threat cases in the Magistrates’ Court in which other offence types were co-sentenced, by 10 most common non-threat offence types and family violence indicator, 2015 to 2019</w:t>
      </w:r>
    </w:p>
    <w:tbl>
      <w:tblPr>
        <w:tblStyle w:val="Table"/>
        <w:tblW w:w="5000" w:type="pct"/>
        <w:tblLook w:val="0020" w:firstRow="1" w:lastRow="0" w:firstColumn="0" w:lastColumn="0" w:noHBand="0" w:noVBand="0"/>
      </w:tblPr>
      <w:tblGrid>
        <w:gridCol w:w="4208"/>
        <w:gridCol w:w="2404"/>
        <w:gridCol w:w="2404"/>
      </w:tblGrid>
      <w:tr w:rsidR="005A3418" w:rsidRPr="00D36673" w14:paraId="76A6C8EC" w14:textId="77777777" w:rsidTr="00E6572F">
        <w:trPr>
          <w:trHeight w:val="60"/>
          <w:tblHeader/>
        </w:trPr>
        <w:tc>
          <w:tcPr>
            <w:tcW w:w="2334" w:type="pct"/>
          </w:tcPr>
          <w:p w14:paraId="447514BD" w14:textId="77777777" w:rsidR="005A3418" w:rsidRPr="00D36673" w:rsidRDefault="005A3418" w:rsidP="000C5167">
            <w:pPr>
              <w:pStyle w:val="TableHeading"/>
            </w:pPr>
            <w:r w:rsidRPr="00D36673">
              <w:t>Co-sentenced offence</w:t>
            </w:r>
          </w:p>
        </w:tc>
        <w:tc>
          <w:tcPr>
            <w:tcW w:w="1333" w:type="pct"/>
          </w:tcPr>
          <w:p w14:paraId="5AA974EB" w14:textId="77777777" w:rsidR="005A3418" w:rsidRPr="00D36673" w:rsidRDefault="005A3418" w:rsidP="000C5167">
            <w:pPr>
              <w:pStyle w:val="TableHeading"/>
            </w:pPr>
            <w:r w:rsidRPr="00D36673">
              <w:t>Family violence cases</w:t>
            </w:r>
          </w:p>
        </w:tc>
        <w:tc>
          <w:tcPr>
            <w:tcW w:w="1333" w:type="pct"/>
          </w:tcPr>
          <w:p w14:paraId="31F7488B" w14:textId="77777777" w:rsidR="005A3418" w:rsidRPr="00D36673" w:rsidRDefault="005A3418" w:rsidP="000C5167">
            <w:pPr>
              <w:pStyle w:val="TableHeading"/>
            </w:pPr>
            <w:r w:rsidRPr="00D36673">
              <w:t>Non-family violence cases</w:t>
            </w:r>
          </w:p>
        </w:tc>
      </w:tr>
      <w:tr w:rsidR="005A3418" w:rsidRPr="00D36673" w14:paraId="7058979E" w14:textId="77777777" w:rsidTr="00E6572F">
        <w:trPr>
          <w:trHeight w:val="60"/>
        </w:trPr>
        <w:tc>
          <w:tcPr>
            <w:tcW w:w="2334" w:type="pct"/>
          </w:tcPr>
          <w:p w14:paraId="7776EA0F" w14:textId="77777777" w:rsidR="005A3418" w:rsidRPr="00D36673" w:rsidRDefault="005A3418" w:rsidP="00AC33C0">
            <w:pPr>
              <w:pStyle w:val="TableBody"/>
            </w:pPr>
            <w:r w:rsidRPr="00D36673">
              <w:t>Breach of family violence order</w:t>
            </w:r>
            <w:r w:rsidRPr="002F6D30">
              <w:rPr>
                <w:rStyle w:val="Superscript"/>
              </w:rPr>
              <w:t>(a)</w:t>
            </w:r>
          </w:p>
        </w:tc>
        <w:tc>
          <w:tcPr>
            <w:tcW w:w="1333" w:type="pct"/>
          </w:tcPr>
          <w:p w14:paraId="27FE4A0C" w14:textId="77777777" w:rsidR="005A3418" w:rsidRPr="00D36673" w:rsidRDefault="005A3418" w:rsidP="0024118B">
            <w:pPr>
              <w:pStyle w:val="TableBody"/>
            </w:pPr>
            <w:r w:rsidRPr="00D36673">
              <w:t>47%</w:t>
            </w:r>
          </w:p>
        </w:tc>
        <w:tc>
          <w:tcPr>
            <w:tcW w:w="1333" w:type="pct"/>
          </w:tcPr>
          <w:p w14:paraId="616B66EE" w14:textId="77777777" w:rsidR="005A3418" w:rsidRPr="00D36673" w:rsidRDefault="005A3418" w:rsidP="0024118B">
            <w:pPr>
              <w:pStyle w:val="TableBody"/>
            </w:pPr>
            <w:r w:rsidRPr="00D36673">
              <w:t>5%</w:t>
            </w:r>
          </w:p>
        </w:tc>
      </w:tr>
      <w:tr w:rsidR="005A3418" w:rsidRPr="00D36673" w14:paraId="6882DFA6" w14:textId="77777777" w:rsidTr="00E6572F">
        <w:trPr>
          <w:trHeight w:val="60"/>
        </w:trPr>
        <w:tc>
          <w:tcPr>
            <w:tcW w:w="2334" w:type="pct"/>
          </w:tcPr>
          <w:p w14:paraId="11BD7C77" w14:textId="77777777" w:rsidR="005A3418" w:rsidRPr="00D36673" w:rsidRDefault="005A3418" w:rsidP="00AC33C0">
            <w:pPr>
              <w:pStyle w:val="TableBody"/>
            </w:pPr>
            <w:r w:rsidRPr="00D36673">
              <w:t>Unlawful assault</w:t>
            </w:r>
            <w:r w:rsidRPr="002F6D30">
              <w:rPr>
                <w:rStyle w:val="Superscript"/>
              </w:rPr>
              <w:t>(b)</w:t>
            </w:r>
          </w:p>
        </w:tc>
        <w:tc>
          <w:tcPr>
            <w:tcW w:w="1333" w:type="pct"/>
          </w:tcPr>
          <w:p w14:paraId="2D5CA2A5" w14:textId="77777777" w:rsidR="005A3418" w:rsidRPr="00D36673" w:rsidRDefault="005A3418" w:rsidP="0024118B">
            <w:pPr>
              <w:pStyle w:val="TableBody"/>
            </w:pPr>
            <w:r w:rsidRPr="00D36673">
              <w:t>44%</w:t>
            </w:r>
          </w:p>
        </w:tc>
        <w:tc>
          <w:tcPr>
            <w:tcW w:w="1333" w:type="pct"/>
          </w:tcPr>
          <w:p w14:paraId="55D85D5F" w14:textId="77777777" w:rsidR="005A3418" w:rsidRPr="00D36673" w:rsidRDefault="005A3418" w:rsidP="0024118B">
            <w:pPr>
              <w:pStyle w:val="TableBody"/>
            </w:pPr>
            <w:r w:rsidRPr="00D36673">
              <w:t>31%</w:t>
            </w:r>
          </w:p>
        </w:tc>
      </w:tr>
      <w:tr w:rsidR="005A3418" w:rsidRPr="00D36673" w14:paraId="3DD01A86" w14:textId="77777777" w:rsidTr="00E6572F">
        <w:trPr>
          <w:trHeight w:val="60"/>
        </w:trPr>
        <w:tc>
          <w:tcPr>
            <w:tcW w:w="2334" w:type="pct"/>
          </w:tcPr>
          <w:p w14:paraId="7FCAD0D9" w14:textId="77777777" w:rsidR="005A3418" w:rsidRPr="00D36673" w:rsidRDefault="005A3418" w:rsidP="00AC33C0">
            <w:pPr>
              <w:pStyle w:val="TableBody"/>
            </w:pPr>
            <w:r w:rsidRPr="00D36673">
              <w:t>Bail-related offences</w:t>
            </w:r>
            <w:r w:rsidRPr="002F6D30">
              <w:rPr>
                <w:rStyle w:val="Superscript"/>
              </w:rPr>
              <w:t>(c)</w:t>
            </w:r>
          </w:p>
        </w:tc>
        <w:tc>
          <w:tcPr>
            <w:tcW w:w="1333" w:type="pct"/>
          </w:tcPr>
          <w:p w14:paraId="22BB041A" w14:textId="77777777" w:rsidR="005A3418" w:rsidRPr="00D36673" w:rsidRDefault="005A3418" w:rsidP="0024118B">
            <w:pPr>
              <w:pStyle w:val="TableBody"/>
            </w:pPr>
            <w:r w:rsidRPr="00D36673">
              <w:t>38%</w:t>
            </w:r>
          </w:p>
        </w:tc>
        <w:tc>
          <w:tcPr>
            <w:tcW w:w="1333" w:type="pct"/>
          </w:tcPr>
          <w:p w14:paraId="7B99293E" w14:textId="77777777" w:rsidR="005A3418" w:rsidRPr="00D36673" w:rsidRDefault="005A3418" w:rsidP="0024118B">
            <w:pPr>
              <w:pStyle w:val="TableBody"/>
            </w:pPr>
            <w:r w:rsidRPr="00D36673">
              <w:t>32%</w:t>
            </w:r>
          </w:p>
        </w:tc>
      </w:tr>
      <w:tr w:rsidR="005A3418" w:rsidRPr="00D36673" w14:paraId="4AF6C5DD" w14:textId="77777777" w:rsidTr="00E6572F">
        <w:trPr>
          <w:trHeight w:val="60"/>
        </w:trPr>
        <w:tc>
          <w:tcPr>
            <w:tcW w:w="2334" w:type="pct"/>
          </w:tcPr>
          <w:p w14:paraId="739648D7" w14:textId="77777777" w:rsidR="005A3418" w:rsidRPr="00D36673" w:rsidRDefault="005A3418" w:rsidP="00AC33C0">
            <w:pPr>
              <w:pStyle w:val="TableBody"/>
            </w:pPr>
            <w:r w:rsidRPr="00D36673">
              <w:t>Criminal damage</w:t>
            </w:r>
            <w:r w:rsidRPr="002F6D30">
              <w:rPr>
                <w:rStyle w:val="Superscript"/>
              </w:rPr>
              <w:t>(d)</w:t>
            </w:r>
          </w:p>
        </w:tc>
        <w:tc>
          <w:tcPr>
            <w:tcW w:w="1333" w:type="pct"/>
          </w:tcPr>
          <w:p w14:paraId="677548DA" w14:textId="77777777" w:rsidR="005A3418" w:rsidRPr="00D36673" w:rsidRDefault="005A3418" w:rsidP="0024118B">
            <w:pPr>
              <w:pStyle w:val="TableBody"/>
            </w:pPr>
            <w:r w:rsidRPr="00D36673">
              <w:t>32%</w:t>
            </w:r>
          </w:p>
        </w:tc>
        <w:tc>
          <w:tcPr>
            <w:tcW w:w="1333" w:type="pct"/>
          </w:tcPr>
          <w:p w14:paraId="1978D101" w14:textId="77777777" w:rsidR="005A3418" w:rsidRPr="00D36673" w:rsidRDefault="005A3418" w:rsidP="0024118B">
            <w:pPr>
              <w:pStyle w:val="TableBody"/>
            </w:pPr>
            <w:r w:rsidRPr="00D36673">
              <w:t>24%</w:t>
            </w:r>
          </w:p>
        </w:tc>
      </w:tr>
      <w:tr w:rsidR="005A3418" w:rsidRPr="00D36673" w14:paraId="3602356E" w14:textId="77777777" w:rsidTr="00E6572F">
        <w:trPr>
          <w:trHeight w:val="60"/>
        </w:trPr>
        <w:tc>
          <w:tcPr>
            <w:tcW w:w="2334" w:type="pct"/>
          </w:tcPr>
          <w:p w14:paraId="78119975" w14:textId="77777777" w:rsidR="005A3418" w:rsidRPr="00D36673" w:rsidRDefault="005A3418" w:rsidP="00AC33C0">
            <w:pPr>
              <w:pStyle w:val="TableBody"/>
            </w:pPr>
            <w:r w:rsidRPr="00D36673">
              <w:t>Second threat</w:t>
            </w:r>
            <w:r w:rsidRPr="002F6D30">
              <w:rPr>
                <w:rStyle w:val="Superscript"/>
              </w:rPr>
              <w:t>(e)</w:t>
            </w:r>
          </w:p>
        </w:tc>
        <w:tc>
          <w:tcPr>
            <w:tcW w:w="1333" w:type="pct"/>
          </w:tcPr>
          <w:p w14:paraId="5639061A" w14:textId="77777777" w:rsidR="005A3418" w:rsidRPr="00D36673" w:rsidRDefault="005A3418" w:rsidP="0024118B">
            <w:pPr>
              <w:pStyle w:val="TableBody"/>
            </w:pPr>
            <w:r w:rsidRPr="00D36673">
              <w:t>25%</w:t>
            </w:r>
          </w:p>
        </w:tc>
        <w:tc>
          <w:tcPr>
            <w:tcW w:w="1333" w:type="pct"/>
          </w:tcPr>
          <w:p w14:paraId="64AC0329" w14:textId="77777777" w:rsidR="005A3418" w:rsidRPr="00D36673" w:rsidRDefault="005A3418" w:rsidP="0024118B">
            <w:pPr>
              <w:pStyle w:val="TableBody"/>
            </w:pPr>
            <w:r w:rsidRPr="00D36673">
              <w:t>21%</w:t>
            </w:r>
          </w:p>
        </w:tc>
      </w:tr>
      <w:tr w:rsidR="005A3418" w:rsidRPr="00D36673" w14:paraId="380A8E45" w14:textId="77777777" w:rsidTr="00E6572F">
        <w:trPr>
          <w:trHeight w:val="60"/>
        </w:trPr>
        <w:tc>
          <w:tcPr>
            <w:tcW w:w="2334" w:type="pct"/>
          </w:tcPr>
          <w:p w14:paraId="0DC88844" w14:textId="77777777" w:rsidR="005A3418" w:rsidRPr="00D36673" w:rsidRDefault="005A3418" w:rsidP="00AC33C0">
            <w:pPr>
              <w:pStyle w:val="TableBody"/>
            </w:pPr>
            <w:r w:rsidRPr="00D36673">
              <w:t>Causing injury intentionally or recklessly</w:t>
            </w:r>
            <w:r w:rsidRPr="002F6D30">
              <w:rPr>
                <w:rStyle w:val="Superscript"/>
              </w:rPr>
              <w:t>(f)</w:t>
            </w:r>
          </w:p>
        </w:tc>
        <w:tc>
          <w:tcPr>
            <w:tcW w:w="1333" w:type="pct"/>
          </w:tcPr>
          <w:p w14:paraId="6120613B" w14:textId="77777777" w:rsidR="005A3418" w:rsidRPr="00D36673" w:rsidRDefault="005A3418" w:rsidP="0024118B">
            <w:pPr>
              <w:pStyle w:val="TableBody"/>
            </w:pPr>
            <w:r w:rsidRPr="00D36673">
              <w:t>17%</w:t>
            </w:r>
          </w:p>
        </w:tc>
        <w:tc>
          <w:tcPr>
            <w:tcW w:w="1333" w:type="pct"/>
          </w:tcPr>
          <w:p w14:paraId="323F0E0B" w14:textId="77777777" w:rsidR="005A3418" w:rsidRPr="00D36673" w:rsidRDefault="005A3418" w:rsidP="0024118B">
            <w:pPr>
              <w:pStyle w:val="TableBody"/>
            </w:pPr>
            <w:r w:rsidRPr="00D36673">
              <w:t>12%</w:t>
            </w:r>
          </w:p>
        </w:tc>
      </w:tr>
      <w:tr w:rsidR="005A3418" w:rsidRPr="00D36673" w14:paraId="3B8CC424" w14:textId="77777777" w:rsidTr="00E6572F">
        <w:trPr>
          <w:trHeight w:val="60"/>
        </w:trPr>
        <w:tc>
          <w:tcPr>
            <w:tcW w:w="2334" w:type="pct"/>
          </w:tcPr>
          <w:p w14:paraId="0800B17B" w14:textId="77777777" w:rsidR="005A3418" w:rsidRPr="00D36673" w:rsidRDefault="005A3418" w:rsidP="00AC33C0">
            <w:pPr>
              <w:pStyle w:val="TableBody"/>
            </w:pPr>
            <w:r w:rsidRPr="00D36673">
              <w:t>Theft</w:t>
            </w:r>
            <w:r w:rsidRPr="002F6D30">
              <w:rPr>
                <w:rStyle w:val="Superscript"/>
              </w:rPr>
              <w:t>(g)</w:t>
            </w:r>
          </w:p>
        </w:tc>
        <w:tc>
          <w:tcPr>
            <w:tcW w:w="1333" w:type="pct"/>
          </w:tcPr>
          <w:p w14:paraId="1DA568F1" w14:textId="77777777" w:rsidR="005A3418" w:rsidRPr="00D36673" w:rsidRDefault="005A3418" w:rsidP="0024118B">
            <w:pPr>
              <w:pStyle w:val="TableBody"/>
            </w:pPr>
            <w:r w:rsidRPr="00D36673">
              <w:t>15%</w:t>
            </w:r>
          </w:p>
        </w:tc>
        <w:tc>
          <w:tcPr>
            <w:tcW w:w="1333" w:type="pct"/>
          </w:tcPr>
          <w:p w14:paraId="6DB7B44C" w14:textId="77777777" w:rsidR="005A3418" w:rsidRPr="00D36673" w:rsidRDefault="005A3418" w:rsidP="0024118B">
            <w:pPr>
              <w:pStyle w:val="TableBody"/>
            </w:pPr>
            <w:r w:rsidRPr="00D36673">
              <w:t>21%</w:t>
            </w:r>
          </w:p>
        </w:tc>
      </w:tr>
      <w:tr w:rsidR="005A3418" w:rsidRPr="00D36673" w14:paraId="067786D7" w14:textId="77777777" w:rsidTr="00E6572F">
        <w:trPr>
          <w:trHeight w:val="60"/>
        </w:trPr>
        <w:tc>
          <w:tcPr>
            <w:tcW w:w="2334" w:type="pct"/>
          </w:tcPr>
          <w:p w14:paraId="224D6EB9" w14:textId="77777777" w:rsidR="005A3418" w:rsidRPr="00D36673" w:rsidRDefault="005A3418" w:rsidP="00AC33C0">
            <w:pPr>
              <w:pStyle w:val="TableBody"/>
            </w:pPr>
            <w:r w:rsidRPr="00D36673">
              <w:t>Possess a drug of dependence</w:t>
            </w:r>
            <w:r w:rsidRPr="002F6D30">
              <w:rPr>
                <w:rStyle w:val="Superscript"/>
              </w:rPr>
              <w:t>(h)</w:t>
            </w:r>
          </w:p>
        </w:tc>
        <w:tc>
          <w:tcPr>
            <w:tcW w:w="1333" w:type="pct"/>
          </w:tcPr>
          <w:p w14:paraId="0F9D7A4A" w14:textId="77777777" w:rsidR="005A3418" w:rsidRPr="00D36673" w:rsidRDefault="005A3418" w:rsidP="0024118B">
            <w:pPr>
              <w:pStyle w:val="TableBody"/>
            </w:pPr>
            <w:r w:rsidRPr="00D36673">
              <w:t>12%</w:t>
            </w:r>
          </w:p>
        </w:tc>
        <w:tc>
          <w:tcPr>
            <w:tcW w:w="1333" w:type="pct"/>
          </w:tcPr>
          <w:p w14:paraId="27691C83" w14:textId="77777777" w:rsidR="005A3418" w:rsidRPr="00D36673" w:rsidRDefault="005A3418" w:rsidP="0024118B">
            <w:pPr>
              <w:pStyle w:val="TableBody"/>
            </w:pPr>
            <w:r w:rsidRPr="00D36673">
              <w:t>12%</w:t>
            </w:r>
          </w:p>
        </w:tc>
      </w:tr>
      <w:tr w:rsidR="005A3418" w:rsidRPr="00D36673" w14:paraId="3DD34C11" w14:textId="77777777" w:rsidTr="00E6572F">
        <w:trPr>
          <w:trHeight w:val="60"/>
        </w:trPr>
        <w:tc>
          <w:tcPr>
            <w:tcW w:w="2334" w:type="pct"/>
          </w:tcPr>
          <w:p w14:paraId="327C90E4" w14:textId="77777777" w:rsidR="005A3418" w:rsidRPr="00D36673" w:rsidRDefault="005A3418" w:rsidP="00AC33C0">
            <w:pPr>
              <w:pStyle w:val="TableBody"/>
            </w:pPr>
            <w:r w:rsidRPr="00D36673">
              <w:t>Using a carriage service to menace, harass or cause offence</w:t>
            </w:r>
            <w:r w:rsidRPr="002F6D30">
              <w:rPr>
                <w:rStyle w:val="Superscript"/>
              </w:rPr>
              <w:t>(i)</w:t>
            </w:r>
          </w:p>
        </w:tc>
        <w:tc>
          <w:tcPr>
            <w:tcW w:w="1333" w:type="pct"/>
          </w:tcPr>
          <w:p w14:paraId="6FCF49CD" w14:textId="77777777" w:rsidR="005A3418" w:rsidRPr="00D36673" w:rsidRDefault="005A3418" w:rsidP="0024118B">
            <w:pPr>
              <w:pStyle w:val="TableBody"/>
            </w:pPr>
            <w:r w:rsidRPr="00D36673">
              <w:t>10%</w:t>
            </w:r>
          </w:p>
        </w:tc>
        <w:tc>
          <w:tcPr>
            <w:tcW w:w="1333" w:type="pct"/>
          </w:tcPr>
          <w:p w14:paraId="7E4F288B" w14:textId="77777777" w:rsidR="005A3418" w:rsidRPr="00D36673" w:rsidRDefault="005A3418" w:rsidP="0024118B">
            <w:pPr>
              <w:pStyle w:val="TableBody"/>
            </w:pPr>
            <w:r w:rsidRPr="00D36673">
              <w:t>8%</w:t>
            </w:r>
          </w:p>
        </w:tc>
      </w:tr>
      <w:tr w:rsidR="005A3418" w:rsidRPr="00D36673" w14:paraId="1FE08E33" w14:textId="77777777" w:rsidTr="00E6572F">
        <w:trPr>
          <w:trHeight w:val="60"/>
        </w:trPr>
        <w:tc>
          <w:tcPr>
            <w:tcW w:w="2334" w:type="pct"/>
          </w:tcPr>
          <w:p w14:paraId="6E19ED7B" w14:textId="77777777" w:rsidR="005A3418" w:rsidRPr="00D36673" w:rsidRDefault="005A3418" w:rsidP="00AC33C0">
            <w:pPr>
              <w:pStyle w:val="TableBody"/>
            </w:pPr>
            <w:r w:rsidRPr="00D36673">
              <w:t>Aggravated assault</w:t>
            </w:r>
            <w:r w:rsidRPr="002F6D30">
              <w:rPr>
                <w:rStyle w:val="Superscript"/>
              </w:rPr>
              <w:t>(j)</w:t>
            </w:r>
          </w:p>
        </w:tc>
        <w:tc>
          <w:tcPr>
            <w:tcW w:w="1333" w:type="pct"/>
          </w:tcPr>
          <w:p w14:paraId="73B8888F" w14:textId="77777777" w:rsidR="005A3418" w:rsidRPr="00D36673" w:rsidRDefault="005A3418" w:rsidP="0024118B">
            <w:pPr>
              <w:pStyle w:val="TableBody"/>
            </w:pPr>
            <w:r w:rsidRPr="00D36673">
              <w:t>7%</w:t>
            </w:r>
          </w:p>
        </w:tc>
        <w:tc>
          <w:tcPr>
            <w:tcW w:w="1333" w:type="pct"/>
          </w:tcPr>
          <w:p w14:paraId="095BBFFA" w14:textId="77777777" w:rsidR="005A3418" w:rsidRPr="00D36673" w:rsidRDefault="005A3418" w:rsidP="0024118B">
            <w:pPr>
              <w:pStyle w:val="TableBody"/>
            </w:pPr>
            <w:r w:rsidRPr="00D36673">
              <w:t>9%</w:t>
            </w:r>
          </w:p>
        </w:tc>
      </w:tr>
    </w:tbl>
    <w:p w14:paraId="3875903C" w14:textId="77777777" w:rsidR="005A3418" w:rsidRPr="00D36673" w:rsidRDefault="005A3418" w:rsidP="00DF2BA7">
      <w:pPr>
        <w:pStyle w:val="Footnote"/>
        <w:numPr>
          <w:ilvl w:val="0"/>
          <w:numId w:val="10"/>
        </w:numPr>
      </w:pPr>
      <w:r w:rsidRPr="00A24E18">
        <w:rPr>
          <w:rStyle w:val="Emphasis"/>
        </w:rPr>
        <w:t>Family Violence Protection Act 2008</w:t>
      </w:r>
      <w:r w:rsidRPr="00D36673">
        <w:t xml:space="preserve"> (Vic) ss 37, 37A, 123, 123A, 125A, 129(5), 130(4). Most of these cases involved charges of breach family violence intervention order or family violence safety notice; persistent breaches were charged in 34% of these cases, and breaches of family violence intervention orders with intent to cause harm or fear were charged in 26% of cases.</w:t>
      </w:r>
    </w:p>
    <w:p w14:paraId="112B2085" w14:textId="77777777" w:rsidR="005A3418" w:rsidRPr="00D36673" w:rsidRDefault="005A3418" w:rsidP="00DF2BA7">
      <w:pPr>
        <w:pStyle w:val="Footnote"/>
        <w:numPr>
          <w:ilvl w:val="0"/>
          <w:numId w:val="10"/>
        </w:numPr>
      </w:pPr>
      <w:r w:rsidRPr="00A24E18">
        <w:rPr>
          <w:rStyle w:val="Emphasis"/>
        </w:rPr>
        <w:t>Summary Offences Act 1966</w:t>
      </w:r>
      <w:r w:rsidRPr="00D36673">
        <w:t xml:space="preserve"> (Vic) s 23.</w:t>
      </w:r>
    </w:p>
    <w:p w14:paraId="3E8B562C" w14:textId="77777777" w:rsidR="005A3418" w:rsidRPr="00D36673" w:rsidRDefault="005A3418" w:rsidP="00DF2BA7">
      <w:pPr>
        <w:pStyle w:val="Footnote"/>
        <w:numPr>
          <w:ilvl w:val="0"/>
          <w:numId w:val="10"/>
        </w:numPr>
      </w:pPr>
      <w:r w:rsidRPr="00A24E18">
        <w:rPr>
          <w:rStyle w:val="Emphasis"/>
        </w:rPr>
        <w:t>Bail Act 1977</w:t>
      </w:r>
      <w:r w:rsidRPr="00D36673">
        <w:t xml:space="preserve"> (Vic) ss 30, 30A, 30B. Of these, 62% had a charge of committing an indictable offence whilst on bail, 49% had a charge of fail to answer bail, and 31% had a charge of contravene a conduct condition of bail.</w:t>
      </w:r>
    </w:p>
    <w:p w14:paraId="0275B73F" w14:textId="77777777" w:rsidR="005A3418" w:rsidRPr="00D36673" w:rsidRDefault="005A3418" w:rsidP="00DF2BA7">
      <w:pPr>
        <w:pStyle w:val="Footnote"/>
        <w:numPr>
          <w:ilvl w:val="0"/>
          <w:numId w:val="10"/>
        </w:numPr>
      </w:pPr>
      <w:r w:rsidRPr="00A24E18">
        <w:rPr>
          <w:rStyle w:val="Emphasis"/>
        </w:rPr>
        <w:t>Crimes Act 1958</w:t>
      </w:r>
      <w:r w:rsidRPr="00D36673">
        <w:t xml:space="preserve"> (Vic) s 197(1).</w:t>
      </w:r>
    </w:p>
    <w:p w14:paraId="79039685" w14:textId="77777777" w:rsidR="005A3418" w:rsidRPr="00D36673" w:rsidRDefault="005A3418" w:rsidP="00DF2BA7">
      <w:pPr>
        <w:pStyle w:val="Footnote"/>
        <w:numPr>
          <w:ilvl w:val="0"/>
          <w:numId w:val="10"/>
        </w:numPr>
      </w:pPr>
      <w:r w:rsidRPr="00D36673">
        <w:t>Any case in which more than two index threat offences are sentenced is considered to involve a second threat. The second threat need not be of a different type from the first threat.</w:t>
      </w:r>
    </w:p>
    <w:p w14:paraId="19B253B9" w14:textId="77777777" w:rsidR="005A3418" w:rsidRPr="00D36673" w:rsidRDefault="005A3418" w:rsidP="00DF2BA7">
      <w:pPr>
        <w:pStyle w:val="Footnote"/>
        <w:numPr>
          <w:ilvl w:val="0"/>
          <w:numId w:val="10"/>
        </w:numPr>
      </w:pPr>
      <w:r w:rsidRPr="00A24E18">
        <w:rPr>
          <w:rStyle w:val="Emphasis"/>
        </w:rPr>
        <w:t>Crimes Act 1958</w:t>
      </w:r>
      <w:r w:rsidRPr="00D36673">
        <w:t xml:space="preserve"> (Vic) s 18. Of these, 79% had a charge of causing injury recklessly and 28% had a charge of causing injury intentionally.</w:t>
      </w:r>
    </w:p>
    <w:p w14:paraId="69429DDF" w14:textId="77777777" w:rsidR="005A3418" w:rsidRPr="00D36673" w:rsidRDefault="005A3418" w:rsidP="00DF2BA7">
      <w:pPr>
        <w:pStyle w:val="Footnote"/>
        <w:numPr>
          <w:ilvl w:val="0"/>
          <w:numId w:val="10"/>
        </w:numPr>
      </w:pPr>
      <w:r w:rsidRPr="00A24E18">
        <w:rPr>
          <w:rStyle w:val="Emphasis"/>
        </w:rPr>
        <w:t xml:space="preserve">Crimes Act 1958 </w:t>
      </w:r>
      <w:r w:rsidRPr="00D36673">
        <w:t>(Vic) s 74.</w:t>
      </w:r>
    </w:p>
    <w:p w14:paraId="3BAF60A9" w14:textId="77777777" w:rsidR="005A3418" w:rsidRPr="00D36673" w:rsidRDefault="005A3418" w:rsidP="00DF2BA7">
      <w:pPr>
        <w:pStyle w:val="Footnote"/>
        <w:numPr>
          <w:ilvl w:val="0"/>
          <w:numId w:val="10"/>
        </w:numPr>
      </w:pPr>
      <w:r w:rsidRPr="00A24E18">
        <w:rPr>
          <w:rStyle w:val="Emphasis"/>
        </w:rPr>
        <w:t>Drugs, Poisons and Controlled Substances Act 1981</w:t>
      </w:r>
      <w:r w:rsidRPr="00D36673">
        <w:t xml:space="preserve"> (Vic) s 73.</w:t>
      </w:r>
    </w:p>
    <w:p w14:paraId="521BF568" w14:textId="77777777" w:rsidR="005A3418" w:rsidRPr="00D36673" w:rsidRDefault="005A3418" w:rsidP="00DF2BA7">
      <w:pPr>
        <w:pStyle w:val="Footnote"/>
        <w:numPr>
          <w:ilvl w:val="0"/>
          <w:numId w:val="10"/>
        </w:numPr>
      </w:pPr>
      <w:r w:rsidRPr="00A24E18">
        <w:rPr>
          <w:rStyle w:val="Emphasis"/>
        </w:rPr>
        <w:t>Criminal Code Act 1995</w:t>
      </w:r>
      <w:r w:rsidRPr="00D36673">
        <w:t xml:space="preserve"> (Cth) s 474.17.</w:t>
      </w:r>
    </w:p>
    <w:p w14:paraId="15A27199" w14:textId="77777777" w:rsidR="005A3418" w:rsidRPr="00D36673" w:rsidRDefault="005A3418" w:rsidP="00DF2BA7">
      <w:pPr>
        <w:pStyle w:val="Footnote"/>
        <w:numPr>
          <w:ilvl w:val="0"/>
          <w:numId w:val="10"/>
        </w:numPr>
      </w:pPr>
      <w:r w:rsidRPr="00A24E18">
        <w:rPr>
          <w:rStyle w:val="Emphasis"/>
        </w:rPr>
        <w:t>Summary Offences Act 1966</w:t>
      </w:r>
      <w:r w:rsidRPr="00D36673">
        <w:t xml:space="preserve"> (Vic) s 24.</w:t>
      </w:r>
    </w:p>
    <w:p w14:paraId="13ECB3C1" w14:textId="77777777" w:rsidR="005A3418" w:rsidRPr="00D36673" w:rsidRDefault="005A3418" w:rsidP="00FE74B5">
      <w:pPr>
        <w:pStyle w:val="Numbered"/>
      </w:pPr>
      <w:r w:rsidRPr="00D36673">
        <w:t>It is also notable that stalking does not appear as one of the most common co-sentenced offences alongside threat offences, in either family violence cases (5.5%) or non-family violence cases (3.1%).</w:t>
      </w:r>
      <w:r w:rsidRPr="00D36673">
        <w:rPr>
          <w:rStyle w:val="Superscript"/>
        </w:rPr>
        <w:footnoteReference w:id="175"/>
      </w:r>
      <w:r w:rsidRPr="00D36673">
        <w:t xml:space="preserve"> It might have been expected that stalking would be often co-sentenced with threats: research suggests that stalking is strongly associated with threats and that threats made by stalkers are of particular concern.</w:t>
      </w:r>
      <w:r w:rsidRPr="00D36673">
        <w:rPr>
          <w:rStyle w:val="Superscript"/>
        </w:rPr>
        <w:footnoteReference w:id="176"/>
      </w:r>
      <w:r w:rsidRPr="00D36673">
        <w:t xml:space="preserve"> The low rate of co-sentenced stalking offences may be because stalking is a course of conduct </w:t>
      </w:r>
      <w:r w:rsidRPr="00D36673">
        <w:lastRenderedPageBreak/>
        <w:t>offence, and one that legislation expressly recognises might include threats to the victim. This means that the stalking charge already encompasses the threat.</w:t>
      </w:r>
      <w:r w:rsidRPr="00D36673">
        <w:rPr>
          <w:rStyle w:val="Superscript"/>
        </w:rPr>
        <w:footnoteReference w:id="177"/>
      </w:r>
      <w:r w:rsidRPr="00D36673">
        <w:t xml:space="preserve"> However, one stakeholder commented that the top four offences in Table 5, along with using a carriage service to menace, harass or cause offence, were typical of both stalking and family violence where they were committed against the same victim. This could suggest that some offenders whose behaviour may have amounted to stalking may have been charged with these discrete offences instead.</w:t>
      </w:r>
      <w:r w:rsidRPr="00D36673">
        <w:rPr>
          <w:rStyle w:val="Superscript"/>
        </w:rPr>
        <w:footnoteReference w:id="178"/>
      </w:r>
      <w:r w:rsidRPr="00D36673">
        <w:t xml:space="preserve"> </w:t>
      </w:r>
    </w:p>
    <w:p w14:paraId="7AB8BD4A" w14:textId="77777777" w:rsidR="005A3418" w:rsidRPr="00D36673" w:rsidRDefault="005A3418" w:rsidP="00F67BC8">
      <w:pPr>
        <w:pStyle w:val="Heading3"/>
      </w:pPr>
      <w:r w:rsidRPr="00D36673">
        <w:t>Co-sentenced offences by threat offence type: Magistrates’ Court</w:t>
      </w:r>
    </w:p>
    <w:p w14:paraId="1C42B958" w14:textId="77777777" w:rsidR="005A3418" w:rsidRPr="00D36673" w:rsidRDefault="005A3418" w:rsidP="00FE74B5">
      <w:pPr>
        <w:pStyle w:val="Numbered"/>
      </w:pPr>
      <w:r w:rsidRPr="00D36673">
        <w:t xml:space="preserve">The offence types co-sentenced alongside threat offences also varied by threat offence type (Table 6). The most common offence co-sentenced alongside each type of threat offence was unlawful assault. Perhaps unsurprisingly, however, threats to commit violence (kill or seriously injure) were most strongly associated with actual violence (causing injury and assault) while threats to damage property were most strongly associated with criminal damage (their substantive counterpart). </w:t>
      </w:r>
    </w:p>
    <w:p w14:paraId="46CD2961" w14:textId="77777777" w:rsidR="005A3418" w:rsidRPr="00D36673" w:rsidRDefault="005A3418" w:rsidP="00711AFB">
      <w:pPr>
        <w:pStyle w:val="Caption"/>
      </w:pPr>
      <w:r w:rsidRPr="00C9259E">
        <w:t>Table 6:</w:t>
      </w:r>
      <w:r w:rsidRPr="00D36673">
        <w:t xml:space="preserve"> Percentage of threat cases where other offence types were co-sentenced, by 10 most common offence types, Magistrates’ Court, 2015 to 2019</w:t>
      </w:r>
      <w:r w:rsidRPr="00D36673">
        <w:rPr>
          <w:vertAlign w:val="superscript"/>
        </w:rPr>
        <w:footnoteReference w:id="179"/>
      </w:r>
    </w:p>
    <w:tbl>
      <w:tblPr>
        <w:tblStyle w:val="Table"/>
        <w:tblW w:w="5000" w:type="pct"/>
        <w:tblLook w:val="0020" w:firstRow="1" w:lastRow="0" w:firstColumn="0" w:lastColumn="0" w:noHBand="0" w:noVBand="0"/>
      </w:tblPr>
      <w:tblGrid>
        <w:gridCol w:w="2254"/>
        <w:gridCol w:w="2254"/>
        <w:gridCol w:w="2254"/>
        <w:gridCol w:w="2254"/>
      </w:tblGrid>
      <w:tr w:rsidR="005A3418" w:rsidRPr="00D36673" w14:paraId="00F25F67" w14:textId="77777777" w:rsidTr="00E6572F">
        <w:trPr>
          <w:trHeight w:val="60"/>
          <w:tblHeader/>
        </w:trPr>
        <w:tc>
          <w:tcPr>
            <w:tcW w:w="1250" w:type="pct"/>
          </w:tcPr>
          <w:p w14:paraId="47B941DC" w14:textId="77777777" w:rsidR="005A3418" w:rsidRPr="00D36673" w:rsidRDefault="005A3418" w:rsidP="00D1224E">
            <w:pPr>
              <w:pStyle w:val="TableHeading"/>
            </w:pPr>
            <w:r w:rsidRPr="00D36673">
              <w:t>Co-sentenced offence</w:t>
            </w:r>
          </w:p>
        </w:tc>
        <w:tc>
          <w:tcPr>
            <w:tcW w:w="1250" w:type="pct"/>
          </w:tcPr>
          <w:p w14:paraId="292063AC" w14:textId="5A60E1AA" w:rsidR="005A3418" w:rsidRPr="00D36673" w:rsidRDefault="005A3418" w:rsidP="00D1224E">
            <w:pPr>
              <w:pStyle w:val="TableHeading"/>
            </w:pPr>
            <w:r w:rsidRPr="00D36673">
              <w:t>Threat to kill cases</w:t>
            </w:r>
            <w:r w:rsidR="005258C8">
              <w:t xml:space="preserve"> </w:t>
            </w:r>
            <w:r w:rsidRPr="00D36673">
              <w:t>(6,959 cases)</w:t>
            </w:r>
          </w:p>
        </w:tc>
        <w:tc>
          <w:tcPr>
            <w:tcW w:w="1250" w:type="pct"/>
          </w:tcPr>
          <w:p w14:paraId="5A9C93A7" w14:textId="0341F2C0" w:rsidR="005A3418" w:rsidRPr="00D36673" w:rsidRDefault="005A3418" w:rsidP="00D1224E">
            <w:pPr>
              <w:pStyle w:val="TableHeading"/>
            </w:pPr>
            <w:r w:rsidRPr="00D36673">
              <w:t>Threat to inflict serious injury cases</w:t>
            </w:r>
            <w:r w:rsidR="005258C8">
              <w:t xml:space="preserve"> </w:t>
            </w:r>
            <w:r w:rsidRPr="00D36673">
              <w:t>(3,590 cases)</w:t>
            </w:r>
          </w:p>
        </w:tc>
        <w:tc>
          <w:tcPr>
            <w:tcW w:w="1250" w:type="pct"/>
          </w:tcPr>
          <w:p w14:paraId="43D94329" w14:textId="6CE9A11D" w:rsidR="005A3418" w:rsidRPr="00D36673" w:rsidRDefault="005A3418" w:rsidP="00D1224E">
            <w:pPr>
              <w:pStyle w:val="TableHeading"/>
            </w:pPr>
            <w:r w:rsidRPr="00D36673">
              <w:t>Threat to damage property cases</w:t>
            </w:r>
            <w:r w:rsidR="005258C8">
              <w:t xml:space="preserve"> </w:t>
            </w:r>
            <w:r w:rsidRPr="00D36673">
              <w:t>(1,372 cases)</w:t>
            </w:r>
          </w:p>
        </w:tc>
      </w:tr>
      <w:tr w:rsidR="005A3418" w:rsidRPr="00D36673" w14:paraId="0856CE26" w14:textId="77777777" w:rsidTr="00E6572F">
        <w:trPr>
          <w:trHeight w:val="60"/>
        </w:trPr>
        <w:tc>
          <w:tcPr>
            <w:tcW w:w="1250" w:type="pct"/>
          </w:tcPr>
          <w:p w14:paraId="6D42AE49" w14:textId="77777777" w:rsidR="005A3418" w:rsidRPr="00D36673" w:rsidRDefault="005A3418" w:rsidP="00AC33C0">
            <w:pPr>
              <w:pStyle w:val="TableBody"/>
            </w:pPr>
            <w:r w:rsidRPr="00D36673">
              <w:t>Unlawful assault</w:t>
            </w:r>
            <w:r w:rsidRPr="002F6D30">
              <w:rPr>
                <w:rStyle w:val="Superscript"/>
              </w:rPr>
              <w:t>(a)</w:t>
            </w:r>
          </w:p>
        </w:tc>
        <w:tc>
          <w:tcPr>
            <w:tcW w:w="1250" w:type="pct"/>
          </w:tcPr>
          <w:p w14:paraId="32250562" w14:textId="77777777" w:rsidR="005A3418" w:rsidRPr="00D36673" w:rsidRDefault="005A3418" w:rsidP="0024118B">
            <w:pPr>
              <w:pStyle w:val="TableBody"/>
            </w:pPr>
            <w:r w:rsidRPr="00D36673">
              <w:t>41%</w:t>
            </w:r>
          </w:p>
        </w:tc>
        <w:tc>
          <w:tcPr>
            <w:tcW w:w="1250" w:type="pct"/>
          </w:tcPr>
          <w:p w14:paraId="514C3DF8" w14:textId="77777777" w:rsidR="005A3418" w:rsidRPr="00D36673" w:rsidRDefault="005A3418" w:rsidP="0024118B">
            <w:pPr>
              <w:pStyle w:val="TableBody"/>
            </w:pPr>
            <w:r w:rsidRPr="00D36673">
              <w:t>37%</w:t>
            </w:r>
          </w:p>
        </w:tc>
        <w:tc>
          <w:tcPr>
            <w:tcW w:w="1250" w:type="pct"/>
          </w:tcPr>
          <w:p w14:paraId="74F223DD" w14:textId="77777777" w:rsidR="005A3418" w:rsidRPr="00D36673" w:rsidRDefault="005A3418" w:rsidP="0024118B">
            <w:pPr>
              <w:pStyle w:val="TableBody"/>
            </w:pPr>
            <w:r w:rsidRPr="00D36673">
              <w:t>36%</w:t>
            </w:r>
          </w:p>
        </w:tc>
      </w:tr>
      <w:tr w:rsidR="005A3418" w:rsidRPr="00D36673" w14:paraId="01FB8024" w14:textId="77777777" w:rsidTr="00E6572F">
        <w:trPr>
          <w:trHeight w:val="60"/>
        </w:trPr>
        <w:tc>
          <w:tcPr>
            <w:tcW w:w="1250" w:type="pct"/>
          </w:tcPr>
          <w:p w14:paraId="052F3AD6" w14:textId="77777777" w:rsidR="005A3418" w:rsidRPr="00D36673" w:rsidRDefault="005A3418" w:rsidP="00AC33C0">
            <w:pPr>
              <w:pStyle w:val="TableBody"/>
            </w:pPr>
            <w:r w:rsidRPr="00D36673">
              <w:t>Bail-related offences</w:t>
            </w:r>
            <w:r w:rsidRPr="002F6D30">
              <w:rPr>
                <w:rStyle w:val="Superscript"/>
              </w:rPr>
              <w:t>(b)</w:t>
            </w:r>
          </w:p>
        </w:tc>
        <w:tc>
          <w:tcPr>
            <w:tcW w:w="1250" w:type="pct"/>
          </w:tcPr>
          <w:p w14:paraId="7FF0CB9A" w14:textId="77777777" w:rsidR="005A3418" w:rsidRPr="00D36673" w:rsidRDefault="005A3418" w:rsidP="0024118B">
            <w:pPr>
              <w:pStyle w:val="TableBody"/>
            </w:pPr>
            <w:r w:rsidRPr="00D36673">
              <w:t>34%</w:t>
            </w:r>
          </w:p>
        </w:tc>
        <w:tc>
          <w:tcPr>
            <w:tcW w:w="1250" w:type="pct"/>
          </w:tcPr>
          <w:p w14:paraId="53BFC50F" w14:textId="77777777" w:rsidR="005A3418" w:rsidRPr="00D36673" w:rsidRDefault="005A3418" w:rsidP="0024118B">
            <w:pPr>
              <w:pStyle w:val="TableBody"/>
            </w:pPr>
            <w:r w:rsidRPr="00D36673">
              <w:t>37%</w:t>
            </w:r>
          </w:p>
        </w:tc>
        <w:tc>
          <w:tcPr>
            <w:tcW w:w="1250" w:type="pct"/>
          </w:tcPr>
          <w:p w14:paraId="7EF7C2DC" w14:textId="77777777" w:rsidR="005A3418" w:rsidRPr="00D36673" w:rsidRDefault="005A3418" w:rsidP="0024118B">
            <w:pPr>
              <w:pStyle w:val="TableBody"/>
            </w:pPr>
            <w:r w:rsidRPr="00D36673">
              <w:t>36%</w:t>
            </w:r>
          </w:p>
        </w:tc>
      </w:tr>
      <w:tr w:rsidR="005A3418" w:rsidRPr="00D36673" w14:paraId="3B19A74E" w14:textId="77777777" w:rsidTr="00E6572F">
        <w:trPr>
          <w:trHeight w:val="60"/>
        </w:trPr>
        <w:tc>
          <w:tcPr>
            <w:tcW w:w="1250" w:type="pct"/>
          </w:tcPr>
          <w:p w14:paraId="286F8F44" w14:textId="77777777" w:rsidR="005A3418" w:rsidRPr="00D36673" w:rsidRDefault="005A3418" w:rsidP="00AC33C0">
            <w:pPr>
              <w:pStyle w:val="TableBody"/>
            </w:pPr>
            <w:r w:rsidRPr="00D36673">
              <w:t>Breach of family violence order</w:t>
            </w:r>
            <w:r w:rsidRPr="002F6D30">
              <w:rPr>
                <w:rStyle w:val="Superscript"/>
              </w:rPr>
              <w:t>(c)</w:t>
            </w:r>
          </w:p>
        </w:tc>
        <w:tc>
          <w:tcPr>
            <w:tcW w:w="1250" w:type="pct"/>
          </w:tcPr>
          <w:p w14:paraId="5AD7E14C" w14:textId="77777777" w:rsidR="005A3418" w:rsidRPr="00D36673" w:rsidRDefault="005A3418" w:rsidP="0024118B">
            <w:pPr>
              <w:pStyle w:val="TableBody"/>
            </w:pPr>
            <w:r w:rsidRPr="00D36673">
              <w:t>33%</w:t>
            </w:r>
          </w:p>
        </w:tc>
        <w:tc>
          <w:tcPr>
            <w:tcW w:w="1250" w:type="pct"/>
          </w:tcPr>
          <w:p w14:paraId="26EAF6EE" w14:textId="77777777" w:rsidR="005A3418" w:rsidRPr="00D36673" w:rsidRDefault="005A3418" w:rsidP="0024118B">
            <w:pPr>
              <w:pStyle w:val="TableBody"/>
            </w:pPr>
            <w:r w:rsidRPr="00D36673">
              <w:t>27%</w:t>
            </w:r>
          </w:p>
        </w:tc>
        <w:tc>
          <w:tcPr>
            <w:tcW w:w="1250" w:type="pct"/>
          </w:tcPr>
          <w:p w14:paraId="1F0FC588" w14:textId="77777777" w:rsidR="005A3418" w:rsidRPr="00D36673" w:rsidRDefault="005A3418" w:rsidP="0024118B">
            <w:pPr>
              <w:pStyle w:val="TableBody"/>
            </w:pPr>
            <w:r w:rsidRPr="00D36673">
              <w:t>31%</w:t>
            </w:r>
          </w:p>
        </w:tc>
      </w:tr>
      <w:tr w:rsidR="005A3418" w:rsidRPr="00D36673" w14:paraId="6B1F7674" w14:textId="77777777" w:rsidTr="00E6572F">
        <w:trPr>
          <w:trHeight w:val="60"/>
        </w:trPr>
        <w:tc>
          <w:tcPr>
            <w:tcW w:w="1250" w:type="pct"/>
          </w:tcPr>
          <w:p w14:paraId="62343E50" w14:textId="77777777" w:rsidR="005A3418" w:rsidRPr="00D36673" w:rsidRDefault="005A3418" w:rsidP="00AC33C0">
            <w:pPr>
              <w:pStyle w:val="TableBody"/>
            </w:pPr>
            <w:r w:rsidRPr="00D36673">
              <w:t>Criminal damage</w:t>
            </w:r>
            <w:r w:rsidRPr="002F6D30">
              <w:rPr>
                <w:rStyle w:val="Superscript"/>
              </w:rPr>
              <w:t>(d)</w:t>
            </w:r>
          </w:p>
        </w:tc>
        <w:tc>
          <w:tcPr>
            <w:tcW w:w="1250" w:type="pct"/>
          </w:tcPr>
          <w:p w14:paraId="0947813F" w14:textId="77777777" w:rsidR="005A3418" w:rsidRPr="00D36673" w:rsidRDefault="005A3418" w:rsidP="0024118B">
            <w:pPr>
              <w:pStyle w:val="TableBody"/>
            </w:pPr>
            <w:r w:rsidRPr="00D36673">
              <w:t>29%</w:t>
            </w:r>
          </w:p>
        </w:tc>
        <w:tc>
          <w:tcPr>
            <w:tcW w:w="1250" w:type="pct"/>
          </w:tcPr>
          <w:p w14:paraId="1735FCDF" w14:textId="77777777" w:rsidR="005A3418" w:rsidRPr="00D36673" w:rsidRDefault="005A3418" w:rsidP="0024118B">
            <w:pPr>
              <w:pStyle w:val="TableBody"/>
            </w:pPr>
            <w:r w:rsidRPr="00D36673">
              <w:t>26%</w:t>
            </w:r>
          </w:p>
        </w:tc>
        <w:tc>
          <w:tcPr>
            <w:tcW w:w="1250" w:type="pct"/>
          </w:tcPr>
          <w:p w14:paraId="0D32A638" w14:textId="77777777" w:rsidR="005A3418" w:rsidRPr="00D36673" w:rsidRDefault="005A3418" w:rsidP="0024118B">
            <w:pPr>
              <w:pStyle w:val="TableBody"/>
            </w:pPr>
            <w:r w:rsidRPr="00D36673">
              <w:t>34%</w:t>
            </w:r>
          </w:p>
        </w:tc>
      </w:tr>
      <w:tr w:rsidR="005A3418" w:rsidRPr="00D36673" w14:paraId="679D75A5" w14:textId="77777777" w:rsidTr="00E6572F">
        <w:trPr>
          <w:trHeight w:val="60"/>
        </w:trPr>
        <w:tc>
          <w:tcPr>
            <w:tcW w:w="1250" w:type="pct"/>
          </w:tcPr>
          <w:p w14:paraId="31101E40" w14:textId="77777777" w:rsidR="005A3418" w:rsidRPr="00D36673" w:rsidRDefault="005A3418" w:rsidP="00AC33C0">
            <w:pPr>
              <w:pStyle w:val="TableBody"/>
            </w:pPr>
            <w:r w:rsidRPr="00D36673">
              <w:t>Second threat</w:t>
            </w:r>
            <w:r w:rsidRPr="002F6D30">
              <w:rPr>
                <w:rStyle w:val="Superscript"/>
              </w:rPr>
              <w:t>(e)</w:t>
            </w:r>
          </w:p>
        </w:tc>
        <w:tc>
          <w:tcPr>
            <w:tcW w:w="1250" w:type="pct"/>
          </w:tcPr>
          <w:p w14:paraId="52655C7C" w14:textId="77777777" w:rsidR="005A3418" w:rsidRPr="00D36673" w:rsidRDefault="005A3418" w:rsidP="0024118B">
            <w:pPr>
              <w:pStyle w:val="TableBody"/>
            </w:pPr>
            <w:r w:rsidRPr="00D36673">
              <w:t>22%</w:t>
            </w:r>
          </w:p>
        </w:tc>
        <w:tc>
          <w:tcPr>
            <w:tcW w:w="1250" w:type="pct"/>
          </w:tcPr>
          <w:p w14:paraId="1599D5B8" w14:textId="77777777" w:rsidR="005A3418" w:rsidRPr="00D36673" w:rsidRDefault="005A3418" w:rsidP="0024118B">
            <w:pPr>
              <w:pStyle w:val="TableBody"/>
            </w:pPr>
            <w:r w:rsidRPr="00D36673">
              <w:t>17%</w:t>
            </w:r>
          </w:p>
        </w:tc>
        <w:tc>
          <w:tcPr>
            <w:tcW w:w="1250" w:type="pct"/>
          </w:tcPr>
          <w:p w14:paraId="49A8B10F" w14:textId="77777777" w:rsidR="005A3418" w:rsidRPr="00D36673" w:rsidRDefault="005A3418" w:rsidP="0024118B">
            <w:pPr>
              <w:pStyle w:val="TableBody"/>
            </w:pPr>
            <w:r w:rsidRPr="00D36673">
              <w:t>14%</w:t>
            </w:r>
          </w:p>
        </w:tc>
      </w:tr>
      <w:tr w:rsidR="005A3418" w:rsidRPr="00D36673" w14:paraId="2B647334" w14:textId="77777777" w:rsidTr="00E6572F">
        <w:trPr>
          <w:trHeight w:val="60"/>
        </w:trPr>
        <w:tc>
          <w:tcPr>
            <w:tcW w:w="1250" w:type="pct"/>
          </w:tcPr>
          <w:p w14:paraId="1EB73C0C" w14:textId="77777777" w:rsidR="005A3418" w:rsidRPr="00D36673" w:rsidRDefault="005A3418" w:rsidP="00AC33C0">
            <w:pPr>
              <w:pStyle w:val="TableBody"/>
            </w:pPr>
            <w:r w:rsidRPr="00D36673">
              <w:lastRenderedPageBreak/>
              <w:t>Causing injury intentionally or recklessly</w:t>
            </w:r>
            <w:r w:rsidRPr="002F6D30">
              <w:rPr>
                <w:rStyle w:val="Superscript"/>
              </w:rPr>
              <w:t>(f)</w:t>
            </w:r>
          </w:p>
        </w:tc>
        <w:tc>
          <w:tcPr>
            <w:tcW w:w="1250" w:type="pct"/>
          </w:tcPr>
          <w:p w14:paraId="76874A8F" w14:textId="77777777" w:rsidR="005A3418" w:rsidRPr="00D36673" w:rsidRDefault="005A3418" w:rsidP="0024118B">
            <w:pPr>
              <w:pStyle w:val="TableBody"/>
            </w:pPr>
            <w:r w:rsidRPr="00D36673">
              <w:t>18%</w:t>
            </w:r>
          </w:p>
        </w:tc>
        <w:tc>
          <w:tcPr>
            <w:tcW w:w="1250" w:type="pct"/>
          </w:tcPr>
          <w:p w14:paraId="3F44449D" w14:textId="77777777" w:rsidR="005A3418" w:rsidRPr="00D36673" w:rsidRDefault="005A3418" w:rsidP="0024118B">
            <w:pPr>
              <w:pStyle w:val="TableBody"/>
            </w:pPr>
            <w:r w:rsidRPr="00D36673">
              <w:t>13%</w:t>
            </w:r>
          </w:p>
        </w:tc>
        <w:tc>
          <w:tcPr>
            <w:tcW w:w="1250" w:type="pct"/>
          </w:tcPr>
          <w:p w14:paraId="39090DD5" w14:textId="77777777" w:rsidR="005A3418" w:rsidRPr="00D36673" w:rsidRDefault="005A3418" w:rsidP="0024118B">
            <w:pPr>
              <w:pStyle w:val="TableBody"/>
            </w:pPr>
            <w:r w:rsidRPr="00D36673">
              <w:t>10%</w:t>
            </w:r>
          </w:p>
        </w:tc>
      </w:tr>
      <w:tr w:rsidR="005A3418" w:rsidRPr="00D36673" w14:paraId="456D839A" w14:textId="77777777" w:rsidTr="00E6572F">
        <w:trPr>
          <w:trHeight w:val="60"/>
        </w:trPr>
        <w:tc>
          <w:tcPr>
            <w:tcW w:w="1250" w:type="pct"/>
          </w:tcPr>
          <w:p w14:paraId="47A46F07" w14:textId="77777777" w:rsidR="005A3418" w:rsidRPr="00D36673" w:rsidRDefault="005A3418" w:rsidP="00AC33C0">
            <w:pPr>
              <w:pStyle w:val="TableBody"/>
            </w:pPr>
            <w:r w:rsidRPr="00D36673">
              <w:t>Theft</w:t>
            </w:r>
            <w:r w:rsidRPr="002F6D30">
              <w:rPr>
                <w:rStyle w:val="Superscript"/>
              </w:rPr>
              <w:t>(g)</w:t>
            </w:r>
          </w:p>
        </w:tc>
        <w:tc>
          <w:tcPr>
            <w:tcW w:w="1250" w:type="pct"/>
          </w:tcPr>
          <w:p w14:paraId="0A4430EB" w14:textId="77777777" w:rsidR="005A3418" w:rsidRPr="00D36673" w:rsidRDefault="005A3418" w:rsidP="0024118B">
            <w:pPr>
              <w:pStyle w:val="TableBody"/>
            </w:pPr>
            <w:r w:rsidRPr="00D36673">
              <w:t>15%</w:t>
            </w:r>
          </w:p>
        </w:tc>
        <w:tc>
          <w:tcPr>
            <w:tcW w:w="1250" w:type="pct"/>
          </w:tcPr>
          <w:p w14:paraId="751564E2" w14:textId="77777777" w:rsidR="005A3418" w:rsidRPr="00D36673" w:rsidRDefault="005A3418" w:rsidP="0024118B">
            <w:pPr>
              <w:pStyle w:val="TableBody"/>
            </w:pPr>
            <w:r w:rsidRPr="00D36673">
              <w:t>21%</w:t>
            </w:r>
          </w:p>
        </w:tc>
        <w:tc>
          <w:tcPr>
            <w:tcW w:w="1250" w:type="pct"/>
          </w:tcPr>
          <w:p w14:paraId="50CC372C" w14:textId="77777777" w:rsidR="005A3418" w:rsidRPr="00D36673" w:rsidRDefault="005A3418" w:rsidP="0024118B">
            <w:pPr>
              <w:pStyle w:val="TableBody"/>
            </w:pPr>
            <w:r w:rsidRPr="00D36673">
              <w:t>17%</w:t>
            </w:r>
          </w:p>
        </w:tc>
      </w:tr>
      <w:tr w:rsidR="005A3418" w:rsidRPr="00D36673" w14:paraId="036E1BE8" w14:textId="77777777" w:rsidTr="00E6572F">
        <w:trPr>
          <w:trHeight w:val="60"/>
        </w:trPr>
        <w:tc>
          <w:tcPr>
            <w:tcW w:w="1250" w:type="pct"/>
          </w:tcPr>
          <w:p w14:paraId="155E8503" w14:textId="77777777" w:rsidR="005A3418" w:rsidRPr="00D36673" w:rsidRDefault="005A3418" w:rsidP="00AC33C0">
            <w:pPr>
              <w:pStyle w:val="TableBody"/>
            </w:pPr>
            <w:r w:rsidRPr="00D36673">
              <w:t>Possess a drug of dependence</w:t>
            </w:r>
            <w:r w:rsidRPr="002F6D30">
              <w:rPr>
                <w:rStyle w:val="Superscript"/>
              </w:rPr>
              <w:t>(h)</w:t>
            </w:r>
          </w:p>
        </w:tc>
        <w:tc>
          <w:tcPr>
            <w:tcW w:w="1250" w:type="pct"/>
          </w:tcPr>
          <w:p w14:paraId="6621844D" w14:textId="77777777" w:rsidR="005A3418" w:rsidRPr="00D36673" w:rsidRDefault="005A3418" w:rsidP="0024118B">
            <w:pPr>
              <w:pStyle w:val="TableBody"/>
            </w:pPr>
            <w:r w:rsidRPr="00D36673">
              <w:t>12%</w:t>
            </w:r>
          </w:p>
        </w:tc>
        <w:tc>
          <w:tcPr>
            <w:tcW w:w="1250" w:type="pct"/>
          </w:tcPr>
          <w:p w14:paraId="2EDD715D" w14:textId="77777777" w:rsidR="005A3418" w:rsidRPr="00D36673" w:rsidRDefault="005A3418" w:rsidP="0024118B">
            <w:pPr>
              <w:pStyle w:val="TableBody"/>
            </w:pPr>
            <w:r w:rsidRPr="00D36673">
              <w:t>12%</w:t>
            </w:r>
          </w:p>
        </w:tc>
        <w:tc>
          <w:tcPr>
            <w:tcW w:w="1250" w:type="pct"/>
          </w:tcPr>
          <w:p w14:paraId="0052CC23" w14:textId="77777777" w:rsidR="005A3418" w:rsidRPr="00D36673" w:rsidRDefault="005A3418" w:rsidP="0024118B">
            <w:pPr>
              <w:pStyle w:val="TableBody"/>
            </w:pPr>
            <w:r w:rsidRPr="00D36673">
              <w:t>12%</w:t>
            </w:r>
          </w:p>
        </w:tc>
      </w:tr>
      <w:tr w:rsidR="005A3418" w:rsidRPr="00D36673" w14:paraId="6DCC598E" w14:textId="77777777" w:rsidTr="00E6572F">
        <w:trPr>
          <w:trHeight w:val="60"/>
        </w:trPr>
        <w:tc>
          <w:tcPr>
            <w:tcW w:w="1250" w:type="pct"/>
          </w:tcPr>
          <w:p w14:paraId="323147CF" w14:textId="77777777" w:rsidR="005A3418" w:rsidRPr="00D36673" w:rsidRDefault="005A3418" w:rsidP="00AC33C0">
            <w:pPr>
              <w:pStyle w:val="TableBody"/>
            </w:pPr>
            <w:r w:rsidRPr="00D36673">
              <w:t>Using a carriage service to menace, harass or cause offence</w:t>
            </w:r>
            <w:r w:rsidRPr="002F6D30">
              <w:rPr>
                <w:rStyle w:val="Superscript"/>
              </w:rPr>
              <w:t>(i)</w:t>
            </w:r>
          </w:p>
        </w:tc>
        <w:tc>
          <w:tcPr>
            <w:tcW w:w="1250" w:type="pct"/>
          </w:tcPr>
          <w:p w14:paraId="279C9EB6" w14:textId="77777777" w:rsidR="005A3418" w:rsidRPr="00D36673" w:rsidRDefault="005A3418" w:rsidP="0024118B">
            <w:pPr>
              <w:pStyle w:val="TableBody"/>
            </w:pPr>
            <w:r w:rsidRPr="00D36673">
              <w:t>9%</w:t>
            </w:r>
          </w:p>
        </w:tc>
        <w:tc>
          <w:tcPr>
            <w:tcW w:w="1250" w:type="pct"/>
          </w:tcPr>
          <w:p w14:paraId="3E817CDA" w14:textId="77777777" w:rsidR="005A3418" w:rsidRPr="00D36673" w:rsidRDefault="005A3418" w:rsidP="0024118B">
            <w:pPr>
              <w:pStyle w:val="TableBody"/>
            </w:pPr>
            <w:r w:rsidRPr="00D36673">
              <w:t>10%</w:t>
            </w:r>
          </w:p>
        </w:tc>
        <w:tc>
          <w:tcPr>
            <w:tcW w:w="1250" w:type="pct"/>
          </w:tcPr>
          <w:p w14:paraId="089F9964" w14:textId="77777777" w:rsidR="005A3418" w:rsidRPr="00D36673" w:rsidRDefault="005A3418" w:rsidP="0024118B">
            <w:pPr>
              <w:pStyle w:val="TableBody"/>
            </w:pPr>
            <w:r w:rsidRPr="00D36673">
              <w:t>12%</w:t>
            </w:r>
          </w:p>
        </w:tc>
      </w:tr>
      <w:tr w:rsidR="005A3418" w:rsidRPr="00D36673" w14:paraId="71F5A500" w14:textId="77777777" w:rsidTr="00E6572F">
        <w:trPr>
          <w:trHeight w:val="60"/>
        </w:trPr>
        <w:tc>
          <w:tcPr>
            <w:tcW w:w="1250" w:type="pct"/>
          </w:tcPr>
          <w:p w14:paraId="5394A0AF" w14:textId="77777777" w:rsidR="005A3418" w:rsidRPr="00D36673" w:rsidRDefault="005A3418" w:rsidP="00AC33C0">
            <w:pPr>
              <w:pStyle w:val="TableBody"/>
            </w:pPr>
            <w:r w:rsidRPr="00D36673">
              <w:t>Aggravated assault</w:t>
            </w:r>
            <w:r w:rsidRPr="002F6D30">
              <w:rPr>
                <w:rStyle w:val="Superscript"/>
              </w:rPr>
              <w:t>(j)</w:t>
            </w:r>
          </w:p>
        </w:tc>
        <w:tc>
          <w:tcPr>
            <w:tcW w:w="1250" w:type="pct"/>
          </w:tcPr>
          <w:p w14:paraId="07E53C69" w14:textId="77777777" w:rsidR="005A3418" w:rsidRPr="00D36673" w:rsidRDefault="005A3418" w:rsidP="0024118B">
            <w:pPr>
              <w:pStyle w:val="TableBody"/>
            </w:pPr>
            <w:r w:rsidRPr="00D36673">
              <w:t>8%</w:t>
            </w:r>
          </w:p>
        </w:tc>
        <w:tc>
          <w:tcPr>
            <w:tcW w:w="1250" w:type="pct"/>
          </w:tcPr>
          <w:p w14:paraId="004B2BAA" w14:textId="77777777" w:rsidR="005A3418" w:rsidRPr="00D36673" w:rsidRDefault="005A3418" w:rsidP="00EB0405">
            <w:pPr>
              <w:pStyle w:val="NoParagraphStyle"/>
              <w:spacing w:line="240" w:lineRule="auto"/>
              <w:textAlignment w:val="auto"/>
              <w:rPr>
                <w:rFonts w:ascii="Verdana" w:hAnsi="Verdana" w:cstheme="minorBidi"/>
                <w:color w:val="auto"/>
                <w:lang w:val="en-AU"/>
              </w:rPr>
            </w:pPr>
          </w:p>
        </w:tc>
        <w:tc>
          <w:tcPr>
            <w:tcW w:w="1250" w:type="pct"/>
          </w:tcPr>
          <w:p w14:paraId="5ED6CFFA" w14:textId="77777777" w:rsidR="005A3418" w:rsidRPr="00D36673" w:rsidRDefault="005A3418" w:rsidP="00EB0405">
            <w:pPr>
              <w:pStyle w:val="NoParagraphStyle"/>
              <w:spacing w:line="240" w:lineRule="auto"/>
              <w:textAlignment w:val="auto"/>
              <w:rPr>
                <w:rFonts w:ascii="Verdana" w:hAnsi="Verdana" w:cstheme="minorBidi"/>
                <w:color w:val="auto"/>
                <w:lang w:val="en-AU"/>
              </w:rPr>
            </w:pPr>
          </w:p>
        </w:tc>
      </w:tr>
      <w:tr w:rsidR="005A3418" w:rsidRPr="00D36673" w14:paraId="542B82C4" w14:textId="77777777" w:rsidTr="00E6572F">
        <w:trPr>
          <w:trHeight w:val="60"/>
        </w:trPr>
        <w:tc>
          <w:tcPr>
            <w:tcW w:w="1250" w:type="pct"/>
          </w:tcPr>
          <w:p w14:paraId="77C7F0E6" w14:textId="77777777" w:rsidR="005A3418" w:rsidRPr="00D36673" w:rsidRDefault="005A3418" w:rsidP="00AC33C0">
            <w:pPr>
              <w:pStyle w:val="TableBody"/>
            </w:pPr>
            <w:r w:rsidRPr="00D36673">
              <w:t>Possess a controlled weapon</w:t>
            </w:r>
            <w:r w:rsidRPr="002F6D30">
              <w:rPr>
                <w:rStyle w:val="Superscript"/>
              </w:rPr>
              <w:t>(k)</w:t>
            </w:r>
          </w:p>
        </w:tc>
        <w:tc>
          <w:tcPr>
            <w:tcW w:w="1250" w:type="pct"/>
          </w:tcPr>
          <w:p w14:paraId="4C71AA27" w14:textId="77777777" w:rsidR="005A3418" w:rsidRPr="00D36673" w:rsidRDefault="005A3418" w:rsidP="00EB0405">
            <w:pPr>
              <w:pStyle w:val="NoParagraphStyle"/>
              <w:spacing w:line="240" w:lineRule="auto"/>
              <w:textAlignment w:val="auto"/>
              <w:rPr>
                <w:rFonts w:ascii="Verdana" w:hAnsi="Verdana" w:cstheme="minorBidi"/>
                <w:color w:val="auto"/>
                <w:lang w:val="en-AU"/>
              </w:rPr>
            </w:pPr>
          </w:p>
        </w:tc>
        <w:tc>
          <w:tcPr>
            <w:tcW w:w="1250" w:type="pct"/>
          </w:tcPr>
          <w:p w14:paraId="3F998B16" w14:textId="77777777" w:rsidR="005A3418" w:rsidRPr="00D36673" w:rsidRDefault="005A3418" w:rsidP="0024118B">
            <w:pPr>
              <w:pStyle w:val="TableBody"/>
            </w:pPr>
            <w:r w:rsidRPr="00D36673">
              <w:t>9%</w:t>
            </w:r>
          </w:p>
        </w:tc>
        <w:tc>
          <w:tcPr>
            <w:tcW w:w="1250" w:type="pct"/>
          </w:tcPr>
          <w:p w14:paraId="00799A92" w14:textId="77777777" w:rsidR="005A3418" w:rsidRPr="00D36673" w:rsidRDefault="005A3418" w:rsidP="00EB0405">
            <w:pPr>
              <w:pStyle w:val="NoParagraphStyle"/>
              <w:spacing w:line="240" w:lineRule="auto"/>
              <w:textAlignment w:val="auto"/>
              <w:rPr>
                <w:rFonts w:ascii="Verdana" w:hAnsi="Verdana" w:cstheme="minorBidi"/>
                <w:color w:val="auto"/>
                <w:lang w:val="en-AU"/>
              </w:rPr>
            </w:pPr>
          </w:p>
        </w:tc>
      </w:tr>
      <w:tr w:rsidR="005A3418" w:rsidRPr="00D36673" w14:paraId="06CE2AC9" w14:textId="77777777" w:rsidTr="00E6572F">
        <w:trPr>
          <w:trHeight w:val="60"/>
        </w:trPr>
        <w:tc>
          <w:tcPr>
            <w:tcW w:w="1250" w:type="pct"/>
          </w:tcPr>
          <w:p w14:paraId="24448E18" w14:textId="77777777" w:rsidR="005A3418" w:rsidRPr="00D36673" w:rsidRDefault="005A3418" w:rsidP="00AC33C0">
            <w:pPr>
              <w:pStyle w:val="TableBody"/>
            </w:pPr>
            <w:r w:rsidRPr="00D36673">
              <w:t>Driving while disqualified</w:t>
            </w:r>
            <w:r w:rsidRPr="002F6D30">
              <w:rPr>
                <w:rStyle w:val="Superscript"/>
              </w:rPr>
              <w:t>(l)</w:t>
            </w:r>
          </w:p>
        </w:tc>
        <w:tc>
          <w:tcPr>
            <w:tcW w:w="1250" w:type="pct"/>
          </w:tcPr>
          <w:p w14:paraId="750BFB71" w14:textId="77777777" w:rsidR="005A3418" w:rsidRPr="00D36673" w:rsidRDefault="005A3418" w:rsidP="00EB0405">
            <w:pPr>
              <w:pStyle w:val="NoParagraphStyle"/>
              <w:spacing w:line="240" w:lineRule="auto"/>
              <w:textAlignment w:val="auto"/>
              <w:rPr>
                <w:rFonts w:ascii="Verdana" w:hAnsi="Verdana" w:cstheme="minorBidi"/>
                <w:color w:val="auto"/>
                <w:lang w:val="en-AU"/>
              </w:rPr>
            </w:pPr>
          </w:p>
        </w:tc>
        <w:tc>
          <w:tcPr>
            <w:tcW w:w="1250" w:type="pct"/>
          </w:tcPr>
          <w:p w14:paraId="67BA1E40" w14:textId="77777777" w:rsidR="005A3418" w:rsidRPr="00D36673" w:rsidRDefault="005A3418" w:rsidP="00EB0405">
            <w:pPr>
              <w:pStyle w:val="NoParagraphStyle"/>
              <w:spacing w:line="240" w:lineRule="auto"/>
              <w:textAlignment w:val="auto"/>
              <w:rPr>
                <w:rFonts w:ascii="Verdana" w:hAnsi="Verdana" w:cstheme="minorBidi"/>
                <w:color w:val="auto"/>
                <w:lang w:val="en-AU"/>
              </w:rPr>
            </w:pPr>
          </w:p>
        </w:tc>
        <w:tc>
          <w:tcPr>
            <w:tcW w:w="1250" w:type="pct"/>
          </w:tcPr>
          <w:p w14:paraId="6A27755C" w14:textId="77777777" w:rsidR="005A3418" w:rsidRPr="00D36673" w:rsidRDefault="005A3418" w:rsidP="0024118B">
            <w:pPr>
              <w:pStyle w:val="TableBody"/>
            </w:pPr>
            <w:r w:rsidRPr="00D36673">
              <w:t>10%</w:t>
            </w:r>
          </w:p>
        </w:tc>
      </w:tr>
    </w:tbl>
    <w:p w14:paraId="355F78F8" w14:textId="77777777" w:rsidR="005A3418" w:rsidRPr="00D36673" w:rsidRDefault="005A3418" w:rsidP="00FB21C5">
      <w:pPr>
        <w:pStyle w:val="Footnote"/>
        <w:numPr>
          <w:ilvl w:val="0"/>
          <w:numId w:val="11"/>
        </w:numPr>
      </w:pPr>
      <w:r w:rsidRPr="00A24E18">
        <w:rPr>
          <w:rStyle w:val="Emphasis"/>
        </w:rPr>
        <w:t>Summary Offences Act 1966</w:t>
      </w:r>
      <w:r w:rsidRPr="00D36673">
        <w:t xml:space="preserve"> (Vic) s 23.</w:t>
      </w:r>
    </w:p>
    <w:p w14:paraId="2AB08A8D" w14:textId="77777777" w:rsidR="005A3418" w:rsidRPr="00D36673" w:rsidRDefault="005A3418" w:rsidP="00FB21C5">
      <w:pPr>
        <w:pStyle w:val="Footnote"/>
        <w:numPr>
          <w:ilvl w:val="0"/>
          <w:numId w:val="11"/>
        </w:numPr>
      </w:pPr>
      <w:r w:rsidRPr="00A24E18">
        <w:rPr>
          <w:rStyle w:val="Emphasis"/>
        </w:rPr>
        <w:t>Bail Act 1977</w:t>
      </w:r>
      <w:r w:rsidRPr="00D36673">
        <w:t xml:space="preserve"> (Vic) ss 30, 30A, 30B.</w:t>
      </w:r>
    </w:p>
    <w:p w14:paraId="51C00F80" w14:textId="77777777" w:rsidR="005A3418" w:rsidRPr="00D36673" w:rsidRDefault="005A3418" w:rsidP="00FB21C5">
      <w:pPr>
        <w:pStyle w:val="Footnote"/>
        <w:numPr>
          <w:ilvl w:val="0"/>
          <w:numId w:val="11"/>
        </w:numPr>
      </w:pPr>
      <w:r w:rsidRPr="00A24E18">
        <w:rPr>
          <w:rStyle w:val="Emphasis"/>
        </w:rPr>
        <w:t>Family Violence Protection Act 2008</w:t>
      </w:r>
      <w:r w:rsidRPr="00D36673">
        <w:t xml:space="preserve"> (Vic) ss 37, 37A, 123, 123A, 125A, 129(5), 130(4). Most of these cases involved charges of breach family violence intervention order or family violence safety notice; persistent breaches were charged in 34% of these cases, and breaches of family violence intervention orders with intent to cause harm or fear were charged in 26% of cases.</w:t>
      </w:r>
    </w:p>
    <w:p w14:paraId="501F77E4" w14:textId="77777777" w:rsidR="005A3418" w:rsidRPr="00D36673" w:rsidRDefault="005A3418" w:rsidP="00FB21C5">
      <w:pPr>
        <w:pStyle w:val="Footnote"/>
        <w:numPr>
          <w:ilvl w:val="0"/>
          <w:numId w:val="11"/>
        </w:numPr>
      </w:pPr>
      <w:r w:rsidRPr="00A24E18">
        <w:rPr>
          <w:rStyle w:val="Emphasis"/>
        </w:rPr>
        <w:t>Crimes Act 1958</w:t>
      </w:r>
      <w:r w:rsidRPr="00D36673">
        <w:t xml:space="preserve"> (Vic) s 197(1).</w:t>
      </w:r>
    </w:p>
    <w:p w14:paraId="62475039" w14:textId="77777777" w:rsidR="005A3418" w:rsidRPr="00D36673" w:rsidRDefault="005A3418" w:rsidP="00FB21C5">
      <w:pPr>
        <w:pStyle w:val="Footnote"/>
        <w:numPr>
          <w:ilvl w:val="0"/>
          <w:numId w:val="11"/>
        </w:numPr>
      </w:pPr>
      <w:r w:rsidRPr="00D36673">
        <w:t>Any case in which more than two index threat offences are sentenced is considered to involve a second threat. The second threat need not be of a different type from the first threat.</w:t>
      </w:r>
    </w:p>
    <w:p w14:paraId="64DD9836" w14:textId="77777777" w:rsidR="005A3418" w:rsidRPr="00D36673" w:rsidRDefault="005A3418" w:rsidP="00FB21C5">
      <w:pPr>
        <w:pStyle w:val="Footnote"/>
        <w:numPr>
          <w:ilvl w:val="0"/>
          <w:numId w:val="11"/>
        </w:numPr>
      </w:pPr>
      <w:r w:rsidRPr="00A24E18">
        <w:rPr>
          <w:rStyle w:val="Emphasis"/>
        </w:rPr>
        <w:t>Crimes Act 1958</w:t>
      </w:r>
      <w:r w:rsidRPr="00D36673">
        <w:t xml:space="preserve"> (Vic) s 18. In the Magistrates’ Court, more than three-quarters of these cases involved causing injury recklessly and just under one-third involved causing injury intentionally.</w:t>
      </w:r>
    </w:p>
    <w:p w14:paraId="242532F9" w14:textId="77777777" w:rsidR="005A3418" w:rsidRPr="00D36673" w:rsidRDefault="005A3418" w:rsidP="00FB21C5">
      <w:pPr>
        <w:pStyle w:val="Footnote"/>
        <w:numPr>
          <w:ilvl w:val="0"/>
          <w:numId w:val="11"/>
        </w:numPr>
      </w:pPr>
      <w:r w:rsidRPr="00A24E18">
        <w:rPr>
          <w:rStyle w:val="Emphasis"/>
        </w:rPr>
        <w:t>Crimes Act 1958</w:t>
      </w:r>
      <w:r w:rsidRPr="00D36673">
        <w:t xml:space="preserve"> (Vic) s 74.</w:t>
      </w:r>
    </w:p>
    <w:p w14:paraId="42214EC0" w14:textId="77777777" w:rsidR="005A3418" w:rsidRPr="00D36673" w:rsidRDefault="005A3418" w:rsidP="00FB21C5">
      <w:pPr>
        <w:pStyle w:val="Footnote"/>
        <w:numPr>
          <w:ilvl w:val="0"/>
          <w:numId w:val="11"/>
        </w:numPr>
      </w:pPr>
      <w:r w:rsidRPr="00A24E18">
        <w:rPr>
          <w:rStyle w:val="Emphasis"/>
        </w:rPr>
        <w:t>Drugs, Poisons and Controlled Substances Act 1981</w:t>
      </w:r>
      <w:r w:rsidRPr="00D36673">
        <w:t xml:space="preserve"> (Vic) s 73.</w:t>
      </w:r>
    </w:p>
    <w:p w14:paraId="12D702DB" w14:textId="77777777" w:rsidR="005A3418" w:rsidRPr="00D36673" w:rsidRDefault="005A3418" w:rsidP="00FB21C5">
      <w:pPr>
        <w:pStyle w:val="Footnote"/>
        <w:numPr>
          <w:ilvl w:val="0"/>
          <w:numId w:val="11"/>
        </w:numPr>
      </w:pPr>
      <w:r w:rsidRPr="00A24E18">
        <w:rPr>
          <w:rStyle w:val="Emphasis"/>
        </w:rPr>
        <w:t>Criminal Code Act 1995</w:t>
      </w:r>
      <w:r w:rsidRPr="00D36673">
        <w:t xml:space="preserve"> (Cth) s 474.17.</w:t>
      </w:r>
    </w:p>
    <w:p w14:paraId="5D953CA3" w14:textId="77777777" w:rsidR="005A3418" w:rsidRPr="00D36673" w:rsidRDefault="005A3418" w:rsidP="00FB21C5">
      <w:pPr>
        <w:pStyle w:val="Footnote"/>
        <w:numPr>
          <w:ilvl w:val="0"/>
          <w:numId w:val="11"/>
        </w:numPr>
      </w:pPr>
      <w:r w:rsidRPr="00A24E18">
        <w:rPr>
          <w:rStyle w:val="Emphasis"/>
        </w:rPr>
        <w:t>Summary Offences Act 1966</w:t>
      </w:r>
      <w:r w:rsidRPr="00D36673">
        <w:t xml:space="preserve"> (Vic) s 24.</w:t>
      </w:r>
    </w:p>
    <w:p w14:paraId="41441214" w14:textId="77777777" w:rsidR="005A3418" w:rsidRPr="00D36673" w:rsidRDefault="005A3418" w:rsidP="00FB21C5">
      <w:pPr>
        <w:pStyle w:val="Footnote"/>
        <w:numPr>
          <w:ilvl w:val="0"/>
          <w:numId w:val="11"/>
        </w:numPr>
      </w:pPr>
      <w:r w:rsidRPr="00A24E18">
        <w:rPr>
          <w:rStyle w:val="Emphasis"/>
        </w:rPr>
        <w:t>Control of Weapons Act 1990</w:t>
      </w:r>
      <w:r w:rsidRPr="00D36673">
        <w:t xml:space="preserve"> (Vic) s 6(1).</w:t>
      </w:r>
    </w:p>
    <w:p w14:paraId="6B767370" w14:textId="77777777" w:rsidR="005A3418" w:rsidRPr="00D36673" w:rsidRDefault="005A3418" w:rsidP="00FB21C5">
      <w:pPr>
        <w:pStyle w:val="Footnote"/>
        <w:numPr>
          <w:ilvl w:val="0"/>
          <w:numId w:val="11"/>
        </w:numPr>
      </w:pPr>
      <w:r w:rsidRPr="00A24E18">
        <w:rPr>
          <w:rStyle w:val="Emphasis"/>
        </w:rPr>
        <w:t xml:space="preserve">Road Safety Act 1986 </w:t>
      </w:r>
      <w:r w:rsidRPr="00D36673">
        <w:t>(Vic) s 30.</w:t>
      </w:r>
    </w:p>
    <w:p w14:paraId="3A37784A" w14:textId="3F179AB6" w:rsidR="005A3418" w:rsidRPr="00D36673" w:rsidRDefault="005A3418" w:rsidP="00957F3A">
      <w:pPr>
        <w:pStyle w:val="Heading1Numbered"/>
      </w:pPr>
      <w:bookmarkStart w:id="10" w:name="_Toc75445784"/>
      <w:r w:rsidRPr="00D36673">
        <w:lastRenderedPageBreak/>
        <w:t>Prior offending and reoffending by threat offenders</w:t>
      </w:r>
      <w:bookmarkEnd w:id="10"/>
    </w:p>
    <w:p w14:paraId="7D0E783C" w14:textId="77777777" w:rsidR="005A3418" w:rsidRPr="00D36673" w:rsidRDefault="005A3418" w:rsidP="00FE74B5">
      <w:pPr>
        <w:pStyle w:val="Numbered"/>
      </w:pPr>
      <w:r w:rsidRPr="00D36673">
        <w:t xml:space="preserve">This chapter examines the prior and subsequent offending patterns of the 5,124 unique offenders who were sentenced in either 2015 or 2016 for at least one threat offence. It includes an analysis of how many offenders were sentenced for any other offending in the three years before and after they were sentenced for a threat offence, how soon that other offending occurred, and the offence types for which they were sentenced. </w:t>
      </w:r>
    </w:p>
    <w:p w14:paraId="2F278F55" w14:textId="77777777" w:rsidR="005A3418" w:rsidRPr="00D36673" w:rsidRDefault="005A3418" w:rsidP="0018415B">
      <w:pPr>
        <w:pStyle w:val="Numbered"/>
      </w:pPr>
      <w:r w:rsidRPr="00D36673">
        <w:t>Each unique threat offender was counted just once, on their first sentence date for one of the relevant index threat offences (threat to kill, threat to inflict serious injury, threat to destroy or damage property, threat to commit a sexual offence or threat to assault an emergency worker) during 2015 and 2016. The three-year period is either side of the sentence date for a threat offence to ensure an identical follow-up time for all offenders, regardless of their sentence date.</w:t>
      </w:r>
    </w:p>
    <w:p w14:paraId="1BB27B56" w14:textId="77777777" w:rsidR="005A3418" w:rsidRPr="00D36673" w:rsidRDefault="005A3418" w:rsidP="0018415B">
      <w:pPr>
        <w:pStyle w:val="Numbered"/>
      </w:pPr>
      <w:r w:rsidRPr="00D36673">
        <w:t xml:space="preserve">Because the analysis is conducted using sentence dates, rather than offence dates, case consolidation does not artificially inflate reoffending numbers. However, it may affect the proportion of offenders whose index threat offence is categorised as family violence-related, because a family violence indicator in any component case is applied to the whole consolidated case.  </w:t>
      </w:r>
    </w:p>
    <w:p w14:paraId="29324259" w14:textId="77777777" w:rsidR="005A3418" w:rsidRPr="00D36673" w:rsidRDefault="005A3418" w:rsidP="0086723D">
      <w:pPr>
        <w:pStyle w:val="Heading2"/>
      </w:pPr>
      <w:r w:rsidRPr="00D36673">
        <w:t>Threat offenders with prior or subsequent offending</w:t>
      </w:r>
    </w:p>
    <w:p w14:paraId="08281B57" w14:textId="77777777" w:rsidR="005A3418" w:rsidRPr="00D36673" w:rsidRDefault="005A3418" w:rsidP="0018415B">
      <w:pPr>
        <w:pStyle w:val="Numbered"/>
      </w:pPr>
      <w:r w:rsidRPr="00D36673">
        <w:t xml:space="preserve">Of the 5,124 people sentenced for a threat offence in 2015 or 2016, 32.2% were sentenced again within 12 months, 49.2% (almost half) within two years, and 57.5% within three years </w:t>
      </w:r>
      <w:r w:rsidRPr="00D36673">
        <w:lastRenderedPageBreak/>
        <w:t>(Figure 23). This is significantly higher than Victoria’s general reoffending rate, which has been measured at 10% within 12 months and 28% within three years.</w:t>
      </w:r>
      <w:r w:rsidRPr="00D36673">
        <w:rPr>
          <w:rStyle w:val="Superscript"/>
        </w:rPr>
        <w:footnoteReference w:id="180"/>
      </w:r>
      <w:r w:rsidRPr="00D36673">
        <w:t xml:space="preserve"> It is also higher than the reoffending rates for animal cruelty offenders, family violence offenders who breach intervention orders, and children and young people.</w:t>
      </w:r>
      <w:r w:rsidRPr="00D36673">
        <w:rPr>
          <w:rStyle w:val="Superscript"/>
        </w:rPr>
        <w:footnoteReference w:id="181"/>
      </w:r>
      <w:r w:rsidRPr="00D36673">
        <w:t xml:space="preserve">  </w:t>
      </w:r>
    </w:p>
    <w:p w14:paraId="05AD8544" w14:textId="676CFACD" w:rsidR="005A3418" w:rsidRDefault="005A3418" w:rsidP="00711AFB">
      <w:pPr>
        <w:pStyle w:val="Caption"/>
      </w:pPr>
      <w:r w:rsidRPr="00C9259E">
        <w:t xml:space="preserve">Figure 23: </w:t>
      </w:r>
      <w:r w:rsidRPr="00D36673">
        <w:t>Percentage of all threat offenders sentenced in Victoria in the three years before and/or after the sentence for their index threat offence in 2015 or 2016, all courts</w:t>
      </w:r>
    </w:p>
    <w:tbl>
      <w:tblPr>
        <w:tblStyle w:val="Table"/>
        <w:tblW w:w="5000" w:type="pct"/>
        <w:tblLayout w:type="fixed"/>
        <w:tblLook w:val="04A0" w:firstRow="1" w:lastRow="0" w:firstColumn="1" w:lastColumn="0" w:noHBand="0" w:noVBand="1"/>
      </w:tblPr>
      <w:tblGrid>
        <w:gridCol w:w="2254"/>
        <w:gridCol w:w="2254"/>
        <w:gridCol w:w="2254"/>
        <w:gridCol w:w="2254"/>
      </w:tblGrid>
      <w:tr w:rsidR="00F254A8" w:rsidRPr="00682871" w14:paraId="4A884100" w14:textId="337F28E2" w:rsidTr="002C26C5">
        <w:trPr>
          <w:trHeight w:val="290"/>
          <w:tblHeader/>
        </w:trPr>
        <w:tc>
          <w:tcPr>
            <w:tcW w:w="1250" w:type="pct"/>
            <w:noWrap/>
          </w:tcPr>
          <w:p w14:paraId="2EDA235A" w14:textId="3F99622D" w:rsidR="00F254A8" w:rsidRPr="008E35D1" w:rsidRDefault="00F254A8" w:rsidP="0077169E">
            <w:pPr>
              <w:pStyle w:val="TableHeading"/>
            </w:pPr>
            <w:r>
              <w:t>Prior offending (</w:t>
            </w:r>
            <w:r w:rsidRPr="008E35D1">
              <w:t>2015-2016</w:t>
            </w:r>
            <w:r>
              <w:t xml:space="preserve">: </w:t>
            </w:r>
            <w:r w:rsidRPr="008E35D1">
              <w:t>5,124 threat offenders</w:t>
            </w:r>
            <w:r>
              <w:t>)</w:t>
            </w:r>
          </w:p>
        </w:tc>
        <w:tc>
          <w:tcPr>
            <w:tcW w:w="1250" w:type="pct"/>
            <w:noWrap/>
          </w:tcPr>
          <w:p w14:paraId="018AF290" w14:textId="2BAABFC0" w:rsidR="00F254A8" w:rsidRPr="008E35D1" w:rsidRDefault="00F254A8" w:rsidP="0077169E">
            <w:pPr>
              <w:pStyle w:val="TableHeading"/>
            </w:pPr>
            <w:r>
              <w:t>Percentage</w:t>
            </w:r>
          </w:p>
        </w:tc>
        <w:tc>
          <w:tcPr>
            <w:tcW w:w="1250" w:type="pct"/>
          </w:tcPr>
          <w:p w14:paraId="6880BFB1" w14:textId="7A315914" w:rsidR="00F254A8" w:rsidRPr="008E35D1" w:rsidRDefault="00F254A8" w:rsidP="0077169E">
            <w:pPr>
              <w:pStyle w:val="TableHeading"/>
            </w:pPr>
            <w:r w:rsidRPr="008E35D1">
              <w:t>Reoffending</w:t>
            </w:r>
            <w:r>
              <w:t xml:space="preserve"> (</w:t>
            </w:r>
            <w:r w:rsidRPr="008E35D1">
              <w:t>2015-2016</w:t>
            </w:r>
            <w:r>
              <w:t xml:space="preserve">: </w:t>
            </w:r>
            <w:r w:rsidRPr="008E35D1">
              <w:t>5,124 threat offenders</w:t>
            </w:r>
            <w:r>
              <w:t>)</w:t>
            </w:r>
          </w:p>
        </w:tc>
        <w:tc>
          <w:tcPr>
            <w:tcW w:w="1250" w:type="pct"/>
          </w:tcPr>
          <w:p w14:paraId="30502B1D" w14:textId="0235864F" w:rsidR="00F254A8" w:rsidRPr="008E35D1" w:rsidRDefault="00F254A8" w:rsidP="0077169E">
            <w:pPr>
              <w:pStyle w:val="TableHeading"/>
            </w:pPr>
            <w:r>
              <w:t>Percentage</w:t>
            </w:r>
          </w:p>
        </w:tc>
      </w:tr>
      <w:tr w:rsidR="00F254A8" w:rsidRPr="00682871" w14:paraId="179DF15F" w14:textId="0E92B62E" w:rsidTr="00965327">
        <w:trPr>
          <w:trHeight w:val="290"/>
        </w:trPr>
        <w:tc>
          <w:tcPr>
            <w:tcW w:w="1250" w:type="pct"/>
            <w:noWrap/>
            <w:hideMark/>
          </w:tcPr>
          <w:p w14:paraId="3E3C9EEA" w14:textId="77777777" w:rsidR="00F254A8" w:rsidRPr="008E35D1" w:rsidRDefault="00F254A8" w:rsidP="00227210">
            <w:pPr>
              <w:pStyle w:val="TableBody"/>
            </w:pPr>
            <w:r w:rsidRPr="008E35D1">
              <w:t>3 years</w:t>
            </w:r>
          </w:p>
        </w:tc>
        <w:tc>
          <w:tcPr>
            <w:tcW w:w="1250" w:type="pct"/>
            <w:noWrap/>
            <w:hideMark/>
          </w:tcPr>
          <w:p w14:paraId="36A94A8E" w14:textId="77777777" w:rsidR="00F254A8" w:rsidRPr="008E35D1" w:rsidRDefault="00F254A8" w:rsidP="00227210">
            <w:pPr>
              <w:pStyle w:val="TableBody"/>
            </w:pPr>
            <w:r w:rsidRPr="008E35D1">
              <w:t>51.7%</w:t>
            </w:r>
          </w:p>
        </w:tc>
        <w:tc>
          <w:tcPr>
            <w:tcW w:w="1250" w:type="pct"/>
          </w:tcPr>
          <w:p w14:paraId="718CEAA1" w14:textId="202B7065" w:rsidR="00F254A8" w:rsidRPr="008E35D1" w:rsidRDefault="00F254A8" w:rsidP="00227210">
            <w:pPr>
              <w:pStyle w:val="TableBody"/>
            </w:pPr>
            <w:r w:rsidRPr="008E35D1">
              <w:t>1 year</w:t>
            </w:r>
          </w:p>
        </w:tc>
        <w:tc>
          <w:tcPr>
            <w:tcW w:w="1250" w:type="pct"/>
          </w:tcPr>
          <w:p w14:paraId="2D63B07E" w14:textId="2119D550" w:rsidR="00F254A8" w:rsidRPr="008E35D1" w:rsidRDefault="00F254A8" w:rsidP="00227210">
            <w:pPr>
              <w:pStyle w:val="TableBody"/>
            </w:pPr>
            <w:r w:rsidRPr="008E35D1">
              <w:t>32.2%</w:t>
            </w:r>
          </w:p>
        </w:tc>
      </w:tr>
      <w:tr w:rsidR="00F254A8" w:rsidRPr="00682871" w14:paraId="1A6B35C3" w14:textId="6476AAF0" w:rsidTr="00965327">
        <w:trPr>
          <w:trHeight w:val="290"/>
        </w:trPr>
        <w:tc>
          <w:tcPr>
            <w:tcW w:w="1250" w:type="pct"/>
            <w:noWrap/>
            <w:hideMark/>
          </w:tcPr>
          <w:p w14:paraId="687606CE" w14:textId="77777777" w:rsidR="00F254A8" w:rsidRPr="008E35D1" w:rsidRDefault="00F254A8" w:rsidP="00227210">
            <w:pPr>
              <w:pStyle w:val="TableBody"/>
            </w:pPr>
            <w:r w:rsidRPr="008E35D1">
              <w:t>2 years</w:t>
            </w:r>
          </w:p>
        </w:tc>
        <w:tc>
          <w:tcPr>
            <w:tcW w:w="1250" w:type="pct"/>
            <w:noWrap/>
            <w:hideMark/>
          </w:tcPr>
          <w:p w14:paraId="12EFF3DE" w14:textId="77777777" w:rsidR="00F254A8" w:rsidRPr="008E35D1" w:rsidRDefault="00F254A8" w:rsidP="00227210">
            <w:pPr>
              <w:pStyle w:val="TableBody"/>
            </w:pPr>
            <w:r w:rsidRPr="008E35D1">
              <w:t>43.4%</w:t>
            </w:r>
          </w:p>
        </w:tc>
        <w:tc>
          <w:tcPr>
            <w:tcW w:w="1250" w:type="pct"/>
          </w:tcPr>
          <w:p w14:paraId="3C65C48A" w14:textId="77191761" w:rsidR="00F254A8" w:rsidRPr="008E35D1" w:rsidRDefault="00F254A8" w:rsidP="00227210">
            <w:pPr>
              <w:pStyle w:val="TableBody"/>
            </w:pPr>
            <w:r w:rsidRPr="008E35D1">
              <w:t>2 years</w:t>
            </w:r>
          </w:p>
        </w:tc>
        <w:tc>
          <w:tcPr>
            <w:tcW w:w="1250" w:type="pct"/>
          </w:tcPr>
          <w:p w14:paraId="378898DF" w14:textId="18A2E2B8" w:rsidR="00F254A8" w:rsidRPr="008E35D1" w:rsidRDefault="00F254A8" w:rsidP="00227210">
            <w:pPr>
              <w:pStyle w:val="TableBody"/>
            </w:pPr>
            <w:r w:rsidRPr="008E35D1">
              <w:t>49.2%</w:t>
            </w:r>
          </w:p>
        </w:tc>
      </w:tr>
      <w:tr w:rsidR="00F254A8" w:rsidRPr="00682871" w14:paraId="0FBF8EB4" w14:textId="0E5D7B21" w:rsidTr="00965327">
        <w:trPr>
          <w:trHeight w:val="290"/>
        </w:trPr>
        <w:tc>
          <w:tcPr>
            <w:tcW w:w="1250" w:type="pct"/>
            <w:noWrap/>
            <w:hideMark/>
          </w:tcPr>
          <w:p w14:paraId="222208AB" w14:textId="4E369CD5" w:rsidR="00F254A8" w:rsidRPr="008E35D1" w:rsidRDefault="00F254A8" w:rsidP="00227210">
            <w:pPr>
              <w:pStyle w:val="TableBody"/>
            </w:pPr>
            <w:r w:rsidRPr="008E35D1">
              <w:t>1 year</w:t>
            </w:r>
          </w:p>
        </w:tc>
        <w:tc>
          <w:tcPr>
            <w:tcW w:w="1250" w:type="pct"/>
            <w:noWrap/>
            <w:hideMark/>
          </w:tcPr>
          <w:p w14:paraId="0EB34DE2" w14:textId="77777777" w:rsidR="00F254A8" w:rsidRPr="008E35D1" w:rsidRDefault="00F254A8" w:rsidP="00227210">
            <w:pPr>
              <w:pStyle w:val="TableBody"/>
            </w:pPr>
            <w:r w:rsidRPr="008E35D1">
              <w:t>27.5%</w:t>
            </w:r>
          </w:p>
        </w:tc>
        <w:tc>
          <w:tcPr>
            <w:tcW w:w="1250" w:type="pct"/>
          </w:tcPr>
          <w:p w14:paraId="39F6B1C7" w14:textId="3BE077B3" w:rsidR="00F254A8" w:rsidRPr="008E35D1" w:rsidRDefault="00F254A8" w:rsidP="00227210">
            <w:pPr>
              <w:pStyle w:val="TableBody"/>
            </w:pPr>
            <w:r w:rsidRPr="008E35D1">
              <w:t>3 years</w:t>
            </w:r>
          </w:p>
        </w:tc>
        <w:tc>
          <w:tcPr>
            <w:tcW w:w="1250" w:type="pct"/>
          </w:tcPr>
          <w:p w14:paraId="33496BD8" w14:textId="2D5CD31D" w:rsidR="00F254A8" w:rsidRPr="008E35D1" w:rsidRDefault="00F254A8" w:rsidP="00227210">
            <w:pPr>
              <w:pStyle w:val="TableBody"/>
            </w:pPr>
            <w:r w:rsidRPr="008E35D1">
              <w:t>57.5%</w:t>
            </w:r>
          </w:p>
        </w:tc>
      </w:tr>
    </w:tbl>
    <w:p w14:paraId="6CDE3F11" w14:textId="77777777" w:rsidR="005A3418" w:rsidRPr="00D36673" w:rsidRDefault="005A3418" w:rsidP="0018415B">
      <w:pPr>
        <w:pStyle w:val="Numbered"/>
      </w:pPr>
      <w:r w:rsidRPr="00D36673">
        <w:t xml:space="preserve">Table 7 shows that just 29% (1,481) of those 5,124 threat offenders had </w:t>
      </w:r>
      <w:r w:rsidRPr="00A24E18">
        <w:rPr>
          <w:rStyle w:val="Emphasis"/>
        </w:rPr>
        <w:t xml:space="preserve">neither </w:t>
      </w:r>
      <w:r w:rsidRPr="00D36673">
        <w:t xml:space="preserve">a prior </w:t>
      </w:r>
      <w:r w:rsidRPr="00A24E18">
        <w:rPr>
          <w:rStyle w:val="Emphasis"/>
        </w:rPr>
        <w:t xml:space="preserve">nor </w:t>
      </w:r>
      <w:r w:rsidRPr="00D36673">
        <w:t xml:space="preserve">a subsequent offence in the three years before or after their sentence for a threat offence. That is, seven in 10 threat offenders were sentenced more than once in the six-year period (3,643 offenders). Indeed, just over half (54%) were sentenced more than </w:t>
      </w:r>
      <w:r w:rsidRPr="00A24E18">
        <w:rPr>
          <w:rStyle w:val="Emphasis"/>
        </w:rPr>
        <w:t>twice</w:t>
      </w:r>
      <w:r w:rsidRPr="00D36673">
        <w:t xml:space="preserve"> (2,752 offenders). This suggests that threat offences tend to occur not as isolated incidents but as part of a trajectory of offending.</w:t>
      </w:r>
    </w:p>
    <w:p w14:paraId="568A40F6" w14:textId="77777777" w:rsidR="00F518F7" w:rsidRDefault="00F518F7" w:rsidP="00711AFB">
      <w:pPr>
        <w:pStyle w:val="Caption"/>
        <w:sectPr w:rsidR="00F518F7" w:rsidSect="00D6349A">
          <w:headerReference w:type="default" r:id="rId8"/>
          <w:footerReference w:type="default" r:id="rId9"/>
          <w:pgSz w:w="11906" w:h="16838"/>
          <w:pgMar w:top="1440" w:right="1440" w:bottom="1440" w:left="1440" w:header="720" w:footer="720" w:gutter="0"/>
          <w:cols w:space="720"/>
          <w:noEndnote/>
          <w:docGrid w:linePitch="326"/>
        </w:sectPr>
      </w:pPr>
    </w:p>
    <w:p w14:paraId="25266650" w14:textId="5EBEBDF5" w:rsidR="005A3418" w:rsidRPr="00D36673" w:rsidRDefault="005A3418" w:rsidP="00711AFB">
      <w:pPr>
        <w:pStyle w:val="Caption"/>
      </w:pPr>
      <w:r w:rsidRPr="00C9259E">
        <w:lastRenderedPageBreak/>
        <w:t xml:space="preserve">Table 7: </w:t>
      </w:r>
      <w:r w:rsidRPr="00D36673">
        <w:t>Number of offenders sentenced for a threat offence in 2015 or 2016, by how many prior or subsequent sentences they had in the three years before and after their index threat offence, all courts</w:t>
      </w:r>
    </w:p>
    <w:tbl>
      <w:tblPr>
        <w:tblStyle w:val="Table"/>
        <w:tblW w:w="5024" w:type="pct"/>
        <w:tblLook w:val="0020" w:firstRow="1" w:lastRow="0" w:firstColumn="0" w:lastColumn="0" w:noHBand="0" w:noVBand="0"/>
      </w:tblPr>
      <w:tblGrid>
        <w:gridCol w:w="1843"/>
        <w:gridCol w:w="1587"/>
        <w:gridCol w:w="1456"/>
        <w:gridCol w:w="1587"/>
        <w:gridCol w:w="1587"/>
        <w:gridCol w:w="1586"/>
        <w:gridCol w:w="1586"/>
        <w:gridCol w:w="1586"/>
        <w:gridCol w:w="1197"/>
      </w:tblGrid>
      <w:tr w:rsidR="00CF13DB" w:rsidRPr="00D36673" w14:paraId="477C8B98" w14:textId="77777777" w:rsidTr="00E6572F">
        <w:trPr>
          <w:trHeight w:val="60"/>
          <w:tblHeader/>
        </w:trPr>
        <w:tc>
          <w:tcPr>
            <w:tcW w:w="657" w:type="pct"/>
          </w:tcPr>
          <w:p w14:paraId="77B703F9" w14:textId="77777777" w:rsidR="00CF13DB" w:rsidRPr="0000740A" w:rsidRDefault="00CF13DB" w:rsidP="0000740A">
            <w:pPr>
              <w:pStyle w:val="TableHeading"/>
            </w:pPr>
          </w:p>
        </w:tc>
        <w:tc>
          <w:tcPr>
            <w:tcW w:w="566" w:type="pct"/>
          </w:tcPr>
          <w:p w14:paraId="432064BD" w14:textId="0E850C80" w:rsidR="00CF13DB" w:rsidRPr="00CF13DB" w:rsidRDefault="00CF13DB" w:rsidP="00CF13DB">
            <w:pPr>
              <w:pStyle w:val="TableHeading"/>
              <w:rPr>
                <w:rStyle w:val="Strong"/>
                <w:b/>
                <w:bCs w:val="0"/>
              </w:rPr>
            </w:pPr>
            <w:r w:rsidRPr="00CF13DB">
              <w:rPr>
                <w:rStyle w:val="Strong"/>
                <w:b/>
                <w:bCs w:val="0"/>
              </w:rPr>
              <w:t>0 prior sentences</w:t>
            </w:r>
          </w:p>
        </w:tc>
        <w:tc>
          <w:tcPr>
            <w:tcW w:w="519" w:type="pct"/>
          </w:tcPr>
          <w:p w14:paraId="4CC5751C" w14:textId="0C010FA1" w:rsidR="00CF13DB" w:rsidRPr="00CF13DB" w:rsidRDefault="00CF13DB" w:rsidP="00CF13DB">
            <w:pPr>
              <w:pStyle w:val="TableHeading"/>
              <w:rPr>
                <w:rStyle w:val="Strong"/>
                <w:b/>
                <w:bCs w:val="0"/>
              </w:rPr>
            </w:pPr>
            <w:r w:rsidRPr="00CF13DB">
              <w:rPr>
                <w:rStyle w:val="Strong"/>
                <w:b/>
                <w:bCs w:val="0"/>
              </w:rPr>
              <w:t>1 prior sentence</w:t>
            </w:r>
          </w:p>
        </w:tc>
        <w:tc>
          <w:tcPr>
            <w:tcW w:w="566" w:type="pct"/>
          </w:tcPr>
          <w:p w14:paraId="4E2A93D4" w14:textId="578F6396" w:rsidR="00CF13DB" w:rsidRPr="00CF13DB" w:rsidRDefault="00CF13DB" w:rsidP="00CF13DB">
            <w:pPr>
              <w:pStyle w:val="TableHeading"/>
              <w:rPr>
                <w:rStyle w:val="Strong"/>
                <w:b/>
                <w:bCs w:val="0"/>
              </w:rPr>
            </w:pPr>
            <w:r w:rsidRPr="00CF13DB">
              <w:rPr>
                <w:rStyle w:val="Strong"/>
                <w:b/>
                <w:bCs w:val="0"/>
              </w:rPr>
              <w:t>2 prior sentences</w:t>
            </w:r>
          </w:p>
        </w:tc>
        <w:tc>
          <w:tcPr>
            <w:tcW w:w="566" w:type="pct"/>
          </w:tcPr>
          <w:p w14:paraId="527611FE" w14:textId="314EA84E" w:rsidR="00CF13DB" w:rsidRPr="00CF13DB" w:rsidRDefault="00CF13DB" w:rsidP="00CF13DB">
            <w:pPr>
              <w:pStyle w:val="TableHeading"/>
              <w:rPr>
                <w:rStyle w:val="Strong"/>
                <w:b/>
                <w:bCs w:val="0"/>
              </w:rPr>
            </w:pPr>
            <w:r w:rsidRPr="00CF13DB">
              <w:rPr>
                <w:rStyle w:val="Strong"/>
                <w:b/>
                <w:bCs w:val="0"/>
              </w:rPr>
              <w:t>3 prior sentences</w:t>
            </w:r>
          </w:p>
        </w:tc>
        <w:tc>
          <w:tcPr>
            <w:tcW w:w="566" w:type="pct"/>
          </w:tcPr>
          <w:p w14:paraId="169D1F48" w14:textId="388E56A8" w:rsidR="00CF13DB" w:rsidRPr="00CF13DB" w:rsidRDefault="00CF13DB" w:rsidP="00CF13DB">
            <w:pPr>
              <w:pStyle w:val="TableHeading"/>
              <w:rPr>
                <w:rStyle w:val="Strong"/>
                <w:b/>
                <w:bCs w:val="0"/>
              </w:rPr>
            </w:pPr>
            <w:r w:rsidRPr="00CF13DB">
              <w:rPr>
                <w:rStyle w:val="Strong"/>
                <w:b/>
                <w:bCs w:val="0"/>
              </w:rPr>
              <w:t>4 prior sentences</w:t>
            </w:r>
          </w:p>
        </w:tc>
        <w:tc>
          <w:tcPr>
            <w:tcW w:w="566" w:type="pct"/>
          </w:tcPr>
          <w:p w14:paraId="24C5D71D" w14:textId="454163C0" w:rsidR="00CF13DB" w:rsidRPr="00CF13DB" w:rsidRDefault="00CF13DB" w:rsidP="00CF13DB">
            <w:pPr>
              <w:pStyle w:val="TableHeading"/>
              <w:rPr>
                <w:rStyle w:val="Strong"/>
                <w:b/>
                <w:bCs w:val="0"/>
              </w:rPr>
            </w:pPr>
            <w:r w:rsidRPr="00CF13DB">
              <w:rPr>
                <w:rStyle w:val="Strong"/>
                <w:b/>
                <w:bCs w:val="0"/>
              </w:rPr>
              <w:t>5 prior sentences</w:t>
            </w:r>
          </w:p>
        </w:tc>
        <w:tc>
          <w:tcPr>
            <w:tcW w:w="566" w:type="pct"/>
          </w:tcPr>
          <w:p w14:paraId="54DA31BA" w14:textId="2BB4203C" w:rsidR="00CF13DB" w:rsidRPr="00CF13DB" w:rsidRDefault="00CF13DB" w:rsidP="00CF13DB">
            <w:pPr>
              <w:pStyle w:val="TableHeading"/>
              <w:rPr>
                <w:rStyle w:val="Strong"/>
                <w:b/>
                <w:bCs w:val="0"/>
              </w:rPr>
            </w:pPr>
            <w:r w:rsidRPr="00CF13DB">
              <w:rPr>
                <w:rStyle w:val="Strong"/>
                <w:b/>
                <w:bCs w:val="0"/>
              </w:rPr>
              <w:t>&gt; 5 prior sentences</w:t>
            </w:r>
          </w:p>
        </w:tc>
        <w:tc>
          <w:tcPr>
            <w:tcW w:w="427" w:type="pct"/>
          </w:tcPr>
          <w:p w14:paraId="51B27D44" w14:textId="7C014634" w:rsidR="00CF13DB" w:rsidRPr="00CF13DB" w:rsidRDefault="00CF13DB" w:rsidP="00CF13DB">
            <w:pPr>
              <w:pStyle w:val="TableHeading"/>
            </w:pPr>
            <w:r w:rsidRPr="00CF13DB">
              <w:rPr>
                <w:rStyle w:val="Strong"/>
                <w:b/>
                <w:bCs w:val="0"/>
              </w:rPr>
              <w:t>Total</w:t>
            </w:r>
          </w:p>
        </w:tc>
      </w:tr>
      <w:tr w:rsidR="00CF13DB" w:rsidRPr="00D36673" w14:paraId="744E3E27" w14:textId="77777777" w:rsidTr="00E6572F">
        <w:trPr>
          <w:trHeight w:val="60"/>
          <w:tblHeader/>
        </w:trPr>
        <w:tc>
          <w:tcPr>
            <w:tcW w:w="657" w:type="pct"/>
          </w:tcPr>
          <w:p w14:paraId="09D8AAEB" w14:textId="01E78223" w:rsidR="00CF13DB" w:rsidRPr="0000740A" w:rsidRDefault="00CF13DB" w:rsidP="0000740A">
            <w:pPr>
              <w:pStyle w:val="TableHeading"/>
              <w:rPr>
                <w:rStyle w:val="Strong"/>
                <w:b/>
                <w:bCs w:val="0"/>
              </w:rPr>
            </w:pPr>
            <w:r w:rsidRPr="0000740A">
              <w:rPr>
                <w:rStyle w:val="Strong"/>
                <w:b/>
                <w:bCs w:val="0"/>
              </w:rPr>
              <w:t>0 subsequent sentences</w:t>
            </w:r>
          </w:p>
        </w:tc>
        <w:tc>
          <w:tcPr>
            <w:tcW w:w="566" w:type="pct"/>
          </w:tcPr>
          <w:p w14:paraId="5821A667" w14:textId="77777777" w:rsidR="00CF13DB" w:rsidRPr="00D36673" w:rsidRDefault="00CF13DB" w:rsidP="0024118B">
            <w:pPr>
              <w:pStyle w:val="TableBody"/>
            </w:pPr>
            <w:r w:rsidRPr="00D36673">
              <w:t>1,481 </w:t>
            </w:r>
          </w:p>
        </w:tc>
        <w:tc>
          <w:tcPr>
            <w:tcW w:w="519" w:type="pct"/>
          </w:tcPr>
          <w:p w14:paraId="1DF99DA1" w14:textId="77777777" w:rsidR="00CF13DB" w:rsidRPr="00D36673" w:rsidRDefault="00CF13DB" w:rsidP="0024118B">
            <w:pPr>
              <w:pStyle w:val="TableBody"/>
            </w:pPr>
            <w:r w:rsidRPr="00D36673">
              <w:t>400 </w:t>
            </w:r>
          </w:p>
        </w:tc>
        <w:tc>
          <w:tcPr>
            <w:tcW w:w="566" w:type="pct"/>
          </w:tcPr>
          <w:p w14:paraId="0C20E5A9" w14:textId="77777777" w:rsidR="00CF13DB" w:rsidRPr="00D36673" w:rsidRDefault="00CF13DB" w:rsidP="0024118B">
            <w:pPr>
              <w:pStyle w:val="TableBody"/>
            </w:pPr>
            <w:r w:rsidRPr="00D36673">
              <w:t>192 </w:t>
            </w:r>
          </w:p>
        </w:tc>
        <w:tc>
          <w:tcPr>
            <w:tcW w:w="566" w:type="pct"/>
          </w:tcPr>
          <w:p w14:paraId="65173266" w14:textId="77777777" w:rsidR="00CF13DB" w:rsidRPr="00D36673" w:rsidRDefault="00CF13DB" w:rsidP="0024118B">
            <w:pPr>
              <w:pStyle w:val="TableBody"/>
            </w:pPr>
            <w:r w:rsidRPr="00D36673">
              <w:t>66 </w:t>
            </w:r>
          </w:p>
        </w:tc>
        <w:tc>
          <w:tcPr>
            <w:tcW w:w="566" w:type="pct"/>
          </w:tcPr>
          <w:p w14:paraId="45F56120" w14:textId="77777777" w:rsidR="00CF13DB" w:rsidRPr="00D36673" w:rsidRDefault="00CF13DB" w:rsidP="0024118B">
            <w:pPr>
              <w:pStyle w:val="TableBody"/>
            </w:pPr>
            <w:r w:rsidRPr="00D36673">
              <w:t>24 </w:t>
            </w:r>
          </w:p>
        </w:tc>
        <w:tc>
          <w:tcPr>
            <w:tcW w:w="566" w:type="pct"/>
          </w:tcPr>
          <w:p w14:paraId="719BDBF1" w14:textId="77777777" w:rsidR="00CF13DB" w:rsidRPr="00D36673" w:rsidRDefault="00CF13DB" w:rsidP="0024118B">
            <w:pPr>
              <w:pStyle w:val="TableBody"/>
            </w:pPr>
            <w:r w:rsidRPr="00D36673">
              <w:t>9 </w:t>
            </w:r>
          </w:p>
        </w:tc>
        <w:tc>
          <w:tcPr>
            <w:tcW w:w="566" w:type="pct"/>
          </w:tcPr>
          <w:p w14:paraId="0351AC28" w14:textId="77777777" w:rsidR="00CF13DB" w:rsidRPr="00D36673" w:rsidRDefault="00CF13DB" w:rsidP="0024118B">
            <w:pPr>
              <w:pStyle w:val="TableBody"/>
            </w:pPr>
            <w:r w:rsidRPr="00D36673">
              <w:t>7 </w:t>
            </w:r>
          </w:p>
        </w:tc>
        <w:tc>
          <w:tcPr>
            <w:tcW w:w="427" w:type="pct"/>
          </w:tcPr>
          <w:p w14:paraId="6F463AE4" w14:textId="77777777" w:rsidR="00CF13DB" w:rsidRPr="00AC33C0" w:rsidRDefault="00CF13DB" w:rsidP="001C3A7B">
            <w:pPr>
              <w:pStyle w:val="TableBody"/>
              <w:rPr>
                <w:rStyle w:val="Strong"/>
              </w:rPr>
            </w:pPr>
            <w:r w:rsidRPr="00AC33C0">
              <w:rPr>
                <w:rStyle w:val="Strong"/>
              </w:rPr>
              <w:t>2,179 </w:t>
            </w:r>
          </w:p>
        </w:tc>
      </w:tr>
      <w:tr w:rsidR="00CF13DB" w:rsidRPr="00D36673" w14:paraId="300C096F" w14:textId="77777777" w:rsidTr="00E6572F">
        <w:trPr>
          <w:trHeight w:val="60"/>
          <w:tblHeader/>
        </w:trPr>
        <w:tc>
          <w:tcPr>
            <w:tcW w:w="657" w:type="pct"/>
          </w:tcPr>
          <w:p w14:paraId="14DEECC3" w14:textId="6B9633FB" w:rsidR="00CF13DB" w:rsidRPr="0000740A" w:rsidRDefault="00CF13DB" w:rsidP="0000740A">
            <w:pPr>
              <w:pStyle w:val="TableHeading"/>
              <w:rPr>
                <w:rStyle w:val="Strong"/>
                <w:b/>
                <w:bCs w:val="0"/>
              </w:rPr>
            </w:pPr>
            <w:r w:rsidRPr="0000740A">
              <w:rPr>
                <w:rStyle w:val="Strong"/>
                <w:b/>
                <w:bCs w:val="0"/>
              </w:rPr>
              <w:t>1 subsequent sentence</w:t>
            </w:r>
          </w:p>
        </w:tc>
        <w:tc>
          <w:tcPr>
            <w:tcW w:w="566" w:type="pct"/>
          </w:tcPr>
          <w:p w14:paraId="472DA611" w14:textId="77777777" w:rsidR="00CF13DB" w:rsidRPr="00D36673" w:rsidRDefault="00CF13DB" w:rsidP="0024118B">
            <w:pPr>
              <w:pStyle w:val="TableBody"/>
            </w:pPr>
            <w:r w:rsidRPr="00D36673">
              <w:t>491 </w:t>
            </w:r>
          </w:p>
        </w:tc>
        <w:tc>
          <w:tcPr>
            <w:tcW w:w="519" w:type="pct"/>
          </w:tcPr>
          <w:p w14:paraId="3D48C0FA" w14:textId="77777777" w:rsidR="00CF13DB" w:rsidRPr="00D36673" w:rsidRDefault="00CF13DB" w:rsidP="0024118B">
            <w:pPr>
              <w:pStyle w:val="TableBody"/>
            </w:pPr>
            <w:r w:rsidRPr="00D36673">
              <w:t>321 </w:t>
            </w:r>
          </w:p>
        </w:tc>
        <w:tc>
          <w:tcPr>
            <w:tcW w:w="566" w:type="pct"/>
          </w:tcPr>
          <w:p w14:paraId="2B2018C1" w14:textId="77777777" w:rsidR="00CF13DB" w:rsidRPr="00D36673" w:rsidRDefault="00CF13DB" w:rsidP="0024118B">
            <w:pPr>
              <w:pStyle w:val="TableBody"/>
            </w:pPr>
            <w:r w:rsidRPr="00D36673">
              <w:t>172 </w:t>
            </w:r>
          </w:p>
        </w:tc>
        <w:tc>
          <w:tcPr>
            <w:tcW w:w="566" w:type="pct"/>
          </w:tcPr>
          <w:p w14:paraId="0962671A" w14:textId="77777777" w:rsidR="00CF13DB" w:rsidRPr="00D36673" w:rsidRDefault="00CF13DB" w:rsidP="0024118B">
            <w:pPr>
              <w:pStyle w:val="TableBody"/>
            </w:pPr>
            <w:r w:rsidRPr="00D36673">
              <w:t>81 </w:t>
            </w:r>
          </w:p>
        </w:tc>
        <w:tc>
          <w:tcPr>
            <w:tcW w:w="566" w:type="pct"/>
          </w:tcPr>
          <w:p w14:paraId="1F1A12C2" w14:textId="77777777" w:rsidR="00CF13DB" w:rsidRPr="00D36673" w:rsidRDefault="00CF13DB" w:rsidP="0024118B">
            <w:pPr>
              <w:pStyle w:val="TableBody"/>
            </w:pPr>
            <w:r w:rsidRPr="00D36673">
              <w:t>47 </w:t>
            </w:r>
          </w:p>
        </w:tc>
        <w:tc>
          <w:tcPr>
            <w:tcW w:w="566" w:type="pct"/>
          </w:tcPr>
          <w:p w14:paraId="464E6CCD" w14:textId="77777777" w:rsidR="00CF13DB" w:rsidRPr="00D36673" w:rsidRDefault="00CF13DB" w:rsidP="0024118B">
            <w:pPr>
              <w:pStyle w:val="TableBody"/>
            </w:pPr>
            <w:r w:rsidRPr="00D36673">
              <w:t>23 </w:t>
            </w:r>
          </w:p>
        </w:tc>
        <w:tc>
          <w:tcPr>
            <w:tcW w:w="566" w:type="pct"/>
          </w:tcPr>
          <w:p w14:paraId="49B0C386" w14:textId="77777777" w:rsidR="00CF13DB" w:rsidRPr="00D36673" w:rsidRDefault="00CF13DB" w:rsidP="0024118B">
            <w:pPr>
              <w:pStyle w:val="TableBody"/>
            </w:pPr>
            <w:r w:rsidRPr="00D36673">
              <w:t>19 </w:t>
            </w:r>
          </w:p>
        </w:tc>
        <w:tc>
          <w:tcPr>
            <w:tcW w:w="427" w:type="pct"/>
          </w:tcPr>
          <w:p w14:paraId="1D49B75C" w14:textId="77777777" w:rsidR="00CF13DB" w:rsidRPr="00AC33C0" w:rsidRDefault="00CF13DB" w:rsidP="001C3A7B">
            <w:pPr>
              <w:pStyle w:val="TableBody"/>
              <w:rPr>
                <w:rStyle w:val="Strong"/>
              </w:rPr>
            </w:pPr>
            <w:r w:rsidRPr="00AC33C0">
              <w:rPr>
                <w:rStyle w:val="Strong"/>
              </w:rPr>
              <w:t>1,154 </w:t>
            </w:r>
          </w:p>
        </w:tc>
      </w:tr>
      <w:tr w:rsidR="00CF13DB" w:rsidRPr="00D36673" w14:paraId="79902DD5" w14:textId="77777777" w:rsidTr="00E6572F">
        <w:trPr>
          <w:trHeight w:val="60"/>
          <w:tblHeader/>
        </w:trPr>
        <w:tc>
          <w:tcPr>
            <w:tcW w:w="657" w:type="pct"/>
          </w:tcPr>
          <w:p w14:paraId="2435C8E1" w14:textId="48DB531B" w:rsidR="00CF13DB" w:rsidRPr="0000740A" w:rsidRDefault="00CF13DB" w:rsidP="0000740A">
            <w:pPr>
              <w:pStyle w:val="TableHeading"/>
              <w:rPr>
                <w:rStyle w:val="Strong"/>
                <w:b/>
                <w:bCs w:val="0"/>
              </w:rPr>
            </w:pPr>
            <w:r w:rsidRPr="0000740A">
              <w:rPr>
                <w:rStyle w:val="Strong"/>
                <w:b/>
                <w:bCs w:val="0"/>
              </w:rPr>
              <w:t>2 subsequent sentences</w:t>
            </w:r>
          </w:p>
        </w:tc>
        <w:tc>
          <w:tcPr>
            <w:tcW w:w="566" w:type="pct"/>
          </w:tcPr>
          <w:p w14:paraId="3E68128A" w14:textId="77777777" w:rsidR="00CF13DB" w:rsidRPr="00D36673" w:rsidRDefault="00CF13DB" w:rsidP="0024118B">
            <w:pPr>
              <w:pStyle w:val="TableBody"/>
            </w:pPr>
            <w:r w:rsidRPr="00D36673">
              <w:t>274 </w:t>
            </w:r>
          </w:p>
        </w:tc>
        <w:tc>
          <w:tcPr>
            <w:tcW w:w="519" w:type="pct"/>
          </w:tcPr>
          <w:p w14:paraId="399C17D1" w14:textId="77777777" w:rsidR="00CF13DB" w:rsidRPr="00D36673" w:rsidRDefault="00CF13DB" w:rsidP="0024118B">
            <w:pPr>
              <w:pStyle w:val="TableBody"/>
            </w:pPr>
            <w:r w:rsidRPr="00D36673">
              <w:t>191 </w:t>
            </w:r>
          </w:p>
        </w:tc>
        <w:tc>
          <w:tcPr>
            <w:tcW w:w="566" w:type="pct"/>
          </w:tcPr>
          <w:p w14:paraId="344A850B" w14:textId="77777777" w:rsidR="00CF13DB" w:rsidRPr="00D36673" w:rsidRDefault="00CF13DB" w:rsidP="0024118B">
            <w:pPr>
              <w:pStyle w:val="TableBody"/>
            </w:pPr>
            <w:r w:rsidRPr="00D36673">
              <w:t>146 </w:t>
            </w:r>
          </w:p>
        </w:tc>
        <w:tc>
          <w:tcPr>
            <w:tcW w:w="566" w:type="pct"/>
          </w:tcPr>
          <w:p w14:paraId="29DEC1DA" w14:textId="77777777" w:rsidR="00CF13DB" w:rsidRPr="00D36673" w:rsidRDefault="00CF13DB" w:rsidP="0024118B">
            <w:pPr>
              <w:pStyle w:val="TableBody"/>
            </w:pPr>
            <w:r w:rsidRPr="00D36673">
              <w:t>91 </w:t>
            </w:r>
          </w:p>
        </w:tc>
        <w:tc>
          <w:tcPr>
            <w:tcW w:w="566" w:type="pct"/>
          </w:tcPr>
          <w:p w14:paraId="61BF8D47" w14:textId="77777777" w:rsidR="00CF13DB" w:rsidRPr="00D36673" w:rsidRDefault="00CF13DB" w:rsidP="0024118B">
            <w:pPr>
              <w:pStyle w:val="TableBody"/>
            </w:pPr>
            <w:r w:rsidRPr="00D36673">
              <w:t>38 </w:t>
            </w:r>
          </w:p>
        </w:tc>
        <w:tc>
          <w:tcPr>
            <w:tcW w:w="566" w:type="pct"/>
          </w:tcPr>
          <w:p w14:paraId="0C9BC8C5" w14:textId="77777777" w:rsidR="00CF13DB" w:rsidRPr="00D36673" w:rsidRDefault="00CF13DB" w:rsidP="0024118B">
            <w:pPr>
              <w:pStyle w:val="TableBody"/>
            </w:pPr>
            <w:r w:rsidRPr="00D36673">
              <w:t>24 </w:t>
            </w:r>
          </w:p>
        </w:tc>
        <w:tc>
          <w:tcPr>
            <w:tcW w:w="566" w:type="pct"/>
          </w:tcPr>
          <w:p w14:paraId="4F71D73A" w14:textId="77777777" w:rsidR="00CF13DB" w:rsidRPr="00D36673" w:rsidRDefault="00CF13DB" w:rsidP="0024118B">
            <w:pPr>
              <w:pStyle w:val="TableBody"/>
            </w:pPr>
            <w:r w:rsidRPr="00D36673">
              <w:t>15 </w:t>
            </w:r>
          </w:p>
        </w:tc>
        <w:tc>
          <w:tcPr>
            <w:tcW w:w="427" w:type="pct"/>
          </w:tcPr>
          <w:p w14:paraId="5D5AA59C" w14:textId="77777777" w:rsidR="00CF13DB" w:rsidRPr="00AC33C0" w:rsidRDefault="00CF13DB" w:rsidP="001C3A7B">
            <w:pPr>
              <w:pStyle w:val="TableBody"/>
              <w:rPr>
                <w:rStyle w:val="Strong"/>
              </w:rPr>
            </w:pPr>
            <w:r w:rsidRPr="00AC33C0">
              <w:rPr>
                <w:rStyle w:val="Strong"/>
              </w:rPr>
              <w:t>779 </w:t>
            </w:r>
          </w:p>
        </w:tc>
      </w:tr>
      <w:tr w:rsidR="00CF13DB" w:rsidRPr="00D36673" w14:paraId="05E3556F" w14:textId="77777777" w:rsidTr="00E6572F">
        <w:trPr>
          <w:trHeight w:val="60"/>
          <w:tblHeader/>
        </w:trPr>
        <w:tc>
          <w:tcPr>
            <w:tcW w:w="657" w:type="pct"/>
          </w:tcPr>
          <w:p w14:paraId="186A406B" w14:textId="60F97CB4" w:rsidR="00CF13DB" w:rsidRPr="0000740A" w:rsidRDefault="00CF13DB" w:rsidP="0000740A">
            <w:pPr>
              <w:pStyle w:val="TableHeading"/>
              <w:rPr>
                <w:rStyle w:val="Strong"/>
                <w:b/>
                <w:bCs w:val="0"/>
              </w:rPr>
            </w:pPr>
            <w:r w:rsidRPr="0000740A">
              <w:rPr>
                <w:rStyle w:val="Strong"/>
                <w:b/>
                <w:bCs w:val="0"/>
              </w:rPr>
              <w:t>3 subsequent sentences</w:t>
            </w:r>
          </w:p>
        </w:tc>
        <w:tc>
          <w:tcPr>
            <w:tcW w:w="566" w:type="pct"/>
          </w:tcPr>
          <w:p w14:paraId="3F360351" w14:textId="77777777" w:rsidR="00CF13DB" w:rsidRPr="00D36673" w:rsidRDefault="00CF13DB" w:rsidP="0024118B">
            <w:pPr>
              <w:pStyle w:val="TableBody"/>
            </w:pPr>
            <w:r w:rsidRPr="00D36673">
              <w:t>111 </w:t>
            </w:r>
          </w:p>
        </w:tc>
        <w:tc>
          <w:tcPr>
            <w:tcW w:w="519" w:type="pct"/>
          </w:tcPr>
          <w:p w14:paraId="162A07FB" w14:textId="77777777" w:rsidR="00CF13DB" w:rsidRPr="00D36673" w:rsidRDefault="00CF13DB" w:rsidP="0024118B">
            <w:pPr>
              <w:pStyle w:val="TableBody"/>
            </w:pPr>
            <w:r w:rsidRPr="00D36673">
              <w:t>145 </w:t>
            </w:r>
          </w:p>
        </w:tc>
        <w:tc>
          <w:tcPr>
            <w:tcW w:w="566" w:type="pct"/>
          </w:tcPr>
          <w:p w14:paraId="6580DB95" w14:textId="77777777" w:rsidR="00CF13DB" w:rsidRPr="00D36673" w:rsidRDefault="00CF13DB" w:rsidP="0024118B">
            <w:pPr>
              <w:pStyle w:val="TableBody"/>
            </w:pPr>
            <w:r w:rsidRPr="00D36673">
              <w:t>96 </w:t>
            </w:r>
          </w:p>
        </w:tc>
        <w:tc>
          <w:tcPr>
            <w:tcW w:w="566" w:type="pct"/>
          </w:tcPr>
          <w:p w14:paraId="1B74D433" w14:textId="77777777" w:rsidR="00CF13DB" w:rsidRPr="00D36673" w:rsidRDefault="00CF13DB" w:rsidP="0024118B">
            <w:pPr>
              <w:pStyle w:val="TableBody"/>
            </w:pPr>
            <w:r w:rsidRPr="00D36673">
              <w:t>50 </w:t>
            </w:r>
          </w:p>
        </w:tc>
        <w:tc>
          <w:tcPr>
            <w:tcW w:w="566" w:type="pct"/>
          </w:tcPr>
          <w:p w14:paraId="6BFD5FAC" w14:textId="77777777" w:rsidR="00CF13DB" w:rsidRPr="00D36673" w:rsidRDefault="00CF13DB" w:rsidP="0024118B">
            <w:pPr>
              <w:pStyle w:val="TableBody"/>
            </w:pPr>
            <w:r w:rsidRPr="00D36673">
              <w:t>29 </w:t>
            </w:r>
          </w:p>
        </w:tc>
        <w:tc>
          <w:tcPr>
            <w:tcW w:w="566" w:type="pct"/>
          </w:tcPr>
          <w:p w14:paraId="724C3DB2" w14:textId="77777777" w:rsidR="00CF13DB" w:rsidRPr="00D36673" w:rsidRDefault="00CF13DB" w:rsidP="0024118B">
            <w:pPr>
              <w:pStyle w:val="TableBody"/>
            </w:pPr>
            <w:r w:rsidRPr="00D36673">
              <w:t>20 </w:t>
            </w:r>
          </w:p>
        </w:tc>
        <w:tc>
          <w:tcPr>
            <w:tcW w:w="566" w:type="pct"/>
          </w:tcPr>
          <w:p w14:paraId="71E7CB60" w14:textId="77777777" w:rsidR="00CF13DB" w:rsidRPr="00D36673" w:rsidRDefault="00CF13DB" w:rsidP="0024118B">
            <w:pPr>
              <w:pStyle w:val="TableBody"/>
            </w:pPr>
            <w:r w:rsidRPr="00D36673">
              <w:t>12 </w:t>
            </w:r>
          </w:p>
        </w:tc>
        <w:tc>
          <w:tcPr>
            <w:tcW w:w="427" w:type="pct"/>
          </w:tcPr>
          <w:p w14:paraId="64720980" w14:textId="77777777" w:rsidR="00CF13DB" w:rsidRPr="00AC33C0" w:rsidRDefault="00CF13DB" w:rsidP="001C3A7B">
            <w:pPr>
              <w:pStyle w:val="TableBody"/>
              <w:rPr>
                <w:rStyle w:val="Strong"/>
              </w:rPr>
            </w:pPr>
            <w:r w:rsidRPr="00AC33C0">
              <w:rPr>
                <w:rStyle w:val="Strong"/>
              </w:rPr>
              <w:t>463 </w:t>
            </w:r>
          </w:p>
        </w:tc>
      </w:tr>
      <w:tr w:rsidR="00CF13DB" w:rsidRPr="00D36673" w14:paraId="399139FD" w14:textId="77777777" w:rsidTr="00E6572F">
        <w:trPr>
          <w:trHeight w:val="60"/>
          <w:tblHeader/>
        </w:trPr>
        <w:tc>
          <w:tcPr>
            <w:tcW w:w="657" w:type="pct"/>
          </w:tcPr>
          <w:p w14:paraId="32032D60" w14:textId="3DC30446" w:rsidR="00CF13DB" w:rsidRPr="0000740A" w:rsidRDefault="00CF13DB" w:rsidP="0000740A">
            <w:pPr>
              <w:pStyle w:val="TableHeading"/>
              <w:rPr>
                <w:rStyle w:val="Strong"/>
                <w:b/>
                <w:bCs w:val="0"/>
              </w:rPr>
            </w:pPr>
            <w:r w:rsidRPr="0000740A">
              <w:rPr>
                <w:rStyle w:val="Strong"/>
                <w:b/>
                <w:bCs w:val="0"/>
              </w:rPr>
              <w:t>4 subsequent sentences</w:t>
            </w:r>
          </w:p>
        </w:tc>
        <w:tc>
          <w:tcPr>
            <w:tcW w:w="566" w:type="pct"/>
          </w:tcPr>
          <w:p w14:paraId="3EF08C46" w14:textId="77777777" w:rsidR="00CF13DB" w:rsidRPr="00D36673" w:rsidRDefault="00CF13DB" w:rsidP="0024118B">
            <w:pPr>
              <w:pStyle w:val="TableBody"/>
            </w:pPr>
            <w:r w:rsidRPr="00D36673">
              <w:t>59 </w:t>
            </w:r>
          </w:p>
        </w:tc>
        <w:tc>
          <w:tcPr>
            <w:tcW w:w="519" w:type="pct"/>
          </w:tcPr>
          <w:p w14:paraId="2D422F73" w14:textId="77777777" w:rsidR="00CF13DB" w:rsidRPr="00D36673" w:rsidRDefault="00CF13DB" w:rsidP="0024118B">
            <w:pPr>
              <w:pStyle w:val="TableBody"/>
            </w:pPr>
            <w:r w:rsidRPr="00D36673">
              <w:t>62 </w:t>
            </w:r>
          </w:p>
        </w:tc>
        <w:tc>
          <w:tcPr>
            <w:tcW w:w="566" w:type="pct"/>
          </w:tcPr>
          <w:p w14:paraId="5F231655" w14:textId="77777777" w:rsidR="00CF13DB" w:rsidRPr="00D36673" w:rsidRDefault="00CF13DB" w:rsidP="0024118B">
            <w:pPr>
              <w:pStyle w:val="TableBody"/>
            </w:pPr>
            <w:r w:rsidRPr="00D36673">
              <w:t>53 </w:t>
            </w:r>
          </w:p>
        </w:tc>
        <w:tc>
          <w:tcPr>
            <w:tcW w:w="566" w:type="pct"/>
          </w:tcPr>
          <w:p w14:paraId="601CA6A0" w14:textId="77777777" w:rsidR="00CF13DB" w:rsidRPr="00D36673" w:rsidRDefault="00CF13DB" w:rsidP="0024118B">
            <w:pPr>
              <w:pStyle w:val="TableBody"/>
            </w:pPr>
            <w:r w:rsidRPr="00D36673">
              <w:t>32 </w:t>
            </w:r>
          </w:p>
        </w:tc>
        <w:tc>
          <w:tcPr>
            <w:tcW w:w="566" w:type="pct"/>
          </w:tcPr>
          <w:p w14:paraId="4631299B" w14:textId="77777777" w:rsidR="00CF13DB" w:rsidRPr="00D36673" w:rsidRDefault="00CF13DB" w:rsidP="0024118B">
            <w:pPr>
              <w:pStyle w:val="TableBody"/>
            </w:pPr>
            <w:r w:rsidRPr="00D36673">
              <w:t>18 </w:t>
            </w:r>
          </w:p>
        </w:tc>
        <w:tc>
          <w:tcPr>
            <w:tcW w:w="566" w:type="pct"/>
          </w:tcPr>
          <w:p w14:paraId="67160536" w14:textId="77777777" w:rsidR="00CF13DB" w:rsidRPr="00D36673" w:rsidRDefault="00CF13DB" w:rsidP="0024118B">
            <w:pPr>
              <w:pStyle w:val="TableBody"/>
            </w:pPr>
            <w:r w:rsidRPr="00D36673">
              <w:t>14 </w:t>
            </w:r>
          </w:p>
        </w:tc>
        <w:tc>
          <w:tcPr>
            <w:tcW w:w="566" w:type="pct"/>
          </w:tcPr>
          <w:p w14:paraId="52D2C3A7" w14:textId="77777777" w:rsidR="00CF13DB" w:rsidRPr="00D36673" w:rsidRDefault="00CF13DB" w:rsidP="0024118B">
            <w:pPr>
              <w:pStyle w:val="TableBody"/>
            </w:pPr>
            <w:r w:rsidRPr="00D36673">
              <w:t>19 </w:t>
            </w:r>
          </w:p>
        </w:tc>
        <w:tc>
          <w:tcPr>
            <w:tcW w:w="427" w:type="pct"/>
          </w:tcPr>
          <w:p w14:paraId="7AA8D21A" w14:textId="77777777" w:rsidR="00CF13DB" w:rsidRPr="00AC33C0" w:rsidRDefault="00CF13DB" w:rsidP="001C3A7B">
            <w:pPr>
              <w:pStyle w:val="TableBody"/>
              <w:rPr>
                <w:rStyle w:val="Strong"/>
              </w:rPr>
            </w:pPr>
            <w:r w:rsidRPr="00AC33C0">
              <w:rPr>
                <w:rStyle w:val="Strong"/>
              </w:rPr>
              <w:t>257 </w:t>
            </w:r>
          </w:p>
        </w:tc>
      </w:tr>
      <w:tr w:rsidR="00CF13DB" w:rsidRPr="00D36673" w14:paraId="5CF189F1" w14:textId="77777777" w:rsidTr="00E6572F">
        <w:trPr>
          <w:trHeight w:val="60"/>
          <w:tblHeader/>
        </w:trPr>
        <w:tc>
          <w:tcPr>
            <w:tcW w:w="657" w:type="pct"/>
          </w:tcPr>
          <w:p w14:paraId="75D278FD" w14:textId="5CFE2E34" w:rsidR="00CF13DB" w:rsidRPr="0000740A" w:rsidRDefault="00CF13DB" w:rsidP="0000740A">
            <w:pPr>
              <w:pStyle w:val="TableHeading"/>
              <w:rPr>
                <w:rStyle w:val="Strong"/>
                <w:b/>
                <w:bCs w:val="0"/>
              </w:rPr>
            </w:pPr>
            <w:r w:rsidRPr="0000740A">
              <w:rPr>
                <w:rStyle w:val="Strong"/>
                <w:b/>
                <w:bCs w:val="0"/>
              </w:rPr>
              <w:t>5 subsequent sentences</w:t>
            </w:r>
          </w:p>
        </w:tc>
        <w:tc>
          <w:tcPr>
            <w:tcW w:w="566" w:type="pct"/>
          </w:tcPr>
          <w:p w14:paraId="26787FB7" w14:textId="77777777" w:rsidR="00CF13DB" w:rsidRPr="00D36673" w:rsidRDefault="00CF13DB" w:rsidP="0024118B">
            <w:pPr>
              <w:pStyle w:val="TableBody"/>
            </w:pPr>
            <w:r w:rsidRPr="00D36673">
              <w:t>28 </w:t>
            </w:r>
          </w:p>
        </w:tc>
        <w:tc>
          <w:tcPr>
            <w:tcW w:w="519" w:type="pct"/>
          </w:tcPr>
          <w:p w14:paraId="77C8686B" w14:textId="77777777" w:rsidR="00CF13DB" w:rsidRPr="00D36673" w:rsidRDefault="00CF13DB" w:rsidP="0024118B">
            <w:pPr>
              <w:pStyle w:val="TableBody"/>
            </w:pPr>
            <w:r w:rsidRPr="00D36673">
              <w:t>47 </w:t>
            </w:r>
          </w:p>
        </w:tc>
        <w:tc>
          <w:tcPr>
            <w:tcW w:w="566" w:type="pct"/>
          </w:tcPr>
          <w:p w14:paraId="5E5AC203" w14:textId="77777777" w:rsidR="00CF13DB" w:rsidRPr="00D36673" w:rsidRDefault="00CF13DB" w:rsidP="0024118B">
            <w:pPr>
              <w:pStyle w:val="TableBody"/>
            </w:pPr>
            <w:r w:rsidRPr="00D36673">
              <w:t>26 </w:t>
            </w:r>
          </w:p>
        </w:tc>
        <w:tc>
          <w:tcPr>
            <w:tcW w:w="566" w:type="pct"/>
          </w:tcPr>
          <w:p w14:paraId="5AD1D1B8" w14:textId="77777777" w:rsidR="00CF13DB" w:rsidRPr="00D36673" w:rsidRDefault="00CF13DB" w:rsidP="0024118B">
            <w:pPr>
              <w:pStyle w:val="TableBody"/>
            </w:pPr>
            <w:r w:rsidRPr="00D36673">
              <w:t>8 </w:t>
            </w:r>
          </w:p>
        </w:tc>
        <w:tc>
          <w:tcPr>
            <w:tcW w:w="566" w:type="pct"/>
          </w:tcPr>
          <w:p w14:paraId="3E675783" w14:textId="77777777" w:rsidR="00CF13DB" w:rsidRPr="00D36673" w:rsidRDefault="00CF13DB" w:rsidP="0024118B">
            <w:pPr>
              <w:pStyle w:val="TableBody"/>
            </w:pPr>
            <w:r w:rsidRPr="00D36673">
              <w:t>11 </w:t>
            </w:r>
          </w:p>
        </w:tc>
        <w:tc>
          <w:tcPr>
            <w:tcW w:w="566" w:type="pct"/>
          </w:tcPr>
          <w:p w14:paraId="1D950400" w14:textId="77777777" w:rsidR="00CF13DB" w:rsidRPr="00D36673" w:rsidRDefault="00CF13DB" w:rsidP="0024118B">
            <w:pPr>
              <w:pStyle w:val="TableBody"/>
            </w:pPr>
            <w:r w:rsidRPr="00D36673">
              <w:t>7 </w:t>
            </w:r>
          </w:p>
        </w:tc>
        <w:tc>
          <w:tcPr>
            <w:tcW w:w="566" w:type="pct"/>
          </w:tcPr>
          <w:p w14:paraId="78C72B72" w14:textId="77777777" w:rsidR="00CF13DB" w:rsidRPr="00D36673" w:rsidRDefault="00CF13DB" w:rsidP="0024118B">
            <w:pPr>
              <w:pStyle w:val="TableBody"/>
            </w:pPr>
            <w:r w:rsidRPr="00D36673">
              <w:t>9 </w:t>
            </w:r>
          </w:p>
        </w:tc>
        <w:tc>
          <w:tcPr>
            <w:tcW w:w="427" w:type="pct"/>
          </w:tcPr>
          <w:p w14:paraId="0BDA9E24" w14:textId="77777777" w:rsidR="00CF13DB" w:rsidRPr="00AC33C0" w:rsidRDefault="00CF13DB" w:rsidP="001C3A7B">
            <w:pPr>
              <w:pStyle w:val="TableBody"/>
              <w:rPr>
                <w:rStyle w:val="Strong"/>
              </w:rPr>
            </w:pPr>
            <w:r w:rsidRPr="00AC33C0">
              <w:rPr>
                <w:rStyle w:val="Strong"/>
              </w:rPr>
              <w:t>136 </w:t>
            </w:r>
          </w:p>
        </w:tc>
      </w:tr>
      <w:tr w:rsidR="00CF13DB" w:rsidRPr="00D36673" w14:paraId="79281019" w14:textId="77777777" w:rsidTr="00E6572F">
        <w:trPr>
          <w:trHeight w:val="60"/>
          <w:tblHeader/>
        </w:trPr>
        <w:tc>
          <w:tcPr>
            <w:tcW w:w="657" w:type="pct"/>
          </w:tcPr>
          <w:p w14:paraId="45A09FBF" w14:textId="019971D0" w:rsidR="00CF13DB" w:rsidRPr="0000740A" w:rsidRDefault="00CF13DB" w:rsidP="0000740A">
            <w:pPr>
              <w:pStyle w:val="TableHeading"/>
              <w:rPr>
                <w:rStyle w:val="Strong"/>
                <w:b/>
                <w:bCs w:val="0"/>
              </w:rPr>
            </w:pPr>
            <w:r w:rsidRPr="0000740A">
              <w:rPr>
                <w:rStyle w:val="Strong"/>
                <w:b/>
                <w:bCs w:val="0"/>
              </w:rPr>
              <w:t>&gt; 5 subsequent sentences</w:t>
            </w:r>
          </w:p>
        </w:tc>
        <w:tc>
          <w:tcPr>
            <w:tcW w:w="566" w:type="pct"/>
          </w:tcPr>
          <w:p w14:paraId="3E1D4332" w14:textId="77777777" w:rsidR="00CF13DB" w:rsidRPr="00D36673" w:rsidRDefault="00CF13DB" w:rsidP="0024118B">
            <w:pPr>
              <w:pStyle w:val="TableBody"/>
            </w:pPr>
            <w:r w:rsidRPr="00D36673">
              <w:t>31 </w:t>
            </w:r>
          </w:p>
        </w:tc>
        <w:tc>
          <w:tcPr>
            <w:tcW w:w="519" w:type="pct"/>
          </w:tcPr>
          <w:p w14:paraId="03A7A2B8" w14:textId="77777777" w:rsidR="00CF13DB" w:rsidRPr="00D36673" w:rsidRDefault="00CF13DB" w:rsidP="0024118B">
            <w:pPr>
              <w:pStyle w:val="TableBody"/>
            </w:pPr>
            <w:r w:rsidRPr="00D36673">
              <w:t>32 </w:t>
            </w:r>
          </w:p>
        </w:tc>
        <w:tc>
          <w:tcPr>
            <w:tcW w:w="566" w:type="pct"/>
          </w:tcPr>
          <w:p w14:paraId="511A203E" w14:textId="77777777" w:rsidR="00CF13DB" w:rsidRPr="00D36673" w:rsidRDefault="00CF13DB" w:rsidP="0024118B">
            <w:pPr>
              <w:pStyle w:val="TableBody"/>
            </w:pPr>
            <w:r w:rsidRPr="00D36673">
              <w:t>26 </w:t>
            </w:r>
          </w:p>
        </w:tc>
        <w:tc>
          <w:tcPr>
            <w:tcW w:w="566" w:type="pct"/>
          </w:tcPr>
          <w:p w14:paraId="7253DB96" w14:textId="77777777" w:rsidR="00CF13DB" w:rsidRPr="00D36673" w:rsidRDefault="00CF13DB" w:rsidP="0024118B">
            <w:pPr>
              <w:pStyle w:val="TableBody"/>
            </w:pPr>
            <w:r w:rsidRPr="00D36673">
              <w:t>20 </w:t>
            </w:r>
          </w:p>
        </w:tc>
        <w:tc>
          <w:tcPr>
            <w:tcW w:w="566" w:type="pct"/>
          </w:tcPr>
          <w:p w14:paraId="161C0D5E" w14:textId="77777777" w:rsidR="00CF13DB" w:rsidRPr="00D36673" w:rsidRDefault="00CF13DB" w:rsidP="0024118B">
            <w:pPr>
              <w:pStyle w:val="TableBody"/>
            </w:pPr>
            <w:r w:rsidRPr="00D36673">
              <w:t>14 </w:t>
            </w:r>
          </w:p>
        </w:tc>
        <w:tc>
          <w:tcPr>
            <w:tcW w:w="566" w:type="pct"/>
          </w:tcPr>
          <w:p w14:paraId="4D399D00" w14:textId="77777777" w:rsidR="00CF13DB" w:rsidRPr="00D36673" w:rsidRDefault="00CF13DB" w:rsidP="0024118B">
            <w:pPr>
              <w:pStyle w:val="TableBody"/>
            </w:pPr>
            <w:r w:rsidRPr="00D36673">
              <w:t>12 </w:t>
            </w:r>
          </w:p>
        </w:tc>
        <w:tc>
          <w:tcPr>
            <w:tcW w:w="566" w:type="pct"/>
          </w:tcPr>
          <w:p w14:paraId="3648D846" w14:textId="77777777" w:rsidR="00CF13DB" w:rsidRPr="00D36673" w:rsidRDefault="00CF13DB" w:rsidP="0024118B">
            <w:pPr>
              <w:pStyle w:val="TableBody"/>
            </w:pPr>
            <w:r w:rsidRPr="00D36673">
              <w:t>21 </w:t>
            </w:r>
          </w:p>
        </w:tc>
        <w:tc>
          <w:tcPr>
            <w:tcW w:w="427" w:type="pct"/>
          </w:tcPr>
          <w:p w14:paraId="239DD604" w14:textId="77777777" w:rsidR="00CF13DB" w:rsidRPr="00AC33C0" w:rsidRDefault="00CF13DB" w:rsidP="001C3A7B">
            <w:pPr>
              <w:pStyle w:val="TableBody"/>
              <w:rPr>
                <w:rStyle w:val="Strong"/>
              </w:rPr>
            </w:pPr>
            <w:r w:rsidRPr="00AC33C0">
              <w:rPr>
                <w:rStyle w:val="Strong"/>
              </w:rPr>
              <w:t>156 </w:t>
            </w:r>
          </w:p>
        </w:tc>
      </w:tr>
      <w:tr w:rsidR="00CF13DB" w:rsidRPr="00D36673" w14:paraId="06576F8D" w14:textId="77777777" w:rsidTr="00E6572F">
        <w:trPr>
          <w:trHeight w:val="60"/>
          <w:tblHeader/>
        </w:trPr>
        <w:tc>
          <w:tcPr>
            <w:tcW w:w="657" w:type="pct"/>
          </w:tcPr>
          <w:p w14:paraId="0CE36246" w14:textId="0E27A418" w:rsidR="00CF13DB" w:rsidRPr="0000740A" w:rsidRDefault="00CF13DB" w:rsidP="0000740A">
            <w:pPr>
              <w:pStyle w:val="TableHeading"/>
            </w:pPr>
            <w:r w:rsidRPr="0000740A">
              <w:t>Total</w:t>
            </w:r>
          </w:p>
        </w:tc>
        <w:tc>
          <w:tcPr>
            <w:tcW w:w="566" w:type="pct"/>
          </w:tcPr>
          <w:p w14:paraId="0A3DE01D" w14:textId="77777777" w:rsidR="00CF13DB" w:rsidRPr="00AC33C0" w:rsidRDefault="00CF13DB" w:rsidP="001C3A7B">
            <w:pPr>
              <w:pStyle w:val="TableBody"/>
              <w:rPr>
                <w:rStyle w:val="Strong"/>
              </w:rPr>
            </w:pPr>
            <w:r w:rsidRPr="00AC33C0">
              <w:rPr>
                <w:rStyle w:val="Strong"/>
              </w:rPr>
              <w:t>2,475 </w:t>
            </w:r>
          </w:p>
        </w:tc>
        <w:tc>
          <w:tcPr>
            <w:tcW w:w="519" w:type="pct"/>
          </w:tcPr>
          <w:p w14:paraId="02CB735C" w14:textId="77777777" w:rsidR="00CF13DB" w:rsidRPr="00AC33C0" w:rsidRDefault="00CF13DB" w:rsidP="001C3A7B">
            <w:pPr>
              <w:pStyle w:val="TableBody"/>
              <w:rPr>
                <w:rStyle w:val="Strong"/>
              </w:rPr>
            </w:pPr>
            <w:r w:rsidRPr="00AC33C0">
              <w:rPr>
                <w:rStyle w:val="Strong"/>
              </w:rPr>
              <w:t>1,198 </w:t>
            </w:r>
          </w:p>
        </w:tc>
        <w:tc>
          <w:tcPr>
            <w:tcW w:w="566" w:type="pct"/>
          </w:tcPr>
          <w:p w14:paraId="52153416" w14:textId="77777777" w:rsidR="00CF13DB" w:rsidRPr="00AC33C0" w:rsidRDefault="00CF13DB" w:rsidP="001C3A7B">
            <w:pPr>
              <w:pStyle w:val="TableBody"/>
              <w:rPr>
                <w:rStyle w:val="Strong"/>
              </w:rPr>
            </w:pPr>
            <w:r w:rsidRPr="00AC33C0">
              <w:rPr>
                <w:rStyle w:val="Strong"/>
              </w:rPr>
              <w:t>711 </w:t>
            </w:r>
          </w:p>
        </w:tc>
        <w:tc>
          <w:tcPr>
            <w:tcW w:w="566" w:type="pct"/>
          </w:tcPr>
          <w:p w14:paraId="127C1B85" w14:textId="77777777" w:rsidR="00CF13DB" w:rsidRPr="00AC33C0" w:rsidRDefault="00CF13DB" w:rsidP="001C3A7B">
            <w:pPr>
              <w:pStyle w:val="TableBody"/>
              <w:rPr>
                <w:rStyle w:val="Strong"/>
              </w:rPr>
            </w:pPr>
            <w:r w:rsidRPr="00AC33C0">
              <w:rPr>
                <w:rStyle w:val="Strong"/>
              </w:rPr>
              <w:t>348 </w:t>
            </w:r>
          </w:p>
        </w:tc>
        <w:tc>
          <w:tcPr>
            <w:tcW w:w="566" w:type="pct"/>
          </w:tcPr>
          <w:p w14:paraId="3E387A89" w14:textId="77777777" w:rsidR="00CF13DB" w:rsidRPr="00AC33C0" w:rsidRDefault="00CF13DB" w:rsidP="001C3A7B">
            <w:pPr>
              <w:pStyle w:val="TableBody"/>
              <w:rPr>
                <w:rStyle w:val="Strong"/>
              </w:rPr>
            </w:pPr>
            <w:r w:rsidRPr="00AC33C0">
              <w:rPr>
                <w:rStyle w:val="Strong"/>
              </w:rPr>
              <w:t>181 </w:t>
            </w:r>
          </w:p>
        </w:tc>
        <w:tc>
          <w:tcPr>
            <w:tcW w:w="566" w:type="pct"/>
          </w:tcPr>
          <w:p w14:paraId="17C19C9C" w14:textId="77777777" w:rsidR="00CF13DB" w:rsidRPr="00AC33C0" w:rsidRDefault="00CF13DB" w:rsidP="001C3A7B">
            <w:pPr>
              <w:pStyle w:val="TableBody"/>
              <w:rPr>
                <w:rStyle w:val="Strong"/>
              </w:rPr>
            </w:pPr>
            <w:r w:rsidRPr="00AC33C0">
              <w:rPr>
                <w:rStyle w:val="Strong"/>
              </w:rPr>
              <w:t>109 </w:t>
            </w:r>
          </w:p>
        </w:tc>
        <w:tc>
          <w:tcPr>
            <w:tcW w:w="566" w:type="pct"/>
          </w:tcPr>
          <w:p w14:paraId="79A1C10B" w14:textId="77777777" w:rsidR="00CF13DB" w:rsidRPr="00AC33C0" w:rsidRDefault="00CF13DB" w:rsidP="001C3A7B">
            <w:pPr>
              <w:pStyle w:val="TableBody"/>
              <w:rPr>
                <w:rStyle w:val="Strong"/>
              </w:rPr>
            </w:pPr>
            <w:r w:rsidRPr="00AC33C0">
              <w:rPr>
                <w:rStyle w:val="Strong"/>
              </w:rPr>
              <w:t>102 </w:t>
            </w:r>
          </w:p>
        </w:tc>
        <w:tc>
          <w:tcPr>
            <w:tcW w:w="427" w:type="pct"/>
          </w:tcPr>
          <w:p w14:paraId="4D77C1ED" w14:textId="77777777" w:rsidR="00CF13DB" w:rsidRPr="00AC33C0" w:rsidRDefault="00CF13DB" w:rsidP="001C3A7B">
            <w:pPr>
              <w:pStyle w:val="TableBody"/>
              <w:rPr>
                <w:rStyle w:val="Strong"/>
              </w:rPr>
            </w:pPr>
            <w:r w:rsidRPr="00AC33C0">
              <w:rPr>
                <w:rStyle w:val="Strong"/>
              </w:rPr>
              <w:t>5,124  </w:t>
            </w:r>
          </w:p>
        </w:tc>
      </w:tr>
    </w:tbl>
    <w:p w14:paraId="2159BB15" w14:textId="77777777" w:rsidR="00F518F7" w:rsidRDefault="00F518F7" w:rsidP="003724FA">
      <w:pPr>
        <w:sectPr w:rsidR="00F518F7" w:rsidSect="00F518F7">
          <w:pgSz w:w="16838" w:h="11906" w:orient="landscape"/>
          <w:pgMar w:top="1440" w:right="1440" w:bottom="1440" w:left="1440" w:header="720" w:footer="720" w:gutter="0"/>
          <w:cols w:space="720"/>
          <w:noEndnote/>
          <w:docGrid w:linePitch="326"/>
        </w:sectPr>
      </w:pPr>
    </w:p>
    <w:p w14:paraId="558863EE" w14:textId="77777777" w:rsidR="005A3418" w:rsidRPr="00D36673" w:rsidRDefault="005A3418" w:rsidP="0018415B">
      <w:pPr>
        <w:pStyle w:val="Numbered"/>
      </w:pPr>
      <w:r w:rsidRPr="00D36673">
        <w:lastRenderedPageBreak/>
        <w:t>Stakeholders commented that the combination of high rates of imprisonment (see [5.2]–[5.8]) with high rates of reoffending suggested that sentencing was not operating as an effective intervention to stem reoffending. And indeed, for some types of threat offenders, ongoing offending could not realistically be addressed using a specific deterrence-focused approach. On the other hand, stakeholders saw possible opportunities to reduce reoffending – particularly poverty-related offending – using therapeutic and rehabilitative outcomes and supports.</w:t>
      </w:r>
      <w:r w:rsidRPr="00D36673">
        <w:rPr>
          <w:rStyle w:val="Superscript"/>
        </w:rPr>
        <w:footnoteReference w:id="182"/>
      </w:r>
    </w:p>
    <w:p w14:paraId="6C6E8377" w14:textId="77777777" w:rsidR="005A3418" w:rsidRPr="00D36673" w:rsidRDefault="005A3418" w:rsidP="0086723D">
      <w:pPr>
        <w:pStyle w:val="Heading2"/>
      </w:pPr>
      <w:r w:rsidRPr="00D36673">
        <w:t>Prior and subsequent sentence rates by gender, age, family violence indicator, threat offence type and court</w:t>
      </w:r>
    </w:p>
    <w:p w14:paraId="66B65C8C" w14:textId="77777777" w:rsidR="005A3418" w:rsidRPr="00D36673" w:rsidRDefault="005A3418" w:rsidP="0018415B">
      <w:pPr>
        <w:pStyle w:val="Numbered"/>
      </w:pPr>
      <w:r w:rsidRPr="00D36673">
        <w:t>Table 8 displays the percentage of threat offenders who were sentenced in the three years before or after they were sentenced for a threat offence.</w:t>
      </w:r>
      <w:r w:rsidRPr="00D36673">
        <w:rPr>
          <w:rStyle w:val="Superscript"/>
        </w:rPr>
        <w:footnoteReference w:id="183"/>
      </w:r>
      <w:r w:rsidRPr="00D36673">
        <w:t xml:space="preserve"> It shows the rates for certain categories (gender, age, family violence indicator and threat offence type). It also shows the rate at which threat offenders were subsequently sentenced for a </w:t>
      </w:r>
      <w:r w:rsidRPr="00A24E18">
        <w:rPr>
          <w:rStyle w:val="Emphasis"/>
        </w:rPr>
        <w:t>violent offence</w:t>
      </w:r>
      <w:r w:rsidRPr="00D36673">
        <w:t>.</w:t>
      </w:r>
      <w:r w:rsidRPr="00D36673">
        <w:rPr>
          <w:rStyle w:val="Superscript"/>
        </w:rPr>
        <w:footnoteReference w:id="184"/>
      </w:r>
      <w:r w:rsidRPr="00D36673">
        <w:t xml:space="preserve"> </w:t>
      </w:r>
    </w:p>
    <w:p w14:paraId="7D094B7C" w14:textId="77777777" w:rsidR="005A3418" w:rsidRPr="00D36673" w:rsidRDefault="005A3418" w:rsidP="00711AFB">
      <w:pPr>
        <w:pStyle w:val="Caption"/>
      </w:pPr>
      <w:r w:rsidRPr="00C9259E">
        <w:t xml:space="preserve">Table 8: </w:t>
      </w:r>
      <w:r w:rsidRPr="00D36673">
        <w:t>Percentage of offenders sentenced for a threat offence in 2015 or 2016 and sentenced on another occasion in the three years before and after their index threat offence, by gender, age, family violence indicator and threat offence type, all courts</w:t>
      </w:r>
    </w:p>
    <w:tbl>
      <w:tblPr>
        <w:tblStyle w:val="Table"/>
        <w:tblW w:w="5000" w:type="pct"/>
        <w:tblLook w:val="0020" w:firstRow="1" w:lastRow="0" w:firstColumn="0" w:lastColumn="0" w:noHBand="0" w:noVBand="0"/>
      </w:tblPr>
      <w:tblGrid>
        <w:gridCol w:w="1804"/>
        <w:gridCol w:w="1803"/>
        <w:gridCol w:w="1803"/>
        <w:gridCol w:w="1803"/>
        <w:gridCol w:w="1803"/>
      </w:tblGrid>
      <w:tr w:rsidR="005A3418" w:rsidRPr="00D36673" w14:paraId="70388EB4" w14:textId="77777777" w:rsidTr="00E6572F">
        <w:trPr>
          <w:trHeight w:val="60"/>
          <w:tblHeader/>
        </w:trPr>
        <w:tc>
          <w:tcPr>
            <w:tcW w:w="1000" w:type="pct"/>
          </w:tcPr>
          <w:p w14:paraId="68A1D213" w14:textId="77777777" w:rsidR="005A3418" w:rsidRPr="00D36673" w:rsidRDefault="005A3418" w:rsidP="009B08D4">
            <w:pPr>
              <w:pStyle w:val="TableHeading"/>
            </w:pPr>
            <w:r w:rsidRPr="00D36673">
              <w:t>Group</w:t>
            </w:r>
          </w:p>
        </w:tc>
        <w:tc>
          <w:tcPr>
            <w:tcW w:w="1000" w:type="pct"/>
          </w:tcPr>
          <w:p w14:paraId="230510D3" w14:textId="77777777" w:rsidR="005A3418" w:rsidRPr="00D36673" w:rsidRDefault="005A3418" w:rsidP="009B08D4">
            <w:pPr>
              <w:pStyle w:val="TableHeading"/>
            </w:pPr>
            <w:r w:rsidRPr="00D36673">
              <w:t>Total (n)</w:t>
            </w:r>
          </w:p>
        </w:tc>
        <w:tc>
          <w:tcPr>
            <w:tcW w:w="1000" w:type="pct"/>
          </w:tcPr>
          <w:p w14:paraId="1463340A" w14:textId="77777777" w:rsidR="005A3418" w:rsidRPr="00D36673" w:rsidRDefault="005A3418" w:rsidP="009B08D4">
            <w:pPr>
              <w:pStyle w:val="TableHeading"/>
            </w:pPr>
            <w:r w:rsidRPr="00D36673">
              <w:t>Prior sentence</w:t>
            </w:r>
          </w:p>
        </w:tc>
        <w:tc>
          <w:tcPr>
            <w:tcW w:w="1000" w:type="pct"/>
          </w:tcPr>
          <w:p w14:paraId="3CD01EC0" w14:textId="77777777" w:rsidR="005A3418" w:rsidRPr="00D36673" w:rsidRDefault="005A3418" w:rsidP="009B08D4">
            <w:pPr>
              <w:pStyle w:val="TableHeading"/>
            </w:pPr>
            <w:r w:rsidRPr="00D36673">
              <w:t>Subsequent sentence</w:t>
            </w:r>
          </w:p>
        </w:tc>
        <w:tc>
          <w:tcPr>
            <w:tcW w:w="1000" w:type="pct"/>
          </w:tcPr>
          <w:p w14:paraId="173891A8" w14:textId="77777777" w:rsidR="005A3418" w:rsidRPr="00D36673" w:rsidRDefault="005A3418" w:rsidP="009B08D4">
            <w:pPr>
              <w:pStyle w:val="TableHeading"/>
            </w:pPr>
            <w:r w:rsidRPr="00D36673">
              <w:t>Subsequent sentence involving a violent offence</w:t>
            </w:r>
          </w:p>
        </w:tc>
      </w:tr>
      <w:tr w:rsidR="005A3418" w:rsidRPr="00D36673" w14:paraId="6F6A2B26" w14:textId="77777777" w:rsidTr="00E6572F">
        <w:trPr>
          <w:trHeight w:val="60"/>
        </w:trPr>
        <w:tc>
          <w:tcPr>
            <w:tcW w:w="1000" w:type="pct"/>
          </w:tcPr>
          <w:p w14:paraId="44C783D4" w14:textId="77777777" w:rsidR="005A3418" w:rsidRPr="00D36673" w:rsidRDefault="005A3418" w:rsidP="00AC33C0">
            <w:pPr>
              <w:pStyle w:val="TableBody"/>
            </w:pPr>
            <w:r w:rsidRPr="00D36673">
              <w:t>All threat offenders</w:t>
            </w:r>
          </w:p>
        </w:tc>
        <w:tc>
          <w:tcPr>
            <w:tcW w:w="1000" w:type="pct"/>
          </w:tcPr>
          <w:p w14:paraId="35194058" w14:textId="77777777" w:rsidR="005A3418" w:rsidRPr="00D36673" w:rsidRDefault="005A3418" w:rsidP="0024118B">
            <w:pPr>
              <w:pStyle w:val="TableBody"/>
            </w:pPr>
            <w:r w:rsidRPr="00D36673">
              <w:t>5,124</w:t>
            </w:r>
          </w:p>
        </w:tc>
        <w:tc>
          <w:tcPr>
            <w:tcW w:w="1000" w:type="pct"/>
          </w:tcPr>
          <w:p w14:paraId="24C65220" w14:textId="77777777" w:rsidR="005A3418" w:rsidRPr="00D36673" w:rsidRDefault="005A3418" w:rsidP="0024118B">
            <w:pPr>
              <w:pStyle w:val="TableBody"/>
            </w:pPr>
            <w:r w:rsidRPr="00D36673">
              <w:t>52%</w:t>
            </w:r>
          </w:p>
        </w:tc>
        <w:tc>
          <w:tcPr>
            <w:tcW w:w="1000" w:type="pct"/>
          </w:tcPr>
          <w:p w14:paraId="67496D84" w14:textId="77777777" w:rsidR="005A3418" w:rsidRPr="00D36673" w:rsidRDefault="005A3418" w:rsidP="0024118B">
            <w:pPr>
              <w:pStyle w:val="TableBody"/>
            </w:pPr>
            <w:r w:rsidRPr="00D36673">
              <w:t>58%</w:t>
            </w:r>
          </w:p>
        </w:tc>
        <w:tc>
          <w:tcPr>
            <w:tcW w:w="1000" w:type="pct"/>
          </w:tcPr>
          <w:p w14:paraId="06FB3D45" w14:textId="77777777" w:rsidR="005A3418" w:rsidRPr="00D36673" w:rsidRDefault="005A3418" w:rsidP="0024118B">
            <w:pPr>
              <w:pStyle w:val="TableBody"/>
            </w:pPr>
            <w:r w:rsidRPr="00D36673">
              <w:t>32%</w:t>
            </w:r>
          </w:p>
        </w:tc>
      </w:tr>
      <w:tr w:rsidR="005A3418" w:rsidRPr="00D36673" w14:paraId="16779E43" w14:textId="77777777" w:rsidTr="00E6572F">
        <w:trPr>
          <w:trHeight w:val="60"/>
        </w:trPr>
        <w:tc>
          <w:tcPr>
            <w:tcW w:w="1000" w:type="pct"/>
          </w:tcPr>
          <w:p w14:paraId="57063BA7" w14:textId="77777777" w:rsidR="005A3418" w:rsidRPr="00D36673" w:rsidRDefault="005A3418" w:rsidP="00AC33C0">
            <w:pPr>
              <w:pStyle w:val="TableBody"/>
            </w:pPr>
            <w:r w:rsidRPr="00D36673">
              <w:lastRenderedPageBreak/>
              <w:t>Female</w:t>
            </w:r>
          </w:p>
        </w:tc>
        <w:tc>
          <w:tcPr>
            <w:tcW w:w="1000" w:type="pct"/>
          </w:tcPr>
          <w:p w14:paraId="252B5068" w14:textId="77777777" w:rsidR="005A3418" w:rsidRPr="00D36673" w:rsidRDefault="005A3418" w:rsidP="0024118B">
            <w:pPr>
              <w:pStyle w:val="TableBody"/>
            </w:pPr>
            <w:r w:rsidRPr="00D36673">
              <w:t>582</w:t>
            </w:r>
          </w:p>
        </w:tc>
        <w:tc>
          <w:tcPr>
            <w:tcW w:w="1000" w:type="pct"/>
          </w:tcPr>
          <w:p w14:paraId="09B87E5A" w14:textId="77777777" w:rsidR="005A3418" w:rsidRPr="00D36673" w:rsidRDefault="005A3418" w:rsidP="0024118B">
            <w:pPr>
              <w:pStyle w:val="TableBody"/>
            </w:pPr>
            <w:r w:rsidRPr="00D36673">
              <w:t>39%</w:t>
            </w:r>
          </w:p>
        </w:tc>
        <w:tc>
          <w:tcPr>
            <w:tcW w:w="1000" w:type="pct"/>
          </w:tcPr>
          <w:p w14:paraId="05D3EAA3" w14:textId="77777777" w:rsidR="005A3418" w:rsidRPr="00D36673" w:rsidRDefault="005A3418" w:rsidP="0024118B">
            <w:pPr>
              <w:pStyle w:val="TableBody"/>
            </w:pPr>
            <w:r w:rsidRPr="00D36673">
              <w:t>48%</w:t>
            </w:r>
          </w:p>
        </w:tc>
        <w:tc>
          <w:tcPr>
            <w:tcW w:w="1000" w:type="pct"/>
          </w:tcPr>
          <w:p w14:paraId="2DDD1B93" w14:textId="77777777" w:rsidR="005A3418" w:rsidRPr="00D36673" w:rsidRDefault="005A3418" w:rsidP="0024118B">
            <w:pPr>
              <w:pStyle w:val="TableBody"/>
            </w:pPr>
            <w:r w:rsidRPr="00D36673">
              <w:t>25%</w:t>
            </w:r>
          </w:p>
        </w:tc>
      </w:tr>
      <w:tr w:rsidR="005A3418" w:rsidRPr="00D36673" w14:paraId="3177793B" w14:textId="77777777" w:rsidTr="00E6572F">
        <w:trPr>
          <w:trHeight w:val="60"/>
        </w:trPr>
        <w:tc>
          <w:tcPr>
            <w:tcW w:w="1000" w:type="pct"/>
          </w:tcPr>
          <w:p w14:paraId="05FF2B3D" w14:textId="77777777" w:rsidR="005A3418" w:rsidRPr="00D36673" w:rsidRDefault="005A3418" w:rsidP="00AC33C0">
            <w:pPr>
              <w:pStyle w:val="TableBody"/>
            </w:pPr>
            <w:r w:rsidRPr="00D36673">
              <w:t>Male</w:t>
            </w:r>
          </w:p>
        </w:tc>
        <w:tc>
          <w:tcPr>
            <w:tcW w:w="1000" w:type="pct"/>
          </w:tcPr>
          <w:p w14:paraId="292A6DCC" w14:textId="77777777" w:rsidR="005A3418" w:rsidRPr="00D36673" w:rsidRDefault="005A3418" w:rsidP="0024118B">
            <w:pPr>
              <w:pStyle w:val="TableBody"/>
            </w:pPr>
            <w:r w:rsidRPr="00D36673">
              <w:t>4,455</w:t>
            </w:r>
          </w:p>
        </w:tc>
        <w:tc>
          <w:tcPr>
            <w:tcW w:w="1000" w:type="pct"/>
          </w:tcPr>
          <w:p w14:paraId="5BC2EC25" w14:textId="77777777" w:rsidR="005A3418" w:rsidRPr="00D36673" w:rsidRDefault="005A3418" w:rsidP="0024118B">
            <w:pPr>
              <w:pStyle w:val="TableBody"/>
            </w:pPr>
            <w:r w:rsidRPr="00D36673">
              <w:t>53%</w:t>
            </w:r>
          </w:p>
        </w:tc>
        <w:tc>
          <w:tcPr>
            <w:tcW w:w="1000" w:type="pct"/>
          </w:tcPr>
          <w:p w14:paraId="5FEA3AC1" w14:textId="77777777" w:rsidR="005A3418" w:rsidRPr="00D36673" w:rsidRDefault="005A3418" w:rsidP="0024118B">
            <w:pPr>
              <w:pStyle w:val="TableBody"/>
            </w:pPr>
            <w:r w:rsidRPr="00D36673">
              <w:t>58%</w:t>
            </w:r>
          </w:p>
        </w:tc>
        <w:tc>
          <w:tcPr>
            <w:tcW w:w="1000" w:type="pct"/>
          </w:tcPr>
          <w:p w14:paraId="37DCECDC" w14:textId="77777777" w:rsidR="005A3418" w:rsidRPr="00D36673" w:rsidRDefault="005A3418" w:rsidP="0024118B">
            <w:pPr>
              <w:pStyle w:val="TableBody"/>
            </w:pPr>
            <w:r w:rsidRPr="00D36673">
              <w:t>33%</w:t>
            </w:r>
          </w:p>
        </w:tc>
      </w:tr>
      <w:tr w:rsidR="005A3418" w:rsidRPr="00D36673" w14:paraId="4E5479C0" w14:textId="77777777" w:rsidTr="00E6572F">
        <w:trPr>
          <w:trHeight w:val="363"/>
        </w:trPr>
        <w:tc>
          <w:tcPr>
            <w:tcW w:w="1000" w:type="pct"/>
          </w:tcPr>
          <w:p w14:paraId="4F72A6F2" w14:textId="77777777" w:rsidR="005A3418" w:rsidRPr="00D36673" w:rsidRDefault="005A3418" w:rsidP="00AC33C0">
            <w:pPr>
              <w:pStyle w:val="TableBody"/>
            </w:pPr>
            <w:r w:rsidRPr="00D36673">
              <w:t>Children &lt;18 </w:t>
            </w:r>
          </w:p>
        </w:tc>
        <w:tc>
          <w:tcPr>
            <w:tcW w:w="1000" w:type="pct"/>
          </w:tcPr>
          <w:p w14:paraId="7C7B7BEF" w14:textId="77777777" w:rsidR="005A3418" w:rsidRPr="00D36673" w:rsidRDefault="005A3418" w:rsidP="0024118B">
            <w:pPr>
              <w:pStyle w:val="TableBody"/>
            </w:pPr>
            <w:r w:rsidRPr="00D36673">
              <w:t>377</w:t>
            </w:r>
          </w:p>
        </w:tc>
        <w:tc>
          <w:tcPr>
            <w:tcW w:w="1000" w:type="pct"/>
          </w:tcPr>
          <w:p w14:paraId="284E80DA" w14:textId="77777777" w:rsidR="005A3418" w:rsidRPr="00D36673" w:rsidRDefault="005A3418" w:rsidP="0024118B">
            <w:pPr>
              <w:pStyle w:val="TableBody"/>
            </w:pPr>
            <w:r w:rsidRPr="00D36673">
              <w:t>52%</w:t>
            </w:r>
          </w:p>
        </w:tc>
        <w:tc>
          <w:tcPr>
            <w:tcW w:w="1000" w:type="pct"/>
          </w:tcPr>
          <w:p w14:paraId="66B1FCF1" w14:textId="77777777" w:rsidR="005A3418" w:rsidRPr="00D36673" w:rsidRDefault="005A3418" w:rsidP="0024118B">
            <w:pPr>
              <w:pStyle w:val="TableBody"/>
            </w:pPr>
            <w:r w:rsidRPr="00D36673">
              <w:t>80%</w:t>
            </w:r>
          </w:p>
        </w:tc>
        <w:tc>
          <w:tcPr>
            <w:tcW w:w="1000" w:type="pct"/>
          </w:tcPr>
          <w:p w14:paraId="554189E8" w14:textId="77777777" w:rsidR="005A3418" w:rsidRPr="00D36673" w:rsidRDefault="005A3418" w:rsidP="0024118B">
            <w:pPr>
              <w:pStyle w:val="TableBody"/>
            </w:pPr>
            <w:r w:rsidRPr="00D36673">
              <w:t>57%</w:t>
            </w:r>
          </w:p>
        </w:tc>
      </w:tr>
      <w:tr w:rsidR="005A3418" w:rsidRPr="00D36673" w14:paraId="482F94EB" w14:textId="77777777" w:rsidTr="00E6572F">
        <w:trPr>
          <w:trHeight w:val="60"/>
        </w:trPr>
        <w:tc>
          <w:tcPr>
            <w:tcW w:w="1000" w:type="pct"/>
          </w:tcPr>
          <w:p w14:paraId="19CF86E1" w14:textId="77777777" w:rsidR="005A3418" w:rsidRPr="00D36673" w:rsidRDefault="005A3418" w:rsidP="00AC33C0">
            <w:pPr>
              <w:pStyle w:val="TableBody"/>
            </w:pPr>
            <w:r w:rsidRPr="00D36673">
              <w:t>Adults 18+</w:t>
            </w:r>
          </w:p>
        </w:tc>
        <w:tc>
          <w:tcPr>
            <w:tcW w:w="1000" w:type="pct"/>
          </w:tcPr>
          <w:p w14:paraId="49762E32" w14:textId="77777777" w:rsidR="005A3418" w:rsidRPr="00D36673" w:rsidRDefault="005A3418" w:rsidP="0024118B">
            <w:pPr>
              <w:pStyle w:val="TableBody"/>
            </w:pPr>
            <w:r w:rsidRPr="00D36673">
              <w:t>4,733</w:t>
            </w:r>
          </w:p>
        </w:tc>
        <w:tc>
          <w:tcPr>
            <w:tcW w:w="1000" w:type="pct"/>
          </w:tcPr>
          <w:p w14:paraId="55D70071" w14:textId="77777777" w:rsidR="005A3418" w:rsidRPr="00D36673" w:rsidRDefault="005A3418" w:rsidP="0024118B">
            <w:pPr>
              <w:pStyle w:val="TableBody"/>
            </w:pPr>
            <w:r w:rsidRPr="00D36673">
              <w:t>52%</w:t>
            </w:r>
          </w:p>
        </w:tc>
        <w:tc>
          <w:tcPr>
            <w:tcW w:w="1000" w:type="pct"/>
          </w:tcPr>
          <w:p w14:paraId="3438C572" w14:textId="77777777" w:rsidR="005A3418" w:rsidRPr="00D36673" w:rsidRDefault="005A3418" w:rsidP="0024118B">
            <w:pPr>
              <w:pStyle w:val="TableBody"/>
            </w:pPr>
            <w:r w:rsidRPr="00D36673">
              <w:t>56%</w:t>
            </w:r>
          </w:p>
        </w:tc>
        <w:tc>
          <w:tcPr>
            <w:tcW w:w="1000" w:type="pct"/>
          </w:tcPr>
          <w:p w14:paraId="00FB6A74" w14:textId="77777777" w:rsidR="005A3418" w:rsidRPr="00D36673" w:rsidRDefault="005A3418" w:rsidP="0024118B">
            <w:pPr>
              <w:pStyle w:val="TableBody"/>
            </w:pPr>
            <w:r w:rsidRPr="00D36673">
              <w:t>27%</w:t>
            </w:r>
          </w:p>
        </w:tc>
      </w:tr>
      <w:tr w:rsidR="005A3418" w:rsidRPr="00D36673" w14:paraId="37F4E892" w14:textId="77777777" w:rsidTr="00E6572F">
        <w:trPr>
          <w:trHeight w:val="60"/>
        </w:trPr>
        <w:tc>
          <w:tcPr>
            <w:tcW w:w="1000" w:type="pct"/>
          </w:tcPr>
          <w:p w14:paraId="6470DEBA" w14:textId="77777777" w:rsidR="005A3418" w:rsidRPr="00D36673" w:rsidRDefault="005A3418" w:rsidP="00AC33C0">
            <w:pPr>
              <w:pStyle w:val="TableBody"/>
            </w:pPr>
            <w:r w:rsidRPr="00D36673">
              <w:t>Family violence indicator</w:t>
            </w:r>
          </w:p>
        </w:tc>
        <w:tc>
          <w:tcPr>
            <w:tcW w:w="1000" w:type="pct"/>
          </w:tcPr>
          <w:p w14:paraId="591D6554" w14:textId="77777777" w:rsidR="005A3418" w:rsidRPr="00D36673" w:rsidRDefault="005A3418" w:rsidP="0024118B">
            <w:pPr>
              <w:pStyle w:val="TableBody"/>
            </w:pPr>
            <w:r w:rsidRPr="00D36673">
              <w:t>2,582</w:t>
            </w:r>
          </w:p>
        </w:tc>
        <w:tc>
          <w:tcPr>
            <w:tcW w:w="1000" w:type="pct"/>
          </w:tcPr>
          <w:p w14:paraId="57C52699" w14:textId="77777777" w:rsidR="005A3418" w:rsidRPr="00D36673" w:rsidRDefault="005A3418" w:rsidP="0024118B">
            <w:pPr>
              <w:pStyle w:val="TableBody"/>
            </w:pPr>
            <w:r w:rsidRPr="00D36673">
              <w:t>52%</w:t>
            </w:r>
          </w:p>
        </w:tc>
        <w:tc>
          <w:tcPr>
            <w:tcW w:w="1000" w:type="pct"/>
          </w:tcPr>
          <w:p w14:paraId="4166A8AE" w14:textId="77777777" w:rsidR="005A3418" w:rsidRPr="00D36673" w:rsidRDefault="005A3418" w:rsidP="0024118B">
            <w:pPr>
              <w:pStyle w:val="TableBody"/>
            </w:pPr>
            <w:r w:rsidRPr="00D36673">
              <w:t>59%</w:t>
            </w:r>
          </w:p>
        </w:tc>
        <w:tc>
          <w:tcPr>
            <w:tcW w:w="1000" w:type="pct"/>
          </w:tcPr>
          <w:p w14:paraId="1A61E0AC" w14:textId="77777777" w:rsidR="005A3418" w:rsidRPr="00D36673" w:rsidRDefault="005A3418" w:rsidP="0024118B">
            <w:pPr>
              <w:pStyle w:val="TableBody"/>
            </w:pPr>
            <w:r w:rsidRPr="00D36673">
              <w:t>28%</w:t>
            </w:r>
          </w:p>
        </w:tc>
      </w:tr>
      <w:tr w:rsidR="005A3418" w:rsidRPr="00D36673" w14:paraId="07B6F948" w14:textId="77777777" w:rsidTr="00E6572F">
        <w:trPr>
          <w:trHeight w:val="60"/>
        </w:trPr>
        <w:tc>
          <w:tcPr>
            <w:tcW w:w="1000" w:type="pct"/>
          </w:tcPr>
          <w:p w14:paraId="498B0AD2" w14:textId="77777777" w:rsidR="005A3418" w:rsidRPr="00D36673" w:rsidRDefault="005A3418" w:rsidP="00AC33C0">
            <w:pPr>
              <w:pStyle w:val="TableBody"/>
            </w:pPr>
            <w:r w:rsidRPr="00D36673">
              <w:t>No family violence indicator</w:t>
            </w:r>
          </w:p>
        </w:tc>
        <w:tc>
          <w:tcPr>
            <w:tcW w:w="1000" w:type="pct"/>
          </w:tcPr>
          <w:p w14:paraId="762AF5B3" w14:textId="77777777" w:rsidR="005A3418" w:rsidRPr="00D36673" w:rsidRDefault="005A3418" w:rsidP="0024118B">
            <w:pPr>
              <w:pStyle w:val="TableBody"/>
            </w:pPr>
            <w:r w:rsidRPr="00D36673">
              <w:t>2,408</w:t>
            </w:r>
          </w:p>
        </w:tc>
        <w:tc>
          <w:tcPr>
            <w:tcW w:w="1000" w:type="pct"/>
          </w:tcPr>
          <w:p w14:paraId="6920C4F1" w14:textId="77777777" w:rsidR="005A3418" w:rsidRPr="00D36673" w:rsidRDefault="005A3418" w:rsidP="0024118B">
            <w:pPr>
              <w:pStyle w:val="TableBody"/>
            </w:pPr>
            <w:r w:rsidRPr="00D36673">
              <w:t>51%</w:t>
            </w:r>
          </w:p>
        </w:tc>
        <w:tc>
          <w:tcPr>
            <w:tcW w:w="1000" w:type="pct"/>
          </w:tcPr>
          <w:p w14:paraId="29304791" w14:textId="77777777" w:rsidR="005A3418" w:rsidRPr="00D36673" w:rsidRDefault="005A3418" w:rsidP="0024118B">
            <w:pPr>
              <w:pStyle w:val="TableBody"/>
            </w:pPr>
            <w:r w:rsidRPr="00D36673">
              <w:t>56%</w:t>
            </w:r>
          </w:p>
        </w:tc>
        <w:tc>
          <w:tcPr>
            <w:tcW w:w="1000" w:type="pct"/>
          </w:tcPr>
          <w:p w14:paraId="3C363C60" w14:textId="77777777" w:rsidR="005A3418" w:rsidRPr="00D36673" w:rsidRDefault="005A3418" w:rsidP="0024118B">
            <w:pPr>
              <w:pStyle w:val="TableBody"/>
            </w:pPr>
            <w:r w:rsidRPr="00D36673">
              <w:t>30%</w:t>
            </w:r>
          </w:p>
        </w:tc>
      </w:tr>
      <w:tr w:rsidR="005A3418" w:rsidRPr="00D36673" w14:paraId="7427F24C" w14:textId="77777777" w:rsidTr="00E6572F">
        <w:trPr>
          <w:trHeight w:val="60"/>
        </w:trPr>
        <w:tc>
          <w:tcPr>
            <w:tcW w:w="1000" w:type="pct"/>
          </w:tcPr>
          <w:p w14:paraId="118600CC" w14:textId="77777777" w:rsidR="005A3418" w:rsidRPr="00D36673" w:rsidRDefault="005A3418" w:rsidP="00AC33C0">
            <w:pPr>
              <w:pStyle w:val="TableBody"/>
            </w:pPr>
            <w:r w:rsidRPr="00D36673">
              <w:t>Threat to destroy or damage property</w:t>
            </w:r>
          </w:p>
        </w:tc>
        <w:tc>
          <w:tcPr>
            <w:tcW w:w="1000" w:type="pct"/>
          </w:tcPr>
          <w:p w14:paraId="5CD94A14" w14:textId="77777777" w:rsidR="005A3418" w:rsidRPr="00D36673" w:rsidRDefault="005A3418" w:rsidP="0024118B">
            <w:pPr>
              <w:pStyle w:val="TableBody"/>
            </w:pPr>
            <w:r w:rsidRPr="00D36673">
              <w:t>506</w:t>
            </w:r>
          </w:p>
        </w:tc>
        <w:tc>
          <w:tcPr>
            <w:tcW w:w="1000" w:type="pct"/>
          </w:tcPr>
          <w:p w14:paraId="16FBD568" w14:textId="77777777" w:rsidR="005A3418" w:rsidRPr="00D36673" w:rsidRDefault="005A3418" w:rsidP="0024118B">
            <w:pPr>
              <w:pStyle w:val="TableBody"/>
            </w:pPr>
            <w:r w:rsidRPr="00D36673">
              <w:t>53%</w:t>
            </w:r>
          </w:p>
        </w:tc>
        <w:tc>
          <w:tcPr>
            <w:tcW w:w="1000" w:type="pct"/>
          </w:tcPr>
          <w:p w14:paraId="5636BF16" w14:textId="77777777" w:rsidR="005A3418" w:rsidRPr="00D36673" w:rsidRDefault="005A3418" w:rsidP="0024118B">
            <w:pPr>
              <w:pStyle w:val="TableBody"/>
            </w:pPr>
            <w:r w:rsidRPr="00D36673">
              <w:t>59%</w:t>
            </w:r>
          </w:p>
        </w:tc>
        <w:tc>
          <w:tcPr>
            <w:tcW w:w="1000" w:type="pct"/>
          </w:tcPr>
          <w:p w14:paraId="0D4D93B3" w14:textId="77777777" w:rsidR="005A3418" w:rsidRPr="00D36673" w:rsidRDefault="005A3418" w:rsidP="0024118B">
            <w:pPr>
              <w:pStyle w:val="TableBody"/>
            </w:pPr>
            <w:r w:rsidRPr="00D36673">
              <w:t>28%</w:t>
            </w:r>
          </w:p>
        </w:tc>
      </w:tr>
      <w:tr w:rsidR="005A3418" w:rsidRPr="00D36673" w14:paraId="772BA256" w14:textId="77777777" w:rsidTr="00E6572F">
        <w:trPr>
          <w:trHeight w:val="60"/>
        </w:trPr>
        <w:tc>
          <w:tcPr>
            <w:tcW w:w="1000" w:type="pct"/>
          </w:tcPr>
          <w:p w14:paraId="3B873742" w14:textId="77777777" w:rsidR="005A3418" w:rsidRPr="00D36673" w:rsidRDefault="005A3418" w:rsidP="00AC33C0">
            <w:pPr>
              <w:pStyle w:val="TableBody"/>
            </w:pPr>
            <w:r w:rsidRPr="00D36673">
              <w:t>Threat to kill</w:t>
            </w:r>
          </w:p>
        </w:tc>
        <w:tc>
          <w:tcPr>
            <w:tcW w:w="1000" w:type="pct"/>
          </w:tcPr>
          <w:p w14:paraId="4D5FBD50" w14:textId="77777777" w:rsidR="005A3418" w:rsidRPr="00D36673" w:rsidRDefault="005A3418" w:rsidP="0024118B">
            <w:pPr>
              <w:pStyle w:val="TableBody"/>
            </w:pPr>
            <w:r w:rsidRPr="00D36673">
              <w:t>2,887</w:t>
            </w:r>
          </w:p>
        </w:tc>
        <w:tc>
          <w:tcPr>
            <w:tcW w:w="1000" w:type="pct"/>
          </w:tcPr>
          <w:p w14:paraId="6CEE73D6" w14:textId="77777777" w:rsidR="005A3418" w:rsidRPr="00D36673" w:rsidRDefault="005A3418" w:rsidP="0024118B">
            <w:pPr>
              <w:pStyle w:val="TableBody"/>
            </w:pPr>
            <w:r w:rsidRPr="00D36673">
              <w:t>49%</w:t>
            </w:r>
          </w:p>
        </w:tc>
        <w:tc>
          <w:tcPr>
            <w:tcW w:w="1000" w:type="pct"/>
          </w:tcPr>
          <w:p w14:paraId="12DEC76A" w14:textId="77777777" w:rsidR="005A3418" w:rsidRPr="00D36673" w:rsidRDefault="005A3418" w:rsidP="0024118B">
            <w:pPr>
              <w:pStyle w:val="TableBody"/>
            </w:pPr>
            <w:r w:rsidRPr="00D36673">
              <w:t>56%</w:t>
            </w:r>
          </w:p>
        </w:tc>
        <w:tc>
          <w:tcPr>
            <w:tcW w:w="1000" w:type="pct"/>
          </w:tcPr>
          <w:p w14:paraId="0794EBED" w14:textId="77777777" w:rsidR="005A3418" w:rsidRPr="00D36673" w:rsidRDefault="005A3418" w:rsidP="0024118B">
            <w:pPr>
              <w:pStyle w:val="TableBody"/>
            </w:pPr>
            <w:r w:rsidRPr="00D36673">
              <w:t>27%</w:t>
            </w:r>
          </w:p>
        </w:tc>
      </w:tr>
      <w:tr w:rsidR="005A3418" w:rsidRPr="00D36673" w14:paraId="76B2B000" w14:textId="77777777" w:rsidTr="00E6572F">
        <w:trPr>
          <w:trHeight w:val="60"/>
        </w:trPr>
        <w:tc>
          <w:tcPr>
            <w:tcW w:w="1000" w:type="pct"/>
          </w:tcPr>
          <w:p w14:paraId="5FFFA2C5" w14:textId="77777777" w:rsidR="005A3418" w:rsidRPr="00D36673" w:rsidRDefault="005A3418" w:rsidP="00AC33C0">
            <w:pPr>
              <w:pStyle w:val="TableBody"/>
            </w:pPr>
            <w:r w:rsidRPr="00D36673">
              <w:t>Threat to inflict serious injury</w:t>
            </w:r>
          </w:p>
        </w:tc>
        <w:tc>
          <w:tcPr>
            <w:tcW w:w="1000" w:type="pct"/>
          </w:tcPr>
          <w:p w14:paraId="6D143E33" w14:textId="77777777" w:rsidR="005A3418" w:rsidRPr="00D36673" w:rsidRDefault="005A3418" w:rsidP="0024118B">
            <w:pPr>
              <w:pStyle w:val="TableBody"/>
            </w:pPr>
            <w:r w:rsidRPr="00D36673">
              <w:t>1,640</w:t>
            </w:r>
          </w:p>
        </w:tc>
        <w:tc>
          <w:tcPr>
            <w:tcW w:w="1000" w:type="pct"/>
          </w:tcPr>
          <w:p w14:paraId="3CA3142D" w14:textId="77777777" w:rsidR="005A3418" w:rsidRPr="00D36673" w:rsidRDefault="005A3418" w:rsidP="0024118B">
            <w:pPr>
              <w:pStyle w:val="TableBody"/>
            </w:pPr>
            <w:r w:rsidRPr="00D36673">
              <w:t>55%</w:t>
            </w:r>
          </w:p>
        </w:tc>
        <w:tc>
          <w:tcPr>
            <w:tcW w:w="1000" w:type="pct"/>
          </w:tcPr>
          <w:p w14:paraId="5749E0AE" w14:textId="77777777" w:rsidR="005A3418" w:rsidRPr="00D36673" w:rsidRDefault="005A3418" w:rsidP="0024118B">
            <w:pPr>
              <w:pStyle w:val="TableBody"/>
            </w:pPr>
            <w:r w:rsidRPr="00D36673">
              <w:t>60%</w:t>
            </w:r>
          </w:p>
        </w:tc>
        <w:tc>
          <w:tcPr>
            <w:tcW w:w="1000" w:type="pct"/>
          </w:tcPr>
          <w:p w14:paraId="483D675A" w14:textId="77777777" w:rsidR="005A3418" w:rsidRPr="00D36673" w:rsidRDefault="005A3418" w:rsidP="0024118B">
            <w:pPr>
              <w:pStyle w:val="TableBody"/>
            </w:pPr>
            <w:r w:rsidRPr="00D36673">
              <w:t>32%</w:t>
            </w:r>
          </w:p>
        </w:tc>
      </w:tr>
      <w:tr w:rsidR="005A3418" w:rsidRPr="00D36673" w14:paraId="37BC9A7B" w14:textId="77777777" w:rsidTr="00E6572F">
        <w:trPr>
          <w:trHeight w:val="60"/>
        </w:trPr>
        <w:tc>
          <w:tcPr>
            <w:tcW w:w="1000" w:type="pct"/>
          </w:tcPr>
          <w:p w14:paraId="4016D4B4" w14:textId="77777777" w:rsidR="005A3418" w:rsidRPr="00D36673" w:rsidRDefault="005A3418" w:rsidP="00AC33C0">
            <w:pPr>
              <w:pStyle w:val="TableBody"/>
            </w:pPr>
            <w:r w:rsidRPr="00D36673">
              <w:t>Threat to assault an emergency worker</w:t>
            </w:r>
          </w:p>
        </w:tc>
        <w:tc>
          <w:tcPr>
            <w:tcW w:w="1000" w:type="pct"/>
          </w:tcPr>
          <w:p w14:paraId="46EADC06" w14:textId="77777777" w:rsidR="005A3418" w:rsidRPr="00D36673" w:rsidRDefault="005A3418" w:rsidP="0024118B">
            <w:pPr>
              <w:pStyle w:val="TableBody"/>
            </w:pPr>
            <w:r w:rsidRPr="00D36673">
              <w:t>72</w:t>
            </w:r>
          </w:p>
        </w:tc>
        <w:tc>
          <w:tcPr>
            <w:tcW w:w="1000" w:type="pct"/>
          </w:tcPr>
          <w:p w14:paraId="3B07BBD4" w14:textId="77777777" w:rsidR="005A3418" w:rsidRPr="00D36673" w:rsidRDefault="005A3418" w:rsidP="0024118B">
            <w:pPr>
              <w:pStyle w:val="TableBody"/>
            </w:pPr>
            <w:r w:rsidRPr="00D36673">
              <w:t>63%</w:t>
            </w:r>
          </w:p>
        </w:tc>
        <w:tc>
          <w:tcPr>
            <w:tcW w:w="1000" w:type="pct"/>
          </w:tcPr>
          <w:p w14:paraId="32BD9234" w14:textId="77777777" w:rsidR="005A3418" w:rsidRPr="00D36673" w:rsidRDefault="005A3418" w:rsidP="0024118B">
            <w:pPr>
              <w:pStyle w:val="TableBody"/>
            </w:pPr>
            <w:r w:rsidRPr="00D36673">
              <w:t>60%</w:t>
            </w:r>
          </w:p>
        </w:tc>
        <w:tc>
          <w:tcPr>
            <w:tcW w:w="1000" w:type="pct"/>
          </w:tcPr>
          <w:p w14:paraId="2D9E94BB" w14:textId="77777777" w:rsidR="005A3418" w:rsidRPr="00D36673" w:rsidRDefault="005A3418" w:rsidP="0024118B">
            <w:pPr>
              <w:pStyle w:val="TableBody"/>
            </w:pPr>
            <w:r w:rsidRPr="00D36673">
              <w:t>28%</w:t>
            </w:r>
          </w:p>
        </w:tc>
      </w:tr>
      <w:tr w:rsidR="005A3418" w:rsidRPr="00D36673" w14:paraId="25934BBA" w14:textId="77777777" w:rsidTr="00E6572F">
        <w:trPr>
          <w:trHeight w:val="60"/>
        </w:trPr>
        <w:tc>
          <w:tcPr>
            <w:tcW w:w="1000" w:type="pct"/>
          </w:tcPr>
          <w:p w14:paraId="597F44A3" w14:textId="77777777" w:rsidR="005A3418" w:rsidRPr="00D36673" w:rsidRDefault="005A3418" w:rsidP="00AC33C0">
            <w:pPr>
              <w:pStyle w:val="TableBody"/>
            </w:pPr>
            <w:r w:rsidRPr="00D36673">
              <w:t>Magistrates’ Court</w:t>
            </w:r>
          </w:p>
        </w:tc>
        <w:tc>
          <w:tcPr>
            <w:tcW w:w="1000" w:type="pct"/>
          </w:tcPr>
          <w:p w14:paraId="027906E6" w14:textId="77777777" w:rsidR="005A3418" w:rsidRPr="00D36673" w:rsidRDefault="005A3418" w:rsidP="0024118B">
            <w:pPr>
              <w:pStyle w:val="TableBody"/>
            </w:pPr>
            <w:r w:rsidRPr="00D36673">
              <w:t>4,541</w:t>
            </w:r>
          </w:p>
        </w:tc>
        <w:tc>
          <w:tcPr>
            <w:tcW w:w="1000" w:type="pct"/>
          </w:tcPr>
          <w:p w14:paraId="780A4552" w14:textId="77777777" w:rsidR="005A3418" w:rsidRPr="00D36673" w:rsidRDefault="005A3418" w:rsidP="0024118B">
            <w:pPr>
              <w:pStyle w:val="TableBody"/>
            </w:pPr>
            <w:r w:rsidRPr="00D36673">
              <w:t>51%</w:t>
            </w:r>
          </w:p>
        </w:tc>
        <w:tc>
          <w:tcPr>
            <w:tcW w:w="1000" w:type="pct"/>
          </w:tcPr>
          <w:p w14:paraId="3D125B98" w14:textId="77777777" w:rsidR="005A3418" w:rsidRPr="00D36673" w:rsidRDefault="005A3418" w:rsidP="0024118B">
            <w:pPr>
              <w:pStyle w:val="TableBody"/>
            </w:pPr>
            <w:r w:rsidRPr="00D36673">
              <w:t>56%</w:t>
            </w:r>
          </w:p>
        </w:tc>
        <w:tc>
          <w:tcPr>
            <w:tcW w:w="1000" w:type="pct"/>
          </w:tcPr>
          <w:p w14:paraId="0450A9EB" w14:textId="77777777" w:rsidR="005A3418" w:rsidRPr="00D36673" w:rsidRDefault="005A3418" w:rsidP="0024118B">
            <w:pPr>
              <w:pStyle w:val="TableBody"/>
            </w:pPr>
            <w:r w:rsidRPr="00D36673">
              <w:t>27%</w:t>
            </w:r>
          </w:p>
        </w:tc>
      </w:tr>
      <w:tr w:rsidR="005A3418" w:rsidRPr="00D36673" w14:paraId="7E5DDBF0" w14:textId="77777777" w:rsidTr="00E6572F">
        <w:trPr>
          <w:trHeight w:val="60"/>
        </w:trPr>
        <w:tc>
          <w:tcPr>
            <w:tcW w:w="1000" w:type="pct"/>
          </w:tcPr>
          <w:p w14:paraId="1ECCF09F" w14:textId="77777777" w:rsidR="005A3418" w:rsidRPr="00D36673" w:rsidRDefault="005A3418" w:rsidP="00AC33C0">
            <w:pPr>
              <w:pStyle w:val="TableBody"/>
            </w:pPr>
            <w:r w:rsidRPr="00D36673">
              <w:t>Higher courts</w:t>
            </w:r>
          </w:p>
        </w:tc>
        <w:tc>
          <w:tcPr>
            <w:tcW w:w="1000" w:type="pct"/>
          </w:tcPr>
          <w:p w14:paraId="3737B344" w14:textId="77777777" w:rsidR="005A3418" w:rsidRPr="00D36673" w:rsidRDefault="005A3418" w:rsidP="0024118B">
            <w:pPr>
              <w:pStyle w:val="TableBody"/>
            </w:pPr>
            <w:r w:rsidRPr="00D36673">
              <w:t>134</w:t>
            </w:r>
          </w:p>
        </w:tc>
        <w:tc>
          <w:tcPr>
            <w:tcW w:w="1000" w:type="pct"/>
          </w:tcPr>
          <w:p w14:paraId="6EE517AF" w14:textId="77777777" w:rsidR="005A3418" w:rsidRPr="00D36673" w:rsidRDefault="005A3418" w:rsidP="0024118B">
            <w:pPr>
              <w:pStyle w:val="TableBody"/>
            </w:pPr>
            <w:r w:rsidRPr="00D36673">
              <w:t>60%</w:t>
            </w:r>
          </w:p>
        </w:tc>
        <w:tc>
          <w:tcPr>
            <w:tcW w:w="1000" w:type="pct"/>
          </w:tcPr>
          <w:p w14:paraId="65CA8890" w14:textId="77777777" w:rsidR="005A3418" w:rsidRPr="00D36673" w:rsidRDefault="005A3418" w:rsidP="0024118B">
            <w:pPr>
              <w:pStyle w:val="TableBody"/>
            </w:pPr>
            <w:r w:rsidRPr="00D36673">
              <w:t>46%</w:t>
            </w:r>
          </w:p>
        </w:tc>
        <w:tc>
          <w:tcPr>
            <w:tcW w:w="1000" w:type="pct"/>
          </w:tcPr>
          <w:p w14:paraId="25E5DD0C" w14:textId="77777777" w:rsidR="005A3418" w:rsidRPr="00D36673" w:rsidRDefault="005A3418" w:rsidP="0024118B">
            <w:pPr>
              <w:pStyle w:val="TableBody"/>
            </w:pPr>
            <w:r w:rsidRPr="00D36673">
              <w:t>19%</w:t>
            </w:r>
          </w:p>
        </w:tc>
      </w:tr>
    </w:tbl>
    <w:p w14:paraId="288AB518" w14:textId="77777777" w:rsidR="005A3418" w:rsidRPr="00D36673" w:rsidRDefault="005A3418" w:rsidP="00F67BC8">
      <w:pPr>
        <w:pStyle w:val="Heading3"/>
      </w:pPr>
      <w:r w:rsidRPr="00D36673">
        <w:t>Prior and subsequent offending: by age</w:t>
      </w:r>
    </w:p>
    <w:p w14:paraId="6C521B6E" w14:textId="77777777" w:rsidR="005A3418" w:rsidRPr="00D36673" w:rsidRDefault="005A3418" w:rsidP="0018415B">
      <w:pPr>
        <w:pStyle w:val="Numbered"/>
      </w:pPr>
      <w:r w:rsidRPr="00D36673">
        <w:t xml:space="preserve">Children aged under 18 had the highest rates of reoffending within three years, both overall (80%) and for violent offences (57%). Their prior sentencing rates were similar to those for other categories of offender, though the rates might have been expected to be lower given the diversionary options available for children and the likelihood that some children would have been quite young when previously sentenced. This suggests that children sentenced for threat offending have an elevated risk of offending both before and after their threat offence. Stakeholders suggested that the higher reoffending rate was most likely related to a comparatively small number of children, often in residential care, who tend to cycle through the criminal justice system </w:t>
      </w:r>
      <w:r w:rsidRPr="00D36673">
        <w:lastRenderedPageBreak/>
        <w:t>repeatedly.</w:t>
      </w:r>
      <w:r w:rsidRPr="00D36673">
        <w:rPr>
          <w:rStyle w:val="Superscript"/>
        </w:rPr>
        <w:footnoteReference w:id="185"/>
      </w:r>
      <w:r w:rsidRPr="00D36673">
        <w:t xml:space="preserve"> It may also be slightly inflated because children are less likely to be held in detention and may therefore have more opportunity to reoffend. In contrast, offenders sentenced in the higher courts are more likely to be imprisoned and have less opportunity to reoffend. </w:t>
      </w:r>
    </w:p>
    <w:p w14:paraId="24F33044" w14:textId="77777777" w:rsidR="005A3418" w:rsidRPr="00D36673" w:rsidRDefault="005A3418" w:rsidP="00F67BC8">
      <w:pPr>
        <w:pStyle w:val="Heading3"/>
      </w:pPr>
      <w:r w:rsidRPr="00D36673">
        <w:t>Prior and subsequent offending: by gender</w:t>
      </w:r>
    </w:p>
    <w:p w14:paraId="208F6A5C" w14:textId="77777777" w:rsidR="005A3418" w:rsidRPr="00D36673" w:rsidRDefault="005A3418" w:rsidP="0018415B">
      <w:pPr>
        <w:pStyle w:val="Numbered"/>
      </w:pPr>
      <w:r w:rsidRPr="00D36673">
        <w:t xml:space="preserve">The reoffending rate was higher for male threat offenders (58%) than for female threat offenders (48%). Of all categories of offenders in Table 8 (page 45), female threat offenders had the lowest rates of prior sentences (39%), subsequent sentences (48%) and subsequent sentences for violent offences (25%). </w:t>
      </w:r>
    </w:p>
    <w:p w14:paraId="38F0141A" w14:textId="77777777" w:rsidR="005A3418" w:rsidRPr="00D36673" w:rsidRDefault="005A3418" w:rsidP="00F67BC8">
      <w:pPr>
        <w:pStyle w:val="Heading3"/>
      </w:pPr>
      <w:r w:rsidRPr="00D36673">
        <w:t>Prior and subsequent offending: by family violence and threat type</w:t>
      </w:r>
    </w:p>
    <w:p w14:paraId="6D400AA0" w14:textId="77777777" w:rsidR="005A3418" w:rsidRPr="00D36673" w:rsidRDefault="005A3418" w:rsidP="0018415B">
      <w:pPr>
        <w:pStyle w:val="Numbered"/>
      </w:pPr>
      <w:r w:rsidRPr="00D36673">
        <w:t>The prior and subsequent sentence rates did not vary significantly by family violence indicator or threat offence type.</w:t>
      </w:r>
      <w:r w:rsidRPr="00D36673">
        <w:rPr>
          <w:rStyle w:val="Superscript"/>
        </w:rPr>
        <w:footnoteReference w:id="186"/>
      </w:r>
      <w:r w:rsidRPr="00D36673">
        <w:t xml:space="preserve"> Stakeholders commented that the similarity between reoffending rates for family violence offenders and non-family violence offenders was most likely because many </w:t>
      </w:r>
      <w:r w:rsidRPr="00A24E18">
        <w:rPr>
          <w:rStyle w:val="Emphasis"/>
        </w:rPr>
        <w:t>non-</w:t>
      </w:r>
      <w:r w:rsidRPr="00D36673">
        <w:t>family violence threat offenders had high ‘criminogenic needs’: vulnerabilities such as poverty, homelessness, addiction, trauma and neurodisability that meant they would very likely continue to offend repeatedly and at a high volume. As such, the comparable reoffending rates did not suggest that family violence offenders were being effectively dealt with but rather that there were two overlapping groups of offenders who were likely to reoffend for different reasons:</w:t>
      </w:r>
    </w:p>
    <w:p w14:paraId="4CE48C84" w14:textId="77777777" w:rsidR="005A3418" w:rsidRPr="00D36673" w:rsidRDefault="005A3418" w:rsidP="002F6D30">
      <w:pPr>
        <w:pStyle w:val="Quote"/>
      </w:pPr>
      <w:r w:rsidRPr="00D36673">
        <w:lastRenderedPageBreak/>
        <w:t>You’ve got two groups of reoffenders: one group is your family violence reoffenders who are either reoffending within the same relationship or moving to a new relationship and reoffending, and you’ve got your group of … poverty-related or high criminogenic need offending, who are reoffending in a very different context … both of those have got similar rates of reoffending, but for arguably quite different reasons.</w:t>
      </w:r>
      <w:r w:rsidRPr="002F6D30">
        <w:rPr>
          <w:rStyle w:val="Superscript"/>
        </w:rPr>
        <w:footnoteReference w:id="187"/>
      </w:r>
      <w:r w:rsidRPr="00D36673">
        <w:t xml:space="preserve"> </w:t>
      </w:r>
    </w:p>
    <w:p w14:paraId="76EF8F79" w14:textId="77777777" w:rsidR="005A3418" w:rsidRPr="00D36673" w:rsidRDefault="005A3418" w:rsidP="0018415B">
      <w:pPr>
        <w:pStyle w:val="Numbered"/>
      </w:pPr>
      <w:r w:rsidRPr="00D36673">
        <w:t>The extraordinarily high reoffending rate for threat offenders overall – including those whose offending is family violence-related – illustrates why Victoria’s Family Violence Multi-Agency Risk Assessment and Management Framework (MARAM) places such a strong emphasis on threats as a serious risk factor.</w:t>
      </w:r>
      <w:r w:rsidRPr="00D36673">
        <w:rPr>
          <w:rStyle w:val="Superscript"/>
        </w:rPr>
        <w:footnoteReference w:id="188"/>
      </w:r>
      <w:r w:rsidRPr="00D36673">
        <w:t xml:space="preserve"> </w:t>
      </w:r>
    </w:p>
    <w:p w14:paraId="5F6007E5" w14:textId="77777777" w:rsidR="005A3418" w:rsidRPr="00D36673" w:rsidRDefault="005A3418" w:rsidP="0086723D">
      <w:pPr>
        <w:pStyle w:val="Heading2"/>
      </w:pPr>
      <w:r w:rsidRPr="00D36673">
        <w:t>Subsequent offence rates by prior criminal history</w:t>
      </w:r>
    </w:p>
    <w:p w14:paraId="021BCE9C" w14:textId="77777777" w:rsidR="005A3418" w:rsidRPr="00D36673" w:rsidRDefault="005A3418" w:rsidP="0018415B">
      <w:pPr>
        <w:pStyle w:val="Numbered"/>
      </w:pPr>
      <w:r w:rsidRPr="00D36673">
        <w:t>Table 9 shows the reoffending and violent reoffending rates for three groups of threat offenders: those who had not been sentenced in the three years prior to being sentenced for a threat offence, those who had been sentenced in the three years prior but not for a violent offence, and those who had been sentenced in the three years prior for one or more violent offences.</w:t>
      </w:r>
    </w:p>
    <w:p w14:paraId="7FD1F828" w14:textId="77777777" w:rsidR="005A3418" w:rsidRPr="00D36673" w:rsidRDefault="005A3418" w:rsidP="00711AFB">
      <w:pPr>
        <w:pStyle w:val="Caption"/>
      </w:pPr>
      <w:r w:rsidRPr="00C9259E">
        <w:t xml:space="preserve">Table 9: </w:t>
      </w:r>
      <w:r w:rsidRPr="00D36673">
        <w:t>Percentage of offenders sentenced for a threat offence in 2015 or 2016 who were sentenced again within three years, by prior criminal history in the three years before the sentence for their index threat offence, all courts</w:t>
      </w:r>
    </w:p>
    <w:tbl>
      <w:tblPr>
        <w:tblStyle w:val="Table"/>
        <w:tblW w:w="5000" w:type="pct"/>
        <w:tblLook w:val="0020" w:firstRow="1" w:lastRow="0" w:firstColumn="0" w:lastColumn="0" w:noHBand="0" w:noVBand="0"/>
      </w:tblPr>
      <w:tblGrid>
        <w:gridCol w:w="3607"/>
        <w:gridCol w:w="1803"/>
        <w:gridCol w:w="1803"/>
        <w:gridCol w:w="1803"/>
      </w:tblGrid>
      <w:tr w:rsidR="005A3418" w:rsidRPr="00D36673" w14:paraId="7DB0AFEF" w14:textId="77777777" w:rsidTr="00E6572F">
        <w:trPr>
          <w:trHeight w:val="60"/>
          <w:tblHeader/>
        </w:trPr>
        <w:tc>
          <w:tcPr>
            <w:tcW w:w="2000" w:type="pct"/>
          </w:tcPr>
          <w:p w14:paraId="352A0D4C" w14:textId="77777777" w:rsidR="005A3418" w:rsidRPr="00D36673" w:rsidRDefault="005A3418" w:rsidP="0017248A">
            <w:pPr>
              <w:pStyle w:val="TableHeading"/>
            </w:pPr>
            <w:r w:rsidRPr="00D36673">
              <w:t>Group</w:t>
            </w:r>
          </w:p>
        </w:tc>
        <w:tc>
          <w:tcPr>
            <w:tcW w:w="1000" w:type="pct"/>
          </w:tcPr>
          <w:p w14:paraId="294CE345" w14:textId="77777777" w:rsidR="005A3418" w:rsidRPr="00D36673" w:rsidRDefault="005A3418" w:rsidP="0017248A">
            <w:pPr>
              <w:pStyle w:val="TableHeading"/>
            </w:pPr>
            <w:r w:rsidRPr="00D36673">
              <w:t>Total (number)</w:t>
            </w:r>
          </w:p>
        </w:tc>
        <w:tc>
          <w:tcPr>
            <w:tcW w:w="1000" w:type="pct"/>
          </w:tcPr>
          <w:p w14:paraId="05B78C8F" w14:textId="77777777" w:rsidR="005A3418" w:rsidRPr="00D36673" w:rsidRDefault="005A3418" w:rsidP="0017248A">
            <w:pPr>
              <w:pStyle w:val="TableHeading"/>
            </w:pPr>
            <w:r w:rsidRPr="00D36673">
              <w:t>Any reoffending (percentage)</w:t>
            </w:r>
          </w:p>
        </w:tc>
        <w:tc>
          <w:tcPr>
            <w:tcW w:w="1000" w:type="pct"/>
          </w:tcPr>
          <w:p w14:paraId="6D981028" w14:textId="4B0740AE" w:rsidR="005A3418" w:rsidRPr="00D36673" w:rsidRDefault="005A3418" w:rsidP="0017248A">
            <w:pPr>
              <w:pStyle w:val="TableHeading"/>
            </w:pPr>
            <w:r w:rsidRPr="00D36673">
              <w:t>Violent reoffending (percentage)</w:t>
            </w:r>
          </w:p>
        </w:tc>
      </w:tr>
      <w:tr w:rsidR="005A3418" w:rsidRPr="00D36673" w14:paraId="070D9879" w14:textId="77777777" w:rsidTr="00E6572F">
        <w:trPr>
          <w:trHeight w:val="60"/>
        </w:trPr>
        <w:tc>
          <w:tcPr>
            <w:tcW w:w="2000" w:type="pct"/>
          </w:tcPr>
          <w:p w14:paraId="7E5A691E" w14:textId="77777777" w:rsidR="005A3418" w:rsidRPr="00D36673" w:rsidRDefault="005A3418" w:rsidP="00AC33C0">
            <w:pPr>
              <w:pStyle w:val="TableBody"/>
            </w:pPr>
            <w:r w:rsidRPr="00D36673">
              <w:t>Offenders previously sentenced for a violent offence</w:t>
            </w:r>
          </w:p>
        </w:tc>
        <w:tc>
          <w:tcPr>
            <w:tcW w:w="1000" w:type="pct"/>
          </w:tcPr>
          <w:p w14:paraId="6D7FA97E" w14:textId="77777777" w:rsidR="005A3418" w:rsidRPr="00D36673" w:rsidRDefault="005A3418" w:rsidP="0024118B">
            <w:pPr>
              <w:pStyle w:val="TableBody"/>
            </w:pPr>
            <w:r w:rsidRPr="00D36673">
              <w:t>1,172</w:t>
            </w:r>
          </w:p>
        </w:tc>
        <w:tc>
          <w:tcPr>
            <w:tcW w:w="1000" w:type="pct"/>
          </w:tcPr>
          <w:p w14:paraId="559641E1" w14:textId="77777777" w:rsidR="005A3418" w:rsidRPr="00D36673" w:rsidRDefault="005A3418" w:rsidP="0024118B">
            <w:pPr>
              <w:pStyle w:val="TableBody"/>
            </w:pPr>
            <w:r w:rsidRPr="00D36673">
              <w:t>79%</w:t>
            </w:r>
          </w:p>
        </w:tc>
        <w:tc>
          <w:tcPr>
            <w:tcW w:w="1000" w:type="pct"/>
          </w:tcPr>
          <w:p w14:paraId="006A3F5E" w14:textId="77777777" w:rsidR="005A3418" w:rsidRPr="00D36673" w:rsidRDefault="005A3418" w:rsidP="0024118B">
            <w:pPr>
              <w:pStyle w:val="TableBody"/>
            </w:pPr>
            <w:r w:rsidRPr="00D36673">
              <w:t>47%</w:t>
            </w:r>
          </w:p>
        </w:tc>
      </w:tr>
      <w:tr w:rsidR="005A3418" w:rsidRPr="00D36673" w14:paraId="0B580E76" w14:textId="77777777" w:rsidTr="00E6572F">
        <w:trPr>
          <w:trHeight w:val="60"/>
        </w:trPr>
        <w:tc>
          <w:tcPr>
            <w:tcW w:w="2000" w:type="pct"/>
          </w:tcPr>
          <w:p w14:paraId="2F9F0A97" w14:textId="77777777" w:rsidR="005A3418" w:rsidRPr="00D36673" w:rsidRDefault="005A3418" w:rsidP="00AC33C0">
            <w:pPr>
              <w:pStyle w:val="TableBody"/>
            </w:pPr>
            <w:r w:rsidRPr="00D36673">
              <w:t>Offenders previously sentenced but not for a violent offence</w:t>
            </w:r>
          </w:p>
        </w:tc>
        <w:tc>
          <w:tcPr>
            <w:tcW w:w="1000" w:type="pct"/>
          </w:tcPr>
          <w:p w14:paraId="0365FD6A" w14:textId="77777777" w:rsidR="005A3418" w:rsidRPr="00D36673" w:rsidRDefault="005A3418" w:rsidP="0024118B">
            <w:pPr>
              <w:pStyle w:val="TableBody"/>
            </w:pPr>
            <w:r w:rsidRPr="00D36673">
              <w:t>1,477</w:t>
            </w:r>
          </w:p>
        </w:tc>
        <w:tc>
          <w:tcPr>
            <w:tcW w:w="1000" w:type="pct"/>
          </w:tcPr>
          <w:p w14:paraId="7AB79054" w14:textId="77777777" w:rsidR="005A3418" w:rsidRPr="00D36673" w:rsidRDefault="005A3418" w:rsidP="0024118B">
            <w:pPr>
              <w:pStyle w:val="TableBody"/>
            </w:pPr>
            <w:r w:rsidRPr="00D36673">
              <w:t>70%</w:t>
            </w:r>
          </w:p>
        </w:tc>
        <w:tc>
          <w:tcPr>
            <w:tcW w:w="1000" w:type="pct"/>
          </w:tcPr>
          <w:p w14:paraId="6F28CD47" w14:textId="77777777" w:rsidR="005A3418" w:rsidRPr="00D36673" w:rsidRDefault="005A3418" w:rsidP="0024118B">
            <w:pPr>
              <w:pStyle w:val="TableBody"/>
            </w:pPr>
            <w:r w:rsidRPr="00D36673">
              <w:t>33%</w:t>
            </w:r>
          </w:p>
        </w:tc>
      </w:tr>
      <w:tr w:rsidR="005A3418" w:rsidRPr="00D36673" w14:paraId="30AE3499" w14:textId="77777777" w:rsidTr="00E6572F">
        <w:trPr>
          <w:trHeight w:val="60"/>
        </w:trPr>
        <w:tc>
          <w:tcPr>
            <w:tcW w:w="2000" w:type="pct"/>
          </w:tcPr>
          <w:p w14:paraId="4C2F8D79" w14:textId="77777777" w:rsidR="005A3418" w:rsidRPr="00D36673" w:rsidRDefault="005A3418" w:rsidP="00AC33C0">
            <w:pPr>
              <w:pStyle w:val="TableBody"/>
            </w:pPr>
            <w:r w:rsidRPr="00D36673">
              <w:t>Offenders not previously sentenced</w:t>
            </w:r>
          </w:p>
        </w:tc>
        <w:tc>
          <w:tcPr>
            <w:tcW w:w="1000" w:type="pct"/>
          </w:tcPr>
          <w:p w14:paraId="5753352B" w14:textId="77777777" w:rsidR="005A3418" w:rsidRPr="00D36673" w:rsidRDefault="005A3418" w:rsidP="0024118B">
            <w:pPr>
              <w:pStyle w:val="TableBody"/>
            </w:pPr>
            <w:r w:rsidRPr="00D36673">
              <w:t>2,475</w:t>
            </w:r>
          </w:p>
        </w:tc>
        <w:tc>
          <w:tcPr>
            <w:tcW w:w="1000" w:type="pct"/>
          </w:tcPr>
          <w:p w14:paraId="2E2BA723" w14:textId="77777777" w:rsidR="005A3418" w:rsidRPr="00D36673" w:rsidRDefault="005A3418" w:rsidP="0024118B">
            <w:pPr>
              <w:pStyle w:val="TableBody"/>
            </w:pPr>
            <w:r w:rsidRPr="00D36673">
              <w:t>40%</w:t>
            </w:r>
          </w:p>
        </w:tc>
        <w:tc>
          <w:tcPr>
            <w:tcW w:w="1000" w:type="pct"/>
          </w:tcPr>
          <w:p w14:paraId="5BB7AE7F" w14:textId="77777777" w:rsidR="005A3418" w:rsidRPr="00D36673" w:rsidRDefault="005A3418" w:rsidP="0024118B">
            <w:pPr>
              <w:pStyle w:val="TableBody"/>
            </w:pPr>
            <w:r w:rsidRPr="00D36673">
              <w:t>17%</w:t>
            </w:r>
          </w:p>
        </w:tc>
      </w:tr>
    </w:tbl>
    <w:p w14:paraId="68D0F465" w14:textId="77777777" w:rsidR="005A3418" w:rsidRPr="00D36673" w:rsidRDefault="005A3418" w:rsidP="0018415B">
      <w:pPr>
        <w:pStyle w:val="Numbered"/>
      </w:pPr>
      <w:r w:rsidRPr="00D36673">
        <w:lastRenderedPageBreak/>
        <w:t>Almost half (48%) of threat offenders had not been sentenced in the three years prior to their sentence for a threat offence. Of the remaining 52%, slightly more offenders had only non-violent prior offences (29%) than had one or more violent prior offences (23%).</w:t>
      </w:r>
    </w:p>
    <w:p w14:paraId="333CB0F1" w14:textId="77777777" w:rsidR="005A3418" w:rsidRPr="00D36673" w:rsidRDefault="005A3418" w:rsidP="0018415B">
      <w:pPr>
        <w:pStyle w:val="Numbered"/>
      </w:pPr>
      <w:r w:rsidRPr="00D36673">
        <w:t>A prior criminal history was a strong predictor of subsequent offending. Threat offenders who had not been sentenced in the three years prior to being sentenced for a threat offence had the lowest rates of subsequent offending (40%). Next were those with a non-violent criminal history (70% reoffended) and then those with a violent criminal history (79% reoffended). This suggests that many threat offenders who go on to commit violence do so as part of a pre-existing pattern of behaviour.</w:t>
      </w:r>
    </w:p>
    <w:p w14:paraId="3A5CD6C2" w14:textId="77777777" w:rsidR="005A3418" w:rsidRPr="00D36673" w:rsidRDefault="005A3418" w:rsidP="0086723D">
      <w:pPr>
        <w:pStyle w:val="Heading2"/>
      </w:pPr>
      <w:r w:rsidRPr="00D36673">
        <w:t>How many offenders carried out their threats?</w:t>
      </w:r>
    </w:p>
    <w:p w14:paraId="16A795B7" w14:textId="77777777" w:rsidR="005A3418" w:rsidRPr="00D36673" w:rsidRDefault="005A3418" w:rsidP="0018415B">
      <w:pPr>
        <w:pStyle w:val="Numbered"/>
      </w:pPr>
      <w:r w:rsidRPr="00D36673">
        <w:t>The number of threat offenders who went on to engage in conduct that amounts to carrying out their threat was also investigated.</w:t>
      </w:r>
      <w:r w:rsidRPr="00D36673">
        <w:rPr>
          <w:rStyle w:val="Superscript"/>
        </w:rPr>
        <w:footnoteReference w:id="189"/>
      </w:r>
      <w:r w:rsidRPr="00D36673">
        <w:t xml:space="preserve"> Of the 3,048 people who were sentenced for threat to kill in 2015 or 2016, five (0.2%) went on to be sentenced for a homicide offence (four murders and one manslaughter).</w:t>
      </w:r>
      <w:r w:rsidRPr="00D36673">
        <w:rPr>
          <w:rStyle w:val="Superscript"/>
        </w:rPr>
        <w:footnoteReference w:id="190"/>
      </w:r>
      <w:r w:rsidRPr="00D36673">
        <w:t xml:space="preserve"> None of the seven people sentenced for threat to commit a sexual offence went on to be sentenced for a contact sexual offence. But of the 761 people sentenced for threat to </w:t>
      </w:r>
      <w:r w:rsidRPr="00D36673">
        <w:lastRenderedPageBreak/>
        <w:t>destroy or damage property, 161 (21%) were sentenced for criminal damage.</w:t>
      </w:r>
      <w:r w:rsidRPr="00D36673">
        <w:rPr>
          <w:rStyle w:val="Superscript"/>
        </w:rPr>
        <w:footnoteReference w:id="191"/>
      </w:r>
      <w:r w:rsidRPr="00D36673">
        <w:t xml:space="preserve"> </w:t>
      </w:r>
    </w:p>
    <w:p w14:paraId="36273AAA" w14:textId="77777777" w:rsidR="005A3418" w:rsidRPr="00D36673" w:rsidRDefault="005A3418" w:rsidP="0086723D">
      <w:pPr>
        <w:pStyle w:val="Heading2"/>
      </w:pPr>
      <w:r w:rsidRPr="00D36673">
        <w:t>Most common offences in subsequent sentences</w:t>
      </w:r>
    </w:p>
    <w:p w14:paraId="1A02538B" w14:textId="77777777" w:rsidR="005A3418" w:rsidRPr="00D36673" w:rsidRDefault="005A3418" w:rsidP="0018415B">
      <w:pPr>
        <w:pStyle w:val="Numbered"/>
      </w:pPr>
      <w:r w:rsidRPr="00D36673">
        <w:t>Figure 24 shows the 10 most common offences for which offenders were sentenced in the three years after the sentence for their index threat offence. These were high-volume offences that stakeholders considered typical of family violence offenders and offenders with high criminogenic needs.</w:t>
      </w:r>
      <w:r w:rsidRPr="00D36673">
        <w:rPr>
          <w:rStyle w:val="Superscript"/>
        </w:rPr>
        <w:footnoteReference w:id="192"/>
      </w:r>
      <w:r w:rsidRPr="00D36673">
        <w:t xml:space="preserve"> Just over one-quarter (26%) were sentenced for a bail-related offence. Breaches of family violence orders, thefts, regulatory driving offences, unlawful assaults and criminal damage offences were also particularly common. Subsequent threat offences were not particularly common (13% for all index threat offences combined). </w:t>
      </w:r>
    </w:p>
    <w:p w14:paraId="664BAF6B" w14:textId="77777777" w:rsidR="005A3418" w:rsidRPr="00D36673" w:rsidRDefault="005A3418" w:rsidP="00711AFB">
      <w:pPr>
        <w:pStyle w:val="Caption"/>
      </w:pPr>
      <w:r w:rsidRPr="00C9259E">
        <w:t>Figure 24:</w:t>
      </w:r>
      <w:r w:rsidRPr="00D36673">
        <w:t xml:space="preserve"> Percentage of threat offenders sentenced for the 10 most common subsequent offence types within three years of sentence for their index threat offence, all courts</w:t>
      </w:r>
      <w:r w:rsidRPr="00D36673">
        <w:rPr>
          <w:rStyle w:val="Superscript"/>
        </w:rPr>
        <w:footnoteReference w:id="193"/>
      </w:r>
    </w:p>
    <w:tbl>
      <w:tblPr>
        <w:tblStyle w:val="Table"/>
        <w:tblW w:w="5000" w:type="pct"/>
        <w:tblLook w:val="04A0" w:firstRow="1" w:lastRow="0" w:firstColumn="1" w:lastColumn="0" w:noHBand="0" w:noVBand="1"/>
      </w:tblPr>
      <w:tblGrid>
        <w:gridCol w:w="7159"/>
        <w:gridCol w:w="1857"/>
      </w:tblGrid>
      <w:tr w:rsidR="00B45893" w:rsidRPr="00CB4400" w14:paraId="4B924893" w14:textId="77777777" w:rsidTr="00D601DC">
        <w:trPr>
          <w:trHeight w:val="300"/>
          <w:tblHeader/>
        </w:trPr>
        <w:tc>
          <w:tcPr>
            <w:tcW w:w="3970" w:type="pct"/>
            <w:noWrap/>
          </w:tcPr>
          <w:p w14:paraId="1C008310" w14:textId="6A070D99" w:rsidR="00B45893" w:rsidRPr="00741982" w:rsidRDefault="00F95476" w:rsidP="00321C59">
            <w:pPr>
              <w:pStyle w:val="TableHeading"/>
            </w:pPr>
            <w:r>
              <w:t>Offence type</w:t>
            </w:r>
          </w:p>
        </w:tc>
        <w:tc>
          <w:tcPr>
            <w:tcW w:w="1030" w:type="pct"/>
            <w:noWrap/>
          </w:tcPr>
          <w:p w14:paraId="5AB0CC16" w14:textId="6C62B5CD" w:rsidR="00B45893" w:rsidRPr="00741982" w:rsidRDefault="00F95476" w:rsidP="00321C59">
            <w:pPr>
              <w:pStyle w:val="TableHeading"/>
            </w:pPr>
            <w:r>
              <w:t>Percentage</w:t>
            </w:r>
          </w:p>
        </w:tc>
      </w:tr>
      <w:tr w:rsidR="00CB4400" w:rsidRPr="00CB4400" w14:paraId="79BE8321" w14:textId="77777777" w:rsidTr="004446FF">
        <w:trPr>
          <w:trHeight w:val="300"/>
        </w:trPr>
        <w:tc>
          <w:tcPr>
            <w:tcW w:w="3970" w:type="pct"/>
            <w:noWrap/>
            <w:hideMark/>
          </w:tcPr>
          <w:p w14:paraId="5722AC23" w14:textId="77777777" w:rsidR="00CB4400" w:rsidRPr="00741982" w:rsidRDefault="00CB4400" w:rsidP="00741982">
            <w:pPr>
              <w:pStyle w:val="TableBody"/>
            </w:pPr>
            <w:r w:rsidRPr="00741982">
              <w:t>Bail-related offences</w:t>
            </w:r>
          </w:p>
        </w:tc>
        <w:tc>
          <w:tcPr>
            <w:tcW w:w="1030" w:type="pct"/>
            <w:noWrap/>
            <w:hideMark/>
          </w:tcPr>
          <w:p w14:paraId="6832A3B0" w14:textId="77777777" w:rsidR="00CB4400" w:rsidRPr="00741982" w:rsidRDefault="00CB4400" w:rsidP="00741982">
            <w:pPr>
              <w:pStyle w:val="TableBody"/>
            </w:pPr>
            <w:r w:rsidRPr="00741982">
              <w:t>26%</w:t>
            </w:r>
          </w:p>
        </w:tc>
      </w:tr>
      <w:tr w:rsidR="00CB4400" w:rsidRPr="00CB4400" w14:paraId="6F118908" w14:textId="77777777" w:rsidTr="004446FF">
        <w:trPr>
          <w:trHeight w:val="300"/>
        </w:trPr>
        <w:tc>
          <w:tcPr>
            <w:tcW w:w="3970" w:type="pct"/>
            <w:noWrap/>
            <w:hideMark/>
          </w:tcPr>
          <w:p w14:paraId="1CB99448" w14:textId="77777777" w:rsidR="00CB4400" w:rsidRPr="00741982" w:rsidRDefault="00CB4400" w:rsidP="00741982">
            <w:pPr>
              <w:pStyle w:val="TableBody"/>
            </w:pPr>
            <w:r w:rsidRPr="00741982">
              <w:t>Breach family violence order</w:t>
            </w:r>
          </w:p>
        </w:tc>
        <w:tc>
          <w:tcPr>
            <w:tcW w:w="1030" w:type="pct"/>
            <w:noWrap/>
            <w:hideMark/>
          </w:tcPr>
          <w:p w14:paraId="167A5B69" w14:textId="77777777" w:rsidR="00CB4400" w:rsidRPr="00741982" w:rsidRDefault="00CB4400" w:rsidP="00741982">
            <w:pPr>
              <w:pStyle w:val="TableBody"/>
            </w:pPr>
            <w:r w:rsidRPr="00741982">
              <w:t>23%</w:t>
            </w:r>
          </w:p>
        </w:tc>
      </w:tr>
      <w:tr w:rsidR="00CB4400" w:rsidRPr="00CB4400" w14:paraId="47F058C3" w14:textId="77777777" w:rsidTr="004446FF">
        <w:trPr>
          <w:trHeight w:val="300"/>
        </w:trPr>
        <w:tc>
          <w:tcPr>
            <w:tcW w:w="3970" w:type="pct"/>
            <w:noWrap/>
            <w:hideMark/>
          </w:tcPr>
          <w:p w14:paraId="0EC2F976" w14:textId="77777777" w:rsidR="00CB4400" w:rsidRPr="00741982" w:rsidRDefault="00CB4400" w:rsidP="00741982">
            <w:pPr>
              <w:pStyle w:val="TableBody"/>
            </w:pPr>
            <w:r w:rsidRPr="00741982">
              <w:t>Theft</w:t>
            </w:r>
          </w:p>
        </w:tc>
        <w:tc>
          <w:tcPr>
            <w:tcW w:w="1030" w:type="pct"/>
            <w:noWrap/>
            <w:hideMark/>
          </w:tcPr>
          <w:p w14:paraId="68E8D997" w14:textId="77777777" w:rsidR="00CB4400" w:rsidRPr="00741982" w:rsidRDefault="00CB4400" w:rsidP="00741982">
            <w:pPr>
              <w:pStyle w:val="TableBody"/>
            </w:pPr>
            <w:r w:rsidRPr="00741982">
              <w:t>21%</w:t>
            </w:r>
          </w:p>
        </w:tc>
      </w:tr>
      <w:tr w:rsidR="00CB4400" w:rsidRPr="00CB4400" w14:paraId="12E9C29D" w14:textId="77777777" w:rsidTr="004446FF">
        <w:trPr>
          <w:trHeight w:val="300"/>
        </w:trPr>
        <w:tc>
          <w:tcPr>
            <w:tcW w:w="3970" w:type="pct"/>
            <w:noWrap/>
            <w:hideMark/>
          </w:tcPr>
          <w:p w14:paraId="6A8A01AF" w14:textId="77777777" w:rsidR="00CB4400" w:rsidRPr="00741982" w:rsidRDefault="00CB4400" w:rsidP="00741982">
            <w:pPr>
              <w:pStyle w:val="TableBody"/>
            </w:pPr>
            <w:bookmarkStart w:id="11" w:name="RANGE!A13"/>
            <w:r w:rsidRPr="00741982">
              <w:t>Regulatory driving offences</w:t>
            </w:r>
            <w:bookmarkEnd w:id="11"/>
          </w:p>
        </w:tc>
        <w:tc>
          <w:tcPr>
            <w:tcW w:w="1030" w:type="pct"/>
            <w:noWrap/>
            <w:hideMark/>
          </w:tcPr>
          <w:p w14:paraId="4B6F9667" w14:textId="77777777" w:rsidR="00CB4400" w:rsidRPr="00741982" w:rsidRDefault="00CB4400" w:rsidP="00741982">
            <w:pPr>
              <w:pStyle w:val="TableBody"/>
            </w:pPr>
            <w:r w:rsidRPr="00741982">
              <w:t>20%</w:t>
            </w:r>
          </w:p>
        </w:tc>
      </w:tr>
      <w:tr w:rsidR="00CB4400" w:rsidRPr="00CB4400" w14:paraId="5F544351" w14:textId="77777777" w:rsidTr="004446FF">
        <w:trPr>
          <w:trHeight w:val="300"/>
        </w:trPr>
        <w:tc>
          <w:tcPr>
            <w:tcW w:w="3970" w:type="pct"/>
            <w:noWrap/>
            <w:hideMark/>
          </w:tcPr>
          <w:p w14:paraId="2CDBC8AB" w14:textId="77777777" w:rsidR="00CB4400" w:rsidRPr="00741982" w:rsidRDefault="00CB4400" w:rsidP="00741982">
            <w:pPr>
              <w:pStyle w:val="TableBody"/>
            </w:pPr>
            <w:r w:rsidRPr="00741982">
              <w:t>Unlawful assault</w:t>
            </w:r>
          </w:p>
        </w:tc>
        <w:tc>
          <w:tcPr>
            <w:tcW w:w="1030" w:type="pct"/>
            <w:noWrap/>
            <w:hideMark/>
          </w:tcPr>
          <w:p w14:paraId="06AE147A" w14:textId="77777777" w:rsidR="00CB4400" w:rsidRPr="00741982" w:rsidRDefault="00CB4400" w:rsidP="00741982">
            <w:pPr>
              <w:pStyle w:val="TableBody"/>
            </w:pPr>
            <w:r w:rsidRPr="00741982">
              <w:t>20%</w:t>
            </w:r>
          </w:p>
        </w:tc>
      </w:tr>
      <w:tr w:rsidR="00CB4400" w:rsidRPr="00CB4400" w14:paraId="44D0941D" w14:textId="77777777" w:rsidTr="004446FF">
        <w:trPr>
          <w:trHeight w:val="300"/>
        </w:trPr>
        <w:tc>
          <w:tcPr>
            <w:tcW w:w="3970" w:type="pct"/>
            <w:noWrap/>
            <w:hideMark/>
          </w:tcPr>
          <w:p w14:paraId="3EA760B4" w14:textId="77777777" w:rsidR="00CB4400" w:rsidRPr="00741982" w:rsidRDefault="00CB4400" w:rsidP="00741982">
            <w:pPr>
              <w:pStyle w:val="TableBody"/>
            </w:pPr>
            <w:r w:rsidRPr="00741982">
              <w:t>Criminal damage</w:t>
            </w:r>
          </w:p>
        </w:tc>
        <w:tc>
          <w:tcPr>
            <w:tcW w:w="1030" w:type="pct"/>
            <w:noWrap/>
            <w:hideMark/>
          </w:tcPr>
          <w:p w14:paraId="3635B0E8" w14:textId="77777777" w:rsidR="00CB4400" w:rsidRPr="00741982" w:rsidRDefault="00CB4400" w:rsidP="00741982">
            <w:pPr>
              <w:pStyle w:val="TableBody"/>
            </w:pPr>
            <w:r w:rsidRPr="00741982">
              <w:t>18%</w:t>
            </w:r>
          </w:p>
        </w:tc>
      </w:tr>
      <w:tr w:rsidR="00CB4400" w:rsidRPr="00CB4400" w14:paraId="3CAE4A6D" w14:textId="77777777" w:rsidTr="004446FF">
        <w:trPr>
          <w:trHeight w:val="300"/>
        </w:trPr>
        <w:tc>
          <w:tcPr>
            <w:tcW w:w="3970" w:type="pct"/>
            <w:noWrap/>
            <w:hideMark/>
          </w:tcPr>
          <w:p w14:paraId="10CF0297" w14:textId="77777777" w:rsidR="00CB4400" w:rsidRPr="00741982" w:rsidRDefault="00CB4400" w:rsidP="00741982">
            <w:pPr>
              <w:pStyle w:val="TableBody"/>
            </w:pPr>
            <w:r w:rsidRPr="00741982">
              <w:t>Possess drug of dependence</w:t>
            </w:r>
          </w:p>
        </w:tc>
        <w:tc>
          <w:tcPr>
            <w:tcW w:w="1030" w:type="pct"/>
            <w:noWrap/>
            <w:hideMark/>
          </w:tcPr>
          <w:p w14:paraId="70A31D77" w14:textId="77777777" w:rsidR="00CB4400" w:rsidRPr="00741982" w:rsidRDefault="00CB4400" w:rsidP="00741982">
            <w:pPr>
              <w:pStyle w:val="TableBody"/>
            </w:pPr>
            <w:r w:rsidRPr="00741982">
              <w:t>15%</w:t>
            </w:r>
          </w:p>
        </w:tc>
      </w:tr>
      <w:tr w:rsidR="00CB4400" w:rsidRPr="00CB4400" w14:paraId="584125A1" w14:textId="77777777" w:rsidTr="004446FF">
        <w:trPr>
          <w:trHeight w:val="300"/>
        </w:trPr>
        <w:tc>
          <w:tcPr>
            <w:tcW w:w="3970" w:type="pct"/>
            <w:noWrap/>
            <w:hideMark/>
          </w:tcPr>
          <w:p w14:paraId="056A1C88" w14:textId="77777777" w:rsidR="00CB4400" w:rsidRPr="00741982" w:rsidRDefault="00CB4400" w:rsidP="00741982">
            <w:pPr>
              <w:pStyle w:val="TableBody"/>
            </w:pPr>
            <w:r w:rsidRPr="00741982">
              <w:t>Cause injury intentionally or recklessly</w:t>
            </w:r>
          </w:p>
        </w:tc>
        <w:tc>
          <w:tcPr>
            <w:tcW w:w="1030" w:type="pct"/>
            <w:noWrap/>
            <w:hideMark/>
          </w:tcPr>
          <w:p w14:paraId="52D53438" w14:textId="77777777" w:rsidR="00CB4400" w:rsidRPr="00741982" w:rsidRDefault="00CB4400" w:rsidP="00741982">
            <w:pPr>
              <w:pStyle w:val="TableBody"/>
            </w:pPr>
            <w:r w:rsidRPr="00741982">
              <w:t>10%</w:t>
            </w:r>
          </w:p>
        </w:tc>
      </w:tr>
      <w:tr w:rsidR="00CB4400" w:rsidRPr="00CB4400" w14:paraId="6A9B07D8" w14:textId="77777777" w:rsidTr="004446FF">
        <w:trPr>
          <w:trHeight w:val="300"/>
        </w:trPr>
        <w:tc>
          <w:tcPr>
            <w:tcW w:w="3970" w:type="pct"/>
            <w:noWrap/>
            <w:hideMark/>
          </w:tcPr>
          <w:p w14:paraId="564D70CC" w14:textId="77777777" w:rsidR="00CB4400" w:rsidRPr="00741982" w:rsidRDefault="00CB4400" w:rsidP="00741982">
            <w:pPr>
              <w:pStyle w:val="TableBody"/>
            </w:pPr>
            <w:r w:rsidRPr="00741982">
              <w:t>Make threat to kill</w:t>
            </w:r>
          </w:p>
        </w:tc>
        <w:tc>
          <w:tcPr>
            <w:tcW w:w="1030" w:type="pct"/>
            <w:noWrap/>
            <w:hideMark/>
          </w:tcPr>
          <w:p w14:paraId="73ED1DBE" w14:textId="77777777" w:rsidR="00CB4400" w:rsidRPr="00741982" w:rsidRDefault="00CB4400" w:rsidP="00741982">
            <w:pPr>
              <w:pStyle w:val="TableBody"/>
            </w:pPr>
            <w:r w:rsidRPr="00741982">
              <w:t>8%</w:t>
            </w:r>
          </w:p>
        </w:tc>
      </w:tr>
      <w:tr w:rsidR="00CB4400" w:rsidRPr="00CB4400" w14:paraId="66A7E9B8" w14:textId="77777777" w:rsidTr="004446FF">
        <w:trPr>
          <w:trHeight w:val="300"/>
        </w:trPr>
        <w:tc>
          <w:tcPr>
            <w:tcW w:w="3970" w:type="pct"/>
            <w:noWrap/>
            <w:hideMark/>
          </w:tcPr>
          <w:p w14:paraId="5888D331" w14:textId="77777777" w:rsidR="00CB4400" w:rsidRPr="00741982" w:rsidRDefault="00CB4400" w:rsidP="00741982">
            <w:pPr>
              <w:pStyle w:val="TableBody"/>
            </w:pPr>
            <w:r w:rsidRPr="00741982">
              <w:t xml:space="preserve">Handle or receive stolen goods </w:t>
            </w:r>
          </w:p>
        </w:tc>
        <w:tc>
          <w:tcPr>
            <w:tcW w:w="1030" w:type="pct"/>
            <w:noWrap/>
            <w:hideMark/>
          </w:tcPr>
          <w:p w14:paraId="141AE3F5" w14:textId="77777777" w:rsidR="00CB4400" w:rsidRPr="00741982" w:rsidRDefault="00CB4400" w:rsidP="00741982">
            <w:pPr>
              <w:pStyle w:val="TableBody"/>
            </w:pPr>
            <w:r w:rsidRPr="00741982">
              <w:t>8%</w:t>
            </w:r>
          </w:p>
        </w:tc>
      </w:tr>
    </w:tbl>
    <w:p w14:paraId="05DC3EBA" w14:textId="627D6500" w:rsidR="005A3418" w:rsidRPr="00D36673" w:rsidRDefault="005A3418" w:rsidP="00957F3A">
      <w:pPr>
        <w:pStyle w:val="Heading1Numbered"/>
      </w:pPr>
      <w:bookmarkStart w:id="12" w:name="_Toc75445785"/>
      <w:r w:rsidRPr="00D36673">
        <w:lastRenderedPageBreak/>
        <w:t>Concluding remarks</w:t>
      </w:r>
      <w:bookmarkEnd w:id="12"/>
    </w:p>
    <w:p w14:paraId="6D5F0FAE" w14:textId="77777777" w:rsidR="005A3418" w:rsidRPr="00D36673" w:rsidRDefault="005A3418" w:rsidP="002B2B70">
      <w:pPr>
        <w:pStyle w:val="Numbered"/>
      </w:pPr>
      <w:r w:rsidRPr="00D36673">
        <w:t>This report has reviewed how threat offences were sentenced from 2015 to 2019. It includes an account of the number and type of threat offences recorded by police and sentenced by Victorian courts, the age and gender of threat offenders, how threat offences were sentenced, the offence types sentenced alongside threat offences, and the prior and subsequent offending of threat offenders. It has also, where relevant, distinguished between threats in family violence contexts and threats in non-family violence contexts.</w:t>
      </w:r>
    </w:p>
    <w:p w14:paraId="72E96EB1" w14:textId="77777777" w:rsidR="005A3418" w:rsidRPr="00D36673" w:rsidRDefault="005A3418" w:rsidP="00675B85">
      <w:pPr>
        <w:pStyle w:val="Numbered"/>
      </w:pPr>
      <w:r w:rsidRPr="00D36673">
        <w:t>Key findings include the following:</w:t>
      </w:r>
    </w:p>
    <w:p w14:paraId="00486D39" w14:textId="77777777" w:rsidR="005A3418" w:rsidRPr="00D36673" w:rsidRDefault="005A3418" w:rsidP="00F9594C">
      <w:pPr>
        <w:pStyle w:val="Bullets"/>
      </w:pPr>
      <w:r w:rsidRPr="00D36673">
        <w:t xml:space="preserve">the number of </w:t>
      </w:r>
      <w:r w:rsidRPr="00A24E18">
        <w:rPr>
          <w:rStyle w:val="Emphasis"/>
        </w:rPr>
        <w:t>recorded</w:t>
      </w:r>
      <w:r w:rsidRPr="00D36673">
        <w:t xml:space="preserve"> threat offences increased significantly (51%) between 2012 and 2019, largely driven by an increase in the number of threats made in family violence contexts, though that trend has stabilised since 2016;</w:t>
      </w:r>
    </w:p>
    <w:p w14:paraId="7592CCFD" w14:textId="77777777" w:rsidR="005A3418" w:rsidRPr="00D36673" w:rsidRDefault="005A3418" w:rsidP="00F9594C">
      <w:pPr>
        <w:pStyle w:val="Bullets"/>
      </w:pPr>
      <w:r w:rsidRPr="00D36673">
        <w:t xml:space="preserve">the number of </w:t>
      </w:r>
      <w:r w:rsidRPr="00A24E18">
        <w:rPr>
          <w:rStyle w:val="Emphasis"/>
        </w:rPr>
        <w:t>sentenced</w:t>
      </w:r>
      <w:r w:rsidRPr="00D36673">
        <w:t xml:space="preserve"> threat offences increased by 4% between 2015 and 2019, from 3,575 offences to 3,704 offences, and this was probably driven largely by an increase in the number of threats occurring in a family violence context;</w:t>
      </w:r>
    </w:p>
    <w:p w14:paraId="1BCF0957" w14:textId="77777777" w:rsidR="005A3418" w:rsidRPr="00D36673" w:rsidRDefault="005A3418" w:rsidP="00F9594C">
      <w:pPr>
        <w:pStyle w:val="Bullets"/>
      </w:pPr>
      <w:r w:rsidRPr="00D36673">
        <w:t>the majority of threat offences sentenced during the reference period were sentenced in cases with a family violence indicator (58%), were sentenced in the Magistrates’ Court (87%) and were committed by males (88%);</w:t>
      </w:r>
    </w:p>
    <w:p w14:paraId="70A60108" w14:textId="77777777" w:rsidR="005A3418" w:rsidRPr="00D36673" w:rsidRDefault="005A3418" w:rsidP="00F9594C">
      <w:pPr>
        <w:pStyle w:val="Bullets"/>
      </w:pPr>
      <w:r w:rsidRPr="00D36673">
        <w:t>threat offending by male offenders tended to be more serious, in that they were more often sentenced in the higher courts, sentenced in a case involving family violence, sentenced for threats to kill (as opposed to threats to seriously injure) and sentenced to imprisonment;</w:t>
      </w:r>
    </w:p>
    <w:p w14:paraId="2B82731D" w14:textId="77777777" w:rsidR="005A3418" w:rsidRPr="00D36673" w:rsidRDefault="005A3418" w:rsidP="00F9594C">
      <w:pPr>
        <w:pStyle w:val="Bullets"/>
      </w:pPr>
      <w:r w:rsidRPr="00D36673">
        <w:lastRenderedPageBreak/>
        <w:t>the most frequent sentence for threat offending was imprisonment in the higher courts (75%) and in the Magistrates’ Court (35%), and probation in the Children’s Court (28%);</w:t>
      </w:r>
    </w:p>
    <w:p w14:paraId="4686E5E5" w14:textId="77777777" w:rsidR="005A3418" w:rsidRPr="00D36673" w:rsidRDefault="005A3418" w:rsidP="00F9594C">
      <w:pPr>
        <w:pStyle w:val="Bullets"/>
      </w:pPr>
      <w:r w:rsidRPr="00D36673">
        <w:t>the average non-aggregate imprisonment terms for a threat offence in the Magistrates’ Court varied by threat offence type – two months for threat to destroy or damage property and four months for threat to kill or threat to inflict serious injury – though these findings must be treated with caution given that 90% of prison sentences for threat offences in the Magistrates’ Court were aggregate sentences;</w:t>
      </w:r>
    </w:p>
    <w:p w14:paraId="402E4B2C" w14:textId="77777777" w:rsidR="005A3418" w:rsidRPr="00D36673" w:rsidRDefault="005A3418" w:rsidP="00F9594C">
      <w:pPr>
        <w:pStyle w:val="Bullets"/>
      </w:pPr>
      <w:r w:rsidRPr="00D36673">
        <w:t>the average non-aggregate imprisonment terms for threat offences sentenced in the higher courts were much longer than for those sentenced in the Magistrates’ Court – 12 months for threat to inflict serious injury and 14 months for threat to kill;</w:t>
      </w:r>
    </w:p>
    <w:p w14:paraId="4B06ADAD" w14:textId="77777777" w:rsidR="005A3418" w:rsidRPr="00D36673" w:rsidRDefault="005A3418" w:rsidP="00F9594C">
      <w:pPr>
        <w:pStyle w:val="Bullets"/>
      </w:pPr>
      <w:r w:rsidRPr="00D36673">
        <w:t>threat offences are almost always co-sentenced with other offence types, especially bail-related offences, breach of family violence orders, assault and criminal damage, and threats were commonly co-sentenced with their substantive counterparts or other closely related substantive offences (for example, threat to destroy or damage property was frequently co-sentenced with actual criminal damage, and threats to kill or seriously injure were frequently co-sentenced with assault and causing injury offences); and</w:t>
      </w:r>
    </w:p>
    <w:p w14:paraId="5A41A5C1" w14:textId="77777777" w:rsidR="005A3418" w:rsidRPr="00D36673" w:rsidRDefault="005A3418" w:rsidP="004C1909">
      <w:pPr>
        <w:pStyle w:val="Bullets"/>
      </w:pPr>
      <w:r w:rsidRPr="00D36673">
        <w:t>most co-sentenced violence and property damage offences occurred on the same day as the threat offence in the case, but breaches of family violence orders sentenced alongside threat offences tended to occur on a date after the threat offence.</w:t>
      </w:r>
    </w:p>
    <w:p w14:paraId="2380CA23" w14:textId="77777777" w:rsidR="005A3418" w:rsidRPr="00D36673" w:rsidRDefault="005A3418" w:rsidP="0086723D">
      <w:pPr>
        <w:pStyle w:val="Heading2"/>
      </w:pPr>
      <w:r w:rsidRPr="00D36673">
        <w:lastRenderedPageBreak/>
        <w:t>Reoffending</w:t>
      </w:r>
    </w:p>
    <w:p w14:paraId="1ED75F35" w14:textId="77777777" w:rsidR="005A3418" w:rsidRPr="00D36673" w:rsidRDefault="005A3418" w:rsidP="00C05CC1">
      <w:pPr>
        <w:pStyle w:val="Numbered"/>
      </w:pPr>
      <w:r w:rsidRPr="00D36673">
        <w:t>More than half of threat offenders were sentenced on another occasion in the three years before (52%) and after (58%) being sentenced for threat offending. These rates are exceptionally high: double the rate for all offenders following sentence in Victoria. Of note too is that while threat offences frequently occurred in a family violence context, there was very little variation in the reoffending rates of offenders whose threat offence did or did not occur in a family violence context. Stakeholders consulted by the Council suggested this was because there are two distinct but overlapping groups, both of which are prone to high rates of reoffending: family violence offenders generally and non-family violence offenders with high criminogenic needs.</w:t>
      </w:r>
    </w:p>
    <w:p w14:paraId="476C3A76" w14:textId="77777777" w:rsidR="005A3418" w:rsidRPr="00D36673" w:rsidRDefault="005A3418" w:rsidP="0086723D">
      <w:pPr>
        <w:pStyle w:val="Heading2"/>
      </w:pPr>
      <w:r w:rsidRPr="00D36673">
        <w:t>Threats and risk</w:t>
      </w:r>
    </w:p>
    <w:p w14:paraId="1E0BA247" w14:textId="77777777" w:rsidR="005A3418" w:rsidRPr="00D36673" w:rsidRDefault="005A3418" w:rsidP="00C05CC1">
      <w:pPr>
        <w:pStyle w:val="Numbered"/>
      </w:pPr>
      <w:r w:rsidRPr="00D36673">
        <w:t xml:space="preserve">The findings in this report may help to inform the way in which threats are accounted for in risk assessments, both in family violence contexts and in non-family violence contexts. Though threats are well-recognised risk factors for future family violence, the findings of this report – particularly the high rates of family violence, high rates of imprisonment, high rates of reoffending and high rates of subsequent breaches of family violence orders – highlight the </w:t>
      </w:r>
      <w:r w:rsidRPr="00A24E18">
        <w:rPr>
          <w:rStyle w:val="Emphasis"/>
        </w:rPr>
        <w:t xml:space="preserve">extent </w:t>
      </w:r>
      <w:r w:rsidRPr="00D36673">
        <w:t xml:space="preserve">of that risk. Similarly, the extraordinarily high rate of reoffending by non-family violence threat offenders suggests that threat offending in general should be regarded as a strong indicator of future and/or ongoing offending, regardless of whether it occurs in a family violence context. In that sense, this report may provide a basis to review risk assessment protocols in Victoria to determine whether threats are adequately emphasised, and/or whether they should be more clearly </w:t>
      </w:r>
      <w:r w:rsidRPr="00D36673">
        <w:lastRenderedPageBreak/>
        <w:t xml:space="preserve">distinguished from actual violence, rather than grouping the two together. </w:t>
      </w:r>
    </w:p>
    <w:p w14:paraId="3F5D365D" w14:textId="77777777" w:rsidR="005A3418" w:rsidRPr="00D36673" w:rsidRDefault="005A3418" w:rsidP="00580217">
      <w:pPr>
        <w:pStyle w:val="Heading1"/>
        <w:pageBreakBefore/>
      </w:pPr>
      <w:bookmarkStart w:id="13" w:name="_Toc75445786"/>
      <w:r w:rsidRPr="00D36673">
        <w:lastRenderedPageBreak/>
        <w:t>Appendix 1: Consultation</w:t>
      </w:r>
      <w:bookmarkEnd w:id="13"/>
    </w:p>
    <w:tbl>
      <w:tblPr>
        <w:tblStyle w:val="Table"/>
        <w:tblW w:w="0" w:type="auto"/>
        <w:tblLayout w:type="fixed"/>
        <w:tblLook w:val="0020" w:firstRow="1" w:lastRow="0" w:firstColumn="0" w:lastColumn="0" w:noHBand="0" w:noVBand="0"/>
      </w:tblPr>
      <w:tblGrid>
        <w:gridCol w:w="4252"/>
        <w:gridCol w:w="4252"/>
      </w:tblGrid>
      <w:tr w:rsidR="005A3418" w:rsidRPr="00D36673" w14:paraId="19A167D0" w14:textId="77777777" w:rsidTr="00E6572F">
        <w:trPr>
          <w:trHeight w:val="60"/>
          <w:tblHeader/>
        </w:trPr>
        <w:tc>
          <w:tcPr>
            <w:tcW w:w="4252" w:type="dxa"/>
          </w:tcPr>
          <w:p w14:paraId="75FB6CF1" w14:textId="77777777" w:rsidR="005A3418" w:rsidRPr="00D36673" w:rsidRDefault="005A3418" w:rsidP="00925344">
            <w:pPr>
              <w:pStyle w:val="TableHeading"/>
            </w:pPr>
            <w:r w:rsidRPr="00D36673">
              <w:t>Meeting</w:t>
            </w:r>
          </w:p>
        </w:tc>
        <w:tc>
          <w:tcPr>
            <w:tcW w:w="4252" w:type="dxa"/>
          </w:tcPr>
          <w:p w14:paraId="498F4D9D" w14:textId="77777777" w:rsidR="005A3418" w:rsidRPr="00D36673" w:rsidRDefault="005A3418" w:rsidP="00925344">
            <w:pPr>
              <w:pStyle w:val="TableHeading"/>
            </w:pPr>
            <w:r w:rsidRPr="00D36673">
              <w:t>Date</w:t>
            </w:r>
          </w:p>
        </w:tc>
      </w:tr>
      <w:tr w:rsidR="005A3418" w:rsidRPr="00D36673" w14:paraId="5D9D42B0" w14:textId="77777777" w:rsidTr="00E6572F">
        <w:trPr>
          <w:trHeight w:val="60"/>
        </w:trPr>
        <w:tc>
          <w:tcPr>
            <w:tcW w:w="4252" w:type="dxa"/>
          </w:tcPr>
          <w:p w14:paraId="60185FFE" w14:textId="77777777" w:rsidR="005A3418" w:rsidRPr="00D36673" w:rsidRDefault="005A3418" w:rsidP="00115643">
            <w:pPr>
              <w:pStyle w:val="TableBody"/>
            </w:pPr>
            <w:r w:rsidRPr="00D36673">
              <w:t>Meeting with Magistrates’ Court</w:t>
            </w:r>
          </w:p>
        </w:tc>
        <w:tc>
          <w:tcPr>
            <w:tcW w:w="4252" w:type="dxa"/>
          </w:tcPr>
          <w:p w14:paraId="22276D6A" w14:textId="77777777" w:rsidR="005A3418" w:rsidRPr="00D36673" w:rsidRDefault="005A3418" w:rsidP="00115643">
            <w:pPr>
              <w:pStyle w:val="TableBody"/>
            </w:pPr>
            <w:r w:rsidRPr="00D36673">
              <w:t>1 April 2021</w:t>
            </w:r>
          </w:p>
        </w:tc>
      </w:tr>
      <w:tr w:rsidR="005A3418" w:rsidRPr="00D36673" w14:paraId="640E6BD9" w14:textId="77777777" w:rsidTr="00E6572F">
        <w:trPr>
          <w:trHeight w:val="60"/>
        </w:trPr>
        <w:tc>
          <w:tcPr>
            <w:tcW w:w="4252" w:type="dxa"/>
          </w:tcPr>
          <w:p w14:paraId="75144934" w14:textId="77777777" w:rsidR="005A3418" w:rsidRPr="00D36673" w:rsidRDefault="005A3418" w:rsidP="00115643">
            <w:pPr>
              <w:pStyle w:val="TableBody"/>
            </w:pPr>
            <w:r w:rsidRPr="00D36673">
              <w:t>Stakeholder Roundtable</w:t>
            </w:r>
          </w:p>
        </w:tc>
        <w:tc>
          <w:tcPr>
            <w:tcW w:w="4252" w:type="dxa"/>
          </w:tcPr>
          <w:p w14:paraId="264945FB" w14:textId="77777777" w:rsidR="005A3418" w:rsidRPr="00D36673" w:rsidRDefault="005A3418" w:rsidP="00115643">
            <w:pPr>
              <w:pStyle w:val="TableBody"/>
            </w:pPr>
            <w:r w:rsidRPr="00D36673">
              <w:t>7 April 2021</w:t>
            </w:r>
          </w:p>
        </w:tc>
      </w:tr>
    </w:tbl>
    <w:p w14:paraId="42B840B2" w14:textId="77777777" w:rsidR="005A3418" w:rsidRPr="00A24E18" w:rsidRDefault="005A3418" w:rsidP="00053A2E">
      <w:pPr>
        <w:pStyle w:val="Heading1"/>
      </w:pPr>
      <w:bookmarkStart w:id="14" w:name="_Toc75445787"/>
      <w:r w:rsidRPr="00D36673">
        <w:t>Appendix 2: Age and gender of threat offenders</w:t>
      </w:r>
      <w:bookmarkEnd w:id="14"/>
    </w:p>
    <w:p w14:paraId="3196C77A" w14:textId="16705F7F" w:rsidR="005A3418" w:rsidRDefault="005A3418" w:rsidP="00711AFB">
      <w:pPr>
        <w:pStyle w:val="Caption"/>
      </w:pPr>
      <w:r w:rsidRPr="007355EA">
        <w:t>Figure A1:</w:t>
      </w:r>
      <w:r w:rsidRPr="00C9259E">
        <w:t xml:space="preserve"> </w:t>
      </w:r>
      <w:r w:rsidRPr="00D36673">
        <w:t>Age and gender of offenders sentenced in threat cases in Victoria, all courts, 2015 to 2019</w:t>
      </w:r>
    </w:p>
    <w:tbl>
      <w:tblPr>
        <w:tblStyle w:val="Table"/>
        <w:tblW w:w="5000" w:type="pct"/>
        <w:tblLook w:val="04A0" w:firstRow="1" w:lastRow="0" w:firstColumn="1" w:lastColumn="0" w:noHBand="0" w:noVBand="1"/>
      </w:tblPr>
      <w:tblGrid>
        <w:gridCol w:w="1658"/>
        <w:gridCol w:w="2166"/>
        <w:gridCol w:w="1656"/>
        <w:gridCol w:w="1881"/>
        <w:gridCol w:w="1655"/>
      </w:tblGrid>
      <w:tr w:rsidR="00D405E4" w:rsidRPr="00AF469D" w14:paraId="5FE3EBB7" w14:textId="77777777" w:rsidTr="00184370">
        <w:trPr>
          <w:trHeight w:val="290"/>
          <w:tblHeader/>
        </w:trPr>
        <w:tc>
          <w:tcPr>
            <w:tcW w:w="1001" w:type="pct"/>
            <w:noWrap/>
            <w:hideMark/>
          </w:tcPr>
          <w:p w14:paraId="2D333407" w14:textId="77777777" w:rsidR="00D405E4" w:rsidRPr="00AF469D" w:rsidRDefault="00D405E4" w:rsidP="002F53FC">
            <w:pPr>
              <w:pStyle w:val="TableHeading"/>
            </w:pPr>
            <w:r w:rsidRPr="00AF469D">
              <w:t>Age</w:t>
            </w:r>
          </w:p>
        </w:tc>
        <w:tc>
          <w:tcPr>
            <w:tcW w:w="1000" w:type="pct"/>
            <w:noWrap/>
            <w:hideMark/>
          </w:tcPr>
          <w:p w14:paraId="205FAB4A" w14:textId="77777777" w:rsidR="00D405E4" w:rsidRPr="00AF469D" w:rsidRDefault="00D405E4" w:rsidP="002F53FC">
            <w:pPr>
              <w:pStyle w:val="TableHeading"/>
            </w:pPr>
            <w:r w:rsidRPr="00AF469D">
              <w:t>Female offenders</w:t>
            </w:r>
          </w:p>
        </w:tc>
        <w:tc>
          <w:tcPr>
            <w:tcW w:w="1000" w:type="pct"/>
            <w:noWrap/>
            <w:hideMark/>
          </w:tcPr>
          <w:p w14:paraId="1E6D2532" w14:textId="48F0AF87" w:rsidR="00D405E4" w:rsidRPr="00AF469D" w:rsidRDefault="00D405E4" w:rsidP="002F53FC">
            <w:pPr>
              <w:pStyle w:val="TableHeading"/>
            </w:pPr>
            <w:r>
              <w:t>Percentage</w:t>
            </w:r>
          </w:p>
        </w:tc>
        <w:tc>
          <w:tcPr>
            <w:tcW w:w="1000" w:type="pct"/>
            <w:noWrap/>
            <w:hideMark/>
          </w:tcPr>
          <w:p w14:paraId="5C38BB5D" w14:textId="77777777" w:rsidR="00D405E4" w:rsidRPr="00AF469D" w:rsidRDefault="00D405E4" w:rsidP="002F53FC">
            <w:pPr>
              <w:pStyle w:val="TableHeading"/>
            </w:pPr>
            <w:r w:rsidRPr="00AF469D">
              <w:t>Male offenders</w:t>
            </w:r>
          </w:p>
        </w:tc>
        <w:tc>
          <w:tcPr>
            <w:tcW w:w="999" w:type="pct"/>
            <w:noWrap/>
            <w:hideMark/>
          </w:tcPr>
          <w:p w14:paraId="417FD38F" w14:textId="1B1B78C0" w:rsidR="00D405E4" w:rsidRPr="00AF469D" w:rsidRDefault="00D405E4" w:rsidP="002F53FC">
            <w:pPr>
              <w:pStyle w:val="TableHeading"/>
            </w:pPr>
            <w:r>
              <w:t>Percentage</w:t>
            </w:r>
          </w:p>
        </w:tc>
      </w:tr>
      <w:tr w:rsidR="00D405E4" w:rsidRPr="00AF469D" w14:paraId="213793C1" w14:textId="77777777" w:rsidTr="008D0BFD">
        <w:trPr>
          <w:trHeight w:val="290"/>
        </w:trPr>
        <w:tc>
          <w:tcPr>
            <w:tcW w:w="1001" w:type="pct"/>
            <w:noWrap/>
            <w:hideMark/>
          </w:tcPr>
          <w:p w14:paraId="45D6B25B" w14:textId="77777777" w:rsidR="00D405E4" w:rsidRPr="00AF469D" w:rsidRDefault="00D405E4" w:rsidP="002F53FC">
            <w:pPr>
              <w:pStyle w:val="TableBody"/>
            </w:pPr>
            <w:r w:rsidRPr="00AF469D">
              <w:t>11</w:t>
            </w:r>
          </w:p>
        </w:tc>
        <w:tc>
          <w:tcPr>
            <w:tcW w:w="1000" w:type="pct"/>
            <w:noWrap/>
            <w:hideMark/>
          </w:tcPr>
          <w:p w14:paraId="588535F5" w14:textId="77777777" w:rsidR="00D405E4" w:rsidRPr="00AF469D" w:rsidRDefault="00D405E4" w:rsidP="002F53FC">
            <w:pPr>
              <w:pStyle w:val="TableBody"/>
            </w:pPr>
            <w:r w:rsidRPr="00AF469D">
              <w:t>0</w:t>
            </w:r>
          </w:p>
        </w:tc>
        <w:tc>
          <w:tcPr>
            <w:tcW w:w="1000" w:type="pct"/>
            <w:noWrap/>
            <w:hideMark/>
          </w:tcPr>
          <w:p w14:paraId="3CFB097C" w14:textId="0A9D4A1C" w:rsidR="00D405E4" w:rsidRPr="00AF469D" w:rsidRDefault="00D405E4" w:rsidP="002F53FC">
            <w:pPr>
              <w:pStyle w:val="TableBody"/>
            </w:pPr>
            <w:r w:rsidRPr="00AF469D">
              <w:t>0</w:t>
            </w:r>
            <w:r w:rsidR="00B315C6">
              <w:t>%</w:t>
            </w:r>
          </w:p>
        </w:tc>
        <w:tc>
          <w:tcPr>
            <w:tcW w:w="1000" w:type="pct"/>
            <w:noWrap/>
            <w:hideMark/>
          </w:tcPr>
          <w:p w14:paraId="05A7A6DA" w14:textId="77777777" w:rsidR="00D405E4" w:rsidRPr="00AF469D" w:rsidRDefault="00D405E4" w:rsidP="002F53FC">
            <w:pPr>
              <w:pStyle w:val="TableBody"/>
            </w:pPr>
            <w:r w:rsidRPr="00AF469D">
              <w:t>2</w:t>
            </w:r>
          </w:p>
        </w:tc>
        <w:tc>
          <w:tcPr>
            <w:tcW w:w="999" w:type="pct"/>
            <w:noWrap/>
            <w:hideMark/>
          </w:tcPr>
          <w:p w14:paraId="47D06821" w14:textId="77777777" w:rsidR="00D405E4" w:rsidRPr="00AF469D" w:rsidRDefault="00D405E4" w:rsidP="002F53FC">
            <w:pPr>
              <w:pStyle w:val="TableBody"/>
            </w:pPr>
            <w:r w:rsidRPr="00AF469D">
              <w:t>0%</w:t>
            </w:r>
          </w:p>
        </w:tc>
      </w:tr>
      <w:tr w:rsidR="00D405E4" w:rsidRPr="00AF469D" w14:paraId="35B46E32" w14:textId="77777777" w:rsidTr="008D0BFD">
        <w:trPr>
          <w:trHeight w:val="290"/>
        </w:trPr>
        <w:tc>
          <w:tcPr>
            <w:tcW w:w="1001" w:type="pct"/>
            <w:noWrap/>
            <w:hideMark/>
          </w:tcPr>
          <w:p w14:paraId="6C2C1DD0" w14:textId="77777777" w:rsidR="00D405E4" w:rsidRPr="00AF469D" w:rsidRDefault="00D405E4" w:rsidP="002F53FC">
            <w:pPr>
              <w:pStyle w:val="TableBody"/>
            </w:pPr>
            <w:r w:rsidRPr="00AF469D">
              <w:t>12</w:t>
            </w:r>
          </w:p>
        </w:tc>
        <w:tc>
          <w:tcPr>
            <w:tcW w:w="1000" w:type="pct"/>
            <w:noWrap/>
            <w:hideMark/>
          </w:tcPr>
          <w:p w14:paraId="7380B86F" w14:textId="77777777" w:rsidR="00D405E4" w:rsidRPr="00AF469D" w:rsidRDefault="00D405E4" w:rsidP="002F53FC">
            <w:pPr>
              <w:pStyle w:val="TableBody"/>
            </w:pPr>
            <w:r w:rsidRPr="00AF469D">
              <w:t>1</w:t>
            </w:r>
          </w:p>
        </w:tc>
        <w:tc>
          <w:tcPr>
            <w:tcW w:w="1000" w:type="pct"/>
            <w:noWrap/>
            <w:hideMark/>
          </w:tcPr>
          <w:p w14:paraId="590D737B" w14:textId="77777777" w:rsidR="00D405E4" w:rsidRPr="00AF469D" w:rsidRDefault="00D405E4" w:rsidP="002F53FC">
            <w:pPr>
              <w:pStyle w:val="TableBody"/>
            </w:pPr>
            <w:r w:rsidRPr="00AF469D">
              <w:t>0.1%</w:t>
            </w:r>
          </w:p>
        </w:tc>
        <w:tc>
          <w:tcPr>
            <w:tcW w:w="1000" w:type="pct"/>
            <w:noWrap/>
            <w:hideMark/>
          </w:tcPr>
          <w:p w14:paraId="74141D3B" w14:textId="77777777" w:rsidR="00D405E4" w:rsidRPr="00AF469D" w:rsidRDefault="00D405E4" w:rsidP="002F53FC">
            <w:pPr>
              <w:pStyle w:val="TableBody"/>
            </w:pPr>
            <w:r w:rsidRPr="00AF469D">
              <w:t>9</w:t>
            </w:r>
          </w:p>
        </w:tc>
        <w:tc>
          <w:tcPr>
            <w:tcW w:w="999" w:type="pct"/>
            <w:noWrap/>
            <w:hideMark/>
          </w:tcPr>
          <w:p w14:paraId="505A5D26" w14:textId="77777777" w:rsidR="00D405E4" w:rsidRPr="00AF469D" w:rsidRDefault="00D405E4" w:rsidP="002F53FC">
            <w:pPr>
              <w:pStyle w:val="TableBody"/>
            </w:pPr>
            <w:r w:rsidRPr="00AF469D">
              <w:t>0%</w:t>
            </w:r>
          </w:p>
        </w:tc>
      </w:tr>
      <w:tr w:rsidR="00D405E4" w:rsidRPr="00AF469D" w14:paraId="37FA5141" w14:textId="77777777" w:rsidTr="008D0BFD">
        <w:trPr>
          <w:trHeight w:val="290"/>
        </w:trPr>
        <w:tc>
          <w:tcPr>
            <w:tcW w:w="1001" w:type="pct"/>
            <w:noWrap/>
            <w:hideMark/>
          </w:tcPr>
          <w:p w14:paraId="65F44383" w14:textId="77777777" w:rsidR="00D405E4" w:rsidRPr="00AF469D" w:rsidRDefault="00D405E4" w:rsidP="002F53FC">
            <w:pPr>
              <w:pStyle w:val="TableBody"/>
            </w:pPr>
            <w:r w:rsidRPr="00AF469D">
              <w:t>13</w:t>
            </w:r>
          </w:p>
        </w:tc>
        <w:tc>
          <w:tcPr>
            <w:tcW w:w="1000" w:type="pct"/>
            <w:noWrap/>
            <w:hideMark/>
          </w:tcPr>
          <w:p w14:paraId="66CEE024" w14:textId="77777777" w:rsidR="00D405E4" w:rsidRPr="00AF469D" w:rsidRDefault="00D405E4" w:rsidP="002F53FC">
            <w:pPr>
              <w:pStyle w:val="TableBody"/>
            </w:pPr>
            <w:r w:rsidRPr="00AF469D">
              <w:t>10</w:t>
            </w:r>
          </w:p>
        </w:tc>
        <w:tc>
          <w:tcPr>
            <w:tcW w:w="1000" w:type="pct"/>
            <w:noWrap/>
            <w:hideMark/>
          </w:tcPr>
          <w:p w14:paraId="39FAAD3C" w14:textId="77777777" w:rsidR="00D405E4" w:rsidRPr="00AF469D" w:rsidRDefault="00D405E4" w:rsidP="002F53FC">
            <w:pPr>
              <w:pStyle w:val="TableBody"/>
            </w:pPr>
            <w:r w:rsidRPr="00AF469D">
              <w:t>0.6%</w:t>
            </w:r>
          </w:p>
        </w:tc>
        <w:tc>
          <w:tcPr>
            <w:tcW w:w="1000" w:type="pct"/>
            <w:noWrap/>
            <w:hideMark/>
          </w:tcPr>
          <w:p w14:paraId="60D49CDA" w14:textId="77777777" w:rsidR="00D405E4" w:rsidRPr="00AF469D" w:rsidRDefault="00D405E4" w:rsidP="002F53FC">
            <w:pPr>
              <w:pStyle w:val="TableBody"/>
            </w:pPr>
            <w:r w:rsidRPr="00AF469D">
              <w:t>41</w:t>
            </w:r>
          </w:p>
        </w:tc>
        <w:tc>
          <w:tcPr>
            <w:tcW w:w="999" w:type="pct"/>
            <w:noWrap/>
            <w:hideMark/>
          </w:tcPr>
          <w:p w14:paraId="233B60B9" w14:textId="77777777" w:rsidR="00D405E4" w:rsidRPr="00AF469D" w:rsidRDefault="00D405E4" w:rsidP="002F53FC">
            <w:pPr>
              <w:pStyle w:val="TableBody"/>
            </w:pPr>
            <w:r w:rsidRPr="00AF469D">
              <w:t>0%</w:t>
            </w:r>
          </w:p>
        </w:tc>
      </w:tr>
      <w:tr w:rsidR="00D405E4" w:rsidRPr="00AF469D" w14:paraId="01C33F86" w14:textId="77777777" w:rsidTr="008D0BFD">
        <w:trPr>
          <w:trHeight w:val="290"/>
        </w:trPr>
        <w:tc>
          <w:tcPr>
            <w:tcW w:w="1001" w:type="pct"/>
            <w:noWrap/>
            <w:hideMark/>
          </w:tcPr>
          <w:p w14:paraId="190BFF5C" w14:textId="77777777" w:rsidR="00D405E4" w:rsidRPr="00AF469D" w:rsidRDefault="00D405E4" w:rsidP="002F53FC">
            <w:pPr>
              <w:pStyle w:val="TableBody"/>
            </w:pPr>
            <w:r w:rsidRPr="00AF469D">
              <w:t>14</w:t>
            </w:r>
          </w:p>
        </w:tc>
        <w:tc>
          <w:tcPr>
            <w:tcW w:w="1000" w:type="pct"/>
            <w:noWrap/>
            <w:hideMark/>
          </w:tcPr>
          <w:p w14:paraId="7C50309A" w14:textId="77777777" w:rsidR="00D405E4" w:rsidRPr="00AF469D" w:rsidRDefault="00D405E4" w:rsidP="002F53FC">
            <w:pPr>
              <w:pStyle w:val="TableBody"/>
            </w:pPr>
            <w:r w:rsidRPr="00AF469D">
              <w:t>47</w:t>
            </w:r>
          </w:p>
        </w:tc>
        <w:tc>
          <w:tcPr>
            <w:tcW w:w="1000" w:type="pct"/>
            <w:noWrap/>
            <w:hideMark/>
          </w:tcPr>
          <w:p w14:paraId="723AA426" w14:textId="77777777" w:rsidR="00D405E4" w:rsidRPr="00AF469D" w:rsidRDefault="00D405E4" w:rsidP="002F53FC">
            <w:pPr>
              <w:pStyle w:val="TableBody"/>
            </w:pPr>
            <w:r w:rsidRPr="00AF469D">
              <w:t>2.7%</w:t>
            </w:r>
          </w:p>
        </w:tc>
        <w:tc>
          <w:tcPr>
            <w:tcW w:w="1000" w:type="pct"/>
            <w:noWrap/>
            <w:hideMark/>
          </w:tcPr>
          <w:p w14:paraId="4EB8482E" w14:textId="77777777" w:rsidR="00D405E4" w:rsidRPr="00AF469D" w:rsidRDefault="00D405E4" w:rsidP="002F53FC">
            <w:pPr>
              <w:pStyle w:val="TableBody"/>
            </w:pPr>
            <w:r w:rsidRPr="00AF469D">
              <w:t>93</w:t>
            </w:r>
          </w:p>
        </w:tc>
        <w:tc>
          <w:tcPr>
            <w:tcW w:w="999" w:type="pct"/>
            <w:noWrap/>
            <w:hideMark/>
          </w:tcPr>
          <w:p w14:paraId="73AAFD45" w14:textId="77777777" w:rsidR="00D405E4" w:rsidRPr="00AF469D" w:rsidRDefault="00D405E4" w:rsidP="002F53FC">
            <w:pPr>
              <w:pStyle w:val="TableBody"/>
            </w:pPr>
            <w:r w:rsidRPr="00AF469D">
              <w:t>1%</w:t>
            </w:r>
          </w:p>
        </w:tc>
      </w:tr>
      <w:tr w:rsidR="00D405E4" w:rsidRPr="00AF469D" w14:paraId="286AA73F" w14:textId="77777777" w:rsidTr="008D0BFD">
        <w:trPr>
          <w:trHeight w:val="290"/>
        </w:trPr>
        <w:tc>
          <w:tcPr>
            <w:tcW w:w="1001" w:type="pct"/>
            <w:noWrap/>
            <w:hideMark/>
          </w:tcPr>
          <w:p w14:paraId="3A68AA1B" w14:textId="77777777" w:rsidR="00D405E4" w:rsidRPr="00AF469D" w:rsidRDefault="00D405E4" w:rsidP="002F53FC">
            <w:pPr>
              <w:pStyle w:val="TableBody"/>
            </w:pPr>
            <w:r w:rsidRPr="00AF469D">
              <w:t>15</w:t>
            </w:r>
          </w:p>
        </w:tc>
        <w:tc>
          <w:tcPr>
            <w:tcW w:w="1000" w:type="pct"/>
            <w:noWrap/>
            <w:hideMark/>
          </w:tcPr>
          <w:p w14:paraId="5C52B104" w14:textId="77777777" w:rsidR="00D405E4" w:rsidRPr="00AF469D" w:rsidRDefault="00D405E4" w:rsidP="002F53FC">
            <w:pPr>
              <w:pStyle w:val="TableBody"/>
            </w:pPr>
            <w:r w:rsidRPr="00AF469D">
              <w:t>69</w:t>
            </w:r>
          </w:p>
        </w:tc>
        <w:tc>
          <w:tcPr>
            <w:tcW w:w="1000" w:type="pct"/>
            <w:noWrap/>
            <w:hideMark/>
          </w:tcPr>
          <w:p w14:paraId="072DE8D8" w14:textId="77777777" w:rsidR="00D405E4" w:rsidRPr="00AF469D" w:rsidRDefault="00D405E4" w:rsidP="002F53FC">
            <w:pPr>
              <w:pStyle w:val="TableBody"/>
            </w:pPr>
            <w:r w:rsidRPr="00AF469D">
              <w:t>4.0%</w:t>
            </w:r>
          </w:p>
        </w:tc>
        <w:tc>
          <w:tcPr>
            <w:tcW w:w="1000" w:type="pct"/>
            <w:noWrap/>
            <w:hideMark/>
          </w:tcPr>
          <w:p w14:paraId="074A57B3" w14:textId="77777777" w:rsidR="00D405E4" w:rsidRPr="00AF469D" w:rsidRDefault="00D405E4" w:rsidP="002F53FC">
            <w:pPr>
              <w:pStyle w:val="TableBody"/>
            </w:pPr>
            <w:r w:rsidRPr="00AF469D">
              <w:t>180</w:t>
            </w:r>
          </w:p>
        </w:tc>
        <w:tc>
          <w:tcPr>
            <w:tcW w:w="999" w:type="pct"/>
            <w:noWrap/>
            <w:hideMark/>
          </w:tcPr>
          <w:p w14:paraId="5CEA6D29" w14:textId="77777777" w:rsidR="00D405E4" w:rsidRPr="00AF469D" w:rsidRDefault="00D405E4" w:rsidP="002F53FC">
            <w:pPr>
              <w:pStyle w:val="TableBody"/>
            </w:pPr>
            <w:r w:rsidRPr="00AF469D">
              <w:t>1%</w:t>
            </w:r>
          </w:p>
        </w:tc>
      </w:tr>
      <w:tr w:rsidR="00D405E4" w:rsidRPr="00AF469D" w14:paraId="073301F6" w14:textId="77777777" w:rsidTr="008D0BFD">
        <w:trPr>
          <w:trHeight w:val="290"/>
        </w:trPr>
        <w:tc>
          <w:tcPr>
            <w:tcW w:w="1001" w:type="pct"/>
            <w:noWrap/>
            <w:hideMark/>
          </w:tcPr>
          <w:p w14:paraId="1E9EDE33" w14:textId="77777777" w:rsidR="00D405E4" w:rsidRPr="00AF469D" w:rsidRDefault="00D405E4" w:rsidP="002F53FC">
            <w:pPr>
              <w:pStyle w:val="TableBody"/>
            </w:pPr>
            <w:r w:rsidRPr="00AF469D">
              <w:t>16</w:t>
            </w:r>
          </w:p>
        </w:tc>
        <w:tc>
          <w:tcPr>
            <w:tcW w:w="1000" w:type="pct"/>
            <w:noWrap/>
            <w:hideMark/>
          </w:tcPr>
          <w:p w14:paraId="4FBF1ADA" w14:textId="77777777" w:rsidR="00D405E4" w:rsidRPr="00AF469D" w:rsidRDefault="00D405E4" w:rsidP="002F53FC">
            <w:pPr>
              <w:pStyle w:val="TableBody"/>
            </w:pPr>
            <w:r w:rsidRPr="00AF469D">
              <w:t>62</w:t>
            </w:r>
          </w:p>
        </w:tc>
        <w:tc>
          <w:tcPr>
            <w:tcW w:w="1000" w:type="pct"/>
            <w:noWrap/>
            <w:hideMark/>
          </w:tcPr>
          <w:p w14:paraId="53F4F890" w14:textId="77777777" w:rsidR="00D405E4" w:rsidRPr="00AF469D" w:rsidRDefault="00D405E4" w:rsidP="002F53FC">
            <w:pPr>
              <w:pStyle w:val="TableBody"/>
            </w:pPr>
            <w:r w:rsidRPr="00AF469D">
              <w:t>3.6%</w:t>
            </w:r>
          </w:p>
        </w:tc>
        <w:tc>
          <w:tcPr>
            <w:tcW w:w="1000" w:type="pct"/>
            <w:noWrap/>
            <w:hideMark/>
          </w:tcPr>
          <w:p w14:paraId="77F097D5" w14:textId="77777777" w:rsidR="00D405E4" w:rsidRPr="00AF469D" w:rsidRDefault="00D405E4" w:rsidP="002F53FC">
            <w:pPr>
              <w:pStyle w:val="TableBody"/>
            </w:pPr>
            <w:r w:rsidRPr="00AF469D">
              <w:t>237</w:t>
            </w:r>
          </w:p>
        </w:tc>
        <w:tc>
          <w:tcPr>
            <w:tcW w:w="999" w:type="pct"/>
            <w:noWrap/>
            <w:hideMark/>
          </w:tcPr>
          <w:p w14:paraId="17BB4AD8" w14:textId="77777777" w:rsidR="00D405E4" w:rsidRPr="00AF469D" w:rsidRDefault="00D405E4" w:rsidP="002F53FC">
            <w:pPr>
              <w:pStyle w:val="TableBody"/>
            </w:pPr>
            <w:r w:rsidRPr="00AF469D">
              <w:t>2%</w:t>
            </w:r>
          </w:p>
        </w:tc>
      </w:tr>
      <w:tr w:rsidR="00D405E4" w:rsidRPr="00AF469D" w14:paraId="4A2EA5B4" w14:textId="77777777" w:rsidTr="008D0BFD">
        <w:trPr>
          <w:trHeight w:val="290"/>
        </w:trPr>
        <w:tc>
          <w:tcPr>
            <w:tcW w:w="1001" w:type="pct"/>
            <w:noWrap/>
            <w:hideMark/>
          </w:tcPr>
          <w:p w14:paraId="4ADEE467" w14:textId="77777777" w:rsidR="00D405E4" w:rsidRPr="00AF469D" w:rsidRDefault="00D405E4" w:rsidP="002F53FC">
            <w:pPr>
              <w:pStyle w:val="TableBody"/>
            </w:pPr>
            <w:r w:rsidRPr="00AF469D">
              <w:t>17</w:t>
            </w:r>
          </w:p>
        </w:tc>
        <w:tc>
          <w:tcPr>
            <w:tcW w:w="1000" w:type="pct"/>
            <w:noWrap/>
            <w:hideMark/>
          </w:tcPr>
          <w:p w14:paraId="63ED196F" w14:textId="77777777" w:rsidR="00D405E4" w:rsidRPr="00AF469D" w:rsidRDefault="00D405E4" w:rsidP="002F53FC">
            <w:pPr>
              <w:pStyle w:val="TableBody"/>
            </w:pPr>
            <w:r w:rsidRPr="00AF469D">
              <w:t>62</w:t>
            </w:r>
          </w:p>
        </w:tc>
        <w:tc>
          <w:tcPr>
            <w:tcW w:w="1000" w:type="pct"/>
            <w:noWrap/>
            <w:hideMark/>
          </w:tcPr>
          <w:p w14:paraId="7FD12744" w14:textId="77777777" w:rsidR="00D405E4" w:rsidRPr="00AF469D" w:rsidRDefault="00D405E4" w:rsidP="002F53FC">
            <w:pPr>
              <w:pStyle w:val="TableBody"/>
            </w:pPr>
            <w:r w:rsidRPr="00AF469D">
              <w:t>3.6%</w:t>
            </w:r>
          </w:p>
        </w:tc>
        <w:tc>
          <w:tcPr>
            <w:tcW w:w="1000" w:type="pct"/>
            <w:noWrap/>
            <w:hideMark/>
          </w:tcPr>
          <w:p w14:paraId="15DC638D" w14:textId="77777777" w:rsidR="00D405E4" w:rsidRPr="00AF469D" w:rsidRDefault="00D405E4" w:rsidP="002F53FC">
            <w:pPr>
              <w:pStyle w:val="TableBody"/>
            </w:pPr>
            <w:r w:rsidRPr="00AF469D">
              <w:t>267</w:t>
            </w:r>
          </w:p>
        </w:tc>
        <w:tc>
          <w:tcPr>
            <w:tcW w:w="999" w:type="pct"/>
            <w:noWrap/>
            <w:hideMark/>
          </w:tcPr>
          <w:p w14:paraId="39DC0EC0" w14:textId="77777777" w:rsidR="00D405E4" w:rsidRPr="00AF469D" w:rsidRDefault="00D405E4" w:rsidP="002F53FC">
            <w:pPr>
              <w:pStyle w:val="TableBody"/>
            </w:pPr>
            <w:r w:rsidRPr="00AF469D">
              <w:t>2%</w:t>
            </w:r>
          </w:p>
        </w:tc>
      </w:tr>
      <w:tr w:rsidR="00D405E4" w:rsidRPr="00AF469D" w14:paraId="04995629" w14:textId="77777777" w:rsidTr="008D0BFD">
        <w:trPr>
          <w:trHeight w:val="290"/>
        </w:trPr>
        <w:tc>
          <w:tcPr>
            <w:tcW w:w="1001" w:type="pct"/>
            <w:noWrap/>
            <w:hideMark/>
          </w:tcPr>
          <w:p w14:paraId="7A97CEF1" w14:textId="77777777" w:rsidR="00D405E4" w:rsidRPr="00AF469D" w:rsidRDefault="00D405E4" w:rsidP="002F53FC">
            <w:pPr>
              <w:pStyle w:val="TableBody"/>
            </w:pPr>
            <w:r w:rsidRPr="00AF469D">
              <w:t>18</w:t>
            </w:r>
          </w:p>
        </w:tc>
        <w:tc>
          <w:tcPr>
            <w:tcW w:w="1000" w:type="pct"/>
            <w:noWrap/>
            <w:hideMark/>
          </w:tcPr>
          <w:p w14:paraId="2CEAEA9D" w14:textId="77777777" w:rsidR="00D405E4" w:rsidRPr="00AF469D" w:rsidRDefault="00D405E4" w:rsidP="002F53FC">
            <w:pPr>
              <w:pStyle w:val="TableBody"/>
            </w:pPr>
            <w:r w:rsidRPr="00AF469D">
              <w:t>39</w:t>
            </w:r>
          </w:p>
        </w:tc>
        <w:tc>
          <w:tcPr>
            <w:tcW w:w="1000" w:type="pct"/>
            <w:noWrap/>
            <w:hideMark/>
          </w:tcPr>
          <w:p w14:paraId="24B6D59F" w14:textId="77777777" w:rsidR="00D405E4" w:rsidRPr="00AF469D" w:rsidRDefault="00D405E4" w:rsidP="002F53FC">
            <w:pPr>
              <w:pStyle w:val="TableBody"/>
            </w:pPr>
            <w:r w:rsidRPr="00AF469D">
              <w:t>2.3%</w:t>
            </w:r>
          </w:p>
        </w:tc>
        <w:tc>
          <w:tcPr>
            <w:tcW w:w="1000" w:type="pct"/>
            <w:noWrap/>
            <w:hideMark/>
          </w:tcPr>
          <w:p w14:paraId="152DF787" w14:textId="77777777" w:rsidR="00D405E4" w:rsidRPr="00AF469D" w:rsidRDefault="00D405E4" w:rsidP="002F53FC">
            <w:pPr>
              <w:pStyle w:val="TableBody"/>
            </w:pPr>
            <w:r w:rsidRPr="00AF469D">
              <w:t>265</w:t>
            </w:r>
          </w:p>
        </w:tc>
        <w:tc>
          <w:tcPr>
            <w:tcW w:w="999" w:type="pct"/>
            <w:noWrap/>
            <w:hideMark/>
          </w:tcPr>
          <w:p w14:paraId="31F44F77" w14:textId="77777777" w:rsidR="00D405E4" w:rsidRPr="00AF469D" w:rsidRDefault="00D405E4" w:rsidP="002F53FC">
            <w:pPr>
              <w:pStyle w:val="TableBody"/>
            </w:pPr>
            <w:r w:rsidRPr="00AF469D">
              <w:t>2%</w:t>
            </w:r>
          </w:p>
        </w:tc>
      </w:tr>
      <w:tr w:rsidR="00D405E4" w:rsidRPr="00AF469D" w14:paraId="501651C8" w14:textId="77777777" w:rsidTr="008D0BFD">
        <w:trPr>
          <w:trHeight w:val="290"/>
        </w:trPr>
        <w:tc>
          <w:tcPr>
            <w:tcW w:w="1001" w:type="pct"/>
            <w:noWrap/>
            <w:hideMark/>
          </w:tcPr>
          <w:p w14:paraId="098B12C7" w14:textId="77777777" w:rsidR="00D405E4" w:rsidRPr="00AF469D" w:rsidRDefault="00D405E4" w:rsidP="002F53FC">
            <w:pPr>
              <w:pStyle w:val="TableBody"/>
            </w:pPr>
            <w:r w:rsidRPr="00AF469D">
              <w:t>19</w:t>
            </w:r>
          </w:p>
        </w:tc>
        <w:tc>
          <w:tcPr>
            <w:tcW w:w="1000" w:type="pct"/>
            <w:noWrap/>
            <w:hideMark/>
          </w:tcPr>
          <w:p w14:paraId="375C1264" w14:textId="77777777" w:rsidR="00D405E4" w:rsidRPr="00AF469D" w:rsidRDefault="00D405E4" w:rsidP="002F53FC">
            <w:pPr>
              <w:pStyle w:val="TableBody"/>
            </w:pPr>
            <w:r w:rsidRPr="00AF469D">
              <w:t>35</w:t>
            </w:r>
          </w:p>
        </w:tc>
        <w:tc>
          <w:tcPr>
            <w:tcW w:w="1000" w:type="pct"/>
            <w:noWrap/>
            <w:hideMark/>
          </w:tcPr>
          <w:p w14:paraId="755CD9B8" w14:textId="77777777" w:rsidR="00D405E4" w:rsidRPr="00AF469D" w:rsidRDefault="00D405E4" w:rsidP="002F53FC">
            <w:pPr>
              <w:pStyle w:val="TableBody"/>
            </w:pPr>
            <w:r w:rsidRPr="00AF469D">
              <w:t>2.0%</w:t>
            </w:r>
          </w:p>
        </w:tc>
        <w:tc>
          <w:tcPr>
            <w:tcW w:w="1000" w:type="pct"/>
            <w:noWrap/>
            <w:hideMark/>
          </w:tcPr>
          <w:p w14:paraId="0619698C" w14:textId="77777777" w:rsidR="00D405E4" w:rsidRPr="00AF469D" w:rsidRDefault="00D405E4" w:rsidP="002F53FC">
            <w:pPr>
              <w:pStyle w:val="TableBody"/>
            </w:pPr>
            <w:r w:rsidRPr="00AF469D">
              <w:t>296</w:t>
            </w:r>
          </w:p>
        </w:tc>
        <w:tc>
          <w:tcPr>
            <w:tcW w:w="999" w:type="pct"/>
            <w:noWrap/>
            <w:hideMark/>
          </w:tcPr>
          <w:p w14:paraId="5C0F3FFA" w14:textId="77777777" w:rsidR="00D405E4" w:rsidRPr="00AF469D" w:rsidRDefault="00D405E4" w:rsidP="002F53FC">
            <w:pPr>
              <w:pStyle w:val="TableBody"/>
            </w:pPr>
            <w:r w:rsidRPr="00AF469D">
              <w:t>2%</w:t>
            </w:r>
          </w:p>
        </w:tc>
      </w:tr>
      <w:tr w:rsidR="00D405E4" w:rsidRPr="00AF469D" w14:paraId="1762649D" w14:textId="77777777" w:rsidTr="008D0BFD">
        <w:trPr>
          <w:trHeight w:val="290"/>
        </w:trPr>
        <w:tc>
          <w:tcPr>
            <w:tcW w:w="1001" w:type="pct"/>
            <w:noWrap/>
            <w:hideMark/>
          </w:tcPr>
          <w:p w14:paraId="034C3815" w14:textId="77777777" w:rsidR="00D405E4" w:rsidRPr="00AF469D" w:rsidRDefault="00D405E4" w:rsidP="002F53FC">
            <w:pPr>
              <w:pStyle w:val="TableBody"/>
            </w:pPr>
            <w:r w:rsidRPr="00AF469D">
              <w:t>20</w:t>
            </w:r>
          </w:p>
        </w:tc>
        <w:tc>
          <w:tcPr>
            <w:tcW w:w="1000" w:type="pct"/>
            <w:noWrap/>
            <w:hideMark/>
          </w:tcPr>
          <w:p w14:paraId="1E10299D" w14:textId="77777777" w:rsidR="00D405E4" w:rsidRPr="00AF469D" w:rsidRDefault="00D405E4" w:rsidP="002F53FC">
            <w:pPr>
              <w:pStyle w:val="TableBody"/>
            </w:pPr>
            <w:r w:rsidRPr="00AF469D">
              <w:t>29</w:t>
            </w:r>
          </w:p>
        </w:tc>
        <w:tc>
          <w:tcPr>
            <w:tcW w:w="1000" w:type="pct"/>
            <w:noWrap/>
            <w:hideMark/>
          </w:tcPr>
          <w:p w14:paraId="7B6FC402" w14:textId="77777777" w:rsidR="00D405E4" w:rsidRPr="00AF469D" w:rsidRDefault="00D405E4" w:rsidP="002F53FC">
            <w:pPr>
              <w:pStyle w:val="TableBody"/>
            </w:pPr>
            <w:r w:rsidRPr="00AF469D">
              <w:t>1.7%</w:t>
            </w:r>
          </w:p>
        </w:tc>
        <w:tc>
          <w:tcPr>
            <w:tcW w:w="1000" w:type="pct"/>
            <w:noWrap/>
            <w:hideMark/>
          </w:tcPr>
          <w:p w14:paraId="09BF6D27" w14:textId="77777777" w:rsidR="00D405E4" w:rsidRPr="00AF469D" w:rsidRDefault="00D405E4" w:rsidP="002F53FC">
            <w:pPr>
              <w:pStyle w:val="TableBody"/>
            </w:pPr>
            <w:r w:rsidRPr="00AF469D">
              <w:t>326</w:t>
            </w:r>
          </w:p>
        </w:tc>
        <w:tc>
          <w:tcPr>
            <w:tcW w:w="999" w:type="pct"/>
            <w:noWrap/>
            <w:hideMark/>
          </w:tcPr>
          <w:p w14:paraId="7E582A79" w14:textId="77777777" w:rsidR="00D405E4" w:rsidRPr="00AF469D" w:rsidRDefault="00D405E4" w:rsidP="002F53FC">
            <w:pPr>
              <w:pStyle w:val="TableBody"/>
            </w:pPr>
            <w:r w:rsidRPr="00AF469D">
              <w:t>3%</w:t>
            </w:r>
          </w:p>
        </w:tc>
      </w:tr>
      <w:tr w:rsidR="00D405E4" w:rsidRPr="00AF469D" w14:paraId="54902129" w14:textId="77777777" w:rsidTr="008D0BFD">
        <w:trPr>
          <w:trHeight w:val="290"/>
        </w:trPr>
        <w:tc>
          <w:tcPr>
            <w:tcW w:w="1001" w:type="pct"/>
            <w:noWrap/>
            <w:hideMark/>
          </w:tcPr>
          <w:p w14:paraId="34BA89DE" w14:textId="77777777" w:rsidR="00D405E4" w:rsidRPr="00AF469D" w:rsidRDefault="00D405E4" w:rsidP="002F53FC">
            <w:pPr>
              <w:pStyle w:val="TableBody"/>
            </w:pPr>
            <w:r w:rsidRPr="00AF469D">
              <w:t>21</w:t>
            </w:r>
          </w:p>
        </w:tc>
        <w:tc>
          <w:tcPr>
            <w:tcW w:w="1000" w:type="pct"/>
            <w:noWrap/>
            <w:hideMark/>
          </w:tcPr>
          <w:p w14:paraId="7347D147" w14:textId="77777777" w:rsidR="00D405E4" w:rsidRPr="00AF469D" w:rsidRDefault="00D405E4" w:rsidP="002F53FC">
            <w:pPr>
              <w:pStyle w:val="TableBody"/>
            </w:pPr>
            <w:r w:rsidRPr="00AF469D">
              <w:t>53</w:t>
            </w:r>
          </w:p>
        </w:tc>
        <w:tc>
          <w:tcPr>
            <w:tcW w:w="1000" w:type="pct"/>
            <w:noWrap/>
            <w:hideMark/>
          </w:tcPr>
          <w:p w14:paraId="6AA5EFA9" w14:textId="77777777" w:rsidR="00D405E4" w:rsidRPr="00AF469D" w:rsidRDefault="00D405E4" w:rsidP="002F53FC">
            <w:pPr>
              <w:pStyle w:val="TableBody"/>
            </w:pPr>
            <w:r w:rsidRPr="00AF469D">
              <w:t>3.1%</w:t>
            </w:r>
          </w:p>
        </w:tc>
        <w:tc>
          <w:tcPr>
            <w:tcW w:w="1000" w:type="pct"/>
            <w:noWrap/>
            <w:hideMark/>
          </w:tcPr>
          <w:p w14:paraId="7AE813A3" w14:textId="77777777" w:rsidR="00D405E4" w:rsidRPr="00AF469D" w:rsidRDefault="00D405E4" w:rsidP="002F53FC">
            <w:pPr>
              <w:pStyle w:val="TableBody"/>
            </w:pPr>
            <w:r w:rsidRPr="00AF469D">
              <w:t>304</w:t>
            </w:r>
          </w:p>
        </w:tc>
        <w:tc>
          <w:tcPr>
            <w:tcW w:w="999" w:type="pct"/>
            <w:noWrap/>
            <w:hideMark/>
          </w:tcPr>
          <w:p w14:paraId="082A29BE" w14:textId="77777777" w:rsidR="00D405E4" w:rsidRPr="00AF469D" w:rsidRDefault="00D405E4" w:rsidP="002F53FC">
            <w:pPr>
              <w:pStyle w:val="TableBody"/>
            </w:pPr>
            <w:r w:rsidRPr="00AF469D">
              <w:t>3%</w:t>
            </w:r>
          </w:p>
        </w:tc>
      </w:tr>
      <w:tr w:rsidR="00D405E4" w:rsidRPr="00AF469D" w14:paraId="130AAB6F" w14:textId="77777777" w:rsidTr="008D0BFD">
        <w:trPr>
          <w:trHeight w:val="290"/>
        </w:trPr>
        <w:tc>
          <w:tcPr>
            <w:tcW w:w="1001" w:type="pct"/>
            <w:noWrap/>
            <w:hideMark/>
          </w:tcPr>
          <w:p w14:paraId="3854F225" w14:textId="77777777" w:rsidR="00D405E4" w:rsidRPr="00AF469D" w:rsidRDefault="00D405E4" w:rsidP="002F53FC">
            <w:pPr>
              <w:pStyle w:val="TableBody"/>
            </w:pPr>
            <w:r w:rsidRPr="00AF469D">
              <w:t>22</w:t>
            </w:r>
          </w:p>
        </w:tc>
        <w:tc>
          <w:tcPr>
            <w:tcW w:w="1000" w:type="pct"/>
            <w:noWrap/>
            <w:hideMark/>
          </w:tcPr>
          <w:p w14:paraId="2DDA3D86" w14:textId="77777777" w:rsidR="00D405E4" w:rsidRPr="00AF469D" w:rsidRDefault="00D405E4" w:rsidP="002F53FC">
            <w:pPr>
              <w:pStyle w:val="TableBody"/>
            </w:pPr>
            <w:r w:rsidRPr="00AF469D">
              <w:t>56</w:t>
            </w:r>
          </w:p>
        </w:tc>
        <w:tc>
          <w:tcPr>
            <w:tcW w:w="1000" w:type="pct"/>
            <w:noWrap/>
            <w:hideMark/>
          </w:tcPr>
          <w:p w14:paraId="7A4CEC51" w14:textId="77777777" w:rsidR="00D405E4" w:rsidRPr="00AF469D" w:rsidRDefault="00D405E4" w:rsidP="002F53FC">
            <w:pPr>
              <w:pStyle w:val="TableBody"/>
            </w:pPr>
            <w:r w:rsidRPr="00AF469D">
              <w:t>3.3%</w:t>
            </w:r>
          </w:p>
        </w:tc>
        <w:tc>
          <w:tcPr>
            <w:tcW w:w="1000" w:type="pct"/>
            <w:noWrap/>
            <w:hideMark/>
          </w:tcPr>
          <w:p w14:paraId="7412C7F3" w14:textId="77777777" w:rsidR="00D405E4" w:rsidRPr="00AF469D" w:rsidRDefault="00D405E4" w:rsidP="002F53FC">
            <w:pPr>
              <w:pStyle w:val="TableBody"/>
            </w:pPr>
            <w:r w:rsidRPr="00AF469D">
              <w:t>338</w:t>
            </w:r>
          </w:p>
        </w:tc>
        <w:tc>
          <w:tcPr>
            <w:tcW w:w="999" w:type="pct"/>
            <w:noWrap/>
            <w:hideMark/>
          </w:tcPr>
          <w:p w14:paraId="46F729C8" w14:textId="77777777" w:rsidR="00D405E4" w:rsidRPr="00AF469D" w:rsidRDefault="00D405E4" w:rsidP="002F53FC">
            <w:pPr>
              <w:pStyle w:val="TableBody"/>
            </w:pPr>
            <w:r w:rsidRPr="00AF469D">
              <w:t>3%</w:t>
            </w:r>
          </w:p>
        </w:tc>
      </w:tr>
      <w:tr w:rsidR="00D405E4" w:rsidRPr="00AF469D" w14:paraId="4C55CDD8" w14:textId="77777777" w:rsidTr="008D0BFD">
        <w:trPr>
          <w:trHeight w:val="290"/>
        </w:trPr>
        <w:tc>
          <w:tcPr>
            <w:tcW w:w="1001" w:type="pct"/>
            <w:noWrap/>
            <w:hideMark/>
          </w:tcPr>
          <w:p w14:paraId="1B5F89A2" w14:textId="77777777" w:rsidR="00D405E4" w:rsidRPr="00AF469D" w:rsidRDefault="00D405E4" w:rsidP="002F53FC">
            <w:pPr>
              <w:pStyle w:val="TableBody"/>
            </w:pPr>
            <w:r w:rsidRPr="00AF469D">
              <w:t>23</w:t>
            </w:r>
          </w:p>
        </w:tc>
        <w:tc>
          <w:tcPr>
            <w:tcW w:w="1000" w:type="pct"/>
            <w:noWrap/>
            <w:hideMark/>
          </w:tcPr>
          <w:p w14:paraId="3B2FCA31" w14:textId="77777777" w:rsidR="00D405E4" w:rsidRPr="00AF469D" w:rsidRDefault="00D405E4" w:rsidP="002F53FC">
            <w:pPr>
              <w:pStyle w:val="TableBody"/>
            </w:pPr>
            <w:r w:rsidRPr="00AF469D">
              <w:t>56</w:t>
            </w:r>
          </w:p>
        </w:tc>
        <w:tc>
          <w:tcPr>
            <w:tcW w:w="1000" w:type="pct"/>
            <w:noWrap/>
            <w:hideMark/>
          </w:tcPr>
          <w:p w14:paraId="6820C3F9" w14:textId="77777777" w:rsidR="00D405E4" w:rsidRPr="00AF469D" w:rsidRDefault="00D405E4" w:rsidP="002F53FC">
            <w:pPr>
              <w:pStyle w:val="TableBody"/>
            </w:pPr>
            <w:r w:rsidRPr="00AF469D">
              <w:t>3.3%</w:t>
            </w:r>
          </w:p>
        </w:tc>
        <w:tc>
          <w:tcPr>
            <w:tcW w:w="1000" w:type="pct"/>
            <w:noWrap/>
            <w:hideMark/>
          </w:tcPr>
          <w:p w14:paraId="4C0B05A4" w14:textId="77777777" w:rsidR="00D405E4" w:rsidRPr="00AF469D" w:rsidRDefault="00D405E4" w:rsidP="002F53FC">
            <w:pPr>
              <w:pStyle w:val="TableBody"/>
            </w:pPr>
            <w:r w:rsidRPr="00AF469D">
              <w:t>338</w:t>
            </w:r>
          </w:p>
        </w:tc>
        <w:tc>
          <w:tcPr>
            <w:tcW w:w="999" w:type="pct"/>
            <w:noWrap/>
            <w:hideMark/>
          </w:tcPr>
          <w:p w14:paraId="1A15AB35" w14:textId="77777777" w:rsidR="00D405E4" w:rsidRPr="00AF469D" w:rsidRDefault="00D405E4" w:rsidP="002F53FC">
            <w:pPr>
              <w:pStyle w:val="TableBody"/>
            </w:pPr>
            <w:r w:rsidRPr="00AF469D">
              <w:t>3%</w:t>
            </w:r>
          </w:p>
        </w:tc>
      </w:tr>
      <w:tr w:rsidR="00D405E4" w:rsidRPr="00AF469D" w14:paraId="5DC1AB1B" w14:textId="77777777" w:rsidTr="008D0BFD">
        <w:trPr>
          <w:trHeight w:val="290"/>
        </w:trPr>
        <w:tc>
          <w:tcPr>
            <w:tcW w:w="1001" w:type="pct"/>
            <w:noWrap/>
            <w:hideMark/>
          </w:tcPr>
          <w:p w14:paraId="12C6BD26" w14:textId="77777777" w:rsidR="00D405E4" w:rsidRPr="00AF469D" w:rsidRDefault="00D405E4" w:rsidP="002F53FC">
            <w:pPr>
              <w:pStyle w:val="TableBody"/>
            </w:pPr>
            <w:r w:rsidRPr="00AF469D">
              <w:t>24</w:t>
            </w:r>
          </w:p>
        </w:tc>
        <w:tc>
          <w:tcPr>
            <w:tcW w:w="1000" w:type="pct"/>
            <w:noWrap/>
            <w:hideMark/>
          </w:tcPr>
          <w:p w14:paraId="6D5320EF" w14:textId="77777777" w:rsidR="00D405E4" w:rsidRPr="00AF469D" w:rsidRDefault="00D405E4" w:rsidP="002F53FC">
            <w:pPr>
              <w:pStyle w:val="TableBody"/>
            </w:pPr>
            <w:r w:rsidRPr="00AF469D">
              <w:t>50</w:t>
            </w:r>
          </w:p>
        </w:tc>
        <w:tc>
          <w:tcPr>
            <w:tcW w:w="1000" w:type="pct"/>
            <w:noWrap/>
            <w:hideMark/>
          </w:tcPr>
          <w:p w14:paraId="4FCAEA41" w14:textId="77777777" w:rsidR="00D405E4" w:rsidRPr="00AF469D" w:rsidRDefault="00D405E4" w:rsidP="002F53FC">
            <w:pPr>
              <w:pStyle w:val="TableBody"/>
            </w:pPr>
            <w:r w:rsidRPr="00AF469D">
              <w:t>2.9%</w:t>
            </w:r>
          </w:p>
        </w:tc>
        <w:tc>
          <w:tcPr>
            <w:tcW w:w="1000" w:type="pct"/>
            <w:noWrap/>
            <w:hideMark/>
          </w:tcPr>
          <w:p w14:paraId="3689A55E" w14:textId="77777777" w:rsidR="00D405E4" w:rsidRPr="00AF469D" w:rsidRDefault="00D405E4" w:rsidP="002F53FC">
            <w:pPr>
              <w:pStyle w:val="TableBody"/>
            </w:pPr>
            <w:r w:rsidRPr="00AF469D">
              <w:t>376</w:t>
            </w:r>
          </w:p>
        </w:tc>
        <w:tc>
          <w:tcPr>
            <w:tcW w:w="999" w:type="pct"/>
            <w:noWrap/>
            <w:hideMark/>
          </w:tcPr>
          <w:p w14:paraId="7D707190" w14:textId="77777777" w:rsidR="00D405E4" w:rsidRPr="00AF469D" w:rsidRDefault="00D405E4" w:rsidP="002F53FC">
            <w:pPr>
              <w:pStyle w:val="TableBody"/>
            </w:pPr>
            <w:r w:rsidRPr="00AF469D">
              <w:t>3%</w:t>
            </w:r>
          </w:p>
        </w:tc>
      </w:tr>
      <w:tr w:rsidR="00D405E4" w:rsidRPr="00AF469D" w14:paraId="617F4B7C" w14:textId="77777777" w:rsidTr="008D0BFD">
        <w:trPr>
          <w:trHeight w:val="290"/>
        </w:trPr>
        <w:tc>
          <w:tcPr>
            <w:tcW w:w="1001" w:type="pct"/>
            <w:noWrap/>
            <w:hideMark/>
          </w:tcPr>
          <w:p w14:paraId="69CE0625" w14:textId="77777777" w:rsidR="00D405E4" w:rsidRPr="00AF469D" w:rsidRDefault="00D405E4" w:rsidP="002F53FC">
            <w:pPr>
              <w:pStyle w:val="TableBody"/>
            </w:pPr>
            <w:r w:rsidRPr="00AF469D">
              <w:t>25</w:t>
            </w:r>
          </w:p>
        </w:tc>
        <w:tc>
          <w:tcPr>
            <w:tcW w:w="1000" w:type="pct"/>
            <w:noWrap/>
            <w:hideMark/>
          </w:tcPr>
          <w:p w14:paraId="1FCEA364" w14:textId="77777777" w:rsidR="00D405E4" w:rsidRPr="00AF469D" w:rsidRDefault="00D405E4" w:rsidP="002F53FC">
            <w:pPr>
              <w:pStyle w:val="TableBody"/>
            </w:pPr>
            <w:r w:rsidRPr="00AF469D">
              <w:t>52</w:t>
            </w:r>
          </w:p>
        </w:tc>
        <w:tc>
          <w:tcPr>
            <w:tcW w:w="1000" w:type="pct"/>
            <w:noWrap/>
            <w:hideMark/>
          </w:tcPr>
          <w:p w14:paraId="399D46E6" w14:textId="77777777" w:rsidR="00D405E4" w:rsidRPr="00AF469D" w:rsidRDefault="00D405E4" w:rsidP="002F53FC">
            <w:pPr>
              <w:pStyle w:val="TableBody"/>
            </w:pPr>
            <w:r w:rsidRPr="00AF469D">
              <w:t>3.0%</w:t>
            </w:r>
          </w:p>
        </w:tc>
        <w:tc>
          <w:tcPr>
            <w:tcW w:w="1000" w:type="pct"/>
            <w:noWrap/>
            <w:hideMark/>
          </w:tcPr>
          <w:p w14:paraId="61B5B799" w14:textId="77777777" w:rsidR="00D405E4" w:rsidRPr="00AF469D" w:rsidRDefault="00D405E4" w:rsidP="002F53FC">
            <w:pPr>
              <w:pStyle w:val="TableBody"/>
            </w:pPr>
            <w:r w:rsidRPr="00AF469D">
              <w:t>362</w:t>
            </w:r>
          </w:p>
        </w:tc>
        <w:tc>
          <w:tcPr>
            <w:tcW w:w="999" w:type="pct"/>
            <w:noWrap/>
            <w:hideMark/>
          </w:tcPr>
          <w:p w14:paraId="34955F8C" w14:textId="77777777" w:rsidR="00D405E4" w:rsidRPr="00AF469D" w:rsidRDefault="00D405E4" w:rsidP="002F53FC">
            <w:pPr>
              <w:pStyle w:val="TableBody"/>
            </w:pPr>
            <w:r w:rsidRPr="00AF469D">
              <w:t>3%</w:t>
            </w:r>
          </w:p>
        </w:tc>
      </w:tr>
      <w:tr w:rsidR="00D405E4" w:rsidRPr="00AF469D" w14:paraId="690128C3" w14:textId="77777777" w:rsidTr="008D0BFD">
        <w:trPr>
          <w:trHeight w:val="290"/>
        </w:trPr>
        <w:tc>
          <w:tcPr>
            <w:tcW w:w="1001" w:type="pct"/>
            <w:noWrap/>
            <w:hideMark/>
          </w:tcPr>
          <w:p w14:paraId="6B7FB4C7" w14:textId="77777777" w:rsidR="00D405E4" w:rsidRPr="00AF469D" w:rsidRDefault="00D405E4" w:rsidP="002F53FC">
            <w:pPr>
              <w:pStyle w:val="TableBody"/>
            </w:pPr>
            <w:r w:rsidRPr="00AF469D">
              <w:t>26</w:t>
            </w:r>
          </w:p>
        </w:tc>
        <w:tc>
          <w:tcPr>
            <w:tcW w:w="1000" w:type="pct"/>
            <w:noWrap/>
            <w:hideMark/>
          </w:tcPr>
          <w:p w14:paraId="1D47233E" w14:textId="77777777" w:rsidR="00D405E4" w:rsidRPr="00AF469D" w:rsidRDefault="00D405E4" w:rsidP="002F53FC">
            <w:pPr>
              <w:pStyle w:val="TableBody"/>
            </w:pPr>
            <w:r w:rsidRPr="00AF469D">
              <w:t>63</w:t>
            </w:r>
          </w:p>
        </w:tc>
        <w:tc>
          <w:tcPr>
            <w:tcW w:w="1000" w:type="pct"/>
            <w:noWrap/>
            <w:hideMark/>
          </w:tcPr>
          <w:p w14:paraId="55108B6E" w14:textId="77777777" w:rsidR="00D405E4" w:rsidRPr="00AF469D" w:rsidRDefault="00D405E4" w:rsidP="002F53FC">
            <w:pPr>
              <w:pStyle w:val="TableBody"/>
            </w:pPr>
            <w:r w:rsidRPr="00AF469D">
              <w:t>3.7%</w:t>
            </w:r>
          </w:p>
        </w:tc>
        <w:tc>
          <w:tcPr>
            <w:tcW w:w="1000" w:type="pct"/>
            <w:noWrap/>
            <w:hideMark/>
          </w:tcPr>
          <w:p w14:paraId="76C1D3BF" w14:textId="77777777" w:rsidR="00D405E4" w:rsidRPr="00AF469D" w:rsidRDefault="00D405E4" w:rsidP="002F53FC">
            <w:pPr>
              <w:pStyle w:val="TableBody"/>
            </w:pPr>
            <w:r w:rsidRPr="00AF469D">
              <w:t>369</w:t>
            </w:r>
          </w:p>
        </w:tc>
        <w:tc>
          <w:tcPr>
            <w:tcW w:w="999" w:type="pct"/>
            <w:noWrap/>
            <w:hideMark/>
          </w:tcPr>
          <w:p w14:paraId="6C39305C" w14:textId="77777777" w:rsidR="00D405E4" w:rsidRPr="00AF469D" w:rsidRDefault="00D405E4" w:rsidP="002F53FC">
            <w:pPr>
              <w:pStyle w:val="TableBody"/>
            </w:pPr>
            <w:r w:rsidRPr="00AF469D">
              <w:t>3%</w:t>
            </w:r>
          </w:p>
        </w:tc>
      </w:tr>
      <w:tr w:rsidR="00D405E4" w:rsidRPr="00AF469D" w14:paraId="2654E933" w14:textId="77777777" w:rsidTr="008D0BFD">
        <w:trPr>
          <w:trHeight w:val="290"/>
        </w:trPr>
        <w:tc>
          <w:tcPr>
            <w:tcW w:w="1001" w:type="pct"/>
            <w:noWrap/>
            <w:hideMark/>
          </w:tcPr>
          <w:p w14:paraId="6C85BE0B" w14:textId="77777777" w:rsidR="00D405E4" w:rsidRPr="00AF469D" w:rsidRDefault="00D405E4" w:rsidP="002F53FC">
            <w:pPr>
              <w:pStyle w:val="TableBody"/>
            </w:pPr>
            <w:r w:rsidRPr="00AF469D">
              <w:t>27</w:t>
            </w:r>
          </w:p>
        </w:tc>
        <w:tc>
          <w:tcPr>
            <w:tcW w:w="1000" w:type="pct"/>
            <w:noWrap/>
            <w:hideMark/>
          </w:tcPr>
          <w:p w14:paraId="61D899D7" w14:textId="77777777" w:rsidR="00D405E4" w:rsidRPr="00AF469D" w:rsidRDefault="00D405E4" w:rsidP="002F53FC">
            <w:pPr>
              <w:pStyle w:val="TableBody"/>
            </w:pPr>
            <w:r w:rsidRPr="00AF469D">
              <w:t>48</w:t>
            </w:r>
          </w:p>
        </w:tc>
        <w:tc>
          <w:tcPr>
            <w:tcW w:w="1000" w:type="pct"/>
            <w:noWrap/>
            <w:hideMark/>
          </w:tcPr>
          <w:p w14:paraId="0FC4D073" w14:textId="77777777" w:rsidR="00D405E4" w:rsidRPr="00AF469D" w:rsidRDefault="00D405E4" w:rsidP="002F53FC">
            <w:pPr>
              <w:pStyle w:val="TableBody"/>
            </w:pPr>
            <w:r w:rsidRPr="00AF469D">
              <w:t>2.8%</w:t>
            </w:r>
          </w:p>
        </w:tc>
        <w:tc>
          <w:tcPr>
            <w:tcW w:w="1000" w:type="pct"/>
            <w:noWrap/>
            <w:hideMark/>
          </w:tcPr>
          <w:p w14:paraId="0C7D82B4" w14:textId="77777777" w:rsidR="00D405E4" w:rsidRPr="00AF469D" w:rsidRDefault="00D405E4" w:rsidP="002F53FC">
            <w:pPr>
              <w:pStyle w:val="TableBody"/>
            </w:pPr>
            <w:r w:rsidRPr="00AF469D">
              <w:t>342</w:t>
            </w:r>
          </w:p>
        </w:tc>
        <w:tc>
          <w:tcPr>
            <w:tcW w:w="999" w:type="pct"/>
            <w:noWrap/>
            <w:hideMark/>
          </w:tcPr>
          <w:p w14:paraId="52767AE1" w14:textId="77777777" w:rsidR="00D405E4" w:rsidRPr="00AF469D" w:rsidRDefault="00D405E4" w:rsidP="002F53FC">
            <w:pPr>
              <w:pStyle w:val="TableBody"/>
            </w:pPr>
            <w:r w:rsidRPr="00AF469D">
              <w:t>3%</w:t>
            </w:r>
          </w:p>
        </w:tc>
      </w:tr>
      <w:tr w:rsidR="00D405E4" w:rsidRPr="00AF469D" w14:paraId="571E1757" w14:textId="77777777" w:rsidTr="008D0BFD">
        <w:trPr>
          <w:trHeight w:val="290"/>
        </w:trPr>
        <w:tc>
          <w:tcPr>
            <w:tcW w:w="1001" w:type="pct"/>
            <w:noWrap/>
            <w:hideMark/>
          </w:tcPr>
          <w:p w14:paraId="22830CBD" w14:textId="77777777" w:rsidR="00D405E4" w:rsidRPr="00AF469D" w:rsidRDefault="00D405E4" w:rsidP="002F53FC">
            <w:pPr>
              <w:pStyle w:val="TableBody"/>
            </w:pPr>
            <w:r w:rsidRPr="00AF469D">
              <w:t>28</w:t>
            </w:r>
          </w:p>
        </w:tc>
        <w:tc>
          <w:tcPr>
            <w:tcW w:w="1000" w:type="pct"/>
            <w:noWrap/>
            <w:hideMark/>
          </w:tcPr>
          <w:p w14:paraId="188C85E1" w14:textId="77777777" w:rsidR="00D405E4" w:rsidRPr="00AF469D" w:rsidRDefault="00D405E4" w:rsidP="002F53FC">
            <w:pPr>
              <w:pStyle w:val="TableBody"/>
            </w:pPr>
            <w:r w:rsidRPr="00AF469D">
              <w:t>51</w:t>
            </w:r>
          </w:p>
        </w:tc>
        <w:tc>
          <w:tcPr>
            <w:tcW w:w="1000" w:type="pct"/>
            <w:noWrap/>
            <w:hideMark/>
          </w:tcPr>
          <w:p w14:paraId="20D1BF34" w14:textId="77777777" w:rsidR="00D405E4" w:rsidRPr="00AF469D" w:rsidRDefault="00D405E4" w:rsidP="002F53FC">
            <w:pPr>
              <w:pStyle w:val="TableBody"/>
            </w:pPr>
            <w:r w:rsidRPr="00AF469D">
              <w:t>3.0%</w:t>
            </w:r>
          </w:p>
        </w:tc>
        <w:tc>
          <w:tcPr>
            <w:tcW w:w="1000" w:type="pct"/>
            <w:noWrap/>
            <w:hideMark/>
          </w:tcPr>
          <w:p w14:paraId="29A0EF01" w14:textId="77777777" w:rsidR="00D405E4" w:rsidRPr="00AF469D" w:rsidRDefault="00D405E4" w:rsidP="002F53FC">
            <w:pPr>
              <w:pStyle w:val="TableBody"/>
            </w:pPr>
            <w:r w:rsidRPr="00AF469D">
              <w:t>380</w:t>
            </w:r>
          </w:p>
        </w:tc>
        <w:tc>
          <w:tcPr>
            <w:tcW w:w="999" w:type="pct"/>
            <w:noWrap/>
            <w:hideMark/>
          </w:tcPr>
          <w:p w14:paraId="2CB92DC8" w14:textId="77777777" w:rsidR="00D405E4" w:rsidRPr="00AF469D" w:rsidRDefault="00D405E4" w:rsidP="002F53FC">
            <w:pPr>
              <w:pStyle w:val="TableBody"/>
            </w:pPr>
            <w:r w:rsidRPr="00AF469D">
              <w:t>3%</w:t>
            </w:r>
          </w:p>
        </w:tc>
      </w:tr>
      <w:tr w:rsidR="00D405E4" w:rsidRPr="00AF469D" w14:paraId="19D97016" w14:textId="77777777" w:rsidTr="008D0BFD">
        <w:trPr>
          <w:trHeight w:val="290"/>
        </w:trPr>
        <w:tc>
          <w:tcPr>
            <w:tcW w:w="1001" w:type="pct"/>
            <w:noWrap/>
            <w:hideMark/>
          </w:tcPr>
          <w:p w14:paraId="38723B99" w14:textId="77777777" w:rsidR="00D405E4" w:rsidRPr="00AF469D" w:rsidRDefault="00D405E4" w:rsidP="002F53FC">
            <w:pPr>
              <w:pStyle w:val="TableBody"/>
            </w:pPr>
            <w:r w:rsidRPr="00AF469D">
              <w:t>29</w:t>
            </w:r>
          </w:p>
        </w:tc>
        <w:tc>
          <w:tcPr>
            <w:tcW w:w="1000" w:type="pct"/>
            <w:noWrap/>
            <w:hideMark/>
          </w:tcPr>
          <w:p w14:paraId="11653201" w14:textId="77777777" w:rsidR="00D405E4" w:rsidRPr="00AF469D" w:rsidRDefault="00D405E4" w:rsidP="002F53FC">
            <w:pPr>
              <w:pStyle w:val="TableBody"/>
            </w:pPr>
            <w:r w:rsidRPr="00AF469D">
              <w:t>50</w:t>
            </w:r>
          </w:p>
        </w:tc>
        <w:tc>
          <w:tcPr>
            <w:tcW w:w="1000" w:type="pct"/>
            <w:noWrap/>
            <w:hideMark/>
          </w:tcPr>
          <w:p w14:paraId="03D39C20" w14:textId="77777777" w:rsidR="00D405E4" w:rsidRPr="00AF469D" w:rsidRDefault="00D405E4" w:rsidP="002F53FC">
            <w:pPr>
              <w:pStyle w:val="TableBody"/>
            </w:pPr>
            <w:r w:rsidRPr="00AF469D">
              <w:t>2.9%</w:t>
            </w:r>
          </w:p>
        </w:tc>
        <w:tc>
          <w:tcPr>
            <w:tcW w:w="1000" w:type="pct"/>
            <w:noWrap/>
            <w:hideMark/>
          </w:tcPr>
          <w:p w14:paraId="68192FE5" w14:textId="77777777" w:rsidR="00D405E4" w:rsidRPr="00AF469D" w:rsidRDefault="00D405E4" w:rsidP="002F53FC">
            <w:pPr>
              <w:pStyle w:val="TableBody"/>
            </w:pPr>
            <w:r w:rsidRPr="00AF469D">
              <w:t>370</w:t>
            </w:r>
          </w:p>
        </w:tc>
        <w:tc>
          <w:tcPr>
            <w:tcW w:w="999" w:type="pct"/>
            <w:noWrap/>
            <w:hideMark/>
          </w:tcPr>
          <w:p w14:paraId="626A0F4A" w14:textId="77777777" w:rsidR="00D405E4" w:rsidRPr="00AF469D" w:rsidRDefault="00D405E4" w:rsidP="002F53FC">
            <w:pPr>
              <w:pStyle w:val="TableBody"/>
            </w:pPr>
            <w:r w:rsidRPr="00AF469D">
              <w:t>3%</w:t>
            </w:r>
          </w:p>
        </w:tc>
      </w:tr>
      <w:tr w:rsidR="00D405E4" w:rsidRPr="00AF469D" w14:paraId="6217B069" w14:textId="77777777" w:rsidTr="008D0BFD">
        <w:trPr>
          <w:trHeight w:val="290"/>
        </w:trPr>
        <w:tc>
          <w:tcPr>
            <w:tcW w:w="1001" w:type="pct"/>
            <w:noWrap/>
            <w:hideMark/>
          </w:tcPr>
          <w:p w14:paraId="45ADCC8A" w14:textId="77777777" w:rsidR="00D405E4" w:rsidRPr="00AF469D" w:rsidRDefault="00D405E4" w:rsidP="002F53FC">
            <w:pPr>
              <w:pStyle w:val="TableBody"/>
            </w:pPr>
            <w:r w:rsidRPr="00AF469D">
              <w:t>30</w:t>
            </w:r>
          </w:p>
        </w:tc>
        <w:tc>
          <w:tcPr>
            <w:tcW w:w="1000" w:type="pct"/>
            <w:noWrap/>
            <w:hideMark/>
          </w:tcPr>
          <w:p w14:paraId="378CAE17" w14:textId="77777777" w:rsidR="00D405E4" w:rsidRPr="00AF469D" w:rsidRDefault="00D405E4" w:rsidP="002F53FC">
            <w:pPr>
              <w:pStyle w:val="TableBody"/>
            </w:pPr>
            <w:r w:rsidRPr="00AF469D">
              <w:t>42</w:t>
            </w:r>
          </w:p>
        </w:tc>
        <w:tc>
          <w:tcPr>
            <w:tcW w:w="1000" w:type="pct"/>
            <w:noWrap/>
            <w:hideMark/>
          </w:tcPr>
          <w:p w14:paraId="2338F79F" w14:textId="77777777" w:rsidR="00D405E4" w:rsidRPr="00AF469D" w:rsidRDefault="00D405E4" w:rsidP="002F53FC">
            <w:pPr>
              <w:pStyle w:val="TableBody"/>
            </w:pPr>
            <w:r w:rsidRPr="00AF469D">
              <w:t>2.4%</w:t>
            </w:r>
          </w:p>
        </w:tc>
        <w:tc>
          <w:tcPr>
            <w:tcW w:w="1000" w:type="pct"/>
            <w:noWrap/>
            <w:hideMark/>
          </w:tcPr>
          <w:p w14:paraId="5B8042D6" w14:textId="77777777" w:rsidR="00D405E4" w:rsidRPr="00AF469D" w:rsidRDefault="00D405E4" w:rsidP="002F53FC">
            <w:pPr>
              <w:pStyle w:val="TableBody"/>
            </w:pPr>
            <w:r w:rsidRPr="00AF469D">
              <w:t>344</w:t>
            </w:r>
          </w:p>
        </w:tc>
        <w:tc>
          <w:tcPr>
            <w:tcW w:w="999" w:type="pct"/>
            <w:noWrap/>
            <w:hideMark/>
          </w:tcPr>
          <w:p w14:paraId="6D25E6E4" w14:textId="77777777" w:rsidR="00D405E4" w:rsidRPr="00AF469D" w:rsidRDefault="00D405E4" w:rsidP="002F53FC">
            <w:pPr>
              <w:pStyle w:val="TableBody"/>
            </w:pPr>
            <w:r w:rsidRPr="00AF469D">
              <w:t>3%</w:t>
            </w:r>
          </w:p>
        </w:tc>
      </w:tr>
      <w:tr w:rsidR="00D405E4" w:rsidRPr="00AF469D" w14:paraId="7D21A7B4" w14:textId="77777777" w:rsidTr="008D0BFD">
        <w:trPr>
          <w:trHeight w:val="290"/>
        </w:trPr>
        <w:tc>
          <w:tcPr>
            <w:tcW w:w="1001" w:type="pct"/>
            <w:noWrap/>
            <w:hideMark/>
          </w:tcPr>
          <w:p w14:paraId="41D7A873" w14:textId="77777777" w:rsidR="00D405E4" w:rsidRPr="00AF469D" w:rsidRDefault="00D405E4" w:rsidP="002F53FC">
            <w:pPr>
              <w:pStyle w:val="TableBody"/>
            </w:pPr>
            <w:r w:rsidRPr="00AF469D">
              <w:t>31</w:t>
            </w:r>
          </w:p>
        </w:tc>
        <w:tc>
          <w:tcPr>
            <w:tcW w:w="1000" w:type="pct"/>
            <w:noWrap/>
            <w:hideMark/>
          </w:tcPr>
          <w:p w14:paraId="09662ABC" w14:textId="77777777" w:rsidR="00D405E4" w:rsidRPr="00AF469D" w:rsidRDefault="00D405E4" w:rsidP="002F53FC">
            <w:pPr>
              <w:pStyle w:val="TableBody"/>
            </w:pPr>
            <w:r w:rsidRPr="00AF469D">
              <w:t>39</w:t>
            </w:r>
          </w:p>
        </w:tc>
        <w:tc>
          <w:tcPr>
            <w:tcW w:w="1000" w:type="pct"/>
            <w:noWrap/>
            <w:hideMark/>
          </w:tcPr>
          <w:p w14:paraId="2BE3D6CC" w14:textId="77777777" w:rsidR="00D405E4" w:rsidRPr="00AF469D" w:rsidRDefault="00D405E4" w:rsidP="002F53FC">
            <w:pPr>
              <w:pStyle w:val="TableBody"/>
            </w:pPr>
            <w:r w:rsidRPr="00AF469D">
              <w:t>2.3%</w:t>
            </w:r>
          </w:p>
        </w:tc>
        <w:tc>
          <w:tcPr>
            <w:tcW w:w="1000" w:type="pct"/>
            <w:noWrap/>
            <w:hideMark/>
          </w:tcPr>
          <w:p w14:paraId="5EB4132B" w14:textId="77777777" w:rsidR="00D405E4" w:rsidRPr="00AF469D" w:rsidRDefault="00D405E4" w:rsidP="002F53FC">
            <w:pPr>
              <w:pStyle w:val="TableBody"/>
            </w:pPr>
            <w:r w:rsidRPr="00AF469D">
              <w:t>349</w:t>
            </w:r>
          </w:p>
        </w:tc>
        <w:tc>
          <w:tcPr>
            <w:tcW w:w="999" w:type="pct"/>
            <w:noWrap/>
            <w:hideMark/>
          </w:tcPr>
          <w:p w14:paraId="4BF124E8" w14:textId="77777777" w:rsidR="00D405E4" w:rsidRPr="00AF469D" w:rsidRDefault="00D405E4" w:rsidP="002F53FC">
            <w:pPr>
              <w:pStyle w:val="TableBody"/>
            </w:pPr>
            <w:r w:rsidRPr="00AF469D">
              <w:t>3%</w:t>
            </w:r>
          </w:p>
        </w:tc>
      </w:tr>
      <w:tr w:rsidR="00D405E4" w:rsidRPr="00AF469D" w14:paraId="7CF0EC2C" w14:textId="77777777" w:rsidTr="008D0BFD">
        <w:trPr>
          <w:trHeight w:val="290"/>
        </w:trPr>
        <w:tc>
          <w:tcPr>
            <w:tcW w:w="1001" w:type="pct"/>
            <w:noWrap/>
            <w:hideMark/>
          </w:tcPr>
          <w:p w14:paraId="0F2B92EA" w14:textId="77777777" w:rsidR="00D405E4" w:rsidRPr="00AF469D" w:rsidRDefault="00D405E4" w:rsidP="002F53FC">
            <w:pPr>
              <w:pStyle w:val="TableBody"/>
            </w:pPr>
            <w:r w:rsidRPr="00AF469D">
              <w:t>32</w:t>
            </w:r>
          </w:p>
        </w:tc>
        <w:tc>
          <w:tcPr>
            <w:tcW w:w="1000" w:type="pct"/>
            <w:noWrap/>
            <w:hideMark/>
          </w:tcPr>
          <w:p w14:paraId="15AFCB7D" w14:textId="77777777" w:rsidR="00D405E4" w:rsidRPr="00AF469D" w:rsidRDefault="00D405E4" w:rsidP="002F53FC">
            <w:pPr>
              <w:pStyle w:val="TableBody"/>
            </w:pPr>
            <w:r w:rsidRPr="00AF469D">
              <w:t>44</w:t>
            </w:r>
          </w:p>
        </w:tc>
        <w:tc>
          <w:tcPr>
            <w:tcW w:w="1000" w:type="pct"/>
            <w:noWrap/>
            <w:hideMark/>
          </w:tcPr>
          <w:p w14:paraId="67D2AC9B" w14:textId="77777777" w:rsidR="00D405E4" w:rsidRPr="00AF469D" w:rsidRDefault="00D405E4" w:rsidP="002F53FC">
            <w:pPr>
              <w:pStyle w:val="TableBody"/>
            </w:pPr>
            <w:r w:rsidRPr="00AF469D">
              <w:t>2.6%</w:t>
            </w:r>
          </w:p>
        </w:tc>
        <w:tc>
          <w:tcPr>
            <w:tcW w:w="1000" w:type="pct"/>
            <w:noWrap/>
            <w:hideMark/>
          </w:tcPr>
          <w:p w14:paraId="18349BEA" w14:textId="77777777" w:rsidR="00D405E4" w:rsidRPr="00AF469D" w:rsidRDefault="00D405E4" w:rsidP="002F53FC">
            <w:pPr>
              <w:pStyle w:val="TableBody"/>
            </w:pPr>
            <w:r w:rsidRPr="00AF469D">
              <w:t>333</w:t>
            </w:r>
          </w:p>
        </w:tc>
        <w:tc>
          <w:tcPr>
            <w:tcW w:w="999" w:type="pct"/>
            <w:noWrap/>
            <w:hideMark/>
          </w:tcPr>
          <w:p w14:paraId="110EB98C" w14:textId="77777777" w:rsidR="00D405E4" w:rsidRPr="00AF469D" w:rsidRDefault="00D405E4" w:rsidP="002F53FC">
            <w:pPr>
              <w:pStyle w:val="TableBody"/>
            </w:pPr>
            <w:r w:rsidRPr="00AF469D">
              <w:t>3%</w:t>
            </w:r>
          </w:p>
        </w:tc>
      </w:tr>
      <w:tr w:rsidR="00D405E4" w:rsidRPr="00AF469D" w14:paraId="6F1239CD" w14:textId="77777777" w:rsidTr="008D0BFD">
        <w:trPr>
          <w:trHeight w:val="290"/>
        </w:trPr>
        <w:tc>
          <w:tcPr>
            <w:tcW w:w="1001" w:type="pct"/>
            <w:noWrap/>
            <w:hideMark/>
          </w:tcPr>
          <w:p w14:paraId="41A15CA7" w14:textId="77777777" w:rsidR="00D405E4" w:rsidRPr="00AF469D" w:rsidRDefault="00D405E4" w:rsidP="002F53FC">
            <w:pPr>
              <w:pStyle w:val="TableBody"/>
            </w:pPr>
            <w:r w:rsidRPr="00AF469D">
              <w:t>33</w:t>
            </w:r>
          </w:p>
        </w:tc>
        <w:tc>
          <w:tcPr>
            <w:tcW w:w="1000" w:type="pct"/>
            <w:noWrap/>
            <w:hideMark/>
          </w:tcPr>
          <w:p w14:paraId="666C587E" w14:textId="77777777" w:rsidR="00D405E4" w:rsidRPr="00AF469D" w:rsidRDefault="00D405E4" w:rsidP="002F53FC">
            <w:pPr>
              <w:pStyle w:val="TableBody"/>
            </w:pPr>
            <w:r w:rsidRPr="00AF469D">
              <w:t>43</w:t>
            </w:r>
          </w:p>
        </w:tc>
        <w:tc>
          <w:tcPr>
            <w:tcW w:w="1000" w:type="pct"/>
            <w:noWrap/>
            <w:hideMark/>
          </w:tcPr>
          <w:p w14:paraId="4058C773" w14:textId="77777777" w:rsidR="00D405E4" w:rsidRPr="00AF469D" w:rsidRDefault="00D405E4" w:rsidP="002F53FC">
            <w:pPr>
              <w:pStyle w:val="TableBody"/>
            </w:pPr>
            <w:r w:rsidRPr="00AF469D">
              <w:t>2.5%</w:t>
            </w:r>
          </w:p>
        </w:tc>
        <w:tc>
          <w:tcPr>
            <w:tcW w:w="1000" w:type="pct"/>
            <w:noWrap/>
            <w:hideMark/>
          </w:tcPr>
          <w:p w14:paraId="28E86A95" w14:textId="77777777" w:rsidR="00D405E4" w:rsidRPr="00AF469D" w:rsidRDefault="00D405E4" w:rsidP="002F53FC">
            <w:pPr>
              <w:pStyle w:val="TableBody"/>
            </w:pPr>
            <w:r w:rsidRPr="00AF469D">
              <w:t>337</w:t>
            </w:r>
          </w:p>
        </w:tc>
        <w:tc>
          <w:tcPr>
            <w:tcW w:w="999" w:type="pct"/>
            <w:noWrap/>
            <w:hideMark/>
          </w:tcPr>
          <w:p w14:paraId="7A141262" w14:textId="77777777" w:rsidR="00D405E4" w:rsidRPr="00AF469D" w:rsidRDefault="00D405E4" w:rsidP="002F53FC">
            <w:pPr>
              <w:pStyle w:val="TableBody"/>
            </w:pPr>
            <w:r w:rsidRPr="00AF469D">
              <w:t>3%</w:t>
            </w:r>
          </w:p>
        </w:tc>
      </w:tr>
      <w:tr w:rsidR="00D405E4" w:rsidRPr="00AF469D" w14:paraId="7D55AC42" w14:textId="77777777" w:rsidTr="008D0BFD">
        <w:trPr>
          <w:trHeight w:val="290"/>
        </w:trPr>
        <w:tc>
          <w:tcPr>
            <w:tcW w:w="1001" w:type="pct"/>
            <w:noWrap/>
            <w:hideMark/>
          </w:tcPr>
          <w:p w14:paraId="29406596" w14:textId="77777777" w:rsidR="00D405E4" w:rsidRPr="00AF469D" w:rsidRDefault="00D405E4" w:rsidP="002F53FC">
            <w:pPr>
              <w:pStyle w:val="TableBody"/>
            </w:pPr>
            <w:r w:rsidRPr="00AF469D">
              <w:t>34</w:t>
            </w:r>
          </w:p>
        </w:tc>
        <w:tc>
          <w:tcPr>
            <w:tcW w:w="1000" w:type="pct"/>
            <w:noWrap/>
            <w:hideMark/>
          </w:tcPr>
          <w:p w14:paraId="2685E590" w14:textId="77777777" w:rsidR="00D405E4" w:rsidRPr="00AF469D" w:rsidRDefault="00D405E4" w:rsidP="002F53FC">
            <w:pPr>
              <w:pStyle w:val="TableBody"/>
            </w:pPr>
            <w:r w:rsidRPr="00AF469D">
              <w:t>41</w:t>
            </w:r>
          </w:p>
        </w:tc>
        <w:tc>
          <w:tcPr>
            <w:tcW w:w="1000" w:type="pct"/>
            <w:noWrap/>
            <w:hideMark/>
          </w:tcPr>
          <w:p w14:paraId="05CA1BFA" w14:textId="77777777" w:rsidR="00D405E4" w:rsidRPr="00AF469D" w:rsidRDefault="00D405E4" w:rsidP="002F53FC">
            <w:pPr>
              <w:pStyle w:val="TableBody"/>
            </w:pPr>
            <w:r w:rsidRPr="00AF469D">
              <w:t>2.4%</w:t>
            </w:r>
          </w:p>
        </w:tc>
        <w:tc>
          <w:tcPr>
            <w:tcW w:w="1000" w:type="pct"/>
            <w:noWrap/>
            <w:hideMark/>
          </w:tcPr>
          <w:p w14:paraId="359FE85D" w14:textId="77777777" w:rsidR="00D405E4" w:rsidRPr="00AF469D" w:rsidRDefault="00D405E4" w:rsidP="002F53FC">
            <w:pPr>
              <w:pStyle w:val="TableBody"/>
            </w:pPr>
            <w:r w:rsidRPr="00AF469D">
              <w:t>371</w:t>
            </w:r>
          </w:p>
        </w:tc>
        <w:tc>
          <w:tcPr>
            <w:tcW w:w="999" w:type="pct"/>
            <w:noWrap/>
            <w:hideMark/>
          </w:tcPr>
          <w:p w14:paraId="2D06EA42" w14:textId="77777777" w:rsidR="00D405E4" w:rsidRPr="00AF469D" w:rsidRDefault="00D405E4" w:rsidP="002F53FC">
            <w:pPr>
              <w:pStyle w:val="TableBody"/>
            </w:pPr>
            <w:r w:rsidRPr="00AF469D">
              <w:t>3%</w:t>
            </w:r>
          </w:p>
        </w:tc>
      </w:tr>
      <w:tr w:rsidR="00D405E4" w:rsidRPr="00AF469D" w14:paraId="3DD84CCA" w14:textId="77777777" w:rsidTr="008D0BFD">
        <w:trPr>
          <w:trHeight w:val="290"/>
        </w:trPr>
        <w:tc>
          <w:tcPr>
            <w:tcW w:w="1001" w:type="pct"/>
            <w:noWrap/>
            <w:hideMark/>
          </w:tcPr>
          <w:p w14:paraId="5ABE485A" w14:textId="77777777" w:rsidR="00D405E4" w:rsidRPr="00AF469D" w:rsidRDefault="00D405E4" w:rsidP="002F53FC">
            <w:pPr>
              <w:pStyle w:val="TableBody"/>
            </w:pPr>
            <w:r w:rsidRPr="00AF469D">
              <w:t>35</w:t>
            </w:r>
          </w:p>
        </w:tc>
        <w:tc>
          <w:tcPr>
            <w:tcW w:w="1000" w:type="pct"/>
            <w:noWrap/>
            <w:hideMark/>
          </w:tcPr>
          <w:p w14:paraId="50EA7F95" w14:textId="77777777" w:rsidR="00D405E4" w:rsidRPr="00AF469D" w:rsidRDefault="00D405E4" w:rsidP="002F53FC">
            <w:pPr>
              <w:pStyle w:val="TableBody"/>
            </w:pPr>
            <w:r w:rsidRPr="00AF469D">
              <w:t>36</w:t>
            </w:r>
          </w:p>
        </w:tc>
        <w:tc>
          <w:tcPr>
            <w:tcW w:w="1000" w:type="pct"/>
            <w:noWrap/>
            <w:hideMark/>
          </w:tcPr>
          <w:p w14:paraId="1A6DD5EA" w14:textId="77777777" w:rsidR="00D405E4" w:rsidRPr="00AF469D" w:rsidRDefault="00D405E4" w:rsidP="002F53FC">
            <w:pPr>
              <w:pStyle w:val="TableBody"/>
            </w:pPr>
            <w:r w:rsidRPr="00AF469D">
              <w:t>2.1%</w:t>
            </w:r>
          </w:p>
        </w:tc>
        <w:tc>
          <w:tcPr>
            <w:tcW w:w="1000" w:type="pct"/>
            <w:noWrap/>
            <w:hideMark/>
          </w:tcPr>
          <w:p w14:paraId="02B41F1E" w14:textId="77777777" w:rsidR="00D405E4" w:rsidRPr="00AF469D" w:rsidRDefault="00D405E4" w:rsidP="002F53FC">
            <w:pPr>
              <w:pStyle w:val="TableBody"/>
            </w:pPr>
            <w:r w:rsidRPr="00AF469D">
              <w:t>354</w:t>
            </w:r>
          </w:p>
        </w:tc>
        <w:tc>
          <w:tcPr>
            <w:tcW w:w="999" w:type="pct"/>
            <w:noWrap/>
            <w:hideMark/>
          </w:tcPr>
          <w:p w14:paraId="3B155E88" w14:textId="77777777" w:rsidR="00D405E4" w:rsidRPr="00AF469D" w:rsidRDefault="00D405E4" w:rsidP="002F53FC">
            <w:pPr>
              <w:pStyle w:val="TableBody"/>
            </w:pPr>
            <w:r w:rsidRPr="00AF469D">
              <w:t>3%</w:t>
            </w:r>
          </w:p>
        </w:tc>
      </w:tr>
      <w:tr w:rsidR="00D405E4" w:rsidRPr="00AF469D" w14:paraId="5A030650" w14:textId="77777777" w:rsidTr="008D0BFD">
        <w:trPr>
          <w:trHeight w:val="290"/>
        </w:trPr>
        <w:tc>
          <w:tcPr>
            <w:tcW w:w="1001" w:type="pct"/>
            <w:noWrap/>
            <w:hideMark/>
          </w:tcPr>
          <w:p w14:paraId="2E06C2DE" w14:textId="77777777" w:rsidR="00D405E4" w:rsidRPr="00AF469D" w:rsidRDefault="00D405E4" w:rsidP="002F53FC">
            <w:pPr>
              <w:pStyle w:val="TableBody"/>
            </w:pPr>
            <w:r w:rsidRPr="00AF469D">
              <w:t>36</w:t>
            </w:r>
          </w:p>
        </w:tc>
        <w:tc>
          <w:tcPr>
            <w:tcW w:w="1000" w:type="pct"/>
            <w:noWrap/>
            <w:hideMark/>
          </w:tcPr>
          <w:p w14:paraId="546E7E30" w14:textId="77777777" w:rsidR="00D405E4" w:rsidRPr="00AF469D" w:rsidRDefault="00D405E4" w:rsidP="002F53FC">
            <w:pPr>
              <w:pStyle w:val="TableBody"/>
            </w:pPr>
            <w:r w:rsidRPr="00AF469D">
              <w:t>38</w:t>
            </w:r>
          </w:p>
        </w:tc>
        <w:tc>
          <w:tcPr>
            <w:tcW w:w="1000" w:type="pct"/>
            <w:noWrap/>
            <w:hideMark/>
          </w:tcPr>
          <w:p w14:paraId="4AF66065" w14:textId="77777777" w:rsidR="00D405E4" w:rsidRPr="00AF469D" w:rsidRDefault="00D405E4" w:rsidP="002F53FC">
            <w:pPr>
              <w:pStyle w:val="TableBody"/>
            </w:pPr>
            <w:r w:rsidRPr="00AF469D">
              <w:t>2.2%</w:t>
            </w:r>
          </w:p>
        </w:tc>
        <w:tc>
          <w:tcPr>
            <w:tcW w:w="1000" w:type="pct"/>
            <w:noWrap/>
            <w:hideMark/>
          </w:tcPr>
          <w:p w14:paraId="68DCE6DE" w14:textId="77777777" w:rsidR="00D405E4" w:rsidRPr="00AF469D" w:rsidRDefault="00D405E4" w:rsidP="002F53FC">
            <w:pPr>
              <w:pStyle w:val="TableBody"/>
            </w:pPr>
            <w:r w:rsidRPr="00AF469D">
              <w:t>359</w:t>
            </w:r>
          </w:p>
        </w:tc>
        <w:tc>
          <w:tcPr>
            <w:tcW w:w="999" w:type="pct"/>
            <w:noWrap/>
            <w:hideMark/>
          </w:tcPr>
          <w:p w14:paraId="5D7B3091" w14:textId="77777777" w:rsidR="00D405E4" w:rsidRPr="00AF469D" w:rsidRDefault="00D405E4" w:rsidP="002F53FC">
            <w:pPr>
              <w:pStyle w:val="TableBody"/>
            </w:pPr>
            <w:r w:rsidRPr="00AF469D">
              <w:t>3%</w:t>
            </w:r>
          </w:p>
        </w:tc>
      </w:tr>
      <w:tr w:rsidR="00D405E4" w:rsidRPr="00AF469D" w14:paraId="6C598696" w14:textId="77777777" w:rsidTr="008D0BFD">
        <w:trPr>
          <w:trHeight w:val="290"/>
        </w:trPr>
        <w:tc>
          <w:tcPr>
            <w:tcW w:w="1001" w:type="pct"/>
            <w:noWrap/>
            <w:hideMark/>
          </w:tcPr>
          <w:p w14:paraId="41160A85" w14:textId="77777777" w:rsidR="00D405E4" w:rsidRPr="00AF469D" w:rsidRDefault="00D405E4" w:rsidP="002F53FC">
            <w:pPr>
              <w:pStyle w:val="TableBody"/>
            </w:pPr>
            <w:r w:rsidRPr="00AF469D">
              <w:t>37</w:t>
            </w:r>
          </w:p>
        </w:tc>
        <w:tc>
          <w:tcPr>
            <w:tcW w:w="1000" w:type="pct"/>
            <w:noWrap/>
            <w:hideMark/>
          </w:tcPr>
          <w:p w14:paraId="059E79E5" w14:textId="77777777" w:rsidR="00D405E4" w:rsidRPr="00AF469D" w:rsidRDefault="00D405E4" w:rsidP="002F53FC">
            <w:pPr>
              <w:pStyle w:val="TableBody"/>
            </w:pPr>
            <w:r w:rsidRPr="00AF469D">
              <w:t>30</w:t>
            </w:r>
          </w:p>
        </w:tc>
        <w:tc>
          <w:tcPr>
            <w:tcW w:w="1000" w:type="pct"/>
            <w:noWrap/>
            <w:hideMark/>
          </w:tcPr>
          <w:p w14:paraId="25304B52" w14:textId="77777777" w:rsidR="00D405E4" w:rsidRPr="00AF469D" w:rsidRDefault="00D405E4" w:rsidP="002F53FC">
            <w:pPr>
              <w:pStyle w:val="TableBody"/>
            </w:pPr>
            <w:r w:rsidRPr="00AF469D">
              <w:t>1.7%</w:t>
            </w:r>
          </w:p>
        </w:tc>
        <w:tc>
          <w:tcPr>
            <w:tcW w:w="1000" w:type="pct"/>
            <w:noWrap/>
            <w:hideMark/>
          </w:tcPr>
          <w:p w14:paraId="48C658F6" w14:textId="77777777" w:rsidR="00D405E4" w:rsidRPr="00AF469D" w:rsidRDefault="00D405E4" w:rsidP="002F53FC">
            <w:pPr>
              <w:pStyle w:val="TableBody"/>
            </w:pPr>
            <w:r w:rsidRPr="00AF469D">
              <w:t>325</w:t>
            </w:r>
          </w:p>
        </w:tc>
        <w:tc>
          <w:tcPr>
            <w:tcW w:w="999" w:type="pct"/>
            <w:noWrap/>
            <w:hideMark/>
          </w:tcPr>
          <w:p w14:paraId="1A0C7E64" w14:textId="77777777" w:rsidR="00D405E4" w:rsidRPr="00AF469D" w:rsidRDefault="00D405E4" w:rsidP="002F53FC">
            <w:pPr>
              <w:pStyle w:val="TableBody"/>
            </w:pPr>
            <w:r w:rsidRPr="00AF469D">
              <w:t>3%</w:t>
            </w:r>
          </w:p>
        </w:tc>
      </w:tr>
      <w:tr w:rsidR="00D405E4" w:rsidRPr="00AF469D" w14:paraId="3F108E34" w14:textId="77777777" w:rsidTr="008D0BFD">
        <w:trPr>
          <w:trHeight w:val="290"/>
        </w:trPr>
        <w:tc>
          <w:tcPr>
            <w:tcW w:w="1001" w:type="pct"/>
            <w:noWrap/>
            <w:hideMark/>
          </w:tcPr>
          <w:p w14:paraId="418D148A" w14:textId="77777777" w:rsidR="00D405E4" w:rsidRPr="00AF469D" w:rsidRDefault="00D405E4" w:rsidP="002F53FC">
            <w:pPr>
              <w:pStyle w:val="TableBody"/>
            </w:pPr>
            <w:r w:rsidRPr="00AF469D">
              <w:t>38</w:t>
            </w:r>
          </w:p>
        </w:tc>
        <w:tc>
          <w:tcPr>
            <w:tcW w:w="1000" w:type="pct"/>
            <w:noWrap/>
            <w:hideMark/>
          </w:tcPr>
          <w:p w14:paraId="5C59C946" w14:textId="77777777" w:rsidR="00D405E4" w:rsidRPr="00AF469D" w:rsidRDefault="00D405E4" w:rsidP="002F53FC">
            <w:pPr>
              <w:pStyle w:val="TableBody"/>
            </w:pPr>
            <w:r w:rsidRPr="00AF469D">
              <w:t>42</w:t>
            </w:r>
          </w:p>
        </w:tc>
        <w:tc>
          <w:tcPr>
            <w:tcW w:w="1000" w:type="pct"/>
            <w:noWrap/>
            <w:hideMark/>
          </w:tcPr>
          <w:p w14:paraId="2DCCA451" w14:textId="77777777" w:rsidR="00D405E4" w:rsidRPr="00AF469D" w:rsidRDefault="00D405E4" w:rsidP="002F53FC">
            <w:pPr>
              <w:pStyle w:val="TableBody"/>
            </w:pPr>
            <w:r w:rsidRPr="00AF469D">
              <w:t>2.4%</w:t>
            </w:r>
          </w:p>
        </w:tc>
        <w:tc>
          <w:tcPr>
            <w:tcW w:w="1000" w:type="pct"/>
            <w:noWrap/>
            <w:hideMark/>
          </w:tcPr>
          <w:p w14:paraId="1EC8783E" w14:textId="77777777" w:rsidR="00D405E4" w:rsidRPr="00AF469D" w:rsidRDefault="00D405E4" w:rsidP="002F53FC">
            <w:pPr>
              <w:pStyle w:val="TableBody"/>
            </w:pPr>
            <w:r w:rsidRPr="00AF469D">
              <w:t>315</w:t>
            </w:r>
          </w:p>
        </w:tc>
        <w:tc>
          <w:tcPr>
            <w:tcW w:w="999" w:type="pct"/>
            <w:noWrap/>
            <w:hideMark/>
          </w:tcPr>
          <w:p w14:paraId="6A6BA7C8" w14:textId="77777777" w:rsidR="00D405E4" w:rsidRPr="00AF469D" w:rsidRDefault="00D405E4" w:rsidP="002F53FC">
            <w:pPr>
              <w:pStyle w:val="TableBody"/>
            </w:pPr>
            <w:r w:rsidRPr="00AF469D">
              <w:t>3%</w:t>
            </w:r>
          </w:p>
        </w:tc>
      </w:tr>
      <w:tr w:rsidR="00D405E4" w:rsidRPr="00AF469D" w14:paraId="3C600636" w14:textId="77777777" w:rsidTr="008D0BFD">
        <w:trPr>
          <w:trHeight w:val="290"/>
        </w:trPr>
        <w:tc>
          <w:tcPr>
            <w:tcW w:w="1001" w:type="pct"/>
            <w:noWrap/>
            <w:hideMark/>
          </w:tcPr>
          <w:p w14:paraId="792C45F7" w14:textId="77777777" w:rsidR="00D405E4" w:rsidRPr="00AF469D" w:rsidRDefault="00D405E4" w:rsidP="002F53FC">
            <w:pPr>
              <w:pStyle w:val="TableBody"/>
            </w:pPr>
            <w:r w:rsidRPr="00AF469D">
              <w:t>39</w:t>
            </w:r>
          </w:p>
        </w:tc>
        <w:tc>
          <w:tcPr>
            <w:tcW w:w="1000" w:type="pct"/>
            <w:noWrap/>
            <w:hideMark/>
          </w:tcPr>
          <w:p w14:paraId="32851635" w14:textId="77777777" w:rsidR="00D405E4" w:rsidRPr="00AF469D" w:rsidRDefault="00D405E4" w:rsidP="002F53FC">
            <w:pPr>
              <w:pStyle w:val="TableBody"/>
            </w:pPr>
            <w:r w:rsidRPr="00AF469D">
              <w:t>42</w:t>
            </w:r>
          </w:p>
        </w:tc>
        <w:tc>
          <w:tcPr>
            <w:tcW w:w="1000" w:type="pct"/>
            <w:noWrap/>
            <w:hideMark/>
          </w:tcPr>
          <w:p w14:paraId="5CC477AA" w14:textId="77777777" w:rsidR="00D405E4" w:rsidRPr="00AF469D" w:rsidRDefault="00D405E4" w:rsidP="002F53FC">
            <w:pPr>
              <w:pStyle w:val="TableBody"/>
            </w:pPr>
            <w:r w:rsidRPr="00AF469D">
              <w:t>2.4%</w:t>
            </w:r>
          </w:p>
        </w:tc>
        <w:tc>
          <w:tcPr>
            <w:tcW w:w="1000" w:type="pct"/>
            <w:noWrap/>
            <w:hideMark/>
          </w:tcPr>
          <w:p w14:paraId="782FAFB6" w14:textId="77777777" w:rsidR="00D405E4" w:rsidRPr="00AF469D" w:rsidRDefault="00D405E4" w:rsidP="002F53FC">
            <w:pPr>
              <w:pStyle w:val="TableBody"/>
            </w:pPr>
            <w:r w:rsidRPr="00AF469D">
              <w:t>332</w:t>
            </w:r>
          </w:p>
        </w:tc>
        <w:tc>
          <w:tcPr>
            <w:tcW w:w="999" w:type="pct"/>
            <w:noWrap/>
            <w:hideMark/>
          </w:tcPr>
          <w:p w14:paraId="162C4BAE" w14:textId="77777777" w:rsidR="00D405E4" w:rsidRPr="00AF469D" w:rsidRDefault="00D405E4" w:rsidP="002F53FC">
            <w:pPr>
              <w:pStyle w:val="TableBody"/>
            </w:pPr>
            <w:r w:rsidRPr="00AF469D">
              <w:t>3%</w:t>
            </w:r>
          </w:p>
        </w:tc>
      </w:tr>
      <w:tr w:rsidR="00D405E4" w:rsidRPr="00AF469D" w14:paraId="5FF520B2" w14:textId="77777777" w:rsidTr="008D0BFD">
        <w:trPr>
          <w:trHeight w:val="290"/>
        </w:trPr>
        <w:tc>
          <w:tcPr>
            <w:tcW w:w="1001" w:type="pct"/>
            <w:noWrap/>
            <w:hideMark/>
          </w:tcPr>
          <w:p w14:paraId="4ADB21B4" w14:textId="77777777" w:rsidR="00D405E4" w:rsidRPr="00AF469D" w:rsidRDefault="00D405E4" w:rsidP="002F53FC">
            <w:pPr>
              <w:pStyle w:val="TableBody"/>
            </w:pPr>
            <w:r w:rsidRPr="00AF469D">
              <w:t>40</w:t>
            </w:r>
          </w:p>
        </w:tc>
        <w:tc>
          <w:tcPr>
            <w:tcW w:w="1000" w:type="pct"/>
            <w:noWrap/>
            <w:hideMark/>
          </w:tcPr>
          <w:p w14:paraId="53A8D94C" w14:textId="77777777" w:rsidR="00D405E4" w:rsidRPr="00AF469D" w:rsidRDefault="00D405E4" w:rsidP="002F53FC">
            <w:pPr>
              <w:pStyle w:val="TableBody"/>
            </w:pPr>
            <w:r w:rsidRPr="00AF469D">
              <w:t>38</w:t>
            </w:r>
          </w:p>
        </w:tc>
        <w:tc>
          <w:tcPr>
            <w:tcW w:w="1000" w:type="pct"/>
            <w:noWrap/>
            <w:hideMark/>
          </w:tcPr>
          <w:p w14:paraId="4968A6F8" w14:textId="77777777" w:rsidR="00D405E4" w:rsidRPr="00AF469D" w:rsidRDefault="00D405E4" w:rsidP="002F53FC">
            <w:pPr>
              <w:pStyle w:val="TableBody"/>
            </w:pPr>
            <w:r w:rsidRPr="00AF469D">
              <w:t>2.2%</w:t>
            </w:r>
          </w:p>
        </w:tc>
        <w:tc>
          <w:tcPr>
            <w:tcW w:w="1000" w:type="pct"/>
            <w:noWrap/>
            <w:hideMark/>
          </w:tcPr>
          <w:p w14:paraId="4EDA4D49" w14:textId="77777777" w:rsidR="00D405E4" w:rsidRPr="00AF469D" w:rsidRDefault="00D405E4" w:rsidP="002F53FC">
            <w:pPr>
              <w:pStyle w:val="TableBody"/>
            </w:pPr>
            <w:r w:rsidRPr="00AF469D">
              <w:t>313</w:t>
            </w:r>
          </w:p>
        </w:tc>
        <w:tc>
          <w:tcPr>
            <w:tcW w:w="999" w:type="pct"/>
            <w:noWrap/>
            <w:hideMark/>
          </w:tcPr>
          <w:p w14:paraId="04FFAF4F" w14:textId="77777777" w:rsidR="00D405E4" w:rsidRPr="00AF469D" w:rsidRDefault="00D405E4" w:rsidP="002F53FC">
            <w:pPr>
              <w:pStyle w:val="TableBody"/>
            </w:pPr>
            <w:r w:rsidRPr="00AF469D">
              <w:t>3%</w:t>
            </w:r>
          </w:p>
        </w:tc>
      </w:tr>
      <w:tr w:rsidR="00D405E4" w:rsidRPr="00AF469D" w14:paraId="2F1BE6A1" w14:textId="77777777" w:rsidTr="008D0BFD">
        <w:trPr>
          <w:trHeight w:val="290"/>
        </w:trPr>
        <w:tc>
          <w:tcPr>
            <w:tcW w:w="1001" w:type="pct"/>
            <w:noWrap/>
            <w:hideMark/>
          </w:tcPr>
          <w:p w14:paraId="59F432F1" w14:textId="77777777" w:rsidR="00D405E4" w:rsidRPr="00AF469D" w:rsidRDefault="00D405E4" w:rsidP="002F53FC">
            <w:pPr>
              <w:pStyle w:val="TableBody"/>
            </w:pPr>
            <w:r w:rsidRPr="00AF469D">
              <w:t>41</w:t>
            </w:r>
          </w:p>
        </w:tc>
        <w:tc>
          <w:tcPr>
            <w:tcW w:w="1000" w:type="pct"/>
            <w:noWrap/>
            <w:hideMark/>
          </w:tcPr>
          <w:p w14:paraId="08531F12" w14:textId="77777777" w:rsidR="00D405E4" w:rsidRPr="00AF469D" w:rsidRDefault="00D405E4" w:rsidP="002F53FC">
            <w:pPr>
              <w:pStyle w:val="TableBody"/>
            </w:pPr>
            <w:r w:rsidRPr="00AF469D">
              <w:t>52</w:t>
            </w:r>
          </w:p>
        </w:tc>
        <w:tc>
          <w:tcPr>
            <w:tcW w:w="1000" w:type="pct"/>
            <w:noWrap/>
            <w:hideMark/>
          </w:tcPr>
          <w:p w14:paraId="41D5C5C7" w14:textId="77777777" w:rsidR="00D405E4" w:rsidRPr="00AF469D" w:rsidRDefault="00D405E4" w:rsidP="002F53FC">
            <w:pPr>
              <w:pStyle w:val="TableBody"/>
            </w:pPr>
            <w:r w:rsidRPr="00AF469D">
              <w:t>3.0%</w:t>
            </w:r>
          </w:p>
        </w:tc>
        <w:tc>
          <w:tcPr>
            <w:tcW w:w="1000" w:type="pct"/>
            <w:noWrap/>
            <w:hideMark/>
          </w:tcPr>
          <w:p w14:paraId="41114C6B" w14:textId="77777777" w:rsidR="00D405E4" w:rsidRPr="00AF469D" w:rsidRDefault="00D405E4" w:rsidP="002F53FC">
            <w:pPr>
              <w:pStyle w:val="TableBody"/>
            </w:pPr>
            <w:r w:rsidRPr="00AF469D">
              <w:t>295</w:t>
            </w:r>
          </w:p>
        </w:tc>
        <w:tc>
          <w:tcPr>
            <w:tcW w:w="999" w:type="pct"/>
            <w:noWrap/>
            <w:hideMark/>
          </w:tcPr>
          <w:p w14:paraId="4CFA0844" w14:textId="77777777" w:rsidR="00D405E4" w:rsidRPr="00AF469D" w:rsidRDefault="00D405E4" w:rsidP="002F53FC">
            <w:pPr>
              <w:pStyle w:val="TableBody"/>
            </w:pPr>
            <w:r w:rsidRPr="00AF469D">
              <w:t>2%</w:t>
            </w:r>
          </w:p>
        </w:tc>
      </w:tr>
      <w:tr w:rsidR="00D405E4" w:rsidRPr="00AF469D" w14:paraId="28E3DBFD" w14:textId="77777777" w:rsidTr="008D0BFD">
        <w:trPr>
          <w:trHeight w:val="290"/>
        </w:trPr>
        <w:tc>
          <w:tcPr>
            <w:tcW w:w="1001" w:type="pct"/>
            <w:noWrap/>
            <w:hideMark/>
          </w:tcPr>
          <w:p w14:paraId="5C6B84BB" w14:textId="77777777" w:rsidR="00D405E4" w:rsidRPr="00AF469D" w:rsidRDefault="00D405E4" w:rsidP="002F53FC">
            <w:pPr>
              <w:pStyle w:val="TableBody"/>
            </w:pPr>
            <w:r w:rsidRPr="00AF469D">
              <w:t>42</w:t>
            </w:r>
          </w:p>
        </w:tc>
        <w:tc>
          <w:tcPr>
            <w:tcW w:w="1000" w:type="pct"/>
            <w:noWrap/>
            <w:hideMark/>
          </w:tcPr>
          <w:p w14:paraId="23CFD666" w14:textId="77777777" w:rsidR="00D405E4" w:rsidRPr="00AF469D" w:rsidRDefault="00D405E4" w:rsidP="002F53FC">
            <w:pPr>
              <w:pStyle w:val="TableBody"/>
            </w:pPr>
            <w:r w:rsidRPr="00AF469D">
              <w:t>40</w:t>
            </w:r>
          </w:p>
        </w:tc>
        <w:tc>
          <w:tcPr>
            <w:tcW w:w="1000" w:type="pct"/>
            <w:noWrap/>
            <w:hideMark/>
          </w:tcPr>
          <w:p w14:paraId="55B57B82" w14:textId="77777777" w:rsidR="00D405E4" w:rsidRPr="00AF469D" w:rsidRDefault="00D405E4" w:rsidP="002F53FC">
            <w:pPr>
              <w:pStyle w:val="TableBody"/>
            </w:pPr>
            <w:r w:rsidRPr="00AF469D">
              <w:t>2.3%</w:t>
            </w:r>
          </w:p>
        </w:tc>
        <w:tc>
          <w:tcPr>
            <w:tcW w:w="1000" w:type="pct"/>
            <w:noWrap/>
            <w:hideMark/>
          </w:tcPr>
          <w:p w14:paraId="2E500591" w14:textId="77777777" w:rsidR="00D405E4" w:rsidRPr="00AF469D" w:rsidRDefault="00D405E4" w:rsidP="002F53FC">
            <w:pPr>
              <w:pStyle w:val="TableBody"/>
            </w:pPr>
            <w:r w:rsidRPr="00AF469D">
              <w:t>336</w:t>
            </w:r>
          </w:p>
        </w:tc>
        <w:tc>
          <w:tcPr>
            <w:tcW w:w="999" w:type="pct"/>
            <w:noWrap/>
            <w:hideMark/>
          </w:tcPr>
          <w:p w14:paraId="40D79109" w14:textId="77777777" w:rsidR="00D405E4" w:rsidRPr="00AF469D" w:rsidRDefault="00D405E4" w:rsidP="002F53FC">
            <w:pPr>
              <w:pStyle w:val="TableBody"/>
            </w:pPr>
            <w:r w:rsidRPr="00AF469D">
              <w:t>3%</w:t>
            </w:r>
          </w:p>
        </w:tc>
      </w:tr>
      <w:tr w:rsidR="00D405E4" w:rsidRPr="00AF469D" w14:paraId="6A8240EA" w14:textId="77777777" w:rsidTr="008D0BFD">
        <w:trPr>
          <w:trHeight w:val="290"/>
        </w:trPr>
        <w:tc>
          <w:tcPr>
            <w:tcW w:w="1001" w:type="pct"/>
            <w:noWrap/>
            <w:hideMark/>
          </w:tcPr>
          <w:p w14:paraId="487B4AF5" w14:textId="77777777" w:rsidR="00D405E4" w:rsidRPr="00AF469D" w:rsidRDefault="00D405E4" w:rsidP="002F53FC">
            <w:pPr>
              <w:pStyle w:val="TableBody"/>
            </w:pPr>
            <w:r w:rsidRPr="00AF469D">
              <w:t>43</w:t>
            </w:r>
          </w:p>
        </w:tc>
        <w:tc>
          <w:tcPr>
            <w:tcW w:w="1000" w:type="pct"/>
            <w:noWrap/>
            <w:hideMark/>
          </w:tcPr>
          <w:p w14:paraId="3CF76EDF" w14:textId="77777777" w:rsidR="00D405E4" w:rsidRPr="00AF469D" w:rsidRDefault="00D405E4" w:rsidP="002F53FC">
            <w:pPr>
              <w:pStyle w:val="TableBody"/>
            </w:pPr>
            <w:r w:rsidRPr="00AF469D">
              <w:t>43</w:t>
            </w:r>
          </w:p>
        </w:tc>
        <w:tc>
          <w:tcPr>
            <w:tcW w:w="1000" w:type="pct"/>
            <w:noWrap/>
            <w:hideMark/>
          </w:tcPr>
          <w:p w14:paraId="767B4442" w14:textId="77777777" w:rsidR="00D405E4" w:rsidRPr="00AF469D" w:rsidRDefault="00D405E4" w:rsidP="002F53FC">
            <w:pPr>
              <w:pStyle w:val="TableBody"/>
            </w:pPr>
            <w:r w:rsidRPr="00AF469D">
              <w:t>2.5%</w:t>
            </w:r>
          </w:p>
        </w:tc>
        <w:tc>
          <w:tcPr>
            <w:tcW w:w="1000" w:type="pct"/>
            <w:noWrap/>
            <w:hideMark/>
          </w:tcPr>
          <w:p w14:paraId="71F69F12" w14:textId="77777777" w:rsidR="00D405E4" w:rsidRPr="00AF469D" w:rsidRDefault="00D405E4" w:rsidP="002F53FC">
            <w:pPr>
              <w:pStyle w:val="TableBody"/>
            </w:pPr>
            <w:r w:rsidRPr="00AF469D">
              <w:t>302</w:t>
            </w:r>
          </w:p>
        </w:tc>
        <w:tc>
          <w:tcPr>
            <w:tcW w:w="999" w:type="pct"/>
            <w:noWrap/>
            <w:hideMark/>
          </w:tcPr>
          <w:p w14:paraId="706EECE0" w14:textId="77777777" w:rsidR="00D405E4" w:rsidRPr="00AF469D" w:rsidRDefault="00D405E4" w:rsidP="002F53FC">
            <w:pPr>
              <w:pStyle w:val="TableBody"/>
            </w:pPr>
            <w:r w:rsidRPr="00AF469D">
              <w:t>2%</w:t>
            </w:r>
          </w:p>
        </w:tc>
      </w:tr>
      <w:tr w:rsidR="00D405E4" w:rsidRPr="00AF469D" w14:paraId="40B21497" w14:textId="77777777" w:rsidTr="008D0BFD">
        <w:trPr>
          <w:trHeight w:val="290"/>
        </w:trPr>
        <w:tc>
          <w:tcPr>
            <w:tcW w:w="1001" w:type="pct"/>
            <w:noWrap/>
            <w:hideMark/>
          </w:tcPr>
          <w:p w14:paraId="22012E72" w14:textId="77777777" w:rsidR="00D405E4" w:rsidRPr="00AF469D" w:rsidRDefault="00D405E4" w:rsidP="002F53FC">
            <w:pPr>
              <w:pStyle w:val="TableBody"/>
            </w:pPr>
            <w:r w:rsidRPr="00AF469D">
              <w:t>44</w:t>
            </w:r>
          </w:p>
        </w:tc>
        <w:tc>
          <w:tcPr>
            <w:tcW w:w="1000" w:type="pct"/>
            <w:noWrap/>
            <w:hideMark/>
          </w:tcPr>
          <w:p w14:paraId="225F924C" w14:textId="77777777" w:rsidR="00D405E4" w:rsidRPr="00AF469D" w:rsidRDefault="00D405E4" w:rsidP="002F53FC">
            <w:pPr>
              <w:pStyle w:val="TableBody"/>
            </w:pPr>
            <w:r w:rsidRPr="00AF469D">
              <w:t>33</w:t>
            </w:r>
          </w:p>
        </w:tc>
        <w:tc>
          <w:tcPr>
            <w:tcW w:w="1000" w:type="pct"/>
            <w:noWrap/>
            <w:hideMark/>
          </w:tcPr>
          <w:p w14:paraId="04D6A393" w14:textId="77777777" w:rsidR="00D405E4" w:rsidRPr="00AF469D" w:rsidRDefault="00D405E4" w:rsidP="002F53FC">
            <w:pPr>
              <w:pStyle w:val="TableBody"/>
            </w:pPr>
            <w:r w:rsidRPr="00AF469D">
              <w:t>1.9%</w:t>
            </w:r>
          </w:p>
        </w:tc>
        <w:tc>
          <w:tcPr>
            <w:tcW w:w="1000" w:type="pct"/>
            <w:noWrap/>
            <w:hideMark/>
          </w:tcPr>
          <w:p w14:paraId="394DFA92" w14:textId="77777777" w:rsidR="00D405E4" w:rsidRPr="00AF469D" w:rsidRDefault="00D405E4" w:rsidP="002F53FC">
            <w:pPr>
              <w:pStyle w:val="TableBody"/>
            </w:pPr>
            <w:r w:rsidRPr="00AF469D">
              <w:t>223</w:t>
            </w:r>
          </w:p>
        </w:tc>
        <w:tc>
          <w:tcPr>
            <w:tcW w:w="999" w:type="pct"/>
            <w:noWrap/>
            <w:hideMark/>
          </w:tcPr>
          <w:p w14:paraId="33618EDA" w14:textId="77777777" w:rsidR="00D405E4" w:rsidRPr="00AF469D" w:rsidRDefault="00D405E4" w:rsidP="002F53FC">
            <w:pPr>
              <w:pStyle w:val="TableBody"/>
            </w:pPr>
            <w:r w:rsidRPr="00AF469D">
              <w:t>2%</w:t>
            </w:r>
          </w:p>
        </w:tc>
      </w:tr>
      <w:tr w:rsidR="00D405E4" w:rsidRPr="00AF469D" w14:paraId="400AD936" w14:textId="77777777" w:rsidTr="008D0BFD">
        <w:trPr>
          <w:trHeight w:val="290"/>
        </w:trPr>
        <w:tc>
          <w:tcPr>
            <w:tcW w:w="1001" w:type="pct"/>
            <w:noWrap/>
            <w:hideMark/>
          </w:tcPr>
          <w:p w14:paraId="0ACCC511" w14:textId="77777777" w:rsidR="00D405E4" w:rsidRPr="00AF469D" w:rsidRDefault="00D405E4" w:rsidP="002F53FC">
            <w:pPr>
              <w:pStyle w:val="TableBody"/>
            </w:pPr>
            <w:r w:rsidRPr="00AF469D">
              <w:lastRenderedPageBreak/>
              <w:t>45</w:t>
            </w:r>
          </w:p>
        </w:tc>
        <w:tc>
          <w:tcPr>
            <w:tcW w:w="1000" w:type="pct"/>
            <w:noWrap/>
            <w:hideMark/>
          </w:tcPr>
          <w:p w14:paraId="6CB0D957" w14:textId="77777777" w:rsidR="00D405E4" w:rsidRPr="00AF469D" w:rsidRDefault="00D405E4" w:rsidP="002F53FC">
            <w:pPr>
              <w:pStyle w:val="TableBody"/>
            </w:pPr>
            <w:r w:rsidRPr="00AF469D">
              <w:t>42</w:t>
            </w:r>
          </w:p>
        </w:tc>
        <w:tc>
          <w:tcPr>
            <w:tcW w:w="1000" w:type="pct"/>
            <w:noWrap/>
            <w:hideMark/>
          </w:tcPr>
          <w:p w14:paraId="1E34A677" w14:textId="77777777" w:rsidR="00D405E4" w:rsidRPr="00AF469D" w:rsidRDefault="00D405E4" w:rsidP="002F53FC">
            <w:pPr>
              <w:pStyle w:val="TableBody"/>
            </w:pPr>
            <w:r w:rsidRPr="00AF469D">
              <w:t>2.4%</w:t>
            </w:r>
          </w:p>
        </w:tc>
        <w:tc>
          <w:tcPr>
            <w:tcW w:w="1000" w:type="pct"/>
            <w:noWrap/>
            <w:hideMark/>
          </w:tcPr>
          <w:p w14:paraId="64E2DE1F" w14:textId="77777777" w:rsidR="00D405E4" w:rsidRPr="00AF469D" w:rsidRDefault="00D405E4" w:rsidP="002F53FC">
            <w:pPr>
              <w:pStyle w:val="TableBody"/>
            </w:pPr>
            <w:r w:rsidRPr="00AF469D">
              <w:t>271</w:t>
            </w:r>
          </w:p>
        </w:tc>
        <w:tc>
          <w:tcPr>
            <w:tcW w:w="999" w:type="pct"/>
            <w:noWrap/>
            <w:hideMark/>
          </w:tcPr>
          <w:p w14:paraId="63B8B529" w14:textId="77777777" w:rsidR="00D405E4" w:rsidRPr="00AF469D" w:rsidRDefault="00D405E4" w:rsidP="002F53FC">
            <w:pPr>
              <w:pStyle w:val="TableBody"/>
            </w:pPr>
            <w:r w:rsidRPr="00AF469D">
              <w:t>2%</w:t>
            </w:r>
          </w:p>
        </w:tc>
      </w:tr>
      <w:tr w:rsidR="00D405E4" w:rsidRPr="00AF469D" w14:paraId="44FDD9B8" w14:textId="77777777" w:rsidTr="008D0BFD">
        <w:trPr>
          <w:trHeight w:val="290"/>
        </w:trPr>
        <w:tc>
          <w:tcPr>
            <w:tcW w:w="1001" w:type="pct"/>
            <w:noWrap/>
            <w:hideMark/>
          </w:tcPr>
          <w:p w14:paraId="7B3BB4FF" w14:textId="77777777" w:rsidR="00D405E4" w:rsidRPr="00AF469D" w:rsidRDefault="00D405E4" w:rsidP="002F53FC">
            <w:pPr>
              <w:pStyle w:val="TableBody"/>
            </w:pPr>
            <w:r w:rsidRPr="00AF469D">
              <w:t>46</w:t>
            </w:r>
          </w:p>
        </w:tc>
        <w:tc>
          <w:tcPr>
            <w:tcW w:w="1000" w:type="pct"/>
            <w:noWrap/>
            <w:hideMark/>
          </w:tcPr>
          <w:p w14:paraId="3C9B864F" w14:textId="77777777" w:rsidR="00D405E4" w:rsidRPr="00AF469D" w:rsidRDefault="00D405E4" w:rsidP="002F53FC">
            <w:pPr>
              <w:pStyle w:val="TableBody"/>
            </w:pPr>
            <w:r w:rsidRPr="00AF469D">
              <w:t>25</w:t>
            </w:r>
          </w:p>
        </w:tc>
        <w:tc>
          <w:tcPr>
            <w:tcW w:w="1000" w:type="pct"/>
            <w:noWrap/>
            <w:hideMark/>
          </w:tcPr>
          <w:p w14:paraId="7F606482" w14:textId="77777777" w:rsidR="00D405E4" w:rsidRPr="00AF469D" w:rsidRDefault="00D405E4" w:rsidP="002F53FC">
            <w:pPr>
              <w:pStyle w:val="TableBody"/>
            </w:pPr>
            <w:r w:rsidRPr="00AF469D">
              <w:t>1.5%</w:t>
            </w:r>
          </w:p>
        </w:tc>
        <w:tc>
          <w:tcPr>
            <w:tcW w:w="1000" w:type="pct"/>
            <w:noWrap/>
            <w:hideMark/>
          </w:tcPr>
          <w:p w14:paraId="2FFCCC22" w14:textId="77777777" w:rsidR="00D405E4" w:rsidRPr="00AF469D" w:rsidRDefault="00D405E4" w:rsidP="002F53FC">
            <w:pPr>
              <w:pStyle w:val="TableBody"/>
            </w:pPr>
            <w:r w:rsidRPr="00AF469D">
              <w:t>220</w:t>
            </w:r>
          </w:p>
        </w:tc>
        <w:tc>
          <w:tcPr>
            <w:tcW w:w="999" w:type="pct"/>
            <w:noWrap/>
            <w:hideMark/>
          </w:tcPr>
          <w:p w14:paraId="1D724CED" w14:textId="77777777" w:rsidR="00D405E4" w:rsidRPr="00AF469D" w:rsidRDefault="00D405E4" w:rsidP="002F53FC">
            <w:pPr>
              <w:pStyle w:val="TableBody"/>
            </w:pPr>
            <w:r w:rsidRPr="00AF469D">
              <w:t>2%</w:t>
            </w:r>
          </w:p>
        </w:tc>
      </w:tr>
      <w:tr w:rsidR="00D405E4" w:rsidRPr="00AF469D" w14:paraId="325205FB" w14:textId="77777777" w:rsidTr="008D0BFD">
        <w:trPr>
          <w:trHeight w:val="290"/>
        </w:trPr>
        <w:tc>
          <w:tcPr>
            <w:tcW w:w="1001" w:type="pct"/>
            <w:noWrap/>
            <w:hideMark/>
          </w:tcPr>
          <w:p w14:paraId="59963578" w14:textId="77777777" w:rsidR="00D405E4" w:rsidRPr="00AF469D" w:rsidRDefault="00D405E4" w:rsidP="002F53FC">
            <w:pPr>
              <w:pStyle w:val="TableBody"/>
            </w:pPr>
            <w:r w:rsidRPr="00AF469D">
              <w:t>47</w:t>
            </w:r>
          </w:p>
        </w:tc>
        <w:tc>
          <w:tcPr>
            <w:tcW w:w="1000" w:type="pct"/>
            <w:noWrap/>
            <w:hideMark/>
          </w:tcPr>
          <w:p w14:paraId="728E1D53" w14:textId="77777777" w:rsidR="00D405E4" w:rsidRPr="00AF469D" w:rsidRDefault="00D405E4" w:rsidP="002F53FC">
            <w:pPr>
              <w:pStyle w:val="TableBody"/>
            </w:pPr>
            <w:r w:rsidRPr="00AF469D">
              <w:t>34</w:t>
            </w:r>
          </w:p>
        </w:tc>
        <w:tc>
          <w:tcPr>
            <w:tcW w:w="1000" w:type="pct"/>
            <w:noWrap/>
            <w:hideMark/>
          </w:tcPr>
          <w:p w14:paraId="37132B1E" w14:textId="77777777" w:rsidR="00D405E4" w:rsidRPr="00AF469D" w:rsidRDefault="00D405E4" w:rsidP="002F53FC">
            <w:pPr>
              <w:pStyle w:val="TableBody"/>
            </w:pPr>
            <w:r w:rsidRPr="00AF469D">
              <w:t>2.0%</w:t>
            </w:r>
          </w:p>
        </w:tc>
        <w:tc>
          <w:tcPr>
            <w:tcW w:w="1000" w:type="pct"/>
            <w:noWrap/>
            <w:hideMark/>
          </w:tcPr>
          <w:p w14:paraId="7569F629" w14:textId="77777777" w:rsidR="00D405E4" w:rsidRPr="00AF469D" w:rsidRDefault="00D405E4" w:rsidP="002F53FC">
            <w:pPr>
              <w:pStyle w:val="TableBody"/>
            </w:pPr>
            <w:r w:rsidRPr="00AF469D">
              <w:t>238</w:t>
            </w:r>
          </w:p>
        </w:tc>
        <w:tc>
          <w:tcPr>
            <w:tcW w:w="999" w:type="pct"/>
            <w:noWrap/>
            <w:hideMark/>
          </w:tcPr>
          <w:p w14:paraId="3D2AE9A4" w14:textId="77777777" w:rsidR="00D405E4" w:rsidRPr="00AF469D" w:rsidRDefault="00D405E4" w:rsidP="002F53FC">
            <w:pPr>
              <w:pStyle w:val="TableBody"/>
            </w:pPr>
            <w:r w:rsidRPr="00AF469D">
              <w:t>2%</w:t>
            </w:r>
          </w:p>
        </w:tc>
      </w:tr>
      <w:tr w:rsidR="00D405E4" w:rsidRPr="00AF469D" w14:paraId="54BE393E" w14:textId="77777777" w:rsidTr="008D0BFD">
        <w:trPr>
          <w:trHeight w:val="290"/>
        </w:trPr>
        <w:tc>
          <w:tcPr>
            <w:tcW w:w="1001" w:type="pct"/>
            <w:noWrap/>
            <w:hideMark/>
          </w:tcPr>
          <w:p w14:paraId="0FBC3A04" w14:textId="77777777" w:rsidR="00D405E4" w:rsidRPr="00AF469D" w:rsidRDefault="00D405E4" w:rsidP="002F53FC">
            <w:pPr>
              <w:pStyle w:val="TableBody"/>
            </w:pPr>
            <w:r w:rsidRPr="00AF469D">
              <w:t>48</w:t>
            </w:r>
          </w:p>
        </w:tc>
        <w:tc>
          <w:tcPr>
            <w:tcW w:w="1000" w:type="pct"/>
            <w:noWrap/>
            <w:hideMark/>
          </w:tcPr>
          <w:p w14:paraId="430A5809" w14:textId="77777777" w:rsidR="00D405E4" w:rsidRPr="00AF469D" w:rsidRDefault="00D405E4" w:rsidP="002F53FC">
            <w:pPr>
              <w:pStyle w:val="TableBody"/>
            </w:pPr>
            <w:r w:rsidRPr="00AF469D">
              <w:t>26</w:t>
            </w:r>
          </w:p>
        </w:tc>
        <w:tc>
          <w:tcPr>
            <w:tcW w:w="1000" w:type="pct"/>
            <w:noWrap/>
            <w:hideMark/>
          </w:tcPr>
          <w:p w14:paraId="7952BDCC" w14:textId="77777777" w:rsidR="00D405E4" w:rsidRPr="00AF469D" w:rsidRDefault="00D405E4" w:rsidP="002F53FC">
            <w:pPr>
              <w:pStyle w:val="TableBody"/>
            </w:pPr>
            <w:r w:rsidRPr="00AF469D">
              <w:t>1.5%</w:t>
            </w:r>
          </w:p>
        </w:tc>
        <w:tc>
          <w:tcPr>
            <w:tcW w:w="1000" w:type="pct"/>
            <w:noWrap/>
            <w:hideMark/>
          </w:tcPr>
          <w:p w14:paraId="764833AA" w14:textId="77777777" w:rsidR="00D405E4" w:rsidRPr="00AF469D" w:rsidRDefault="00D405E4" w:rsidP="002F53FC">
            <w:pPr>
              <w:pStyle w:val="TableBody"/>
            </w:pPr>
            <w:r w:rsidRPr="00AF469D">
              <w:t>215</w:t>
            </w:r>
          </w:p>
        </w:tc>
        <w:tc>
          <w:tcPr>
            <w:tcW w:w="999" w:type="pct"/>
            <w:noWrap/>
            <w:hideMark/>
          </w:tcPr>
          <w:p w14:paraId="68F9DDC8" w14:textId="77777777" w:rsidR="00D405E4" w:rsidRPr="00AF469D" w:rsidRDefault="00D405E4" w:rsidP="002F53FC">
            <w:pPr>
              <w:pStyle w:val="TableBody"/>
            </w:pPr>
            <w:r w:rsidRPr="00AF469D">
              <w:t>2%</w:t>
            </w:r>
          </w:p>
        </w:tc>
      </w:tr>
      <w:tr w:rsidR="00D405E4" w:rsidRPr="00AF469D" w14:paraId="59049508" w14:textId="77777777" w:rsidTr="008D0BFD">
        <w:trPr>
          <w:trHeight w:val="290"/>
        </w:trPr>
        <w:tc>
          <w:tcPr>
            <w:tcW w:w="1001" w:type="pct"/>
            <w:noWrap/>
            <w:hideMark/>
          </w:tcPr>
          <w:p w14:paraId="20A6D578" w14:textId="77777777" w:rsidR="00D405E4" w:rsidRPr="00AF469D" w:rsidRDefault="00D405E4" w:rsidP="002F53FC">
            <w:pPr>
              <w:pStyle w:val="TableBody"/>
            </w:pPr>
            <w:r w:rsidRPr="00AF469D">
              <w:t>49</w:t>
            </w:r>
          </w:p>
        </w:tc>
        <w:tc>
          <w:tcPr>
            <w:tcW w:w="1000" w:type="pct"/>
            <w:noWrap/>
            <w:hideMark/>
          </w:tcPr>
          <w:p w14:paraId="3B581D2F" w14:textId="77777777" w:rsidR="00D405E4" w:rsidRPr="00AF469D" w:rsidRDefault="00D405E4" w:rsidP="002F53FC">
            <w:pPr>
              <w:pStyle w:val="TableBody"/>
            </w:pPr>
            <w:r w:rsidRPr="00AF469D">
              <w:t>24</w:t>
            </w:r>
          </w:p>
        </w:tc>
        <w:tc>
          <w:tcPr>
            <w:tcW w:w="1000" w:type="pct"/>
            <w:noWrap/>
            <w:hideMark/>
          </w:tcPr>
          <w:p w14:paraId="2B66D7E0" w14:textId="77777777" w:rsidR="00D405E4" w:rsidRPr="00AF469D" w:rsidRDefault="00D405E4" w:rsidP="002F53FC">
            <w:pPr>
              <w:pStyle w:val="TableBody"/>
            </w:pPr>
            <w:r w:rsidRPr="00AF469D">
              <w:t>1.4%</w:t>
            </w:r>
          </w:p>
        </w:tc>
        <w:tc>
          <w:tcPr>
            <w:tcW w:w="1000" w:type="pct"/>
            <w:noWrap/>
            <w:hideMark/>
          </w:tcPr>
          <w:p w14:paraId="23746F70" w14:textId="77777777" w:rsidR="00D405E4" w:rsidRPr="00AF469D" w:rsidRDefault="00D405E4" w:rsidP="002F53FC">
            <w:pPr>
              <w:pStyle w:val="TableBody"/>
            </w:pPr>
            <w:r w:rsidRPr="00AF469D">
              <w:t>194</w:t>
            </w:r>
          </w:p>
        </w:tc>
        <w:tc>
          <w:tcPr>
            <w:tcW w:w="999" w:type="pct"/>
            <w:noWrap/>
            <w:hideMark/>
          </w:tcPr>
          <w:p w14:paraId="75D3CA4B" w14:textId="77777777" w:rsidR="00D405E4" w:rsidRPr="00AF469D" w:rsidRDefault="00D405E4" w:rsidP="002F53FC">
            <w:pPr>
              <w:pStyle w:val="TableBody"/>
            </w:pPr>
            <w:r w:rsidRPr="00AF469D">
              <w:t>2%</w:t>
            </w:r>
          </w:p>
        </w:tc>
      </w:tr>
      <w:tr w:rsidR="00D405E4" w:rsidRPr="00AF469D" w14:paraId="78AA0516" w14:textId="77777777" w:rsidTr="008D0BFD">
        <w:trPr>
          <w:trHeight w:val="290"/>
        </w:trPr>
        <w:tc>
          <w:tcPr>
            <w:tcW w:w="1001" w:type="pct"/>
            <w:noWrap/>
            <w:hideMark/>
          </w:tcPr>
          <w:p w14:paraId="1FD6426E" w14:textId="77777777" w:rsidR="00D405E4" w:rsidRPr="00AF469D" w:rsidRDefault="00D405E4" w:rsidP="002F53FC">
            <w:pPr>
              <w:pStyle w:val="TableBody"/>
            </w:pPr>
            <w:r w:rsidRPr="00AF469D">
              <w:t>50</w:t>
            </w:r>
          </w:p>
        </w:tc>
        <w:tc>
          <w:tcPr>
            <w:tcW w:w="1000" w:type="pct"/>
            <w:noWrap/>
            <w:hideMark/>
          </w:tcPr>
          <w:p w14:paraId="79BF265D" w14:textId="77777777" w:rsidR="00D405E4" w:rsidRPr="00AF469D" w:rsidRDefault="00D405E4" w:rsidP="002F53FC">
            <w:pPr>
              <w:pStyle w:val="TableBody"/>
            </w:pPr>
            <w:r w:rsidRPr="00AF469D">
              <w:t>14</w:t>
            </w:r>
          </w:p>
        </w:tc>
        <w:tc>
          <w:tcPr>
            <w:tcW w:w="1000" w:type="pct"/>
            <w:noWrap/>
            <w:hideMark/>
          </w:tcPr>
          <w:p w14:paraId="7FCCD05E" w14:textId="77777777" w:rsidR="00D405E4" w:rsidRPr="00AF469D" w:rsidRDefault="00D405E4" w:rsidP="002F53FC">
            <w:pPr>
              <w:pStyle w:val="TableBody"/>
            </w:pPr>
            <w:r w:rsidRPr="00AF469D">
              <w:t>0.8%</w:t>
            </w:r>
          </w:p>
        </w:tc>
        <w:tc>
          <w:tcPr>
            <w:tcW w:w="1000" w:type="pct"/>
            <w:noWrap/>
            <w:hideMark/>
          </w:tcPr>
          <w:p w14:paraId="6F629258" w14:textId="77777777" w:rsidR="00D405E4" w:rsidRPr="00AF469D" w:rsidRDefault="00D405E4" w:rsidP="002F53FC">
            <w:pPr>
              <w:pStyle w:val="TableBody"/>
            </w:pPr>
            <w:r w:rsidRPr="00AF469D">
              <w:t>175</w:t>
            </w:r>
          </w:p>
        </w:tc>
        <w:tc>
          <w:tcPr>
            <w:tcW w:w="999" w:type="pct"/>
            <w:noWrap/>
            <w:hideMark/>
          </w:tcPr>
          <w:p w14:paraId="7ACF2ACD" w14:textId="77777777" w:rsidR="00D405E4" w:rsidRPr="00AF469D" w:rsidRDefault="00D405E4" w:rsidP="002F53FC">
            <w:pPr>
              <w:pStyle w:val="TableBody"/>
            </w:pPr>
            <w:r w:rsidRPr="00AF469D">
              <w:t>1%</w:t>
            </w:r>
          </w:p>
        </w:tc>
      </w:tr>
      <w:tr w:rsidR="00D405E4" w:rsidRPr="00AF469D" w14:paraId="213D4320" w14:textId="77777777" w:rsidTr="008D0BFD">
        <w:trPr>
          <w:trHeight w:val="290"/>
        </w:trPr>
        <w:tc>
          <w:tcPr>
            <w:tcW w:w="1001" w:type="pct"/>
            <w:noWrap/>
            <w:hideMark/>
          </w:tcPr>
          <w:p w14:paraId="2D921EB2" w14:textId="77777777" w:rsidR="00D405E4" w:rsidRPr="00AF469D" w:rsidRDefault="00D405E4" w:rsidP="002F53FC">
            <w:pPr>
              <w:pStyle w:val="TableBody"/>
            </w:pPr>
            <w:r w:rsidRPr="00AF469D">
              <w:t>51</w:t>
            </w:r>
          </w:p>
        </w:tc>
        <w:tc>
          <w:tcPr>
            <w:tcW w:w="1000" w:type="pct"/>
            <w:noWrap/>
            <w:hideMark/>
          </w:tcPr>
          <w:p w14:paraId="59B05653" w14:textId="77777777" w:rsidR="00D405E4" w:rsidRPr="00AF469D" w:rsidRDefault="00D405E4" w:rsidP="002F53FC">
            <w:pPr>
              <w:pStyle w:val="TableBody"/>
            </w:pPr>
            <w:r w:rsidRPr="00AF469D">
              <w:t>18</w:t>
            </w:r>
          </w:p>
        </w:tc>
        <w:tc>
          <w:tcPr>
            <w:tcW w:w="1000" w:type="pct"/>
            <w:noWrap/>
            <w:hideMark/>
          </w:tcPr>
          <w:p w14:paraId="79498B85" w14:textId="77777777" w:rsidR="00D405E4" w:rsidRPr="00AF469D" w:rsidRDefault="00D405E4" w:rsidP="002F53FC">
            <w:pPr>
              <w:pStyle w:val="TableBody"/>
            </w:pPr>
            <w:r w:rsidRPr="00AF469D">
              <w:t>1.0%</w:t>
            </w:r>
          </w:p>
        </w:tc>
        <w:tc>
          <w:tcPr>
            <w:tcW w:w="1000" w:type="pct"/>
            <w:noWrap/>
            <w:hideMark/>
          </w:tcPr>
          <w:p w14:paraId="157A661B" w14:textId="77777777" w:rsidR="00D405E4" w:rsidRPr="00AF469D" w:rsidRDefault="00D405E4" w:rsidP="002F53FC">
            <w:pPr>
              <w:pStyle w:val="TableBody"/>
            </w:pPr>
            <w:r w:rsidRPr="00AF469D">
              <w:t>134</w:t>
            </w:r>
          </w:p>
        </w:tc>
        <w:tc>
          <w:tcPr>
            <w:tcW w:w="999" w:type="pct"/>
            <w:noWrap/>
            <w:hideMark/>
          </w:tcPr>
          <w:p w14:paraId="3FCFC820" w14:textId="77777777" w:rsidR="00D405E4" w:rsidRPr="00AF469D" w:rsidRDefault="00D405E4" w:rsidP="002F53FC">
            <w:pPr>
              <w:pStyle w:val="TableBody"/>
            </w:pPr>
            <w:r w:rsidRPr="00AF469D">
              <w:t>1%</w:t>
            </w:r>
          </w:p>
        </w:tc>
      </w:tr>
      <w:tr w:rsidR="00D405E4" w:rsidRPr="00AF469D" w14:paraId="4442E41C" w14:textId="77777777" w:rsidTr="008D0BFD">
        <w:trPr>
          <w:trHeight w:val="290"/>
        </w:trPr>
        <w:tc>
          <w:tcPr>
            <w:tcW w:w="1001" w:type="pct"/>
            <w:noWrap/>
            <w:hideMark/>
          </w:tcPr>
          <w:p w14:paraId="4644F1C0" w14:textId="77777777" w:rsidR="00D405E4" w:rsidRPr="00AF469D" w:rsidRDefault="00D405E4" w:rsidP="002F53FC">
            <w:pPr>
              <w:pStyle w:val="TableBody"/>
            </w:pPr>
            <w:r w:rsidRPr="00AF469D">
              <w:t>52</w:t>
            </w:r>
          </w:p>
        </w:tc>
        <w:tc>
          <w:tcPr>
            <w:tcW w:w="1000" w:type="pct"/>
            <w:noWrap/>
            <w:hideMark/>
          </w:tcPr>
          <w:p w14:paraId="5DFB2565" w14:textId="77777777" w:rsidR="00D405E4" w:rsidRPr="00AF469D" w:rsidRDefault="00D405E4" w:rsidP="002F53FC">
            <w:pPr>
              <w:pStyle w:val="TableBody"/>
            </w:pPr>
            <w:r w:rsidRPr="00AF469D">
              <w:t>16</w:t>
            </w:r>
          </w:p>
        </w:tc>
        <w:tc>
          <w:tcPr>
            <w:tcW w:w="1000" w:type="pct"/>
            <w:noWrap/>
            <w:hideMark/>
          </w:tcPr>
          <w:p w14:paraId="6D3754ED" w14:textId="77777777" w:rsidR="00D405E4" w:rsidRPr="00AF469D" w:rsidRDefault="00D405E4" w:rsidP="002F53FC">
            <w:pPr>
              <w:pStyle w:val="TableBody"/>
            </w:pPr>
            <w:r w:rsidRPr="00AF469D">
              <w:t>0.9%</w:t>
            </w:r>
          </w:p>
        </w:tc>
        <w:tc>
          <w:tcPr>
            <w:tcW w:w="1000" w:type="pct"/>
            <w:noWrap/>
            <w:hideMark/>
          </w:tcPr>
          <w:p w14:paraId="7EC1FF15" w14:textId="77777777" w:rsidR="00D405E4" w:rsidRPr="00AF469D" w:rsidRDefault="00D405E4" w:rsidP="002F53FC">
            <w:pPr>
              <w:pStyle w:val="TableBody"/>
            </w:pPr>
            <w:r w:rsidRPr="00AF469D">
              <w:t>123</w:t>
            </w:r>
          </w:p>
        </w:tc>
        <w:tc>
          <w:tcPr>
            <w:tcW w:w="999" w:type="pct"/>
            <w:noWrap/>
            <w:hideMark/>
          </w:tcPr>
          <w:p w14:paraId="52EC09DA" w14:textId="77777777" w:rsidR="00D405E4" w:rsidRPr="00AF469D" w:rsidRDefault="00D405E4" w:rsidP="002F53FC">
            <w:pPr>
              <w:pStyle w:val="TableBody"/>
            </w:pPr>
            <w:r w:rsidRPr="00AF469D">
              <w:t>1%</w:t>
            </w:r>
          </w:p>
        </w:tc>
      </w:tr>
      <w:tr w:rsidR="00D405E4" w:rsidRPr="00AF469D" w14:paraId="28ECCDBB" w14:textId="77777777" w:rsidTr="008D0BFD">
        <w:trPr>
          <w:trHeight w:val="290"/>
        </w:trPr>
        <w:tc>
          <w:tcPr>
            <w:tcW w:w="1001" w:type="pct"/>
            <w:noWrap/>
            <w:hideMark/>
          </w:tcPr>
          <w:p w14:paraId="5535DFEF" w14:textId="77777777" w:rsidR="00D405E4" w:rsidRPr="00AF469D" w:rsidRDefault="00D405E4" w:rsidP="002F53FC">
            <w:pPr>
              <w:pStyle w:val="TableBody"/>
            </w:pPr>
            <w:r w:rsidRPr="00AF469D">
              <w:t>53</w:t>
            </w:r>
          </w:p>
        </w:tc>
        <w:tc>
          <w:tcPr>
            <w:tcW w:w="1000" w:type="pct"/>
            <w:noWrap/>
            <w:hideMark/>
          </w:tcPr>
          <w:p w14:paraId="0EDCC4E5" w14:textId="77777777" w:rsidR="00D405E4" w:rsidRPr="00AF469D" w:rsidRDefault="00D405E4" w:rsidP="002F53FC">
            <w:pPr>
              <w:pStyle w:val="TableBody"/>
            </w:pPr>
            <w:r w:rsidRPr="00AF469D">
              <w:t>7</w:t>
            </w:r>
          </w:p>
        </w:tc>
        <w:tc>
          <w:tcPr>
            <w:tcW w:w="1000" w:type="pct"/>
            <w:noWrap/>
            <w:hideMark/>
          </w:tcPr>
          <w:p w14:paraId="5A69A374" w14:textId="77777777" w:rsidR="00D405E4" w:rsidRPr="00AF469D" w:rsidRDefault="00D405E4" w:rsidP="002F53FC">
            <w:pPr>
              <w:pStyle w:val="TableBody"/>
            </w:pPr>
            <w:r w:rsidRPr="00AF469D">
              <w:t>0.4%</w:t>
            </w:r>
          </w:p>
        </w:tc>
        <w:tc>
          <w:tcPr>
            <w:tcW w:w="1000" w:type="pct"/>
            <w:noWrap/>
            <w:hideMark/>
          </w:tcPr>
          <w:p w14:paraId="21B08EC8" w14:textId="77777777" w:rsidR="00D405E4" w:rsidRPr="00AF469D" w:rsidRDefault="00D405E4" w:rsidP="002F53FC">
            <w:pPr>
              <w:pStyle w:val="TableBody"/>
            </w:pPr>
            <w:r w:rsidRPr="00AF469D">
              <w:t>109</w:t>
            </w:r>
          </w:p>
        </w:tc>
        <w:tc>
          <w:tcPr>
            <w:tcW w:w="999" w:type="pct"/>
            <w:noWrap/>
            <w:hideMark/>
          </w:tcPr>
          <w:p w14:paraId="0E929863" w14:textId="77777777" w:rsidR="00D405E4" w:rsidRPr="00AF469D" w:rsidRDefault="00D405E4" w:rsidP="002F53FC">
            <w:pPr>
              <w:pStyle w:val="TableBody"/>
            </w:pPr>
            <w:r w:rsidRPr="00AF469D">
              <w:t>1%</w:t>
            </w:r>
          </w:p>
        </w:tc>
      </w:tr>
      <w:tr w:rsidR="00D405E4" w:rsidRPr="00AF469D" w14:paraId="7C404B9C" w14:textId="77777777" w:rsidTr="008D0BFD">
        <w:trPr>
          <w:trHeight w:val="290"/>
        </w:trPr>
        <w:tc>
          <w:tcPr>
            <w:tcW w:w="1001" w:type="pct"/>
            <w:noWrap/>
            <w:hideMark/>
          </w:tcPr>
          <w:p w14:paraId="1F9D4884" w14:textId="77777777" w:rsidR="00D405E4" w:rsidRPr="00AF469D" w:rsidRDefault="00D405E4" w:rsidP="002F53FC">
            <w:pPr>
              <w:pStyle w:val="TableBody"/>
            </w:pPr>
            <w:r w:rsidRPr="00AF469D">
              <w:t>54</w:t>
            </w:r>
          </w:p>
        </w:tc>
        <w:tc>
          <w:tcPr>
            <w:tcW w:w="1000" w:type="pct"/>
            <w:noWrap/>
            <w:hideMark/>
          </w:tcPr>
          <w:p w14:paraId="6FF3B1AA" w14:textId="77777777" w:rsidR="00D405E4" w:rsidRPr="00AF469D" w:rsidRDefault="00D405E4" w:rsidP="002F53FC">
            <w:pPr>
              <w:pStyle w:val="TableBody"/>
            </w:pPr>
            <w:r w:rsidRPr="00AF469D">
              <w:t>9</w:t>
            </w:r>
          </w:p>
        </w:tc>
        <w:tc>
          <w:tcPr>
            <w:tcW w:w="1000" w:type="pct"/>
            <w:noWrap/>
            <w:hideMark/>
          </w:tcPr>
          <w:p w14:paraId="091CAB78" w14:textId="77777777" w:rsidR="00D405E4" w:rsidRPr="00AF469D" w:rsidRDefault="00D405E4" w:rsidP="002F53FC">
            <w:pPr>
              <w:pStyle w:val="TableBody"/>
            </w:pPr>
            <w:r w:rsidRPr="00AF469D">
              <w:t>0.5%</w:t>
            </w:r>
          </w:p>
        </w:tc>
        <w:tc>
          <w:tcPr>
            <w:tcW w:w="1000" w:type="pct"/>
            <w:noWrap/>
            <w:hideMark/>
          </w:tcPr>
          <w:p w14:paraId="2BEAE35A" w14:textId="77777777" w:rsidR="00D405E4" w:rsidRPr="00AF469D" w:rsidRDefault="00D405E4" w:rsidP="002F53FC">
            <w:pPr>
              <w:pStyle w:val="TableBody"/>
            </w:pPr>
            <w:r w:rsidRPr="00AF469D">
              <w:t>89</w:t>
            </w:r>
          </w:p>
        </w:tc>
        <w:tc>
          <w:tcPr>
            <w:tcW w:w="999" w:type="pct"/>
            <w:noWrap/>
            <w:hideMark/>
          </w:tcPr>
          <w:p w14:paraId="1ADF1BF5" w14:textId="77777777" w:rsidR="00D405E4" w:rsidRPr="00AF469D" w:rsidRDefault="00D405E4" w:rsidP="002F53FC">
            <w:pPr>
              <w:pStyle w:val="TableBody"/>
            </w:pPr>
            <w:r w:rsidRPr="00AF469D">
              <w:t>1%</w:t>
            </w:r>
          </w:p>
        </w:tc>
      </w:tr>
      <w:tr w:rsidR="00D405E4" w:rsidRPr="00AF469D" w14:paraId="2B82EDDB" w14:textId="77777777" w:rsidTr="008D0BFD">
        <w:trPr>
          <w:trHeight w:val="290"/>
        </w:trPr>
        <w:tc>
          <w:tcPr>
            <w:tcW w:w="1001" w:type="pct"/>
            <w:noWrap/>
            <w:hideMark/>
          </w:tcPr>
          <w:p w14:paraId="49A1960F" w14:textId="77777777" w:rsidR="00D405E4" w:rsidRPr="00AF469D" w:rsidRDefault="00D405E4" w:rsidP="002F53FC">
            <w:pPr>
              <w:pStyle w:val="TableBody"/>
            </w:pPr>
            <w:r w:rsidRPr="00AF469D">
              <w:t>55</w:t>
            </w:r>
          </w:p>
        </w:tc>
        <w:tc>
          <w:tcPr>
            <w:tcW w:w="1000" w:type="pct"/>
            <w:noWrap/>
            <w:hideMark/>
          </w:tcPr>
          <w:p w14:paraId="570696FD" w14:textId="77777777" w:rsidR="00D405E4" w:rsidRPr="00AF469D" w:rsidRDefault="00D405E4" w:rsidP="002F53FC">
            <w:pPr>
              <w:pStyle w:val="TableBody"/>
            </w:pPr>
            <w:r w:rsidRPr="00AF469D">
              <w:t>14</w:t>
            </w:r>
          </w:p>
        </w:tc>
        <w:tc>
          <w:tcPr>
            <w:tcW w:w="1000" w:type="pct"/>
            <w:noWrap/>
            <w:hideMark/>
          </w:tcPr>
          <w:p w14:paraId="20CF506A" w14:textId="77777777" w:rsidR="00D405E4" w:rsidRPr="00AF469D" w:rsidRDefault="00D405E4" w:rsidP="002F53FC">
            <w:pPr>
              <w:pStyle w:val="TableBody"/>
            </w:pPr>
            <w:r w:rsidRPr="00AF469D">
              <w:t>0.8%</w:t>
            </w:r>
          </w:p>
        </w:tc>
        <w:tc>
          <w:tcPr>
            <w:tcW w:w="1000" w:type="pct"/>
            <w:noWrap/>
            <w:hideMark/>
          </w:tcPr>
          <w:p w14:paraId="4C4CBF3C" w14:textId="77777777" w:rsidR="00D405E4" w:rsidRPr="00AF469D" w:rsidRDefault="00D405E4" w:rsidP="002F53FC">
            <w:pPr>
              <w:pStyle w:val="TableBody"/>
            </w:pPr>
            <w:r w:rsidRPr="00AF469D">
              <w:t>61</w:t>
            </w:r>
          </w:p>
        </w:tc>
        <w:tc>
          <w:tcPr>
            <w:tcW w:w="999" w:type="pct"/>
            <w:noWrap/>
            <w:hideMark/>
          </w:tcPr>
          <w:p w14:paraId="424350E3" w14:textId="77777777" w:rsidR="00D405E4" w:rsidRPr="00AF469D" w:rsidRDefault="00D405E4" w:rsidP="002F53FC">
            <w:pPr>
              <w:pStyle w:val="TableBody"/>
            </w:pPr>
            <w:r w:rsidRPr="00AF469D">
              <w:t>1%</w:t>
            </w:r>
          </w:p>
        </w:tc>
      </w:tr>
      <w:tr w:rsidR="00D405E4" w:rsidRPr="00AF469D" w14:paraId="6EF7CAC8" w14:textId="77777777" w:rsidTr="008D0BFD">
        <w:trPr>
          <w:trHeight w:val="290"/>
        </w:trPr>
        <w:tc>
          <w:tcPr>
            <w:tcW w:w="1001" w:type="pct"/>
            <w:noWrap/>
            <w:hideMark/>
          </w:tcPr>
          <w:p w14:paraId="58EBB8C8" w14:textId="77777777" w:rsidR="00D405E4" w:rsidRPr="00AF469D" w:rsidRDefault="00D405E4" w:rsidP="002F53FC">
            <w:pPr>
              <w:pStyle w:val="TableBody"/>
            </w:pPr>
            <w:r w:rsidRPr="00AF469D">
              <w:t>56</w:t>
            </w:r>
          </w:p>
        </w:tc>
        <w:tc>
          <w:tcPr>
            <w:tcW w:w="1000" w:type="pct"/>
            <w:noWrap/>
            <w:hideMark/>
          </w:tcPr>
          <w:p w14:paraId="661CC2C5" w14:textId="77777777" w:rsidR="00D405E4" w:rsidRPr="00AF469D" w:rsidRDefault="00D405E4" w:rsidP="002F53FC">
            <w:pPr>
              <w:pStyle w:val="TableBody"/>
            </w:pPr>
            <w:r w:rsidRPr="00AF469D">
              <w:t>12</w:t>
            </w:r>
          </w:p>
        </w:tc>
        <w:tc>
          <w:tcPr>
            <w:tcW w:w="1000" w:type="pct"/>
            <w:noWrap/>
            <w:hideMark/>
          </w:tcPr>
          <w:p w14:paraId="6D153229" w14:textId="77777777" w:rsidR="00D405E4" w:rsidRPr="00AF469D" w:rsidRDefault="00D405E4" w:rsidP="002F53FC">
            <w:pPr>
              <w:pStyle w:val="TableBody"/>
            </w:pPr>
            <w:r w:rsidRPr="00AF469D">
              <w:t>0.7%</w:t>
            </w:r>
          </w:p>
        </w:tc>
        <w:tc>
          <w:tcPr>
            <w:tcW w:w="1000" w:type="pct"/>
            <w:noWrap/>
            <w:hideMark/>
          </w:tcPr>
          <w:p w14:paraId="613249DA" w14:textId="77777777" w:rsidR="00D405E4" w:rsidRPr="00AF469D" w:rsidRDefault="00D405E4" w:rsidP="002F53FC">
            <w:pPr>
              <w:pStyle w:val="TableBody"/>
            </w:pPr>
            <w:r w:rsidRPr="00AF469D">
              <w:t>65</w:t>
            </w:r>
          </w:p>
        </w:tc>
        <w:tc>
          <w:tcPr>
            <w:tcW w:w="999" w:type="pct"/>
            <w:noWrap/>
            <w:hideMark/>
          </w:tcPr>
          <w:p w14:paraId="24230807" w14:textId="77777777" w:rsidR="00D405E4" w:rsidRPr="00AF469D" w:rsidRDefault="00D405E4" w:rsidP="002F53FC">
            <w:pPr>
              <w:pStyle w:val="TableBody"/>
            </w:pPr>
            <w:r w:rsidRPr="00AF469D">
              <w:t>1%</w:t>
            </w:r>
          </w:p>
        </w:tc>
      </w:tr>
      <w:tr w:rsidR="00D405E4" w:rsidRPr="00AF469D" w14:paraId="50D6AA12" w14:textId="77777777" w:rsidTr="008D0BFD">
        <w:trPr>
          <w:trHeight w:val="290"/>
        </w:trPr>
        <w:tc>
          <w:tcPr>
            <w:tcW w:w="1001" w:type="pct"/>
            <w:noWrap/>
            <w:hideMark/>
          </w:tcPr>
          <w:p w14:paraId="332B5D7B" w14:textId="77777777" w:rsidR="00D405E4" w:rsidRPr="00AF469D" w:rsidRDefault="00D405E4" w:rsidP="002F53FC">
            <w:pPr>
              <w:pStyle w:val="TableBody"/>
            </w:pPr>
            <w:r w:rsidRPr="00AF469D">
              <w:t>57</w:t>
            </w:r>
          </w:p>
        </w:tc>
        <w:tc>
          <w:tcPr>
            <w:tcW w:w="1000" w:type="pct"/>
            <w:noWrap/>
            <w:hideMark/>
          </w:tcPr>
          <w:p w14:paraId="21AE1738" w14:textId="77777777" w:rsidR="00D405E4" w:rsidRPr="00AF469D" w:rsidRDefault="00D405E4" w:rsidP="002F53FC">
            <w:pPr>
              <w:pStyle w:val="TableBody"/>
            </w:pPr>
            <w:r w:rsidRPr="00AF469D">
              <w:t>8</w:t>
            </w:r>
          </w:p>
        </w:tc>
        <w:tc>
          <w:tcPr>
            <w:tcW w:w="1000" w:type="pct"/>
            <w:noWrap/>
            <w:hideMark/>
          </w:tcPr>
          <w:p w14:paraId="3851ACC7" w14:textId="77777777" w:rsidR="00D405E4" w:rsidRPr="00AF469D" w:rsidRDefault="00D405E4" w:rsidP="002F53FC">
            <w:pPr>
              <w:pStyle w:val="TableBody"/>
            </w:pPr>
            <w:r w:rsidRPr="00AF469D">
              <w:t>0.5%</w:t>
            </w:r>
          </w:p>
        </w:tc>
        <w:tc>
          <w:tcPr>
            <w:tcW w:w="1000" w:type="pct"/>
            <w:noWrap/>
            <w:hideMark/>
          </w:tcPr>
          <w:p w14:paraId="305E12A1" w14:textId="77777777" w:rsidR="00D405E4" w:rsidRPr="00AF469D" w:rsidRDefault="00D405E4" w:rsidP="002F53FC">
            <w:pPr>
              <w:pStyle w:val="TableBody"/>
            </w:pPr>
            <w:r w:rsidRPr="00AF469D">
              <w:t>59</w:t>
            </w:r>
          </w:p>
        </w:tc>
        <w:tc>
          <w:tcPr>
            <w:tcW w:w="999" w:type="pct"/>
            <w:noWrap/>
            <w:hideMark/>
          </w:tcPr>
          <w:p w14:paraId="4DD072F3" w14:textId="77777777" w:rsidR="00D405E4" w:rsidRPr="00AF469D" w:rsidRDefault="00D405E4" w:rsidP="002F53FC">
            <w:pPr>
              <w:pStyle w:val="TableBody"/>
            </w:pPr>
            <w:r w:rsidRPr="00AF469D">
              <w:t>0%</w:t>
            </w:r>
          </w:p>
        </w:tc>
      </w:tr>
      <w:tr w:rsidR="00D405E4" w:rsidRPr="00AF469D" w14:paraId="6ECD1C35" w14:textId="77777777" w:rsidTr="008D0BFD">
        <w:trPr>
          <w:trHeight w:val="290"/>
        </w:trPr>
        <w:tc>
          <w:tcPr>
            <w:tcW w:w="1001" w:type="pct"/>
            <w:noWrap/>
            <w:hideMark/>
          </w:tcPr>
          <w:p w14:paraId="56474D8E" w14:textId="77777777" w:rsidR="00D405E4" w:rsidRPr="00AF469D" w:rsidRDefault="00D405E4" w:rsidP="002F53FC">
            <w:pPr>
              <w:pStyle w:val="TableBody"/>
            </w:pPr>
            <w:r w:rsidRPr="00AF469D">
              <w:t>58</w:t>
            </w:r>
          </w:p>
        </w:tc>
        <w:tc>
          <w:tcPr>
            <w:tcW w:w="1000" w:type="pct"/>
            <w:noWrap/>
            <w:hideMark/>
          </w:tcPr>
          <w:p w14:paraId="08771256" w14:textId="77777777" w:rsidR="00D405E4" w:rsidRPr="00AF469D" w:rsidRDefault="00D405E4" w:rsidP="002F53FC">
            <w:pPr>
              <w:pStyle w:val="TableBody"/>
            </w:pPr>
            <w:r w:rsidRPr="00AF469D">
              <w:t>4</w:t>
            </w:r>
          </w:p>
        </w:tc>
        <w:tc>
          <w:tcPr>
            <w:tcW w:w="1000" w:type="pct"/>
            <w:noWrap/>
            <w:hideMark/>
          </w:tcPr>
          <w:p w14:paraId="3C791944" w14:textId="77777777" w:rsidR="00D405E4" w:rsidRPr="00AF469D" w:rsidRDefault="00D405E4" w:rsidP="002F53FC">
            <w:pPr>
              <w:pStyle w:val="TableBody"/>
            </w:pPr>
            <w:r w:rsidRPr="00AF469D">
              <w:t>0.2%</w:t>
            </w:r>
          </w:p>
        </w:tc>
        <w:tc>
          <w:tcPr>
            <w:tcW w:w="1000" w:type="pct"/>
            <w:noWrap/>
            <w:hideMark/>
          </w:tcPr>
          <w:p w14:paraId="0CCB11D5" w14:textId="77777777" w:rsidR="00D405E4" w:rsidRPr="00AF469D" w:rsidRDefault="00D405E4" w:rsidP="002F53FC">
            <w:pPr>
              <w:pStyle w:val="TableBody"/>
            </w:pPr>
            <w:r w:rsidRPr="00AF469D">
              <w:t>46</w:t>
            </w:r>
          </w:p>
        </w:tc>
        <w:tc>
          <w:tcPr>
            <w:tcW w:w="999" w:type="pct"/>
            <w:noWrap/>
            <w:hideMark/>
          </w:tcPr>
          <w:p w14:paraId="42F93E05" w14:textId="77777777" w:rsidR="00D405E4" w:rsidRPr="00AF469D" w:rsidRDefault="00D405E4" w:rsidP="002F53FC">
            <w:pPr>
              <w:pStyle w:val="TableBody"/>
            </w:pPr>
            <w:r w:rsidRPr="00AF469D">
              <w:t>0%</w:t>
            </w:r>
          </w:p>
        </w:tc>
      </w:tr>
      <w:tr w:rsidR="00D405E4" w:rsidRPr="00AF469D" w14:paraId="28782262" w14:textId="77777777" w:rsidTr="008D0BFD">
        <w:trPr>
          <w:trHeight w:val="290"/>
        </w:trPr>
        <w:tc>
          <w:tcPr>
            <w:tcW w:w="1001" w:type="pct"/>
            <w:noWrap/>
            <w:hideMark/>
          </w:tcPr>
          <w:p w14:paraId="4DC007A7" w14:textId="77777777" w:rsidR="00D405E4" w:rsidRPr="00AF469D" w:rsidRDefault="00D405E4" w:rsidP="002F53FC">
            <w:pPr>
              <w:pStyle w:val="TableBody"/>
            </w:pPr>
            <w:r w:rsidRPr="00AF469D">
              <w:t>59</w:t>
            </w:r>
          </w:p>
        </w:tc>
        <w:tc>
          <w:tcPr>
            <w:tcW w:w="1000" w:type="pct"/>
            <w:noWrap/>
            <w:hideMark/>
          </w:tcPr>
          <w:p w14:paraId="5AF268CF" w14:textId="77777777" w:rsidR="00D405E4" w:rsidRPr="00AF469D" w:rsidRDefault="00D405E4" w:rsidP="002F53FC">
            <w:pPr>
              <w:pStyle w:val="TableBody"/>
            </w:pPr>
            <w:r w:rsidRPr="00AF469D">
              <w:t>10</w:t>
            </w:r>
          </w:p>
        </w:tc>
        <w:tc>
          <w:tcPr>
            <w:tcW w:w="1000" w:type="pct"/>
            <w:noWrap/>
            <w:hideMark/>
          </w:tcPr>
          <w:p w14:paraId="75A10BE1" w14:textId="77777777" w:rsidR="00D405E4" w:rsidRPr="00AF469D" w:rsidRDefault="00D405E4" w:rsidP="002F53FC">
            <w:pPr>
              <w:pStyle w:val="TableBody"/>
            </w:pPr>
            <w:r w:rsidRPr="00AF469D">
              <w:t>0.6%</w:t>
            </w:r>
          </w:p>
        </w:tc>
        <w:tc>
          <w:tcPr>
            <w:tcW w:w="1000" w:type="pct"/>
            <w:noWrap/>
            <w:hideMark/>
          </w:tcPr>
          <w:p w14:paraId="3E519DD7" w14:textId="77777777" w:rsidR="00D405E4" w:rsidRPr="00AF469D" w:rsidRDefault="00D405E4" w:rsidP="002F53FC">
            <w:pPr>
              <w:pStyle w:val="TableBody"/>
            </w:pPr>
            <w:r w:rsidRPr="00AF469D">
              <w:t>50</w:t>
            </w:r>
          </w:p>
        </w:tc>
        <w:tc>
          <w:tcPr>
            <w:tcW w:w="999" w:type="pct"/>
            <w:noWrap/>
            <w:hideMark/>
          </w:tcPr>
          <w:p w14:paraId="7CB78BB9" w14:textId="77777777" w:rsidR="00D405E4" w:rsidRPr="00AF469D" w:rsidRDefault="00D405E4" w:rsidP="002F53FC">
            <w:pPr>
              <w:pStyle w:val="TableBody"/>
            </w:pPr>
            <w:r w:rsidRPr="00AF469D">
              <w:t>0%</w:t>
            </w:r>
          </w:p>
        </w:tc>
      </w:tr>
      <w:tr w:rsidR="00D405E4" w:rsidRPr="00AF469D" w14:paraId="751F9AD1" w14:textId="77777777" w:rsidTr="008D0BFD">
        <w:trPr>
          <w:trHeight w:val="290"/>
        </w:trPr>
        <w:tc>
          <w:tcPr>
            <w:tcW w:w="1001" w:type="pct"/>
            <w:noWrap/>
            <w:hideMark/>
          </w:tcPr>
          <w:p w14:paraId="23CBCBEA" w14:textId="77777777" w:rsidR="00D405E4" w:rsidRPr="00AF469D" w:rsidRDefault="00D405E4" w:rsidP="002F53FC">
            <w:pPr>
              <w:pStyle w:val="TableBody"/>
            </w:pPr>
            <w:r w:rsidRPr="00AF469D">
              <w:t>60</w:t>
            </w:r>
          </w:p>
        </w:tc>
        <w:tc>
          <w:tcPr>
            <w:tcW w:w="1000" w:type="pct"/>
            <w:noWrap/>
            <w:hideMark/>
          </w:tcPr>
          <w:p w14:paraId="5C5AA054" w14:textId="77777777" w:rsidR="00D405E4" w:rsidRPr="00AF469D" w:rsidRDefault="00D405E4" w:rsidP="002F53FC">
            <w:pPr>
              <w:pStyle w:val="TableBody"/>
            </w:pPr>
            <w:r w:rsidRPr="00AF469D">
              <w:t>6</w:t>
            </w:r>
          </w:p>
        </w:tc>
        <w:tc>
          <w:tcPr>
            <w:tcW w:w="1000" w:type="pct"/>
            <w:noWrap/>
            <w:hideMark/>
          </w:tcPr>
          <w:p w14:paraId="09619524" w14:textId="77777777" w:rsidR="00D405E4" w:rsidRPr="00AF469D" w:rsidRDefault="00D405E4" w:rsidP="002F53FC">
            <w:pPr>
              <w:pStyle w:val="TableBody"/>
            </w:pPr>
            <w:r w:rsidRPr="00AF469D">
              <w:t>0.3%</w:t>
            </w:r>
          </w:p>
        </w:tc>
        <w:tc>
          <w:tcPr>
            <w:tcW w:w="1000" w:type="pct"/>
            <w:noWrap/>
            <w:hideMark/>
          </w:tcPr>
          <w:p w14:paraId="7FA34B15" w14:textId="77777777" w:rsidR="00D405E4" w:rsidRPr="00AF469D" w:rsidRDefault="00D405E4" w:rsidP="002F53FC">
            <w:pPr>
              <w:pStyle w:val="TableBody"/>
            </w:pPr>
            <w:r w:rsidRPr="00AF469D">
              <w:t>40</w:t>
            </w:r>
          </w:p>
        </w:tc>
        <w:tc>
          <w:tcPr>
            <w:tcW w:w="999" w:type="pct"/>
            <w:noWrap/>
            <w:hideMark/>
          </w:tcPr>
          <w:p w14:paraId="11C95DC9" w14:textId="77777777" w:rsidR="00D405E4" w:rsidRPr="00AF469D" w:rsidRDefault="00D405E4" w:rsidP="002F53FC">
            <w:pPr>
              <w:pStyle w:val="TableBody"/>
            </w:pPr>
            <w:r w:rsidRPr="00AF469D">
              <w:t>0%</w:t>
            </w:r>
          </w:p>
        </w:tc>
      </w:tr>
      <w:tr w:rsidR="00D405E4" w:rsidRPr="00AF469D" w14:paraId="52166345" w14:textId="77777777" w:rsidTr="008D0BFD">
        <w:trPr>
          <w:trHeight w:val="290"/>
        </w:trPr>
        <w:tc>
          <w:tcPr>
            <w:tcW w:w="1001" w:type="pct"/>
            <w:noWrap/>
            <w:hideMark/>
          </w:tcPr>
          <w:p w14:paraId="588349F9" w14:textId="77777777" w:rsidR="00D405E4" w:rsidRPr="00AF469D" w:rsidRDefault="00D405E4" w:rsidP="002F53FC">
            <w:pPr>
              <w:pStyle w:val="TableBody"/>
            </w:pPr>
            <w:r w:rsidRPr="00AF469D">
              <w:t>61</w:t>
            </w:r>
          </w:p>
        </w:tc>
        <w:tc>
          <w:tcPr>
            <w:tcW w:w="1000" w:type="pct"/>
            <w:noWrap/>
            <w:hideMark/>
          </w:tcPr>
          <w:p w14:paraId="3FB9ADA6" w14:textId="77777777" w:rsidR="00D405E4" w:rsidRPr="00AF469D" w:rsidRDefault="00D405E4" w:rsidP="002F53FC">
            <w:pPr>
              <w:pStyle w:val="TableBody"/>
            </w:pPr>
            <w:r w:rsidRPr="00AF469D">
              <w:t>2</w:t>
            </w:r>
          </w:p>
        </w:tc>
        <w:tc>
          <w:tcPr>
            <w:tcW w:w="1000" w:type="pct"/>
            <w:noWrap/>
            <w:hideMark/>
          </w:tcPr>
          <w:p w14:paraId="40B131F4" w14:textId="77777777" w:rsidR="00D405E4" w:rsidRPr="00AF469D" w:rsidRDefault="00D405E4" w:rsidP="002F53FC">
            <w:pPr>
              <w:pStyle w:val="TableBody"/>
            </w:pPr>
            <w:r w:rsidRPr="00AF469D">
              <w:t>0.1%</w:t>
            </w:r>
          </w:p>
        </w:tc>
        <w:tc>
          <w:tcPr>
            <w:tcW w:w="1000" w:type="pct"/>
            <w:noWrap/>
            <w:hideMark/>
          </w:tcPr>
          <w:p w14:paraId="68D6239F" w14:textId="77777777" w:rsidR="00D405E4" w:rsidRPr="00AF469D" w:rsidRDefault="00D405E4" w:rsidP="002F53FC">
            <w:pPr>
              <w:pStyle w:val="TableBody"/>
            </w:pPr>
            <w:r w:rsidRPr="00AF469D">
              <w:t>33</w:t>
            </w:r>
          </w:p>
        </w:tc>
        <w:tc>
          <w:tcPr>
            <w:tcW w:w="999" w:type="pct"/>
            <w:noWrap/>
            <w:hideMark/>
          </w:tcPr>
          <w:p w14:paraId="71DD4E6B" w14:textId="77777777" w:rsidR="00D405E4" w:rsidRPr="00AF469D" w:rsidRDefault="00D405E4" w:rsidP="002F53FC">
            <w:pPr>
              <w:pStyle w:val="TableBody"/>
            </w:pPr>
            <w:r w:rsidRPr="00AF469D">
              <w:t>0%</w:t>
            </w:r>
          </w:p>
        </w:tc>
      </w:tr>
      <w:tr w:rsidR="00D405E4" w:rsidRPr="00AF469D" w14:paraId="685188F9" w14:textId="77777777" w:rsidTr="008D0BFD">
        <w:trPr>
          <w:trHeight w:val="290"/>
        </w:trPr>
        <w:tc>
          <w:tcPr>
            <w:tcW w:w="1001" w:type="pct"/>
            <w:noWrap/>
            <w:hideMark/>
          </w:tcPr>
          <w:p w14:paraId="3FEB2668" w14:textId="77777777" w:rsidR="00D405E4" w:rsidRPr="00AF469D" w:rsidRDefault="00D405E4" w:rsidP="002F53FC">
            <w:pPr>
              <w:pStyle w:val="TableBody"/>
            </w:pPr>
            <w:r w:rsidRPr="00AF469D">
              <w:t>62</w:t>
            </w:r>
          </w:p>
        </w:tc>
        <w:tc>
          <w:tcPr>
            <w:tcW w:w="1000" w:type="pct"/>
            <w:noWrap/>
            <w:hideMark/>
          </w:tcPr>
          <w:p w14:paraId="3B2D438A" w14:textId="77777777" w:rsidR="00D405E4" w:rsidRPr="00AF469D" w:rsidRDefault="00D405E4" w:rsidP="002F53FC">
            <w:pPr>
              <w:pStyle w:val="TableBody"/>
            </w:pPr>
            <w:r w:rsidRPr="00AF469D">
              <w:t>2</w:t>
            </w:r>
          </w:p>
        </w:tc>
        <w:tc>
          <w:tcPr>
            <w:tcW w:w="1000" w:type="pct"/>
            <w:noWrap/>
            <w:hideMark/>
          </w:tcPr>
          <w:p w14:paraId="4F33FF13" w14:textId="77777777" w:rsidR="00D405E4" w:rsidRPr="00AF469D" w:rsidRDefault="00D405E4" w:rsidP="002F53FC">
            <w:pPr>
              <w:pStyle w:val="TableBody"/>
            </w:pPr>
            <w:r w:rsidRPr="00AF469D">
              <w:t>0.1%</w:t>
            </w:r>
          </w:p>
        </w:tc>
        <w:tc>
          <w:tcPr>
            <w:tcW w:w="1000" w:type="pct"/>
            <w:noWrap/>
            <w:hideMark/>
          </w:tcPr>
          <w:p w14:paraId="18CD67BA" w14:textId="77777777" w:rsidR="00D405E4" w:rsidRPr="00AF469D" w:rsidRDefault="00D405E4" w:rsidP="002F53FC">
            <w:pPr>
              <w:pStyle w:val="TableBody"/>
            </w:pPr>
            <w:r w:rsidRPr="00AF469D">
              <w:t>25</w:t>
            </w:r>
          </w:p>
        </w:tc>
        <w:tc>
          <w:tcPr>
            <w:tcW w:w="999" w:type="pct"/>
            <w:noWrap/>
            <w:hideMark/>
          </w:tcPr>
          <w:p w14:paraId="781F6ACF" w14:textId="77777777" w:rsidR="00D405E4" w:rsidRPr="00AF469D" w:rsidRDefault="00D405E4" w:rsidP="002F53FC">
            <w:pPr>
              <w:pStyle w:val="TableBody"/>
            </w:pPr>
            <w:r w:rsidRPr="00AF469D">
              <w:t>0%</w:t>
            </w:r>
          </w:p>
        </w:tc>
      </w:tr>
      <w:tr w:rsidR="00D405E4" w:rsidRPr="00AF469D" w14:paraId="4D46F7B8" w14:textId="77777777" w:rsidTr="008D0BFD">
        <w:trPr>
          <w:trHeight w:val="290"/>
        </w:trPr>
        <w:tc>
          <w:tcPr>
            <w:tcW w:w="1001" w:type="pct"/>
            <w:noWrap/>
            <w:hideMark/>
          </w:tcPr>
          <w:p w14:paraId="1B00A960" w14:textId="77777777" w:rsidR="00D405E4" w:rsidRPr="00AF469D" w:rsidRDefault="00D405E4" w:rsidP="002F53FC">
            <w:pPr>
              <w:pStyle w:val="TableBody"/>
            </w:pPr>
            <w:r w:rsidRPr="00AF469D">
              <w:t>63</w:t>
            </w:r>
          </w:p>
        </w:tc>
        <w:tc>
          <w:tcPr>
            <w:tcW w:w="1000" w:type="pct"/>
            <w:noWrap/>
            <w:hideMark/>
          </w:tcPr>
          <w:p w14:paraId="036E9774" w14:textId="77777777" w:rsidR="00D405E4" w:rsidRPr="00AF469D" w:rsidRDefault="00D405E4" w:rsidP="002F53FC">
            <w:pPr>
              <w:pStyle w:val="TableBody"/>
            </w:pPr>
            <w:r w:rsidRPr="00AF469D">
              <w:t>2</w:t>
            </w:r>
          </w:p>
        </w:tc>
        <w:tc>
          <w:tcPr>
            <w:tcW w:w="1000" w:type="pct"/>
            <w:noWrap/>
            <w:hideMark/>
          </w:tcPr>
          <w:p w14:paraId="6BEFF589" w14:textId="77777777" w:rsidR="00D405E4" w:rsidRPr="00AF469D" w:rsidRDefault="00D405E4" w:rsidP="002F53FC">
            <w:pPr>
              <w:pStyle w:val="TableBody"/>
            </w:pPr>
            <w:r w:rsidRPr="00AF469D">
              <w:t>0.1%</w:t>
            </w:r>
          </w:p>
        </w:tc>
        <w:tc>
          <w:tcPr>
            <w:tcW w:w="1000" w:type="pct"/>
            <w:noWrap/>
            <w:hideMark/>
          </w:tcPr>
          <w:p w14:paraId="6FAB7065" w14:textId="77777777" w:rsidR="00D405E4" w:rsidRPr="00AF469D" w:rsidRDefault="00D405E4" w:rsidP="002F53FC">
            <w:pPr>
              <w:pStyle w:val="TableBody"/>
            </w:pPr>
            <w:r w:rsidRPr="00AF469D">
              <w:t>20</w:t>
            </w:r>
          </w:p>
        </w:tc>
        <w:tc>
          <w:tcPr>
            <w:tcW w:w="999" w:type="pct"/>
            <w:noWrap/>
            <w:hideMark/>
          </w:tcPr>
          <w:p w14:paraId="6C35212F" w14:textId="77777777" w:rsidR="00D405E4" w:rsidRPr="00AF469D" w:rsidRDefault="00D405E4" w:rsidP="002F53FC">
            <w:pPr>
              <w:pStyle w:val="TableBody"/>
            </w:pPr>
            <w:r w:rsidRPr="00AF469D">
              <w:t>0%</w:t>
            </w:r>
          </w:p>
        </w:tc>
      </w:tr>
      <w:tr w:rsidR="00D405E4" w:rsidRPr="00AF469D" w14:paraId="42F0F6A8" w14:textId="77777777" w:rsidTr="008D0BFD">
        <w:trPr>
          <w:trHeight w:val="290"/>
        </w:trPr>
        <w:tc>
          <w:tcPr>
            <w:tcW w:w="1001" w:type="pct"/>
            <w:noWrap/>
            <w:hideMark/>
          </w:tcPr>
          <w:p w14:paraId="369A1A32" w14:textId="77777777" w:rsidR="00D405E4" w:rsidRPr="00AF469D" w:rsidRDefault="00D405E4" w:rsidP="002F53FC">
            <w:pPr>
              <w:pStyle w:val="TableBody"/>
            </w:pPr>
            <w:r w:rsidRPr="00AF469D">
              <w:t>64</w:t>
            </w:r>
          </w:p>
        </w:tc>
        <w:tc>
          <w:tcPr>
            <w:tcW w:w="1000" w:type="pct"/>
            <w:noWrap/>
            <w:hideMark/>
          </w:tcPr>
          <w:p w14:paraId="50EBCD86" w14:textId="77777777" w:rsidR="00D405E4" w:rsidRPr="00AF469D" w:rsidRDefault="00D405E4" w:rsidP="002F53FC">
            <w:pPr>
              <w:pStyle w:val="TableBody"/>
            </w:pPr>
            <w:r w:rsidRPr="00AF469D">
              <w:t>1</w:t>
            </w:r>
          </w:p>
        </w:tc>
        <w:tc>
          <w:tcPr>
            <w:tcW w:w="1000" w:type="pct"/>
            <w:noWrap/>
            <w:hideMark/>
          </w:tcPr>
          <w:p w14:paraId="6DC55585" w14:textId="77777777" w:rsidR="00D405E4" w:rsidRPr="00AF469D" w:rsidRDefault="00D405E4" w:rsidP="002F53FC">
            <w:pPr>
              <w:pStyle w:val="TableBody"/>
            </w:pPr>
            <w:r w:rsidRPr="00AF469D">
              <w:t>0.1%</w:t>
            </w:r>
          </w:p>
        </w:tc>
        <w:tc>
          <w:tcPr>
            <w:tcW w:w="1000" w:type="pct"/>
            <w:noWrap/>
            <w:hideMark/>
          </w:tcPr>
          <w:p w14:paraId="466EAF27" w14:textId="77777777" w:rsidR="00D405E4" w:rsidRPr="00AF469D" w:rsidRDefault="00D405E4" w:rsidP="002F53FC">
            <w:pPr>
              <w:pStyle w:val="TableBody"/>
            </w:pPr>
            <w:r w:rsidRPr="00AF469D">
              <w:t>16</w:t>
            </w:r>
          </w:p>
        </w:tc>
        <w:tc>
          <w:tcPr>
            <w:tcW w:w="999" w:type="pct"/>
            <w:noWrap/>
            <w:hideMark/>
          </w:tcPr>
          <w:p w14:paraId="4A30887D" w14:textId="77777777" w:rsidR="00D405E4" w:rsidRPr="00AF469D" w:rsidRDefault="00D405E4" w:rsidP="002F53FC">
            <w:pPr>
              <w:pStyle w:val="TableBody"/>
            </w:pPr>
            <w:r w:rsidRPr="00AF469D">
              <w:t>0%</w:t>
            </w:r>
          </w:p>
        </w:tc>
      </w:tr>
      <w:tr w:rsidR="00D405E4" w:rsidRPr="00AF469D" w14:paraId="48990B77" w14:textId="77777777" w:rsidTr="008D0BFD">
        <w:trPr>
          <w:trHeight w:val="290"/>
        </w:trPr>
        <w:tc>
          <w:tcPr>
            <w:tcW w:w="1001" w:type="pct"/>
            <w:noWrap/>
            <w:hideMark/>
          </w:tcPr>
          <w:p w14:paraId="31335D4E" w14:textId="77777777" w:rsidR="00D405E4" w:rsidRPr="00AF469D" w:rsidRDefault="00D405E4" w:rsidP="002F53FC">
            <w:pPr>
              <w:pStyle w:val="TableBody"/>
            </w:pPr>
            <w:r w:rsidRPr="00AF469D">
              <w:t>65</w:t>
            </w:r>
          </w:p>
        </w:tc>
        <w:tc>
          <w:tcPr>
            <w:tcW w:w="1000" w:type="pct"/>
            <w:noWrap/>
            <w:hideMark/>
          </w:tcPr>
          <w:p w14:paraId="1A8F3DC0" w14:textId="77777777" w:rsidR="00D405E4" w:rsidRPr="00AF469D" w:rsidRDefault="00D405E4" w:rsidP="002F53FC">
            <w:pPr>
              <w:pStyle w:val="TableBody"/>
            </w:pPr>
            <w:r w:rsidRPr="00AF469D">
              <w:t>2</w:t>
            </w:r>
          </w:p>
        </w:tc>
        <w:tc>
          <w:tcPr>
            <w:tcW w:w="1000" w:type="pct"/>
            <w:noWrap/>
            <w:hideMark/>
          </w:tcPr>
          <w:p w14:paraId="3DADC77A" w14:textId="77777777" w:rsidR="00D405E4" w:rsidRPr="00AF469D" w:rsidRDefault="00D405E4" w:rsidP="002F53FC">
            <w:pPr>
              <w:pStyle w:val="TableBody"/>
            </w:pPr>
            <w:r w:rsidRPr="00AF469D">
              <w:t>0.1%</w:t>
            </w:r>
          </w:p>
        </w:tc>
        <w:tc>
          <w:tcPr>
            <w:tcW w:w="1000" w:type="pct"/>
            <w:noWrap/>
            <w:hideMark/>
          </w:tcPr>
          <w:p w14:paraId="4ECA697D" w14:textId="77777777" w:rsidR="00D405E4" w:rsidRPr="00AF469D" w:rsidRDefault="00D405E4" w:rsidP="002F53FC">
            <w:pPr>
              <w:pStyle w:val="TableBody"/>
            </w:pPr>
            <w:r w:rsidRPr="00AF469D">
              <w:t>14</w:t>
            </w:r>
          </w:p>
        </w:tc>
        <w:tc>
          <w:tcPr>
            <w:tcW w:w="999" w:type="pct"/>
            <w:noWrap/>
            <w:hideMark/>
          </w:tcPr>
          <w:p w14:paraId="4878426C" w14:textId="77777777" w:rsidR="00D405E4" w:rsidRPr="00AF469D" w:rsidRDefault="00D405E4" w:rsidP="002F53FC">
            <w:pPr>
              <w:pStyle w:val="TableBody"/>
            </w:pPr>
            <w:r w:rsidRPr="00AF469D">
              <w:t>0%</w:t>
            </w:r>
          </w:p>
        </w:tc>
      </w:tr>
      <w:tr w:rsidR="00D405E4" w:rsidRPr="00AF469D" w14:paraId="381D44BB" w14:textId="77777777" w:rsidTr="008D0BFD">
        <w:trPr>
          <w:trHeight w:val="290"/>
        </w:trPr>
        <w:tc>
          <w:tcPr>
            <w:tcW w:w="1001" w:type="pct"/>
            <w:noWrap/>
            <w:hideMark/>
          </w:tcPr>
          <w:p w14:paraId="3259B317" w14:textId="77777777" w:rsidR="00D405E4" w:rsidRPr="00AF469D" w:rsidRDefault="00D405E4" w:rsidP="002F53FC">
            <w:pPr>
              <w:pStyle w:val="TableBody"/>
            </w:pPr>
            <w:r w:rsidRPr="00AF469D">
              <w:t>66</w:t>
            </w:r>
          </w:p>
        </w:tc>
        <w:tc>
          <w:tcPr>
            <w:tcW w:w="1000" w:type="pct"/>
            <w:noWrap/>
            <w:hideMark/>
          </w:tcPr>
          <w:p w14:paraId="3638518C" w14:textId="77777777" w:rsidR="00D405E4" w:rsidRPr="00AF469D" w:rsidRDefault="00D405E4" w:rsidP="002F53FC">
            <w:pPr>
              <w:pStyle w:val="TableBody"/>
            </w:pPr>
            <w:r w:rsidRPr="00AF469D">
              <w:t>0</w:t>
            </w:r>
          </w:p>
        </w:tc>
        <w:tc>
          <w:tcPr>
            <w:tcW w:w="1000" w:type="pct"/>
            <w:noWrap/>
            <w:hideMark/>
          </w:tcPr>
          <w:p w14:paraId="0FBAAF8A" w14:textId="77777777" w:rsidR="00D405E4" w:rsidRPr="00AF469D" w:rsidRDefault="00D405E4" w:rsidP="002F53FC">
            <w:pPr>
              <w:pStyle w:val="TableBody"/>
            </w:pPr>
            <w:r w:rsidRPr="00AF469D">
              <w:t>0.0%</w:t>
            </w:r>
          </w:p>
        </w:tc>
        <w:tc>
          <w:tcPr>
            <w:tcW w:w="1000" w:type="pct"/>
            <w:noWrap/>
            <w:hideMark/>
          </w:tcPr>
          <w:p w14:paraId="07ED071F" w14:textId="77777777" w:rsidR="00D405E4" w:rsidRPr="00AF469D" w:rsidRDefault="00D405E4" w:rsidP="002F53FC">
            <w:pPr>
              <w:pStyle w:val="TableBody"/>
            </w:pPr>
            <w:r w:rsidRPr="00AF469D">
              <w:t>14</w:t>
            </w:r>
          </w:p>
        </w:tc>
        <w:tc>
          <w:tcPr>
            <w:tcW w:w="999" w:type="pct"/>
            <w:noWrap/>
            <w:hideMark/>
          </w:tcPr>
          <w:p w14:paraId="71CBF259" w14:textId="77777777" w:rsidR="00D405E4" w:rsidRPr="00AF469D" w:rsidRDefault="00D405E4" w:rsidP="002F53FC">
            <w:pPr>
              <w:pStyle w:val="TableBody"/>
            </w:pPr>
            <w:r w:rsidRPr="00AF469D">
              <w:t>0%</w:t>
            </w:r>
          </w:p>
        </w:tc>
      </w:tr>
      <w:tr w:rsidR="00D405E4" w:rsidRPr="00AF469D" w14:paraId="1387BB8F" w14:textId="77777777" w:rsidTr="008D0BFD">
        <w:trPr>
          <w:trHeight w:val="290"/>
        </w:trPr>
        <w:tc>
          <w:tcPr>
            <w:tcW w:w="1001" w:type="pct"/>
            <w:noWrap/>
            <w:hideMark/>
          </w:tcPr>
          <w:p w14:paraId="55E29246" w14:textId="77777777" w:rsidR="00D405E4" w:rsidRPr="00AF469D" w:rsidRDefault="00D405E4" w:rsidP="002F53FC">
            <w:pPr>
              <w:pStyle w:val="TableBody"/>
            </w:pPr>
            <w:r w:rsidRPr="00AF469D">
              <w:t>67</w:t>
            </w:r>
          </w:p>
        </w:tc>
        <w:tc>
          <w:tcPr>
            <w:tcW w:w="1000" w:type="pct"/>
            <w:noWrap/>
            <w:hideMark/>
          </w:tcPr>
          <w:p w14:paraId="7012672F" w14:textId="77777777" w:rsidR="00D405E4" w:rsidRPr="00AF469D" w:rsidRDefault="00D405E4" w:rsidP="002F53FC">
            <w:pPr>
              <w:pStyle w:val="TableBody"/>
            </w:pPr>
            <w:r w:rsidRPr="00AF469D">
              <w:t>2</w:t>
            </w:r>
          </w:p>
        </w:tc>
        <w:tc>
          <w:tcPr>
            <w:tcW w:w="1000" w:type="pct"/>
            <w:noWrap/>
            <w:hideMark/>
          </w:tcPr>
          <w:p w14:paraId="59488A7C" w14:textId="77777777" w:rsidR="00D405E4" w:rsidRPr="00AF469D" w:rsidRDefault="00D405E4" w:rsidP="002F53FC">
            <w:pPr>
              <w:pStyle w:val="TableBody"/>
            </w:pPr>
            <w:r w:rsidRPr="00AF469D">
              <w:t>0.1%</w:t>
            </w:r>
          </w:p>
        </w:tc>
        <w:tc>
          <w:tcPr>
            <w:tcW w:w="1000" w:type="pct"/>
            <w:noWrap/>
            <w:hideMark/>
          </w:tcPr>
          <w:p w14:paraId="4EF5A9D6" w14:textId="77777777" w:rsidR="00D405E4" w:rsidRPr="00AF469D" w:rsidRDefault="00D405E4" w:rsidP="002F53FC">
            <w:pPr>
              <w:pStyle w:val="TableBody"/>
            </w:pPr>
            <w:r w:rsidRPr="00AF469D">
              <w:t>16</w:t>
            </w:r>
          </w:p>
        </w:tc>
        <w:tc>
          <w:tcPr>
            <w:tcW w:w="999" w:type="pct"/>
            <w:noWrap/>
            <w:hideMark/>
          </w:tcPr>
          <w:p w14:paraId="1A8FA3B3" w14:textId="77777777" w:rsidR="00D405E4" w:rsidRPr="00AF469D" w:rsidRDefault="00D405E4" w:rsidP="002F53FC">
            <w:pPr>
              <w:pStyle w:val="TableBody"/>
            </w:pPr>
            <w:r w:rsidRPr="00AF469D">
              <w:t>0%</w:t>
            </w:r>
          </w:p>
        </w:tc>
      </w:tr>
      <w:tr w:rsidR="00D405E4" w:rsidRPr="00AF469D" w14:paraId="45B773CF" w14:textId="77777777" w:rsidTr="008D0BFD">
        <w:trPr>
          <w:trHeight w:val="290"/>
        </w:trPr>
        <w:tc>
          <w:tcPr>
            <w:tcW w:w="1001" w:type="pct"/>
            <w:noWrap/>
            <w:hideMark/>
          </w:tcPr>
          <w:p w14:paraId="593312E5" w14:textId="77777777" w:rsidR="00D405E4" w:rsidRPr="00AF469D" w:rsidRDefault="00D405E4" w:rsidP="002F53FC">
            <w:pPr>
              <w:pStyle w:val="TableBody"/>
            </w:pPr>
            <w:r w:rsidRPr="00AF469D">
              <w:t>68</w:t>
            </w:r>
          </w:p>
        </w:tc>
        <w:tc>
          <w:tcPr>
            <w:tcW w:w="1000" w:type="pct"/>
            <w:noWrap/>
            <w:hideMark/>
          </w:tcPr>
          <w:p w14:paraId="1768D301" w14:textId="77777777" w:rsidR="00D405E4" w:rsidRPr="00AF469D" w:rsidRDefault="00D405E4" w:rsidP="002F53FC">
            <w:pPr>
              <w:pStyle w:val="TableBody"/>
            </w:pPr>
            <w:r w:rsidRPr="00AF469D">
              <w:t>0</w:t>
            </w:r>
          </w:p>
        </w:tc>
        <w:tc>
          <w:tcPr>
            <w:tcW w:w="1000" w:type="pct"/>
            <w:noWrap/>
            <w:hideMark/>
          </w:tcPr>
          <w:p w14:paraId="0BAF0C6D" w14:textId="77777777" w:rsidR="00D405E4" w:rsidRPr="00AF469D" w:rsidRDefault="00D405E4" w:rsidP="002F53FC">
            <w:pPr>
              <w:pStyle w:val="TableBody"/>
            </w:pPr>
            <w:r w:rsidRPr="00AF469D">
              <w:t>0.0%</w:t>
            </w:r>
          </w:p>
        </w:tc>
        <w:tc>
          <w:tcPr>
            <w:tcW w:w="1000" w:type="pct"/>
            <w:noWrap/>
            <w:hideMark/>
          </w:tcPr>
          <w:p w14:paraId="557C55DD" w14:textId="77777777" w:rsidR="00D405E4" w:rsidRPr="00AF469D" w:rsidRDefault="00D405E4" w:rsidP="002F53FC">
            <w:pPr>
              <w:pStyle w:val="TableBody"/>
            </w:pPr>
            <w:r w:rsidRPr="00AF469D">
              <w:t>13</w:t>
            </w:r>
          </w:p>
        </w:tc>
        <w:tc>
          <w:tcPr>
            <w:tcW w:w="999" w:type="pct"/>
            <w:noWrap/>
            <w:hideMark/>
          </w:tcPr>
          <w:p w14:paraId="2175F7FD" w14:textId="77777777" w:rsidR="00D405E4" w:rsidRPr="00AF469D" w:rsidRDefault="00D405E4" w:rsidP="002F53FC">
            <w:pPr>
              <w:pStyle w:val="TableBody"/>
            </w:pPr>
            <w:r w:rsidRPr="00AF469D">
              <w:t>0%</w:t>
            </w:r>
          </w:p>
        </w:tc>
      </w:tr>
      <w:tr w:rsidR="00D405E4" w:rsidRPr="00AF469D" w14:paraId="126A1B6F" w14:textId="77777777" w:rsidTr="008D0BFD">
        <w:trPr>
          <w:trHeight w:val="290"/>
        </w:trPr>
        <w:tc>
          <w:tcPr>
            <w:tcW w:w="1001" w:type="pct"/>
            <w:noWrap/>
            <w:hideMark/>
          </w:tcPr>
          <w:p w14:paraId="29E2B04E" w14:textId="77777777" w:rsidR="00D405E4" w:rsidRPr="00AF469D" w:rsidRDefault="00D405E4" w:rsidP="002F53FC">
            <w:pPr>
              <w:pStyle w:val="TableBody"/>
            </w:pPr>
            <w:r w:rsidRPr="00AF469D">
              <w:t>69</w:t>
            </w:r>
          </w:p>
        </w:tc>
        <w:tc>
          <w:tcPr>
            <w:tcW w:w="1000" w:type="pct"/>
            <w:noWrap/>
            <w:hideMark/>
          </w:tcPr>
          <w:p w14:paraId="78926D95" w14:textId="77777777" w:rsidR="00D405E4" w:rsidRPr="00AF469D" w:rsidRDefault="00D405E4" w:rsidP="002F53FC">
            <w:pPr>
              <w:pStyle w:val="TableBody"/>
            </w:pPr>
            <w:r w:rsidRPr="00AF469D">
              <w:t>1</w:t>
            </w:r>
          </w:p>
        </w:tc>
        <w:tc>
          <w:tcPr>
            <w:tcW w:w="1000" w:type="pct"/>
            <w:noWrap/>
            <w:hideMark/>
          </w:tcPr>
          <w:p w14:paraId="4F6735B9" w14:textId="77777777" w:rsidR="00D405E4" w:rsidRPr="00AF469D" w:rsidRDefault="00D405E4" w:rsidP="002F53FC">
            <w:pPr>
              <w:pStyle w:val="TableBody"/>
            </w:pPr>
            <w:r w:rsidRPr="00AF469D">
              <w:t>0.1%</w:t>
            </w:r>
          </w:p>
        </w:tc>
        <w:tc>
          <w:tcPr>
            <w:tcW w:w="1000" w:type="pct"/>
            <w:noWrap/>
            <w:hideMark/>
          </w:tcPr>
          <w:p w14:paraId="4584E428" w14:textId="77777777" w:rsidR="00D405E4" w:rsidRPr="00AF469D" w:rsidRDefault="00D405E4" w:rsidP="002F53FC">
            <w:pPr>
              <w:pStyle w:val="TableBody"/>
            </w:pPr>
            <w:r w:rsidRPr="00AF469D">
              <w:t>10</w:t>
            </w:r>
          </w:p>
        </w:tc>
        <w:tc>
          <w:tcPr>
            <w:tcW w:w="999" w:type="pct"/>
            <w:noWrap/>
            <w:hideMark/>
          </w:tcPr>
          <w:p w14:paraId="09C2D4CB" w14:textId="77777777" w:rsidR="00D405E4" w:rsidRPr="00AF469D" w:rsidRDefault="00D405E4" w:rsidP="002F53FC">
            <w:pPr>
              <w:pStyle w:val="TableBody"/>
            </w:pPr>
            <w:r w:rsidRPr="00AF469D">
              <w:t>0%</w:t>
            </w:r>
          </w:p>
        </w:tc>
      </w:tr>
      <w:tr w:rsidR="00D405E4" w:rsidRPr="00AF469D" w14:paraId="53E2F893" w14:textId="77777777" w:rsidTr="008D0BFD">
        <w:trPr>
          <w:trHeight w:val="290"/>
        </w:trPr>
        <w:tc>
          <w:tcPr>
            <w:tcW w:w="1001" w:type="pct"/>
            <w:noWrap/>
            <w:hideMark/>
          </w:tcPr>
          <w:p w14:paraId="0BAB20D5" w14:textId="77777777" w:rsidR="00D405E4" w:rsidRPr="00AF469D" w:rsidRDefault="00D405E4" w:rsidP="002F53FC">
            <w:pPr>
              <w:pStyle w:val="TableBody"/>
            </w:pPr>
            <w:r w:rsidRPr="00AF469D">
              <w:t>70</w:t>
            </w:r>
          </w:p>
        </w:tc>
        <w:tc>
          <w:tcPr>
            <w:tcW w:w="1000" w:type="pct"/>
            <w:noWrap/>
            <w:hideMark/>
          </w:tcPr>
          <w:p w14:paraId="3F174500" w14:textId="77777777" w:rsidR="00D405E4" w:rsidRPr="00AF469D" w:rsidRDefault="00D405E4" w:rsidP="002F53FC">
            <w:pPr>
              <w:pStyle w:val="TableBody"/>
            </w:pPr>
            <w:r w:rsidRPr="00AF469D">
              <w:t>2</w:t>
            </w:r>
          </w:p>
        </w:tc>
        <w:tc>
          <w:tcPr>
            <w:tcW w:w="1000" w:type="pct"/>
            <w:noWrap/>
            <w:hideMark/>
          </w:tcPr>
          <w:p w14:paraId="076F80DC" w14:textId="77777777" w:rsidR="00D405E4" w:rsidRPr="00AF469D" w:rsidRDefault="00D405E4" w:rsidP="002F53FC">
            <w:pPr>
              <w:pStyle w:val="TableBody"/>
            </w:pPr>
            <w:r w:rsidRPr="00AF469D">
              <w:t>0.1%</w:t>
            </w:r>
          </w:p>
        </w:tc>
        <w:tc>
          <w:tcPr>
            <w:tcW w:w="1000" w:type="pct"/>
            <w:noWrap/>
            <w:hideMark/>
          </w:tcPr>
          <w:p w14:paraId="5BAF3E94" w14:textId="77777777" w:rsidR="00D405E4" w:rsidRPr="00AF469D" w:rsidRDefault="00D405E4" w:rsidP="002F53FC">
            <w:pPr>
              <w:pStyle w:val="TableBody"/>
            </w:pPr>
            <w:r w:rsidRPr="00AF469D">
              <w:t>11</w:t>
            </w:r>
          </w:p>
        </w:tc>
        <w:tc>
          <w:tcPr>
            <w:tcW w:w="999" w:type="pct"/>
            <w:noWrap/>
            <w:hideMark/>
          </w:tcPr>
          <w:p w14:paraId="4AEBD1F8" w14:textId="77777777" w:rsidR="00D405E4" w:rsidRPr="00AF469D" w:rsidRDefault="00D405E4" w:rsidP="002F53FC">
            <w:pPr>
              <w:pStyle w:val="TableBody"/>
            </w:pPr>
            <w:r w:rsidRPr="00AF469D">
              <w:t>0%</w:t>
            </w:r>
          </w:p>
        </w:tc>
      </w:tr>
      <w:tr w:rsidR="00D405E4" w:rsidRPr="00AF469D" w14:paraId="142B620F" w14:textId="77777777" w:rsidTr="008D0BFD">
        <w:trPr>
          <w:trHeight w:val="290"/>
        </w:trPr>
        <w:tc>
          <w:tcPr>
            <w:tcW w:w="1001" w:type="pct"/>
            <w:noWrap/>
            <w:hideMark/>
          </w:tcPr>
          <w:p w14:paraId="4567054E" w14:textId="77777777" w:rsidR="00D405E4" w:rsidRPr="00AF469D" w:rsidRDefault="00D405E4" w:rsidP="002F53FC">
            <w:pPr>
              <w:pStyle w:val="TableBody"/>
            </w:pPr>
            <w:r w:rsidRPr="00AF469D">
              <w:t>71</w:t>
            </w:r>
          </w:p>
        </w:tc>
        <w:tc>
          <w:tcPr>
            <w:tcW w:w="1000" w:type="pct"/>
            <w:noWrap/>
            <w:hideMark/>
          </w:tcPr>
          <w:p w14:paraId="1C435C60" w14:textId="77777777" w:rsidR="00D405E4" w:rsidRPr="00AF469D" w:rsidRDefault="00D405E4" w:rsidP="002F53FC">
            <w:pPr>
              <w:pStyle w:val="TableBody"/>
            </w:pPr>
            <w:r w:rsidRPr="00AF469D">
              <w:t>0</w:t>
            </w:r>
          </w:p>
        </w:tc>
        <w:tc>
          <w:tcPr>
            <w:tcW w:w="1000" w:type="pct"/>
            <w:noWrap/>
            <w:hideMark/>
          </w:tcPr>
          <w:p w14:paraId="0D00FA76" w14:textId="77777777" w:rsidR="00D405E4" w:rsidRPr="00AF469D" w:rsidRDefault="00D405E4" w:rsidP="002F53FC">
            <w:pPr>
              <w:pStyle w:val="TableBody"/>
            </w:pPr>
            <w:r w:rsidRPr="00AF469D">
              <w:t>0.0%</w:t>
            </w:r>
          </w:p>
        </w:tc>
        <w:tc>
          <w:tcPr>
            <w:tcW w:w="1000" w:type="pct"/>
            <w:noWrap/>
            <w:hideMark/>
          </w:tcPr>
          <w:p w14:paraId="79952EB8" w14:textId="77777777" w:rsidR="00D405E4" w:rsidRPr="00AF469D" w:rsidRDefault="00D405E4" w:rsidP="002F53FC">
            <w:pPr>
              <w:pStyle w:val="TableBody"/>
            </w:pPr>
            <w:r w:rsidRPr="00AF469D">
              <w:t>6</w:t>
            </w:r>
          </w:p>
        </w:tc>
        <w:tc>
          <w:tcPr>
            <w:tcW w:w="999" w:type="pct"/>
            <w:noWrap/>
            <w:hideMark/>
          </w:tcPr>
          <w:p w14:paraId="6AA6983E" w14:textId="77777777" w:rsidR="00D405E4" w:rsidRPr="00AF469D" w:rsidRDefault="00D405E4" w:rsidP="002F53FC">
            <w:pPr>
              <w:pStyle w:val="TableBody"/>
            </w:pPr>
            <w:r w:rsidRPr="00AF469D">
              <w:t>0%</w:t>
            </w:r>
          </w:p>
        </w:tc>
      </w:tr>
      <w:tr w:rsidR="00D405E4" w:rsidRPr="00AF469D" w14:paraId="2AB45F55" w14:textId="77777777" w:rsidTr="008D0BFD">
        <w:trPr>
          <w:trHeight w:val="290"/>
        </w:trPr>
        <w:tc>
          <w:tcPr>
            <w:tcW w:w="1001" w:type="pct"/>
            <w:noWrap/>
            <w:hideMark/>
          </w:tcPr>
          <w:p w14:paraId="5F5DA3A0" w14:textId="77777777" w:rsidR="00D405E4" w:rsidRPr="00AF469D" w:rsidRDefault="00D405E4" w:rsidP="002F53FC">
            <w:pPr>
              <w:pStyle w:val="TableBody"/>
            </w:pPr>
            <w:r w:rsidRPr="00AF469D">
              <w:t>72</w:t>
            </w:r>
          </w:p>
        </w:tc>
        <w:tc>
          <w:tcPr>
            <w:tcW w:w="1000" w:type="pct"/>
            <w:noWrap/>
            <w:hideMark/>
          </w:tcPr>
          <w:p w14:paraId="265B2A96" w14:textId="77777777" w:rsidR="00D405E4" w:rsidRPr="00AF469D" w:rsidRDefault="00D405E4" w:rsidP="002F53FC">
            <w:pPr>
              <w:pStyle w:val="TableBody"/>
            </w:pPr>
            <w:r w:rsidRPr="00AF469D">
              <w:t>0</w:t>
            </w:r>
          </w:p>
        </w:tc>
        <w:tc>
          <w:tcPr>
            <w:tcW w:w="1000" w:type="pct"/>
            <w:noWrap/>
            <w:hideMark/>
          </w:tcPr>
          <w:p w14:paraId="73C411AA" w14:textId="77777777" w:rsidR="00D405E4" w:rsidRPr="00AF469D" w:rsidRDefault="00D405E4" w:rsidP="002F53FC">
            <w:pPr>
              <w:pStyle w:val="TableBody"/>
            </w:pPr>
            <w:r w:rsidRPr="00AF469D">
              <w:t>0.0%</w:t>
            </w:r>
          </w:p>
        </w:tc>
        <w:tc>
          <w:tcPr>
            <w:tcW w:w="1000" w:type="pct"/>
            <w:noWrap/>
            <w:hideMark/>
          </w:tcPr>
          <w:p w14:paraId="43E69FFE" w14:textId="77777777" w:rsidR="00D405E4" w:rsidRPr="00AF469D" w:rsidRDefault="00D405E4" w:rsidP="002F53FC">
            <w:pPr>
              <w:pStyle w:val="TableBody"/>
            </w:pPr>
            <w:r w:rsidRPr="00AF469D">
              <w:t>7</w:t>
            </w:r>
          </w:p>
        </w:tc>
        <w:tc>
          <w:tcPr>
            <w:tcW w:w="999" w:type="pct"/>
            <w:noWrap/>
            <w:hideMark/>
          </w:tcPr>
          <w:p w14:paraId="3F2C89EF" w14:textId="77777777" w:rsidR="00D405E4" w:rsidRPr="00AF469D" w:rsidRDefault="00D405E4" w:rsidP="002F53FC">
            <w:pPr>
              <w:pStyle w:val="TableBody"/>
            </w:pPr>
            <w:r w:rsidRPr="00AF469D">
              <w:t>0%</w:t>
            </w:r>
          </w:p>
        </w:tc>
      </w:tr>
      <w:tr w:rsidR="00D405E4" w:rsidRPr="00AF469D" w14:paraId="0D1917A6" w14:textId="77777777" w:rsidTr="008D0BFD">
        <w:trPr>
          <w:trHeight w:val="290"/>
        </w:trPr>
        <w:tc>
          <w:tcPr>
            <w:tcW w:w="1001" w:type="pct"/>
            <w:noWrap/>
            <w:hideMark/>
          </w:tcPr>
          <w:p w14:paraId="64BA0616" w14:textId="77777777" w:rsidR="00D405E4" w:rsidRPr="00AF469D" w:rsidRDefault="00D405E4" w:rsidP="002F53FC">
            <w:pPr>
              <w:pStyle w:val="TableBody"/>
            </w:pPr>
            <w:r w:rsidRPr="00AF469D">
              <w:t>73</w:t>
            </w:r>
          </w:p>
        </w:tc>
        <w:tc>
          <w:tcPr>
            <w:tcW w:w="1000" w:type="pct"/>
            <w:noWrap/>
            <w:hideMark/>
          </w:tcPr>
          <w:p w14:paraId="4F885B66" w14:textId="77777777" w:rsidR="00D405E4" w:rsidRPr="00AF469D" w:rsidRDefault="00D405E4" w:rsidP="002F53FC">
            <w:pPr>
              <w:pStyle w:val="TableBody"/>
            </w:pPr>
            <w:r w:rsidRPr="00AF469D">
              <w:t>1</w:t>
            </w:r>
          </w:p>
        </w:tc>
        <w:tc>
          <w:tcPr>
            <w:tcW w:w="1000" w:type="pct"/>
            <w:noWrap/>
            <w:hideMark/>
          </w:tcPr>
          <w:p w14:paraId="24756712" w14:textId="77777777" w:rsidR="00D405E4" w:rsidRPr="00AF469D" w:rsidRDefault="00D405E4" w:rsidP="002F53FC">
            <w:pPr>
              <w:pStyle w:val="TableBody"/>
            </w:pPr>
            <w:r w:rsidRPr="00AF469D">
              <w:t>0.1%</w:t>
            </w:r>
          </w:p>
        </w:tc>
        <w:tc>
          <w:tcPr>
            <w:tcW w:w="1000" w:type="pct"/>
            <w:noWrap/>
            <w:hideMark/>
          </w:tcPr>
          <w:p w14:paraId="46FFEB3D" w14:textId="77777777" w:rsidR="00D405E4" w:rsidRPr="00AF469D" w:rsidRDefault="00D405E4" w:rsidP="002F53FC">
            <w:pPr>
              <w:pStyle w:val="TableBody"/>
            </w:pPr>
            <w:r w:rsidRPr="00AF469D">
              <w:t>10</w:t>
            </w:r>
          </w:p>
        </w:tc>
        <w:tc>
          <w:tcPr>
            <w:tcW w:w="999" w:type="pct"/>
            <w:noWrap/>
            <w:hideMark/>
          </w:tcPr>
          <w:p w14:paraId="3C4062BF" w14:textId="77777777" w:rsidR="00D405E4" w:rsidRPr="00AF469D" w:rsidRDefault="00D405E4" w:rsidP="002F53FC">
            <w:pPr>
              <w:pStyle w:val="TableBody"/>
            </w:pPr>
            <w:r w:rsidRPr="00AF469D">
              <w:t>0%</w:t>
            </w:r>
          </w:p>
        </w:tc>
      </w:tr>
      <w:tr w:rsidR="00D405E4" w:rsidRPr="00AF469D" w14:paraId="640CBE68" w14:textId="77777777" w:rsidTr="008D0BFD">
        <w:trPr>
          <w:trHeight w:val="290"/>
        </w:trPr>
        <w:tc>
          <w:tcPr>
            <w:tcW w:w="1001" w:type="pct"/>
            <w:noWrap/>
            <w:hideMark/>
          </w:tcPr>
          <w:p w14:paraId="16AD021D" w14:textId="77777777" w:rsidR="00D405E4" w:rsidRPr="00AF469D" w:rsidRDefault="00D405E4" w:rsidP="002F53FC">
            <w:pPr>
              <w:pStyle w:val="TableBody"/>
            </w:pPr>
            <w:r w:rsidRPr="00AF469D">
              <w:t>74</w:t>
            </w:r>
          </w:p>
        </w:tc>
        <w:tc>
          <w:tcPr>
            <w:tcW w:w="1000" w:type="pct"/>
            <w:noWrap/>
            <w:hideMark/>
          </w:tcPr>
          <w:p w14:paraId="0636DEF7" w14:textId="77777777" w:rsidR="00D405E4" w:rsidRPr="00AF469D" w:rsidRDefault="00D405E4" w:rsidP="002F53FC">
            <w:pPr>
              <w:pStyle w:val="TableBody"/>
            </w:pPr>
            <w:r w:rsidRPr="00AF469D">
              <w:t>0</w:t>
            </w:r>
          </w:p>
        </w:tc>
        <w:tc>
          <w:tcPr>
            <w:tcW w:w="1000" w:type="pct"/>
            <w:noWrap/>
            <w:hideMark/>
          </w:tcPr>
          <w:p w14:paraId="63DAF9D1" w14:textId="77777777" w:rsidR="00D405E4" w:rsidRPr="00AF469D" w:rsidRDefault="00D405E4" w:rsidP="002F53FC">
            <w:pPr>
              <w:pStyle w:val="TableBody"/>
            </w:pPr>
            <w:r w:rsidRPr="00AF469D">
              <w:t>0.0%</w:t>
            </w:r>
          </w:p>
        </w:tc>
        <w:tc>
          <w:tcPr>
            <w:tcW w:w="1000" w:type="pct"/>
            <w:noWrap/>
            <w:hideMark/>
          </w:tcPr>
          <w:p w14:paraId="62AEC52E" w14:textId="77777777" w:rsidR="00D405E4" w:rsidRPr="00AF469D" w:rsidRDefault="00D405E4" w:rsidP="002F53FC">
            <w:pPr>
              <w:pStyle w:val="TableBody"/>
            </w:pPr>
            <w:r w:rsidRPr="00AF469D">
              <w:t>8</w:t>
            </w:r>
          </w:p>
        </w:tc>
        <w:tc>
          <w:tcPr>
            <w:tcW w:w="999" w:type="pct"/>
            <w:noWrap/>
            <w:hideMark/>
          </w:tcPr>
          <w:p w14:paraId="60FCF9EC" w14:textId="77777777" w:rsidR="00D405E4" w:rsidRPr="00AF469D" w:rsidRDefault="00D405E4" w:rsidP="002F53FC">
            <w:pPr>
              <w:pStyle w:val="TableBody"/>
            </w:pPr>
            <w:r w:rsidRPr="00AF469D">
              <w:t>0%</w:t>
            </w:r>
          </w:p>
        </w:tc>
      </w:tr>
      <w:tr w:rsidR="00D405E4" w:rsidRPr="00AF469D" w14:paraId="7E17F8E7" w14:textId="77777777" w:rsidTr="008D0BFD">
        <w:trPr>
          <w:trHeight w:val="290"/>
        </w:trPr>
        <w:tc>
          <w:tcPr>
            <w:tcW w:w="1001" w:type="pct"/>
            <w:noWrap/>
            <w:hideMark/>
          </w:tcPr>
          <w:p w14:paraId="57F1764B" w14:textId="77777777" w:rsidR="00D405E4" w:rsidRPr="00AF469D" w:rsidRDefault="00D405E4" w:rsidP="002F53FC">
            <w:pPr>
              <w:pStyle w:val="TableBody"/>
            </w:pPr>
            <w:r w:rsidRPr="00AF469D">
              <w:t>75</w:t>
            </w:r>
          </w:p>
        </w:tc>
        <w:tc>
          <w:tcPr>
            <w:tcW w:w="1000" w:type="pct"/>
            <w:noWrap/>
            <w:hideMark/>
          </w:tcPr>
          <w:p w14:paraId="65540545" w14:textId="77777777" w:rsidR="00D405E4" w:rsidRPr="00AF469D" w:rsidRDefault="00D405E4" w:rsidP="002F53FC">
            <w:pPr>
              <w:pStyle w:val="TableBody"/>
            </w:pPr>
            <w:r w:rsidRPr="00AF469D">
              <w:t>1</w:t>
            </w:r>
          </w:p>
        </w:tc>
        <w:tc>
          <w:tcPr>
            <w:tcW w:w="1000" w:type="pct"/>
            <w:noWrap/>
            <w:hideMark/>
          </w:tcPr>
          <w:p w14:paraId="35849188" w14:textId="77777777" w:rsidR="00D405E4" w:rsidRPr="00AF469D" w:rsidRDefault="00D405E4" w:rsidP="002F53FC">
            <w:pPr>
              <w:pStyle w:val="TableBody"/>
            </w:pPr>
            <w:r w:rsidRPr="00AF469D">
              <w:t>0.1%</w:t>
            </w:r>
          </w:p>
        </w:tc>
        <w:tc>
          <w:tcPr>
            <w:tcW w:w="1000" w:type="pct"/>
            <w:noWrap/>
            <w:hideMark/>
          </w:tcPr>
          <w:p w14:paraId="39CFE0D4" w14:textId="77777777" w:rsidR="00D405E4" w:rsidRPr="00AF469D" w:rsidRDefault="00D405E4" w:rsidP="002F53FC">
            <w:pPr>
              <w:pStyle w:val="TableBody"/>
            </w:pPr>
            <w:r w:rsidRPr="00AF469D">
              <w:t>5</w:t>
            </w:r>
          </w:p>
        </w:tc>
        <w:tc>
          <w:tcPr>
            <w:tcW w:w="999" w:type="pct"/>
            <w:noWrap/>
            <w:hideMark/>
          </w:tcPr>
          <w:p w14:paraId="154E762A" w14:textId="77777777" w:rsidR="00D405E4" w:rsidRPr="00AF469D" w:rsidRDefault="00D405E4" w:rsidP="002F53FC">
            <w:pPr>
              <w:pStyle w:val="TableBody"/>
            </w:pPr>
            <w:r w:rsidRPr="00AF469D">
              <w:t>0%</w:t>
            </w:r>
          </w:p>
        </w:tc>
      </w:tr>
      <w:tr w:rsidR="00D405E4" w:rsidRPr="00AF469D" w14:paraId="65A87DDB" w14:textId="77777777" w:rsidTr="008D0BFD">
        <w:trPr>
          <w:trHeight w:val="290"/>
        </w:trPr>
        <w:tc>
          <w:tcPr>
            <w:tcW w:w="1001" w:type="pct"/>
            <w:noWrap/>
            <w:hideMark/>
          </w:tcPr>
          <w:p w14:paraId="78B4B957" w14:textId="77777777" w:rsidR="00D405E4" w:rsidRPr="00AF469D" w:rsidRDefault="00D405E4" w:rsidP="002F53FC">
            <w:pPr>
              <w:pStyle w:val="TableBody"/>
            </w:pPr>
            <w:r w:rsidRPr="00AF469D">
              <w:t>76</w:t>
            </w:r>
          </w:p>
        </w:tc>
        <w:tc>
          <w:tcPr>
            <w:tcW w:w="1000" w:type="pct"/>
            <w:noWrap/>
            <w:hideMark/>
          </w:tcPr>
          <w:p w14:paraId="48372F86" w14:textId="77777777" w:rsidR="00D405E4" w:rsidRPr="00AF469D" w:rsidRDefault="00D405E4" w:rsidP="002F53FC">
            <w:pPr>
              <w:pStyle w:val="TableBody"/>
            </w:pPr>
            <w:r w:rsidRPr="00AF469D">
              <w:t>0</w:t>
            </w:r>
          </w:p>
        </w:tc>
        <w:tc>
          <w:tcPr>
            <w:tcW w:w="1000" w:type="pct"/>
            <w:noWrap/>
            <w:hideMark/>
          </w:tcPr>
          <w:p w14:paraId="59EB2E93" w14:textId="77777777" w:rsidR="00D405E4" w:rsidRPr="00AF469D" w:rsidRDefault="00D405E4" w:rsidP="002F53FC">
            <w:pPr>
              <w:pStyle w:val="TableBody"/>
            </w:pPr>
            <w:r w:rsidRPr="00AF469D">
              <w:t>0.0%</w:t>
            </w:r>
          </w:p>
        </w:tc>
        <w:tc>
          <w:tcPr>
            <w:tcW w:w="1000" w:type="pct"/>
            <w:noWrap/>
            <w:hideMark/>
          </w:tcPr>
          <w:p w14:paraId="2E66AE2C" w14:textId="77777777" w:rsidR="00D405E4" w:rsidRPr="00AF469D" w:rsidRDefault="00D405E4" w:rsidP="002F53FC">
            <w:pPr>
              <w:pStyle w:val="TableBody"/>
            </w:pPr>
            <w:r w:rsidRPr="00AF469D">
              <w:t>5</w:t>
            </w:r>
          </w:p>
        </w:tc>
        <w:tc>
          <w:tcPr>
            <w:tcW w:w="999" w:type="pct"/>
            <w:noWrap/>
            <w:hideMark/>
          </w:tcPr>
          <w:p w14:paraId="5F76A518" w14:textId="77777777" w:rsidR="00D405E4" w:rsidRPr="00AF469D" w:rsidRDefault="00D405E4" w:rsidP="002F53FC">
            <w:pPr>
              <w:pStyle w:val="TableBody"/>
            </w:pPr>
            <w:r w:rsidRPr="00AF469D">
              <w:t>0%</w:t>
            </w:r>
          </w:p>
        </w:tc>
      </w:tr>
      <w:tr w:rsidR="00D405E4" w:rsidRPr="00AF469D" w14:paraId="46081C65" w14:textId="77777777" w:rsidTr="008D0BFD">
        <w:trPr>
          <w:trHeight w:val="290"/>
        </w:trPr>
        <w:tc>
          <w:tcPr>
            <w:tcW w:w="1001" w:type="pct"/>
            <w:noWrap/>
            <w:hideMark/>
          </w:tcPr>
          <w:p w14:paraId="0BF1293B" w14:textId="77777777" w:rsidR="00D405E4" w:rsidRPr="00AF469D" w:rsidRDefault="00D405E4" w:rsidP="002F53FC">
            <w:pPr>
              <w:pStyle w:val="TableBody"/>
            </w:pPr>
            <w:r w:rsidRPr="00AF469D">
              <w:t>77</w:t>
            </w:r>
          </w:p>
        </w:tc>
        <w:tc>
          <w:tcPr>
            <w:tcW w:w="1000" w:type="pct"/>
            <w:noWrap/>
            <w:hideMark/>
          </w:tcPr>
          <w:p w14:paraId="3DC77AC6" w14:textId="77777777" w:rsidR="00D405E4" w:rsidRPr="00AF469D" w:rsidRDefault="00D405E4" w:rsidP="002F53FC">
            <w:pPr>
              <w:pStyle w:val="TableBody"/>
            </w:pPr>
            <w:r w:rsidRPr="00AF469D">
              <w:t>0</w:t>
            </w:r>
          </w:p>
        </w:tc>
        <w:tc>
          <w:tcPr>
            <w:tcW w:w="1000" w:type="pct"/>
            <w:noWrap/>
            <w:hideMark/>
          </w:tcPr>
          <w:p w14:paraId="16C369F7" w14:textId="77777777" w:rsidR="00D405E4" w:rsidRPr="00AF469D" w:rsidRDefault="00D405E4" w:rsidP="002F53FC">
            <w:pPr>
              <w:pStyle w:val="TableBody"/>
            </w:pPr>
            <w:r w:rsidRPr="00AF469D">
              <w:t>0.0%</w:t>
            </w:r>
          </w:p>
        </w:tc>
        <w:tc>
          <w:tcPr>
            <w:tcW w:w="1000" w:type="pct"/>
            <w:noWrap/>
            <w:hideMark/>
          </w:tcPr>
          <w:p w14:paraId="61C4E08D" w14:textId="77777777" w:rsidR="00D405E4" w:rsidRPr="00AF469D" w:rsidRDefault="00D405E4" w:rsidP="002F53FC">
            <w:pPr>
              <w:pStyle w:val="TableBody"/>
            </w:pPr>
            <w:r w:rsidRPr="00AF469D">
              <w:t>2</w:t>
            </w:r>
          </w:p>
        </w:tc>
        <w:tc>
          <w:tcPr>
            <w:tcW w:w="999" w:type="pct"/>
            <w:noWrap/>
            <w:hideMark/>
          </w:tcPr>
          <w:p w14:paraId="40779125" w14:textId="77777777" w:rsidR="00D405E4" w:rsidRPr="00AF469D" w:rsidRDefault="00D405E4" w:rsidP="002F53FC">
            <w:pPr>
              <w:pStyle w:val="TableBody"/>
            </w:pPr>
            <w:r w:rsidRPr="00AF469D">
              <w:t>0%</w:t>
            </w:r>
          </w:p>
        </w:tc>
      </w:tr>
      <w:tr w:rsidR="00D405E4" w:rsidRPr="00AF469D" w14:paraId="3B3120C9" w14:textId="77777777" w:rsidTr="008D0BFD">
        <w:trPr>
          <w:trHeight w:val="290"/>
        </w:trPr>
        <w:tc>
          <w:tcPr>
            <w:tcW w:w="1001" w:type="pct"/>
            <w:noWrap/>
            <w:hideMark/>
          </w:tcPr>
          <w:p w14:paraId="4036345F" w14:textId="77777777" w:rsidR="00D405E4" w:rsidRPr="00AF469D" w:rsidRDefault="00D405E4" w:rsidP="002F53FC">
            <w:pPr>
              <w:pStyle w:val="TableBody"/>
            </w:pPr>
            <w:r w:rsidRPr="00AF469D">
              <w:t>78</w:t>
            </w:r>
          </w:p>
        </w:tc>
        <w:tc>
          <w:tcPr>
            <w:tcW w:w="1000" w:type="pct"/>
            <w:noWrap/>
            <w:hideMark/>
          </w:tcPr>
          <w:p w14:paraId="7A83E6A4" w14:textId="77777777" w:rsidR="00D405E4" w:rsidRPr="00AF469D" w:rsidRDefault="00D405E4" w:rsidP="002F53FC">
            <w:pPr>
              <w:pStyle w:val="TableBody"/>
            </w:pPr>
            <w:r w:rsidRPr="00AF469D">
              <w:t>0</w:t>
            </w:r>
          </w:p>
        </w:tc>
        <w:tc>
          <w:tcPr>
            <w:tcW w:w="1000" w:type="pct"/>
            <w:noWrap/>
            <w:hideMark/>
          </w:tcPr>
          <w:p w14:paraId="3817C65F" w14:textId="77777777" w:rsidR="00D405E4" w:rsidRPr="00AF469D" w:rsidRDefault="00D405E4" w:rsidP="002F53FC">
            <w:pPr>
              <w:pStyle w:val="TableBody"/>
            </w:pPr>
            <w:r w:rsidRPr="00AF469D">
              <w:t>0.0%</w:t>
            </w:r>
          </w:p>
        </w:tc>
        <w:tc>
          <w:tcPr>
            <w:tcW w:w="1000" w:type="pct"/>
            <w:noWrap/>
            <w:hideMark/>
          </w:tcPr>
          <w:p w14:paraId="0321E9E8" w14:textId="77777777" w:rsidR="00D405E4" w:rsidRPr="00AF469D" w:rsidRDefault="00D405E4" w:rsidP="002F53FC">
            <w:pPr>
              <w:pStyle w:val="TableBody"/>
            </w:pPr>
            <w:r w:rsidRPr="00AF469D">
              <w:t>1</w:t>
            </w:r>
          </w:p>
        </w:tc>
        <w:tc>
          <w:tcPr>
            <w:tcW w:w="999" w:type="pct"/>
            <w:noWrap/>
            <w:hideMark/>
          </w:tcPr>
          <w:p w14:paraId="5ACE6623" w14:textId="77777777" w:rsidR="00D405E4" w:rsidRPr="00AF469D" w:rsidRDefault="00D405E4" w:rsidP="002F53FC">
            <w:pPr>
              <w:pStyle w:val="TableBody"/>
            </w:pPr>
            <w:r w:rsidRPr="00AF469D">
              <w:t>0%</w:t>
            </w:r>
          </w:p>
        </w:tc>
      </w:tr>
      <w:tr w:rsidR="00D405E4" w:rsidRPr="00AF469D" w14:paraId="6C898CAA" w14:textId="77777777" w:rsidTr="008D0BFD">
        <w:trPr>
          <w:trHeight w:val="290"/>
        </w:trPr>
        <w:tc>
          <w:tcPr>
            <w:tcW w:w="1001" w:type="pct"/>
            <w:noWrap/>
            <w:hideMark/>
          </w:tcPr>
          <w:p w14:paraId="66C39137" w14:textId="77777777" w:rsidR="00D405E4" w:rsidRPr="00AF469D" w:rsidRDefault="00D405E4" w:rsidP="002F53FC">
            <w:pPr>
              <w:pStyle w:val="TableBody"/>
            </w:pPr>
            <w:r w:rsidRPr="00AF469D">
              <w:t>79</w:t>
            </w:r>
          </w:p>
        </w:tc>
        <w:tc>
          <w:tcPr>
            <w:tcW w:w="1000" w:type="pct"/>
            <w:noWrap/>
            <w:hideMark/>
          </w:tcPr>
          <w:p w14:paraId="77A6CEC8" w14:textId="77777777" w:rsidR="00D405E4" w:rsidRPr="00AF469D" w:rsidRDefault="00D405E4" w:rsidP="002F53FC">
            <w:pPr>
              <w:pStyle w:val="TableBody"/>
            </w:pPr>
            <w:r w:rsidRPr="00AF469D">
              <w:t>0</w:t>
            </w:r>
          </w:p>
        </w:tc>
        <w:tc>
          <w:tcPr>
            <w:tcW w:w="1000" w:type="pct"/>
            <w:noWrap/>
            <w:hideMark/>
          </w:tcPr>
          <w:p w14:paraId="2457234B" w14:textId="77777777" w:rsidR="00D405E4" w:rsidRPr="00AF469D" w:rsidRDefault="00D405E4" w:rsidP="002F53FC">
            <w:pPr>
              <w:pStyle w:val="TableBody"/>
            </w:pPr>
            <w:r w:rsidRPr="00AF469D">
              <w:t>0.0%</w:t>
            </w:r>
          </w:p>
        </w:tc>
        <w:tc>
          <w:tcPr>
            <w:tcW w:w="1000" w:type="pct"/>
            <w:noWrap/>
            <w:hideMark/>
          </w:tcPr>
          <w:p w14:paraId="3DF1AE8A" w14:textId="77777777" w:rsidR="00D405E4" w:rsidRPr="00AF469D" w:rsidRDefault="00D405E4" w:rsidP="002F53FC">
            <w:pPr>
              <w:pStyle w:val="TableBody"/>
            </w:pPr>
            <w:r w:rsidRPr="00AF469D">
              <w:t>3</w:t>
            </w:r>
          </w:p>
        </w:tc>
        <w:tc>
          <w:tcPr>
            <w:tcW w:w="999" w:type="pct"/>
            <w:noWrap/>
            <w:hideMark/>
          </w:tcPr>
          <w:p w14:paraId="5473762D" w14:textId="77777777" w:rsidR="00D405E4" w:rsidRPr="00AF469D" w:rsidRDefault="00D405E4" w:rsidP="002F53FC">
            <w:pPr>
              <w:pStyle w:val="TableBody"/>
            </w:pPr>
            <w:r w:rsidRPr="00AF469D">
              <w:t>0%</w:t>
            </w:r>
          </w:p>
        </w:tc>
      </w:tr>
      <w:tr w:rsidR="00D405E4" w:rsidRPr="00AF469D" w14:paraId="5E53A72D" w14:textId="77777777" w:rsidTr="008D0BFD">
        <w:trPr>
          <w:trHeight w:val="290"/>
        </w:trPr>
        <w:tc>
          <w:tcPr>
            <w:tcW w:w="1001" w:type="pct"/>
            <w:noWrap/>
            <w:hideMark/>
          </w:tcPr>
          <w:p w14:paraId="73E63A4F" w14:textId="77777777" w:rsidR="00D405E4" w:rsidRPr="00AF469D" w:rsidRDefault="00D405E4" w:rsidP="002F53FC">
            <w:pPr>
              <w:pStyle w:val="TableBody"/>
            </w:pPr>
            <w:r w:rsidRPr="00AF469D">
              <w:t>80</w:t>
            </w:r>
          </w:p>
        </w:tc>
        <w:tc>
          <w:tcPr>
            <w:tcW w:w="1000" w:type="pct"/>
            <w:noWrap/>
            <w:hideMark/>
          </w:tcPr>
          <w:p w14:paraId="6257DFE9" w14:textId="77777777" w:rsidR="00D405E4" w:rsidRPr="00AF469D" w:rsidRDefault="00D405E4" w:rsidP="002F53FC">
            <w:pPr>
              <w:pStyle w:val="TableBody"/>
            </w:pPr>
            <w:r w:rsidRPr="00AF469D">
              <w:t>0</w:t>
            </w:r>
          </w:p>
        </w:tc>
        <w:tc>
          <w:tcPr>
            <w:tcW w:w="1000" w:type="pct"/>
            <w:noWrap/>
            <w:hideMark/>
          </w:tcPr>
          <w:p w14:paraId="0A27323D" w14:textId="77777777" w:rsidR="00D405E4" w:rsidRPr="00AF469D" w:rsidRDefault="00D405E4" w:rsidP="002F53FC">
            <w:pPr>
              <w:pStyle w:val="TableBody"/>
            </w:pPr>
            <w:r w:rsidRPr="00AF469D">
              <w:t>0.0%</w:t>
            </w:r>
          </w:p>
        </w:tc>
        <w:tc>
          <w:tcPr>
            <w:tcW w:w="1000" w:type="pct"/>
            <w:noWrap/>
            <w:hideMark/>
          </w:tcPr>
          <w:p w14:paraId="1CBF11AC" w14:textId="77777777" w:rsidR="00D405E4" w:rsidRPr="00AF469D" w:rsidRDefault="00D405E4" w:rsidP="002F53FC">
            <w:pPr>
              <w:pStyle w:val="TableBody"/>
            </w:pPr>
            <w:r w:rsidRPr="00AF469D">
              <w:t>1</w:t>
            </w:r>
          </w:p>
        </w:tc>
        <w:tc>
          <w:tcPr>
            <w:tcW w:w="999" w:type="pct"/>
            <w:noWrap/>
            <w:hideMark/>
          </w:tcPr>
          <w:p w14:paraId="027BB176" w14:textId="77777777" w:rsidR="00D405E4" w:rsidRPr="00AF469D" w:rsidRDefault="00D405E4" w:rsidP="002F53FC">
            <w:pPr>
              <w:pStyle w:val="TableBody"/>
            </w:pPr>
            <w:r w:rsidRPr="00AF469D">
              <w:t>0%</w:t>
            </w:r>
          </w:p>
        </w:tc>
      </w:tr>
      <w:tr w:rsidR="00D405E4" w:rsidRPr="00AF469D" w14:paraId="348AE239" w14:textId="77777777" w:rsidTr="008D0BFD">
        <w:trPr>
          <w:trHeight w:val="290"/>
        </w:trPr>
        <w:tc>
          <w:tcPr>
            <w:tcW w:w="1001" w:type="pct"/>
            <w:noWrap/>
            <w:hideMark/>
          </w:tcPr>
          <w:p w14:paraId="4A4142BD" w14:textId="77777777" w:rsidR="00D405E4" w:rsidRPr="00AF469D" w:rsidRDefault="00D405E4" w:rsidP="002F53FC">
            <w:pPr>
              <w:pStyle w:val="TableBody"/>
            </w:pPr>
            <w:r w:rsidRPr="00AF469D">
              <w:t>81</w:t>
            </w:r>
          </w:p>
        </w:tc>
        <w:tc>
          <w:tcPr>
            <w:tcW w:w="1000" w:type="pct"/>
            <w:noWrap/>
            <w:hideMark/>
          </w:tcPr>
          <w:p w14:paraId="44AA31E3" w14:textId="77777777" w:rsidR="00D405E4" w:rsidRPr="00AF469D" w:rsidRDefault="00D405E4" w:rsidP="002F53FC">
            <w:pPr>
              <w:pStyle w:val="TableBody"/>
            </w:pPr>
            <w:r w:rsidRPr="00AF469D">
              <w:t>0</w:t>
            </w:r>
          </w:p>
        </w:tc>
        <w:tc>
          <w:tcPr>
            <w:tcW w:w="1000" w:type="pct"/>
            <w:noWrap/>
            <w:hideMark/>
          </w:tcPr>
          <w:p w14:paraId="112826C2" w14:textId="77777777" w:rsidR="00D405E4" w:rsidRPr="00AF469D" w:rsidRDefault="00D405E4" w:rsidP="002F53FC">
            <w:pPr>
              <w:pStyle w:val="TableBody"/>
            </w:pPr>
            <w:r w:rsidRPr="00AF469D">
              <w:t>0.0%</w:t>
            </w:r>
          </w:p>
        </w:tc>
        <w:tc>
          <w:tcPr>
            <w:tcW w:w="1000" w:type="pct"/>
            <w:noWrap/>
            <w:hideMark/>
          </w:tcPr>
          <w:p w14:paraId="4C639AEC" w14:textId="77777777" w:rsidR="00D405E4" w:rsidRPr="00AF469D" w:rsidRDefault="00D405E4" w:rsidP="002F53FC">
            <w:pPr>
              <w:pStyle w:val="TableBody"/>
            </w:pPr>
            <w:r w:rsidRPr="00AF469D">
              <w:t>4</w:t>
            </w:r>
          </w:p>
        </w:tc>
        <w:tc>
          <w:tcPr>
            <w:tcW w:w="999" w:type="pct"/>
            <w:noWrap/>
            <w:hideMark/>
          </w:tcPr>
          <w:p w14:paraId="0ADF534A" w14:textId="77777777" w:rsidR="00D405E4" w:rsidRPr="00AF469D" w:rsidRDefault="00D405E4" w:rsidP="002F53FC">
            <w:pPr>
              <w:pStyle w:val="TableBody"/>
            </w:pPr>
            <w:r w:rsidRPr="00AF469D">
              <w:t>0%</w:t>
            </w:r>
          </w:p>
        </w:tc>
      </w:tr>
      <w:tr w:rsidR="00D405E4" w:rsidRPr="00AF469D" w14:paraId="08C0DC20" w14:textId="77777777" w:rsidTr="008D0BFD">
        <w:trPr>
          <w:trHeight w:val="290"/>
        </w:trPr>
        <w:tc>
          <w:tcPr>
            <w:tcW w:w="1001" w:type="pct"/>
            <w:noWrap/>
            <w:hideMark/>
          </w:tcPr>
          <w:p w14:paraId="4F158238" w14:textId="77777777" w:rsidR="00D405E4" w:rsidRPr="00AF469D" w:rsidRDefault="00D405E4" w:rsidP="002F53FC">
            <w:pPr>
              <w:pStyle w:val="TableBody"/>
            </w:pPr>
            <w:r w:rsidRPr="00AF469D">
              <w:t>82</w:t>
            </w:r>
          </w:p>
        </w:tc>
        <w:tc>
          <w:tcPr>
            <w:tcW w:w="1000" w:type="pct"/>
            <w:noWrap/>
            <w:hideMark/>
          </w:tcPr>
          <w:p w14:paraId="07316C33" w14:textId="77777777" w:rsidR="00D405E4" w:rsidRPr="00AF469D" w:rsidRDefault="00D405E4" w:rsidP="002F53FC">
            <w:pPr>
              <w:pStyle w:val="TableBody"/>
            </w:pPr>
            <w:r w:rsidRPr="00AF469D">
              <w:t>0</w:t>
            </w:r>
          </w:p>
        </w:tc>
        <w:tc>
          <w:tcPr>
            <w:tcW w:w="1000" w:type="pct"/>
            <w:noWrap/>
            <w:hideMark/>
          </w:tcPr>
          <w:p w14:paraId="2B756E46" w14:textId="77777777" w:rsidR="00D405E4" w:rsidRPr="00AF469D" w:rsidRDefault="00D405E4" w:rsidP="002F53FC">
            <w:pPr>
              <w:pStyle w:val="TableBody"/>
            </w:pPr>
            <w:r w:rsidRPr="00AF469D">
              <w:t>0.0%</w:t>
            </w:r>
          </w:p>
        </w:tc>
        <w:tc>
          <w:tcPr>
            <w:tcW w:w="1000" w:type="pct"/>
            <w:noWrap/>
            <w:hideMark/>
          </w:tcPr>
          <w:p w14:paraId="53142C13" w14:textId="77777777" w:rsidR="00D405E4" w:rsidRPr="00AF469D" w:rsidRDefault="00D405E4" w:rsidP="002F53FC">
            <w:pPr>
              <w:pStyle w:val="TableBody"/>
            </w:pPr>
            <w:r w:rsidRPr="00AF469D">
              <w:t>0</w:t>
            </w:r>
          </w:p>
        </w:tc>
        <w:tc>
          <w:tcPr>
            <w:tcW w:w="999" w:type="pct"/>
            <w:noWrap/>
            <w:hideMark/>
          </w:tcPr>
          <w:p w14:paraId="3972EB7D" w14:textId="77777777" w:rsidR="00D405E4" w:rsidRPr="00AF469D" w:rsidRDefault="00D405E4" w:rsidP="002F53FC">
            <w:pPr>
              <w:pStyle w:val="TableBody"/>
            </w:pPr>
            <w:r w:rsidRPr="00AF469D">
              <w:t>0%</w:t>
            </w:r>
          </w:p>
        </w:tc>
      </w:tr>
      <w:tr w:rsidR="00D405E4" w:rsidRPr="00AF469D" w14:paraId="536F54B7" w14:textId="77777777" w:rsidTr="008D0BFD">
        <w:trPr>
          <w:trHeight w:val="290"/>
        </w:trPr>
        <w:tc>
          <w:tcPr>
            <w:tcW w:w="1001" w:type="pct"/>
            <w:noWrap/>
            <w:hideMark/>
          </w:tcPr>
          <w:p w14:paraId="69C97690" w14:textId="77777777" w:rsidR="00D405E4" w:rsidRPr="00AF469D" w:rsidRDefault="00D405E4" w:rsidP="002F53FC">
            <w:pPr>
              <w:pStyle w:val="TableBody"/>
            </w:pPr>
            <w:r w:rsidRPr="00AF469D">
              <w:t>83</w:t>
            </w:r>
          </w:p>
        </w:tc>
        <w:tc>
          <w:tcPr>
            <w:tcW w:w="1000" w:type="pct"/>
            <w:noWrap/>
            <w:hideMark/>
          </w:tcPr>
          <w:p w14:paraId="70D66254" w14:textId="77777777" w:rsidR="00D405E4" w:rsidRPr="00AF469D" w:rsidRDefault="00D405E4" w:rsidP="002F53FC">
            <w:pPr>
              <w:pStyle w:val="TableBody"/>
            </w:pPr>
            <w:r w:rsidRPr="00AF469D">
              <w:t>0</w:t>
            </w:r>
          </w:p>
        </w:tc>
        <w:tc>
          <w:tcPr>
            <w:tcW w:w="1000" w:type="pct"/>
            <w:noWrap/>
            <w:hideMark/>
          </w:tcPr>
          <w:p w14:paraId="39D29248" w14:textId="77777777" w:rsidR="00D405E4" w:rsidRPr="00AF469D" w:rsidRDefault="00D405E4" w:rsidP="002F53FC">
            <w:pPr>
              <w:pStyle w:val="TableBody"/>
            </w:pPr>
            <w:r w:rsidRPr="00AF469D">
              <w:t>0.0%</w:t>
            </w:r>
          </w:p>
        </w:tc>
        <w:tc>
          <w:tcPr>
            <w:tcW w:w="1000" w:type="pct"/>
            <w:noWrap/>
            <w:hideMark/>
          </w:tcPr>
          <w:p w14:paraId="5E42AC32" w14:textId="77777777" w:rsidR="00D405E4" w:rsidRPr="00AF469D" w:rsidRDefault="00D405E4" w:rsidP="002F53FC">
            <w:pPr>
              <w:pStyle w:val="TableBody"/>
            </w:pPr>
            <w:r w:rsidRPr="00AF469D">
              <w:t>0</w:t>
            </w:r>
          </w:p>
        </w:tc>
        <w:tc>
          <w:tcPr>
            <w:tcW w:w="999" w:type="pct"/>
            <w:noWrap/>
            <w:hideMark/>
          </w:tcPr>
          <w:p w14:paraId="084B7FB7" w14:textId="77777777" w:rsidR="00D405E4" w:rsidRPr="00AF469D" w:rsidRDefault="00D405E4" w:rsidP="002F53FC">
            <w:pPr>
              <w:pStyle w:val="TableBody"/>
            </w:pPr>
            <w:r w:rsidRPr="00AF469D">
              <w:t>0%</w:t>
            </w:r>
          </w:p>
        </w:tc>
      </w:tr>
      <w:tr w:rsidR="00D405E4" w:rsidRPr="00AF469D" w14:paraId="46C6262A" w14:textId="77777777" w:rsidTr="008D0BFD">
        <w:trPr>
          <w:trHeight w:val="290"/>
        </w:trPr>
        <w:tc>
          <w:tcPr>
            <w:tcW w:w="1001" w:type="pct"/>
            <w:noWrap/>
            <w:hideMark/>
          </w:tcPr>
          <w:p w14:paraId="7111C406" w14:textId="77777777" w:rsidR="00D405E4" w:rsidRPr="00AF469D" w:rsidRDefault="00D405E4" w:rsidP="002F53FC">
            <w:pPr>
              <w:pStyle w:val="TableBody"/>
            </w:pPr>
            <w:r w:rsidRPr="00AF469D">
              <w:t>84</w:t>
            </w:r>
          </w:p>
        </w:tc>
        <w:tc>
          <w:tcPr>
            <w:tcW w:w="1000" w:type="pct"/>
            <w:noWrap/>
            <w:hideMark/>
          </w:tcPr>
          <w:p w14:paraId="519A0853" w14:textId="77777777" w:rsidR="00D405E4" w:rsidRPr="00AF469D" w:rsidRDefault="00D405E4" w:rsidP="002F53FC">
            <w:pPr>
              <w:pStyle w:val="TableBody"/>
            </w:pPr>
            <w:r w:rsidRPr="00AF469D">
              <w:t>0</w:t>
            </w:r>
          </w:p>
        </w:tc>
        <w:tc>
          <w:tcPr>
            <w:tcW w:w="1000" w:type="pct"/>
            <w:noWrap/>
            <w:hideMark/>
          </w:tcPr>
          <w:p w14:paraId="7627ADE8" w14:textId="77777777" w:rsidR="00D405E4" w:rsidRPr="00AF469D" w:rsidRDefault="00D405E4" w:rsidP="002F53FC">
            <w:pPr>
              <w:pStyle w:val="TableBody"/>
            </w:pPr>
            <w:r w:rsidRPr="00AF469D">
              <w:t>0.0%</w:t>
            </w:r>
          </w:p>
        </w:tc>
        <w:tc>
          <w:tcPr>
            <w:tcW w:w="1000" w:type="pct"/>
            <w:noWrap/>
            <w:hideMark/>
          </w:tcPr>
          <w:p w14:paraId="6B47A26D" w14:textId="77777777" w:rsidR="00D405E4" w:rsidRPr="00AF469D" w:rsidRDefault="00D405E4" w:rsidP="002F53FC">
            <w:pPr>
              <w:pStyle w:val="TableBody"/>
            </w:pPr>
            <w:r w:rsidRPr="00AF469D">
              <w:t>0</w:t>
            </w:r>
          </w:p>
        </w:tc>
        <w:tc>
          <w:tcPr>
            <w:tcW w:w="999" w:type="pct"/>
            <w:noWrap/>
            <w:hideMark/>
          </w:tcPr>
          <w:p w14:paraId="4A01EBF6" w14:textId="77777777" w:rsidR="00D405E4" w:rsidRPr="00AF469D" w:rsidRDefault="00D405E4" w:rsidP="002F53FC">
            <w:pPr>
              <w:pStyle w:val="TableBody"/>
            </w:pPr>
            <w:r w:rsidRPr="00AF469D">
              <w:t>0%</w:t>
            </w:r>
          </w:p>
        </w:tc>
      </w:tr>
      <w:tr w:rsidR="00D405E4" w:rsidRPr="00AF469D" w14:paraId="2F07F655" w14:textId="77777777" w:rsidTr="008D0BFD">
        <w:trPr>
          <w:trHeight w:val="290"/>
        </w:trPr>
        <w:tc>
          <w:tcPr>
            <w:tcW w:w="1001" w:type="pct"/>
            <w:noWrap/>
            <w:hideMark/>
          </w:tcPr>
          <w:p w14:paraId="3AB30561" w14:textId="77777777" w:rsidR="00D405E4" w:rsidRPr="00AF469D" w:rsidRDefault="00D405E4" w:rsidP="002F53FC">
            <w:pPr>
              <w:pStyle w:val="TableBody"/>
            </w:pPr>
            <w:r w:rsidRPr="00AF469D">
              <w:t>85</w:t>
            </w:r>
          </w:p>
        </w:tc>
        <w:tc>
          <w:tcPr>
            <w:tcW w:w="1000" w:type="pct"/>
            <w:noWrap/>
            <w:hideMark/>
          </w:tcPr>
          <w:p w14:paraId="00E23834" w14:textId="77777777" w:rsidR="00D405E4" w:rsidRPr="00AF469D" w:rsidRDefault="00D405E4" w:rsidP="002F53FC">
            <w:pPr>
              <w:pStyle w:val="TableBody"/>
            </w:pPr>
            <w:r w:rsidRPr="00AF469D">
              <w:t>0</w:t>
            </w:r>
          </w:p>
        </w:tc>
        <w:tc>
          <w:tcPr>
            <w:tcW w:w="1000" w:type="pct"/>
            <w:noWrap/>
            <w:hideMark/>
          </w:tcPr>
          <w:p w14:paraId="77EEF490" w14:textId="77777777" w:rsidR="00D405E4" w:rsidRPr="00AF469D" w:rsidRDefault="00D405E4" w:rsidP="002F53FC">
            <w:pPr>
              <w:pStyle w:val="TableBody"/>
            </w:pPr>
            <w:r w:rsidRPr="00AF469D">
              <w:t>0.0%</w:t>
            </w:r>
          </w:p>
        </w:tc>
        <w:tc>
          <w:tcPr>
            <w:tcW w:w="1000" w:type="pct"/>
            <w:noWrap/>
            <w:hideMark/>
          </w:tcPr>
          <w:p w14:paraId="252926A5" w14:textId="77777777" w:rsidR="00D405E4" w:rsidRPr="00AF469D" w:rsidRDefault="00D405E4" w:rsidP="002F53FC">
            <w:pPr>
              <w:pStyle w:val="TableBody"/>
            </w:pPr>
            <w:r w:rsidRPr="00AF469D">
              <w:t>1</w:t>
            </w:r>
          </w:p>
        </w:tc>
        <w:tc>
          <w:tcPr>
            <w:tcW w:w="999" w:type="pct"/>
            <w:noWrap/>
            <w:hideMark/>
          </w:tcPr>
          <w:p w14:paraId="705CB13A" w14:textId="77777777" w:rsidR="00D405E4" w:rsidRPr="00AF469D" w:rsidRDefault="00D405E4" w:rsidP="002F53FC">
            <w:pPr>
              <w:pStyle w:val="TableBody"/>
            </w:pPr>
            <w:r w:rsidRPr="00AF469D">
              <w:t>0%</w:t>
            </w:r>
          </w:p>
        </w:tc>
      </w:tr>
      <w:tr w:rsidR="00D405E4" w:rsidRPr="00AF469D" w14:paraId="4A6D2F0B" w14:textId="77777777" w:rsidTr="008D0BFD">
        <w:trPr>
          <w:trHeight w:val="290"/>
        </w:trPr>
        <w:tc>
          <w:tcPr>
            <w:tcW w:w="1001" w:type="pct"/>
            <w:noWrap/>
            <w:hideMark/>
          </w:tcPr>
          <w:p w14:paraId="5F81E2E2" w14:textId="77777777" w:rsidR="00D405E4" w:rsidRPr="00AF469D" w:rsidRDefault="00D405E4" w:rsidP="002F53FC">
            <w:pPr>
              <w:pStyle w:val="TableBody"/>
            </w:pPr>
            <w:r w:rsidRPr="00AF469D">
              <w:t>86</w:t>
            </w:r>
          </w:p>
        </w:tc>
        <w:tc>
          <w:tcPr>
            <w:tcW w:w="1000" w:type="pct"/>
            <w:noWrap/>
            <w:hideMark/>
          </w:tcPr>
          <w:p w14:paraId="14E9E74C" w14:textId="77777777" w:rsidR="00D405E4" w:rsidRPr="00AF469D" w:rsidRDefault="00D405E4" w:rsidP="002F53FC">
            <w:pPr>
              <w:pStyle w:val="TableBody"/>
            </w:pPr>
            <w:r w:rsidRPr="00AF469D">
              <w:t>0</w:t>
            </w:r>
          </w:p>
        </w:tc>
        <w:tc>
          <w:tcPr>
            <w:tcW w:w="1000" w:type="pct"/>
            <w:noWrap/>
            <w:hideMark/>
          </w:tcPr>
          <w:p w14:paraId="7D9C32EF" w14:textId="77777777" w:rsidR="00D405E4" w:rsidRPr="00AF469D" w:rsidRDefault="00D405E4" w:rsidP="002F53FC">
            <w:pPr>
              <w:pStyle w:val="TableBody"/>
            </w:pPr>
            <w:r w:rsidRPr="00AF469D">
              <w:t>0.0%</w:t>
            </w:r>
          </w:p>
        </w:tc>
        <w:tc>
          <w:tcPr>
            <w:tcW w:w="1000" w:type="pct"/>
            <w:noWrap/>
            <w:hideMark/>
          </w:tcPr>
          <w:p w14:paraId="6C5AE73E" w14:textId="77777777" w:rsidR="00D405E4" w:rsidRPr="00AF469D" w:rsidRDefault="00D405E4" w:rsidP="002F53FC">
            <w:pPr>
              <w:pStyle w:val="TableBody"/>
            </w:pPr>
            <w:r w:rsidRPr="00AF469D">
              <w:t>0</w:t>
            </w:r>
          </w:p>
        </w:tc>
        <w:tc>
          <w:tcPr>
            <w:tcW w:w="999" w:type="pct"/>
            <w:noWrap/>
            <w:hideMark/>
          </w:tcPr>
          <w:p w14:paraId="49367D2E" w14:textId="77777777" w:rsidR="00D405E4" w:rsidRPr="00AF469D" w:rsidRDefault="00D405E4" w:rsidP="002F53FC">
            <w:pPr>
              <w:pStyle w:val="TableBody"/>
            </w:pPr>
            <w:r w:rsidRPr="00AF469D">
              <w:t>0%</w:t>
            </w:r>
          </w:p>
        </w:tc>
      </w:tr>
      <w:tr w:rsidR="00D405E4" w:rsidRPr="00AF469D" w14:paraId="2D5E5FE2" w14:textId="77777777" w:rsidTr="008D0BFD">
        <w:trPr>
          <w:trHeight w:val="290"/>
        </w:trPr>
        <w:tc>
          <w:tcPr>
            <w:tcW w:w="1001" w:type="pct"/>
            <w:noWrap/>
            <w:hideMark/>
          </w:tcPr>
          <w:p w14:paraId="59B290F6" w14:textId="77777777" w:rsidR="00D405E4" w:rsidRPr="00AF469D" w:rsidRDefault="00D405E4" w:rsidP="002F53FC">
            <w:pPr>
              <w:pStyle w:val="TableBody"/>
            </w:pPr>
            <w:r w:rsidRPr="00AF469D">
              <w:t>87</w:t>
            </w:r>
          </w:p>
        </w:tc>
        <w:tc>
          <w:tcPr>
            <w:tcW w:w="1000" w:type="pct"/>
            <w:noWrap/>
            <w:hideMark/>
          </w:tcPr>
          <w:p w14:paraId="327010A6" w14:textId="77777777" w:rsidR="00D405E4" w:rsidRPr="00AF469D" w:rsidRDefault="00D405E4" w:rsidP="002F53FC">
            <w:pPr>
              <w:pStyle w:val="TableBody"/>
            </w:pPr>
            <w:r w:rsidRPr="00AF469D">
              <w:t>0</w:t>
            </w:r>
          </w:p>
        </w:tc>
        <w:tc>
          <w:tcPr>
            <w:tcW w:w="1000" w:type="pct"/>
            <w:noWrap/>
            <w:hideMark/>
          </w:tcPr>
          <w:p w14:paraId="554F74B6" w14:textId="77777777" w:rsidR="00D405E4" w:rsidRPr="00AF469D" w:rsidRDefault="00D405E4" w:rsidP="002F53FC">
            <w:pPr>
              <w:pStyle w:val="TableBody"/>
            </w:pPr>
            <w:r w:rsidRPr="00AF469D">
              <w:t>0.0%</w:t>
            </w:r>
          </w:p>
        </w:tc>
        <w:tc>
          <w:tcPr>
            <w:tcW w:w="1000" w:type="pct"/>
            <w:noWrap/>
            <w:hideMark/>
          </w:tcPr>
          <w:p w14:paraId="643D412F" w14:textId="77777777" w:rsidR="00D405E4" w:rsidRPr="00AF469D" w:rsidRDefault="00D405E4" w:rsidP="002F53FC">
            <w:pPr>
              <w:pStyle w:val="TableBody"/>
            </w:pPr>
            <w:r w:rsidRPr="00AF469D">
              <w:t>1</w:t>
            </w:r>
          </w:p>
        </w:tc>
        <w:tc>
          <w:tcPr>
            <w:tcW w:w="999" w:type="pct"/>
            <w:noWrap/>
            <w:hideMark/>
          </w:tcPr>
          <w:p w14:paraId="51B87B48" w14:textId="77777777" w:rsidR="00D405E4" w:rsidRPr="00AF469D" w:rsidRDefault="00D405E4" w:rsidP="002F53FC">
            <w:pPr>
              <w:pStyle w:val="TableBody"/>
            </w:pPr>
            <w:r w:rsidRPr="00AF469D">
              <w:t>0%</w:t>
            </w:r>
          </w:p>
        </w:tc>
      </w:tr>
      <w:tr w:rsidR="00D405E4" w:rsidRPr="00AF469D" w14:paraId="29C793F8" w14:textId="77777777" w:rsidTr="008D0BFD">
        <w:trPr>
          <w:trHeight w:val="290"/>
        </w:trPr>
        <w:tc>
          <w:tcPr>
            <w:tcW w:w="1001" w:type="pct"/>
            <w:noWrap/>
            <w:hideMark/>
          </w:tcPr>
          <w:p w14:paraId="18913C11" w14:textId="77777777" w:rsidR="00D405E4" w:rsidRPr="00AF469D" w:rsidRDefault="00D405E4" w:rsidP="002F53FC">
            <w:pPr>
              <w:pStyle w:val="TableBody"/>
            </w:pPr>
            <w:r w:rsidRPr="00AF469D">
              <w:t>88</w:t>
            </w:r>
          </w:p>
        </w:tc>
        <w:tc>
          <w:tcPr>
            <w:tcW w:w="1000" w:type="pct"/>
            <w:noWrap/>
            <w:hideMark/>
          </w:tcPr>
          <w:p w14:paraId="16BA1F49" w14:textId="77777777" w:rsidR="00D405E4" w:rsidRPr="00AF469D" w:rsidRDefault="00D405E4" w:rsidP="002F53FC">
            <w:pPr>
              <w:pStyle w:val="TableBody"/>
            </w:pPr>
            <w:r w:rsidRPr="00AF469D">
              <w:t>0</w:t>
            </w:r>
          </w:p>
        </w:tc>
        <w:tc>
          <w:tcPr>
            <w:tcW w:w="1000" w:type="pct"/>
            <w:noWrap/>
            <w:hideMark/>
          </w:tcPr>
          <w:p w14:paraId="592B5D59" w14:textId="77777777" w:rsidR="00D405E4" w:rsidRPr="00AF469D" w:rsidRDefault="00D405E4" w:rsidP="002F53FC">
            <w:pPr>
              <w:pStyle w:val="TableBody"/>
            </w:pPr>
            <w:r w:rsidRPr="00AF469D">
              <w:t>0.0%</w:t>
            </w:r>
          </w:p>
        </w:tc>
        <w:tc>
          <w:tcPr>
            <w:tcW w:w="1000" w:type="pct"/>
            <w:noWrap/>
            <w:hideMark/>
          </w:tcPr>
          <w:p w14:paraId="6FA9030F" w14:textId="77777777" w:rsidR="00D405E4" w:rsidRPr="00AF469D" w:rsidRDefault="00D405E4" w:rsidP="002F53FC">
            <w:pPr>
              <w:pStyle w:val="TableBody"/>
            </w:pPr>
            <w:r w:rsidRPr="00AF469D">
              <w:t>1</w:t>
            </w:r>
          </w:p>
        </w:tc>
        <w:tc>
          <w:tcPr>
            <w:tcW w:w="999" w:type="pct"/>
            <w:noWrap/>
            <w:hideMark/>
          </w:tcPr>
          <w:p w14:paraId="61984623" w14:textId="77777777" w:rsidR="00D405E4" w:rsidRPr="00AF469D" w:rsidRDefault="00D405E4" w:rsidP="002F53FC">
            <w:pPr>
              <w:pStyle w:val="TableBody"/>
            </w:pPr>
            <w:r w:rsidRPr="00AF469D">
              <w:t>0%</w:t>
            </w:r>
          </w:p>
        </w:tc>
      </w:tr>
      <w:tr w:rsidR="00D405E4" w:rsidRPr="00AF469D" w14:paraId="1060E19E" w14:textId="77777777" w:rsidTr="008D0BFD">
        <w:trPr>
          <w:trHeight w:val="290"/>
        </w:trPr>
        <w:tc>
          <w:tcPr>
            <w:tcW w:w="1001" w:type="pct"/>
            <w:noWrap/>
            <w:hideMark/>
          </w:tcPr>
          <w:p w14:paraId="6884501B" w14:textId="77777777" w:rsidR="00D405E4" w:rsidRPr="00AF469D" w:rsidRDefault="00D405E4" w:rsidP="002F53FC">
            <w:pPr>
              <w:pStyle w:val="TableBody"/>
            </w:pPr>
            <w:r w:rsidRPr="00AF469D">
              <w:lastRenderedPageBreak/>
              <w:t>89</w:t>
            </w:r>
          </w:p>
        </w:tc>
        <w:tc>
          <w:tcPr>
            <w:tcW w:w="1000" w:type="pct"/>
            <w:noWrap/>
            <w:hideMark/>
          </w:tcPr>
          <w:p w14:paraId="370212CC" w14:textId="77777777" w:rsidR="00D405E4" w:rsidRPr="00AF469D" w:rsidRDefault="00D405E4" w:rsidP="002F53FC">
            <w:pPr>
              <w:pStyle w:val="TableBody"/>
            </w:pPr>
            <w:r w:rsidRPr="00AF469D">
              <w:t>0</w:t>
            </w:r>
          </w:p>
        </w:tc>
        <w:tc>
          <w:tcPr>
            <w:tcW w:w="1000" w:type="pct"/>
            <w:noWrap/>
            <w:hideMark/>
          </w:tcPr>
          <w:p w14:paraId="0E92E1AE" w14:textId="77777777" w:rsidR="00D405E4" w:rsidRPr="00AF469D" w:rsidRDefault="00D405E4" w:rsidP="002F53FC">
            <w:pPr>
              <w:pStyle w:val="TableBody"/>
            </w:pPr>
            <w:r w:rsidRPr="00AF469D">
              <w:t>0.0%</w:t>
            </w:r>
          </w:p>
        </w:tc>
        <w:tc>
          <w:tcPr>
            <w:tcW w:w="1000" w:type="pct"/>
            <w:noWrap/>
            <w:hideMark/>
          </w:tcPr>
          <w:p w14:paraId="33E896B8" w14:textId="77777777" w:rsidR="00D405E4" w:rsidRPr="00AF469D" w:rsidRDefault="00D405E4" w:rsidP="002F53FC">
            <w:pPr>
              <w:pStyle w:val="TableBody"/>
            </w:pPr>
            <w:r w:rsidRPr="00AF469D">
              <w:t>1</w:t>
            </w:r>
          </w:p>
        </w:tc>
        <w:tc>
          <w:tcPr>
            <w:tcW w:w="999" w:type="pct"/>
            <w:noWrap/>
            <w:hideMark/>
          </w:tcPr>
          <w:p w14:paraId="5AC9F24A" w14:textId="77777777" w:rsidR="00D405E4" w:rsidRPr="00AF469D" w:rsidRDefault="00D405E4" w:rsidP="002F53FC">
            <w:pPr>
              <w:pStyle w:val="TableBody"/>
            </w:pPr>
            <w:r w:rsidRPr="00AF469D">
              <w:t>0%</w:t>
            </w:r>
          </w:p>
        </w:tc>
      </w:tr>
      <w:tr w:rsidR="00D405E4" w:rsidRPr="00AF469D" w14:paraId="6E9A4313" w14:textId="77777777" w:rsidTr="008D0BFD">
        <w:trPr>
          <w:trHeight w:val="290"/>
        </w:trPr>
        <w:tc>
          <w:tcPr>
            <w:tcW w:w="1001" w:type="pct"/>
            <w:noWrap/>
            <w:hideMark/>
          </w:tcPr>
          <w:p w14:paraId="6FBC30FA" w14:textId="47C67F1E" w:rsidR="00D405E4" w:rsidRPr="00CF6ECB" w:rsidRDefault="00D405E4" w:rsidP="002F53FC">
            <w:pPr>
              <w:pStyle w:val="TableBody"/>
              <w:rPr>
                <w:rStyle w:val="Strong"/>
              </w:rPr>
            </w:pPr>
            <w:r w:rsidRPr="00CF6ECB">
              <w:rPr>
                <w:rStyle w:val="Strong"/>
              </w:rPr>
              <w:t>Total</w:t>
            </w:r>
          </w:p>
        </w:tc>
        <w:tc>
          <w:tcPr>
            <w:tcW w:w="1000" w:type="pct"/>
            <w:noWrap/>
            <w:hideMark/>
          </w:tcPr>
          <w:p w14:paraId="21AFEB12" w14:textId="77777777" w:rsidR="00D405E4" w:rsidRPr="00CF6ECB" w:rsidRDefault="00D405E4" w:rsidP="002F53FC">
            <w:pPr>
              <w:pStyle w:val="TableBody"/>
              <w:rPr>
                <w:rStyle w:val="Strong"/>
              </w:rPr>
            </w:pPr>
            <w:r w:rsidRPr="00CF6ECB">
              <w:rPr>
                <w:rStyle w:val="Strong"/>
              </w:rPr>
              <w:t>1721</w:t>
            </w:r>
          </w:p>
        </w:tc>
        <w:tc>
          <w:tcPr>
            <w:tcW w:w="1000" w:type="pct"/>
            <w:noWrap/>
            <w:hideMark/>
          </w:tcPr>
          <w:p w14:paraId="64D7948D" w14:textId="77777777" w:rsidR="00D405E4" w:rsidRPr="00CF6ECB" w:rsidRDefault="00D405E4" w:rsidP="002F53FC">
            <w:pPr>
              <w:pStyle w:val="TableBody"/>
              <w:rPr>
                <w:rStyle w:val="Strong"/>
              </w:rPr>
            </w:pPr>
            <w:r w:rsidRPr="00CF6ECB">
              <w:rPr>
                <w:rStyle w:val="Strong"/>
              </w:rPr>
              <w:t>100%</w:t>
            </w:r>
          </w:p>
        </w:tc>
        <w:tc>
          <w:tcPr>
            <w:tcW w:w="1000" w:type="pct"/>
            <w:noWrap/>
            <w:hideMark/>
          </w:tcPr>
          <w:p w14:paraId="3D6AC38F" w14:textId="77777777" w:rsidR="00D405E4" w:rsidRPr="00CF6ECB" w:rsidRDefault="00D405E4" w:rsidP="002F53FC">
            <w:pPr>
              <w:pStyle w:val="TableBody"/>
              <w:rPr>
                <w:rStyle w:val="Strong"/>
              </w:rPr>
            </w:pPr>
            <w:r w:rsidRPr="00CF6ECB">
              <w:rPr>
                <w:rStyle w:val="Strong"/>
              </w:rPr>
              <w:t>12100</w:t>
            </w:r>
          </w:p>
        </w:tc>
        <w:tc>
          <w:tcPr>
            <w:tcW w:w="999" w:type="pct"/>
            <w:noWrap/>
            <w:hideMark/>
          </w:tcPr>
          <w:p w14:paraId="132431E1" w14:textId="77777777" w:rsidR="00D405E4" w:rsidRPr="00CF6ECB" w:rsidRDefault="00D405E4" w:rsidP="002F53FC">
            <w:pPr>
              <w:pStyle w:val="TableBody"/>
              <w:rPr>
                <w:rStyle w:val="Strong"/>
              </w:rPr>
            </w:pPr>
            <w:r w:rsidRPr="00CF6ECB">
              <w:rPr>
                <w:rStyle w:val="Strong"/>
              </w:rPr>
              <w:t>100%</w:t>
            </w:r>
          </w:p>
        </w:tc>
      </w:tr>
    </w:tbl>
    <w:p w14:paraId="006F72DC" w14:textId="77777777" w:rsidR="005A3418" w:rsidRPr="00D36673" w:rsidRDefault="005A3418" w:rsidP="001F4AF2">
      <w:pPr>
        <w:pStyle w:val="Heading1"/>
        <w:pageBreakBefore/>
      </w:pPr>
      <w:bookmarkStart w:id="15" w:name="_Toc75445788"/>
      <w:r w:rsidRPr="00D36673">
        <w:lastRenderedPageBreak/>
        <w:t>Appendix 3: Methodology</w:t>
      </w:r>
      <w:bookmarkEnd w:id="15"/>
    </w:p>
    <w:p w14:paraId="4E9605BD" w14:textId="77777777" w:rsidR="005A3418" w:rsidRPr="00D36673" w:rsidRDefault="005A3418" w:rsidP="0086723D">
      <w:pPr>
        <w:pStyle w:val="Heading2"/>
      </w:pPr>
      <w:r w:rsidRPr="00D36673">
        <w:t>Recorded threat offences</w:t>
      </w:r>
    </w:p>
    <w:p w14:paraId="6C66F6C1" w14:textId="77777777" w:rsidR="005A3418" w:rsidRPr="00D36673" w:rsidRDefault="005A3418" w:rsidP="003724FA">
      <w:r w:rsidRPr="00D36673">
        <w:t xml:space="preserve">Recorded threat offences are reported in terms of offences and the offender incidents those offences are part of. The analysis of recorded offences focuses on offences. Since one offender incident can include many offences, just as one case can include many charges, recorded offences are most comparable to sentenced charges. </w:t>
      </w:r>
    </w:p>
    <w:p w14:paraId="45154046" w14:textId="77777777" w:rsidR="005A3418" w:rsidRPr="00D36673" w:rsidRDefault="005A3418" w:rsidP="0086723D">
      <w:pPr>
        <w:pStyle w:val="Heading2"/>
      </w:pPr>
      <w:r w:rsidRPr="00D36673">
        <w:t>Sentencing outcomes</w:t>
      </w:r>
    </w:p>
    <w:p w14:paraId="5B4FA880" w14:textId="77777777" w:rsidR="005A3418" w:rsidRPr="00D36673" w:rsidRDefault="005A3418" w:rsidP="003724FA">
      <w:r w:rsidRPr="00D36673">
        <w:t xml:space="preserve">Because cases often involve more than one charge – often a threat charge and one or more unrelated charges – some cases’ sentences are primarily influenced by charges far more serious than the threat charge for which they were included in the analysis. This may influence whether analysis is conducted using all threat charges, all cases that include at least one threat charge, or only charges that are the most serious (principal) offence in their case. </w:t>
      </w:r>
    </w:p>
    <w:p w14:paraId="1A0025FF" w14:textId="77777777" w:rsidR="005A3418" w:rsidRPr="00D36673" w:rsidRDefault="005A3418" w:rsidP="003724FA">
      <w:r w:rsidRPr="00D36673">
        <w:t xml:space="preserve">Chapter 4 focuses on the demographics of all threat offenders. In order to make sure that all threat offenders are included, but to isolate differences between different offence types without excessively double-counting individuals, most of the analysis in this chapter looks at all cases where one or more threat offences were sentenced. Where the data is categorised by each different threat type in this chapter, some cases may be counted more than once. For example, a case with a threat to kill and a threat to inflict serious injury is both a threat to kill case and a threat to seriously injure case, and in an analysis where those case types are separated, it will appear twice. </w:t>
      </w:r>
    </w:p>
    <w:p w14:paraId="12BE65E8" w14:textId="77777777" w:rsidR="005A3418" w:rsidRPr="00D36673" w:rsidRDefault="005A3418" w:rsidP="003724FA">
      <w:r w:rsidRPr="00D36673">
        <w:t xml:space="preserve">In order to understand the sentences offenders actually received for their threat offence, most of the analysis in Chapter 5 focuses on the 5,163 cases where the threat offence was the most serious (principal) offence in the case. This means that each charge and case can only appear once. </w:t>
      </w:r>
      <w:r w:rsidRPr="00D36673">
        <w:lastRenderedPageBreak/>
        <w:t xml:space="preserve">Charge-level analysis of all 18,775 charges in the dataset are presented first, however, to contextualise this data. </w:t>
      </w:r>
    </w:p>
    <w:p w14:paraId="2D582696" w14:textId="77777777" w:rsidR="005A3418" w:rsidRPr="00D36673" w:rsidRDefault="005A3418" w:rsidP="0086723D">
      <w:pPr>
        <w:pStyle w:val="Heading2"/>
      </w:pPr>
      <w:r w:rsidRPr="00D36673">
        <w:t>Co-sentenced offences</w:t>
      </w:r>
    </w:p>
    <w:p w14:paraId="29CD0FE7" w14:textId="77777777" w:rsidR="005A3418" w:rsidRPr="00D36673" w:rsidRDefault="005A3418" w:rsidP="003724FA">
      <w:r w:rsidRPr="00D36673">
        <w:t>Chapter 6 focuses on the offences in threat cases that are not threat offences. As such, it takes an ‘all case’ view of the data.  However, because cases cannot be both family violence and non-family violence cases, nor sentenced in multiple courts, each case appears only once in Tables 4 and 5. Table 6 uses a primary threat analysis, meaning that where a case contains more than one threat offence, it is categorised under the principal (most serious) threat in the case. The most serious threat is defined by in order of priority: the sentencing outcomes and lengths imposed for each charge in the case; if those are equal, the maximum penalties; if those are equal, the National Offence Index (NOI) ranking; and if those are equal, by charge number.</w:t>
      </w:r>
    </w:p>
    <w:p w14:paraId="3AE7C85E" w14:textId="77777777" w:rsidR="005A3418" w:rsidRPr="00D36673" w:rsidRDefault="005A3418" w:rsidP="003724FA">
      <w:r w:rsidRPr="00D36673">
        <w:t>Co-sentenced offences are identified using the case number. This means they can include a number of cases that were consolidated together at any point in the criminal justice process up to sentencing.</w:t>
      </w:r>
    </w:p>
    <w:p w14:paraId="68FE8182" w14:textId="77777777" w:rsidR="005A3418" w:rsidRPr="00D36673" w:rsidRDefault="005A3418" w:rsidP="003724FA">
      <w:r w:rsidRPr="00D36673">
        <w:t xml:space="preserve">The ‘second threat’ category counts the proportion of cases in which at least two index threat offences were sentenced, regardless of threat type. For this analysis, if a case involved two (or more) threats to kill, it would be counted only once as a case with a second threat. A case involving a threat to kill and a threat to inflict serious injury would similarly be counted only once as a case with a second threat. </w:t>
      </w:r>
    </w:p>
    <w:p w14:paraId="06BB3D62" w14:textId="77777777" w:rsidR="005A3418" w:rsidRPr="00D36673" w:rsidRDefault="005A3418" w:rsidP="003724FA">
      <w:r w:rsidRPr="00D36673">
        <w:t xml:space="preserve">The ‘different threat type’ category refers to threats of a type other than the index threat offence. For example, if a case involved two threats to kill, neither would count as a different threat. For a case involving a threat to kill and a threat to inflict serious injury, each would count as a ‘different threat type’ from the perspective of the other. </w:t>
      </w:r>
    </w:p>
    <w:p w14:paraId="582E9451" w14:textId="77777777" w:rsidR="005A3418" w:rsidRPr="00D36673" w:rsidRDefault="005A3418" w:rsidP="0086723D">
      <w:pPr>
        <w:pStyle w:val="Heading2"/>
      </w:pPr>
      <w:r w:rsidRPr="00D36673">
        <w:lastRenderedPageBreak/>
        <w:t xml:space="preserve">Offence date analysis </w:t>
      </w:r>
    </w:p>
    <w:p w14:paraId="0DFCDEB7" w14:textId="77777777" w:rsidR="005A3418" w:rsidRPr="00D36673" w:rsidRDefault="005A3418" w:rsidP="003724FA">
      <w:r w:rsidRPr="00D36673">
        <w:t xml:space="preserve">The offence date analysis deals only with cases for which the offence date is known both for the threat and for at least one charge of the other specified offence(s). Offence dates are known for around 90% of all offences. </w:t>
      </w:r>
    </w:p>
    <w:p w14:paraId="38F8CC8D" w14:textId="77777777" w:rsidR="005A3418" w:rsidRPr="00D36673" w:rsidRDefault="005A3418" w:rsidP="003724FA">
      <w:r w:rsidRPr="00D36673">
        <w:t xml:space="preserve">A violent offence was defined as any offence falling under ANZSOC subdivision code 021 (excluding threats). A property damage offence was defined as any offence falling under ANZSOC code 1211 or 1219 (again, excluding threats). A breach of family violence order was defined as any offence against the </w:t>
      </w:r>
      <w:r w:rsidRPr="00A24E18">
        <w:rPr>
          <w:rStyle w:val="Emphasis"/>
        </w:rPr>
        <w:t xml:space="preserve">Family Violence Protection Act 2008 </w:t>
      </w:r>
      <w:r w:rsidRPr="00D36673">
        <w:t>(Vic). This included offences against sections 37(1), 37(2), 37A(2), 125A(1), 123(2), 123A(2), 129(5) or 130(4).</w:t>
      </w:r>
    </w:p>
    <w:p w14:paraId="3BCC0E4C" w14:textId="77777777" w:rsidR="005A3418" w:rsidRPr="00D36673" w:rsidRDefault="005A3418" w:rsidP="003724FA">
      <w:r w:rsidRPr="00D36673">
        <w:t>Many threat cases involve a large number of offences, each of which may have a different offence date. This means that some offenders may have committed a specified offence on multiple dates, and as such may have offences falling into more than one of the categories. The percentages may therefore not sum to 100%.</w:t>
      </w:r>
    </w:p>
    <w:p w14:paraId="1E4D419E" w14:textId="77777777" w:rsidR="005A3418" w:rsidRPr="00D36673" w:rsidRDefault="005A3418" w:rsidP="003724FA">
      <w:r w:rsidRPr="00D36673">
        <w:t xml:space="preserve">Some offence dates may fall outside the reference period for the report, which is defined using sentence dates. </w:t>
      </w:r>
    </w:p>
    <w:p w14:paraId="14DB133B" w14:textId="77777777" w:rsidR="005A3418" w:rsidRPr="00D36673" w:rsidRDefault="005A3418" w:rsidP="0086723D">
      <w:pPr>
        <w:pStyle w:val="Heading2"/>
      </w:pPr>
      <w:r w:rsidRPr="00D36673">
        <w:t>Reoffending analysis</w:t>
      </w:r>
    </w:p>
    <w:p w14:paraId="337D8731" w14:textId="77777777" w:rsidR="005A3418" w:rsidRPr="00D36673" w:rsidRDefault="005A3418" w:rsidP="003724FA">
      <w:r w:rsidRPr="00D36673">
        <w:t xml:space="preserve">The reoffending analysis examines the 5,124 unique offenders who were sentenced in either 2015 or 2016 for at least one threat offence. Each unique threat offender was counted just once during 2015 and 2016, on the first occasion during those two years that they were sentenced for one of the relevant index threat offences (threat to kill, threat to inflict serious injury, threat to destroy or damage property, threat to commit a sexual offence or threat to assault an emergency worker). </w:t>
      </w:r>
    </w:p>
    <w:p w14:paraId="71B82496" w14:textId="77777777" w:rsidR="005A3418" w:rsidRPr="00D36673" w:rsidRDefault="005A3418" w:rsidP="003724FA">
      <w:r w:rsidRPr="00D36673">
        <w:t xml:space="preserve">A prior offence is defined as a sentence imposed during the three years before the sentence for the index threat offence, and a subsequent </w:t>
      </w:r>
      <w:r w:rsidRPr="00D36673">
        <w:lastRenderedPageBreak/>
        <w:t xml:space="preserve">offence is defined as a sentence imposed during the three years following the sentence for the index threat offence. </w:t>
      </w:r>
    </w:p>
    <w:p w14:paraId="40607AC4" w14:textId="77777777" w:rsidR="005A3418" w:rsidRPr="00D36673" w:rsidRDefault="005A3418" w:rsidP="003724FA">
      <w:r w:rsidRPr="00D36673">
        <w:t xml:space="preserve">The follow-up period runs for exactly three years either side of the date of the index threat offence, to ensure that it is the same for each offender. However, a time-at-risk analysis was not conducted. This most likely affects the relative reoffending chances between courts. </w:t>
      </w:r>
    </w:p>
    <w:p w14:paraId="505276D0" w14:textId="77777777" w:rsidR="005A3418" w:rsidRPr="00D36673" w:rsidRDefault="005A3418" w:rsidP="003724FA">
      <w:r w:rsidRPr="00D36673">
        <w:t xml:space="preserve">Some offenders committed an offence A, committed a second offence B, then were sentenced for offence A and subsequently sentenced for offence B. The subsequent sentence for offence B would be counted as reoffending. However, over 86% of charges in the reoffending sample related to an offence date after the sentence for the index threat offence; many of the remainder were contained in a case where a charge was after the index sentence. </w:t>
      </w:r>
    </w:p>
    <w:p w14:paraId="06A4D997" w14:textId="77777777" w:rsidR="005A3418" w:rsidRPr="00D36673" w:rsidRDefault="005A3418" w:rsidP="003724FA">
      <w:r w:rsidRPr="00D36673">
        <w:t xml:space="preserve">Where an offender commits one offence, then a second offence, and the two offences are consolidated into a single case, the second offence will not be considered a subsequent offence because it will have the same sentence date as the first offence. </w:t>
      </w:r>
    </w:p>
    <w:p w14:paraId="7D3C2907" w14:textId="77777777" w:rsidR="005A3418" w:rsidRPr="00D36673" w:rsidRDefault="005A3418" w:rsidP="003724FA">
      <w:r w:rsidRPr="00D36673">
        <w:t xml:space="preserve">A violent offence was defined in the same way as for the offence date analysis, using ANZSOC subdivision code 021 (excluding threats). Adults were defined as those aged 18 or older at the time of sentence, while children were defined as those aged under 18. The Children’s Court was excluded from the analysis because of the substantial overlap with the category of children aged under 18 at sentence. </w:t>
      </w:r>
    </w:p>
    <w:p w14:paraId="07FEF412" w14:textId="77777777" w:rsidR="005A3418" w:rsidRPr="00D36673" w:rsidRDefault="005A3418" w:rsidP="003724FA">
      <w:r w:rsidRPr="00D36673">
        <w:t>Each offender is only counted once. Where an offender committed more than one threat type, and the data is split by threat type, they are assigned to the category corresponding to their principal (most serious) threat. The most serious threat is defined by in order of priority: the sentencing outcomes and lengths imposed for each charge in the case; if those are equal, the maximum penalties; if those are equal, the National Offence Index (NOI) ranking; and if those are equal, by charge number.</w:t>
      </w:r>
    </w:p>
    <w:p w14:paraId="5AE61A33" w14:textId="77777777" w:rsidR="005A3418" w:rsidRPr="00D36673" w:rsidRDefault="005A3418" w:rsidP="003724FA">
      <w:r w:rsidRPr="00D36673">
        <w:lastRenderedPageBreak/>
        <w:t xml:space="preserve">Because the analysis is conducted using sentence dates, rather than offence dates, case consolidation should not artificially inflate reoffending numbers. However, it may affect the proportion of offenders whose index threat offence is categorised as family violence-related, because a family violence indicator in any component case is applied to the whole consolidated case.  </w:t>
      </w:r>
    </w:p>
    <w:p w14:paraId="4887F131" w14:textId="77777777" w:rsidR="005A3418" w:rsidRPr="00D36673" w:rsidRDefault="005A3418" w:rsidP="00222B32">
      <w:pPr>
        <w:pStyle w:val="Heading1"/>
        <w:pageBreakBefore/>
      </w:pPr>
      <w:bookmarkStart w:id="16" w:name="_Toc75445789"/>
      <w:r w:rsidRPr="00D36673">
        <w:lastRenderedPageBreak/>
        <w:t>Glossary</w:t>
      </w:r>
      <w:bookmarkEnd w:id="16"/>
    </w:p>
    <w:p w14:paraId="0B48C4A5" w14:textId="4C870C45" w:rsidR="007E6020" w:rsidRPr="00D36673" w:rsidRDefault="007E6020" w:rsidP="003724FA">
      <w:r w:rsidRPr="00203831">
        <w:rPr>
          <w:rStyle w:val="Strong"/>
        </w:rPr>
        <w:t>Accused:</w:t>
      </w:r>
      <w:r>
        <w:rPr>
          <w:rStyle w:val="Strong"/>
        </w:rPr>
        <w:t xml:space="preserve"> </w:t>
      </w:r>
      <w:r w:rsidRPr="00D36673">
        <w:t>A person who is charged with a criminal offence.</w:t>
      </w:r>
    </w:p>
    <w:p w14:paraId="01ACA40B" w14:textId="73EEA182" w:rsidR="007E6020" w:rsidRPr="00D36673" w:rsidRDefault="007E6020" w:rsidP="003724FA">
      <w:r w:rsidRPr="00203831">
        <w:rPr>
          <w:rStyle w:val="Strong"/>
        </w:rPr>
        <w:t>Adjourned undertaking:</w:t>
      </w:r>
      <w:r>
        <w:rPr>
          <w:rStyle w:val="Strong"/>
        </w:rPr>
        <w:t xml:space="preserve"> </w:t>
      </w:r>
      <w:r w:rsidRPr="00D36673">
        <w:t xml:space="preserve">A sentencing order for which the court adjourns a proceeding for up to five years after the offender gives an undertaking with conditions. If the offender complies with the conditions of the undertaking, when the proceeding is heard the court must discharge the offender. If the offender does not comply, they may be brought back before the court for sentencing. </w:t>
      </w:r>
    </w:p>
    <w:p w14:paraId="571DF304" w14:textId="24B6EE64" w:rsidR="007E6020" w:rsidRPr="00D36673" w:rsidRDefault="007E6020" w:rsidP="003724FA">
      <w:r w:rsidRPr="00203831">
        <w:rPr>
          <w:rStyle w:val="Strong"/>
        </w:rPr>
        <w:t>Aggregate sentence:</w:t>
      </w:r>
      <w:r>
        <w:rPr>
          <w:rStyle w:val="Strong"/>
        </w:rPr>
        <w:t xml:space="preserve"> </w:t>
      </w:r>
      <w:r w:rsidRPr="00D36673">
        <w:t>A single sentence imposed on multiple charges in one case. The value of an aggregate sentence (for example, length of imprisonment term or fine amount) relates to at least two charges sentenced in the same case. The individual sentence for each charge is not specified.</w:t>
      </w:r>
    </w:p>
    <w:p w14:paraId="3300C310" w14:textId="18E4370A" w:rsidR="007E6020" w:rsidRPr="00D36673" w:rsidRDefault="007E6020" w:rsidP="003724FA">
      <w:r w:rsidRPr="00203831">
        <w:rPr>
          <w:rStyle w:val="Strong"/>
        </w:rPr>
        <w:t>Case:</w:t>
      </w:r>
      <w:r>
        <w:rPr>
          <w:rStyle w:val="Strong"/>
        </w:rPr>
        <w:t xml:space="preserve"> </w:t>
      </w:r>
      <w:r w:rsidRPr="00D36673">
        <w:t>In this report, one or more charges against a person that are sentenced or diverted at one hearing.</w:t>
      </w:r>
    </w:p>
    <w:p w14:paraId="3F4808CA" w14:textId="062043C4" w:rsidR="007E6020" w:rsidRPr="00D36673" w:rsidRDefault="007E6020" w:rsidP="003724FA">
      <w:r w:rsidRPr="00203831">
        <w:rPr>
          <w:rStyle w:val="Strong"/>
        </w:rPr>
        <w:t>Charge:</w:t>
      </w:r>
      <w:r>
        <w:rPr>
          <w:rStyle w:val="Strong"/>
        </w:rPr>
        <w:t xml:space="preserve"> </w:t>
      </w:r>
      <w:r w:rsidRPr="00D36673">
        <w:t>In this report, a single count of an offence.</w:t>
      </w:r>
    </w:p>
    <w:p w14:paraId="49860E44" w14:textId="1ED47479" w:rsidR="007E6020" w:rsidRPr="00D36673" w:rsidRDefault="007E6020" w:rsidP="003724FA">
      <w:r w:rsidRPr="00203831">
        <w:rPr>
          <w:rStyle w:val="Strong"/>
        </w:rPr>
        <w:t>Community correction order:</w:t>
      </w:r>
      <w:r>
        <w:rPr>
          <w:rStyle w:val="Strong"/>
        </w:rPr>
        <w:t xml:space="preserve"> </w:t>
      </w:r>
      <w:r w:rsidRPr="00D36673">
        <w:t>A sentencing order, available since 16 January 2012, that may require the offender to comply with a range of conditions, including unpaid community work, treatment, supervision, curfews and restrictions on the offender’s movements and associates.</w:t>
      </w:r>
    </w:p>
    <w:p w14:paraId="36DE1B39" w14:textId="5784F742" w:rsidR="007E6020" w:rsidRPr="00D36673" w:rsidRDefault="007E6020" w:rsidP="003724FA">
      <w:r w:rsidRPr="00203831">
        <w:rPr>
          <w:rStyle w:val="Strong"/>
        </w:rPr>
        <w:t>Criminogenic needs:</w:t>
      </w:r>
      <w:r>
        <w:rPr>
          <w:rStyle w:val="Strong"/>
        </w:rPr>
        <w:t xml:space="preserve"> </w:t>
      </w:r>
      <w:r w:rsidRPr="00D36673">
        <w:t>Needs, problems or issues that contribute to the likelihood that a person will criminally offend. These often include vulnerabilities like poverty, homelessness, addiction, neurodisability and a history of trauma.</w:t>
      </w:r>
    </w:p>
    <w:p w14:paraId="01C72F5B" w14:textId="230E8CC0" w:rsidR="007E6020" w:rsidRPr="00D36673" w:rsidRDefault="007E6020" w:rsidP="003724FA">
      <w:r w:rsidRPr="00203831">
        <w:rPr>
          <w:rStyle w:val="Strong"/>
        </w:rPr>
        <w:t>Custodial sentence:</w:t>
      </w:r>
      <w:r>
        <w:rPr>
          <w:rStyle w:val="Strong"/>
        </w:rPr>
        <w:t xml:space="preserve"> </w:t>
      </w:r>
      <w:r w:rsidRPr="00D36673">
        <w:t>In this report, a general term for a sentence that deprives the offender of their liberty by holding them in a facility.</w:t>
      </w:r>
    </w:p>
    <w:p w14:paraId="51705AC6" w14:textId="003A5933" w:rsidR="007E6020" w:rsidRPr="00D36673" w:rsidRDefault="007E6020" w:rsidP="003724FA">
      <w:r w:rsidRPr="00203831">
        <w:rPr>
          <w:rStyle w:val="Strong"/>
        </w:rPr>
        <w:t>Discharge:</w:t>
      </w:r>
      <w:r>
        <w:rPr>
          <w:rStyle w:val="Strong"/>
        </w:rPr>
        <w:t xml:space="preserve"> </w:t>
      </w:r>
      <w:r w:rsidRPr="00D36673">
        <w:t>An order dismissing a proven charge without recording a conviction or imposing a penalty.</w:t>
      </w:r>
    </w:p>
    <w:p w14:paraId="5E5737EB" w14:textId="597CBCE3" w:rsidR="007E6020" w:rsidRPr="00D36673" w:rsidRDefault="007E6020" w:rsidP="003724FA">
      <w:r w:rsidRPr="00203831">
        <w:rPr>
          <w:rStyle w:val="Strong"/>
        </w:rPr>
        <w:lastRenderedPageBreak/>
        <w:t>Dismissal:</w:t>
      </w:r>
      <w:r>
        <w:rPr>
          <w:rStyle w:val="Strong"/>
        </w:rPr>
        <w:t xml:space="preserve"> </w:t>
      </w:r>
      <w:r w:rsidRPr="00D36673">
        <w:t>An order unconditionally releasing an offender after a conviction has been recorded, but without further penalty.</w:t>
      </w:r>
    </w:p>
    <w:p w14:paraId="530928FB" w14:textId="2167359F" w:rsidR="007E6020" w:rsidRPr="00D36673" w:rsidRDefault="007E6020" w:rsidP="003724FA">
      <w:r w:rsidRPr="00203831">
        <w:rPr>
          <w:rStyle w:val="Strong"/>
        </w:rPr>
        <w:t>Fine:</w:t>
      </w:r>
      <w:r>
        <w:rPr>
          <w:rStyle w:val="Strong"/>
        </w:rPr>
        <w:t xml:space="preserve"> </w:t>
      </w:r>
      <w:r w:rsidRPr="00D36673">
        <w:t>A sentence that requires an offender to pay a sum of money to the state.</w:t>
      </w:r>
    </w:p>
    <w:p w14:paraId="217613A1" w14:textId="0F80DEDE" w:rsidR="007E6020" w:rsidRPr="00D36673" w:rsidRDefault="007E6020" w:rsidP="003724FA">
      <w:r w:rsidRPr="00203831">
        <w:rPr>
          <w:rStyle w:val="Strong"/>
        </w:rPr>
        <w:t>Higher courts:</w:t>
      </w:r>
      <w:r>
        <w:rPr>
          <w:rStyle w:val="Strong"/>
        </w:rPr>
        <w:t xml:space="preserve"> </w:t>
      </w:r>
      <w:r w:rsidRPr="00D36673">
        <w:t>In this report, the County Court of Victoria and the Supreme Court of Victoria.</w:t>
      </w:r>
    </w:p>
    <w:p w14:paraId="49DBD749" w14:textId="5DF2B6C6" w:rsidR="007E6020" w:rsidRPr="00D36673" w:rsidRDefault="007E6020" w:rsidP="003724FA">
      <w:r w:rsidRPr="00203831">
        <w:rPr>
          <w:rStyle w:val="Strong"/>
        </w:rPr>
        <w:t>Homicide:</w:t>
      </w:r>
      <w:r>
        <w:rPr>
          <w:rStyle w:val="Strong"/>
        </w:rPr>
        <w:t xml:space="preserve"> </w:t>
      </w:r>
      <w:r w:rsidRPr="00D36673">
        <w:t xml:space="preserve">An offence that involves killing a person. In this report, the homicide category (discussed at [7.15]) includes murder, attempted murder and manslaughter, but it excludes driving causing death. </w:t>
      </w:r>
    </w:p>
    <w:p w14:paraId="11DEF685" w14:textId="435AB8C0" w:rsidR="007E6020" w:rsidRPr="00D36673" w:rsidRDefault="007E6020" w:rsidP="003724FA">
      <w:r w:rsidRPr="00203831">
        <w:rPr>
          <w:rStyle w:val="Strong"/>
        </w:rPr>
        <w:t>Inchoate offence:</w:t>
      </w:r>
      <w:r>
        <w:rPr>
          <w:rStyle w:val="Strong"/>
        </w:rPr>
        <w:t xml:space="preserve"> </w:t>
      </w:r>
      <w:r w:rsidRPr="00D36673">
        <w:t xml:space="preserve">An offence that involves preparation for, or steps towards, committing an offence. Attempts and conspiracy are examples of inchoate offences. </w:t>
      </w:r>
    </w:p>
    <w:p w14:paraId="31A40E7B" w14:textId="48E664EF" w:rsidR="007E6020" w:rsidRPr="00D36673" w:rsidRDefault="007E6020" w:rsidP="003724FA">
      <w:r w:rsidRPr="00203831">
        <w:rPr>
          <w:rStyle w:val="Strong"/>
        </w:rPr>
        <w:t>Index threat offence:</w:t>
      </w:r>
      <w:r>
        <w:rPr>
          <w:rStyle w:val="Strong"/>
        </w:rPr>
        <w:t xml:space="preserve"> </w:t>
      </w:r>
      <w:r w:rsidRPr="00D36673">
        <w:t xml:space="preserve">The threat offence that led to the offender being included in the report or in the reoffending study (see Chapter 8). Prior and subsequent offending are measured three years before and after the date of the index threat offence.  </w:t>
      </w:r>
    </w:p>
    <w:p w14:paraId="7DCC4711" w14:textId="0E24A1F3" w:rsidR="007E6020" w:rsidRPr="00D36673" w:rsidRDefault="007E6020" w:rsidP="003724FA">
      <w:r w:rsidRPr="00203831">
        <w:rPr>
          <w:rStyle w:val="Strong"/>
        </w:rPr>
        <w:t>Principal proven offence:</w:t>
      </w:r>
      <w:r w:rsidR="002C2CA7">
        <w:rPr>
          <w:rStyle w:val="Strong"/>
        </w:rPr>
        <w:t xml:space="preserve"> </w:t>
      </w:r>
      <w:r w:rsidRPr="00D36673">
        <w:t>The most serious offence for which an offender is sentenced at one hearing. In this report, the principal proven offence is determined using in order of priority: the sentencing outcomes and lengths imposed for each charge in the case; if those are equal, the maximum penalties; if those are equal, the National Offence Index (NOI) ranking; and if those are equal, the charge number.</w:t>
      </w:r>
    </w:p>
    <w:p w14:paraId="20CF54D5" w14:textId="7C213BD7" w:rsidR="007E6020" w:rsidRPr="00D36673" w:rsidRDefault="007E6020" w:rsidP="003724FA">
      <w:r w:rsidRPr="00203831">
        <w:rPr>
          <w:rStyle w:val="Strong"/>
        </w:rPr>
        <w:t>Prior offence:</w:t>
      </w:r>
      <w:r w:rsidR="002B19E1">
        <w:rPr>
          <w:rStyle w:val="Strong"/>
        </w:rPr>
        <w:t xml:space="preserve"> </w:t>
      </w:r>
      <w:r w:rsidRPr="00D36673">
        <w:t xml:space="preserve">An offence sentenced in the three years before the index threat offence of an offender who was part of the reoffending study (see Chapter 8). </w:t>
      </w:r>
    </w:p>
    <w:p w14:paraId="4CF63A62" w14:textId="2201B3AC" w:rsidR="007E6020" w:rsidRPr="00D36673" w:rsidRDefault="007E6020" w:rsidP="003724FA">
      <w:r w:rsidRPr="00203831">
        <w:rPr>
          <w:rStyle w:val="Strong"/>
        </w:rPr>
        <w:t>Property damage offence:</w:t>
      </w:r>
      <w:r w:rsidR="002B19E1">
        <w:rPr>
          <w:rStyle w:val="Strong"/>
        </w:rPr>
        <w:t xml:space="preserve"> </w:t>
      </w:r>
      <w:r w:rsidRPr="00D36673">
        <w:t>In this report, any offence falling under ANZSOC code 1211 or 1219, except a threat.</w:t>
      </w:r>
    </w:p>
    <w:p w14:paraId="1D2A94A0" w14:textId="36569E09" w:rsidR="007E6020" w:rsidRPr="00D36673" w:rsidRDefault="007E6020" w:rsidP="003724FA">
      <w:r w:rsidRPr="00203831">
        <w:rPr>
          <w:rStyle w:val="Strong"/>
        </w:rPr>
        <w:lastRenderedPageBreak/>
        <w:t>Pure threat:</w:t>
      </w:r>
      <w:r w:rsidR="002B19E1">
        <w:rPr>
          <w:rStyle w:val="Strong"/>
        </w:rPr>
        <w:t xml:space="preserve"> </w:t>
      </w:r>
      <w:r w:rsidRPr="00D36673">
        <w:t>In this report, a threat offence in which a threat is made against an individual, the victim need not have a specific status, and the threat is the whole substantive offence (rather than an element of an offence with additional elements such as extortion with threat). Pure threat offences include threat to kill, threat to inflict serious injury, threat to destroy or damage property and threat to commit a sexual offence.</w:t>
      </w:r>
    </w:p>
    <w:p w14:paraId="05947B7F" w14:textId="33F97CDD" w:rsidR="007E6020" w:rsidRPr="00D36673" w:rsidRDefault="007E6020" w:rsidP="003724FA">
      <w:r w:rsidRPr="00203831">
        <w:rPr>
          <w:rStyle w:val="Strong"/>
        </w:rPr>
        <w:t>Recorded offence:</w:t>
      </w:r>
      <w:r w:rsidR="002B19E1">
        <w:rPr>
          <w:rStyle w:val="Strong"/>
        </w:rPr>
        <w:t xml:space="preserve"> </w:t>
      </w:r>
      <w:r w:rsidRPr="00D36673">
        <w:t xml:space="preserve">An alleged offence recorded by police. </w:t>
      </w:r>
    </w:p>
    <w:p w14:paraId="2C52618C" w14:textId="0537E99A" w:rsidR="007E6020" w:rsidRPr="00D36673" w:rsidRDefault="007E6020" w:rsidP="003724FA">
      <w:r w:rsidRPr="00203831">
        <w:rPr>
          <w:rStyle w:val="Strong"/>
        </w:rPr>
        <w:t>Reference period:</w:t>
      </w:r>
      <w:r w:rsidR="002B19E1">
        <w:rPr>
          <w:rStyle w:val="Strong"/>
        </w:rPr>
        <w:t xml:space="preserve"> </w:t>
      </w:r>
      <w:r w:rsidRPr="00D36673">
        <w:t>In this report, 1 January 2015 to 31 December 2019.</w:t>
      </w:r>
    </w:p>
    <w:p w14:paraId="6F750A5A" w14:textId="4D097F14" w:rsidR="007E6020" w:rsidRPr="00D36673" w:rsidRDefault="007E6020" w:rsidP="003724FA">
      <w:r w:rsidRPr="00203831">
        <w:rPr>
          <w:rStyle w:val="Strong"/>
        </w:rPr>
        <w:t>Subsequent offence:</w:t>
      </w:r>
      <w:r w:rsidR="002B19E1">
        <w:rPr>
          <w:rStyle w:val="Strong"/>
        </w:rPr>
        <w:t xml:space="preserve"> </w:t>
      </w:r>
      <w:r w:rsidRPr="00D36673">
        <w:t>An offence sentenced in the three years after the index threat offence.</w:t>
      </w:r>
    </w:p>
    <w:p w14:paraId="781B1E5F" w14:textId="005CFCB5" w:rsidR="007E6020" w:rsidRPr="00D36673" w:rsidRDefault="007E6020" w:rsidP="003724FA">
      <w:r w:rsidRPr="00203831">
        <w:rPr>
          <w:rStyle w:val="Strong"/>
        </w:rPr>
        <w:t>Substantive offence:</w:t>
      </w:r>
      <w:r w:rsidR="002B19E1">
        <w:rPr>
          <w:rStyle w:val="Strong"/>
        </w:rPr>
        <w:t xml:space="preserve"> </w:t>
      </w:r>
      <w:r w:rsidRPr="00D36673">
        <w:t xml:space="preserve">In this report, the offence that would occur if a threat were carried out. For example, the substantive offence related to a threat to kill is homicide. </w:t>
      </w:r>
    </w:p>
    <w:p w14:paraId="43691022" w14:textId="0A576873" w:rsidR="007E6020" w:rsidRPr="00D36673" w:rsidRDefault="007E6020" w:rsidP="003724FA">
      <w:r w:rsidRPr="00203831">
        <w:rPr>
          <w:rStyle w:val="Strong"/>
        </w:rPr>
        <w:t>Threat offender:</w:t>
      </w:r>
      <w:r w:rsidR="002B19E1">
        <w:rPr>
          <w:rStyle w:val="Strong"/>
        </w:rPr>
        <w:t xml:space="preserve"> </w:t>
      </w:r>
      <w:r w:rsidRPr="00D36673">
        <w:t>An offender who was sentenced for a threat offence during the reference period.</w:t>
      </w:r>
    </w:p>
    <w:p w14:paraId="309CB84D" w14:textId="564EBC33" w:rsidR="007E6020" w:rsidRPr="00D36673" w:rsidRDefault="007E6020" w:rsidP="003724FA">
      <w:r w:rsidRPr="00203831">
        <w:rPr>
          <w:rStyle w:val="Strong"/>
        </w:rPr>
        <w:t>Violent offence:</w:t>
      </w:r>
      <w:r w:rsidR="002B19E1">
        <w:rPr>
          <w:rStyle w:val="Strong"/>
        </w:rPr>
        <w:t xml:space="preserve"> </w:t>
      </w:r>
      <w:r w:rsidRPr="00D36673">
        <w:t xml:space="preserve">In this report, any offence falling under ANZSOC subdivision code 021, except a threat. </w:t>
      </w:r>
    </w:p>
    <w:p w14:paraId="596F84C5" w14:textId="77777777" w:rsidR="005A3418" w:rsidRPr="00D36673" w:rsidRDefault="005A3418" w:rsidP="00222B32">
      <w:pPr>
        <w:pStyle w:val="Heading1"/>
        <w:pageBreakBefore/>
      </w:pPr>
      <w:bookmarkStart w:id="17" w:name="_Toc75445790"/>
      <w:r w:rsidRPr="00D36673">
        <w:lastRenderedPageBreak/>
        <w:t>References</w:t>
      </w:r>
      <w:bookmarkEnd w:id="17"/>
    </w:p>
    <w:p w14:paraId="26454C84" w14:textId="77777777" w:rsidR="005A3418" w:rsidRPr="00D36673" w:rsidRDefault="005A3418" w:rsidP="0086723D">
      <w:pPr>
        <w:pStyle w:val="Heading2"/>
      </w:pPr>
      <w:r w:rsidRPr="00D36673">
        <w:t>Bibliography</w:t>
      </w:r>
    </w:p>
    <w:p w14:paraId="4B951A5A" w14:textId="77777777" w:rsidR="005A3418" w:rsidRPr="00D36673" w:rsidRDefault="005A3418" w:rsidP="003724FA">
      <w:r w:rsidRPr="00D36673">
        <w:t xml:space="preserve">Alldridge, Peter, ‘Threats Offences: A Case for Reform’ (1994) 8 </w:t>
      </w:r>
      <w:r w:rsidRPr="00A24E18">
        <w:rPr>
          <w:rStyle w:val="Emphasis"/>
        </w:rPr>
        <w:t xml:space="preserve">Criminal Law Review </w:t>
      </w:r>
      <w:r w:rsidRPr="00D36673">
        <w:t>176.</w:t>
      </w:r>
    </w:p>
    <w:p w14:paraId="3220C397" w14:textId="77777777" w:rsidR="005A3418" w:rsidRPr="00D36673" w:rsidRDefault="005A3418" w:rsidP="003724FA">
      <w:r w:rsidRPr="00D36673">
        <w:t xml:space="preserve">Andersen, Lars Peter, Annie Hogh, Ask Elklit, Johan Hviid Andersen and Karin Biering, ‘Work-Related Threats and Post-Traumatic Symptoms in Four High-Risk Occupations: Short- and Long-Term Symptoms’ (2019) 92(2) </w:t>
      </w:r>
      <w:r w:rsidRPr="00A24E18">
        <w:rPr>
          <w:rStyle w:val="Emphasis"/>
        </w:rPr>
        <w:t xml:space="preserve">International Archives of Occupational and Environmental Health </w:t>
      </w:r>
      <w:r w:rsidRPr="00D36673">
        <w:t>195, 203–204.</w:t>
      </w:r>
    </w:p>
    <w:p w14:paraId="2DFC49FA" w14:textId="77777777" w:rsidR="005A3418" w:rsidRPr="00D36673" w:rsidRDefault="005A3418" w:rsidP="003724FA">
      <w:r w:rsidRPr="00D36673">
        <w:t xml:space="preserve">Australian Bureau of Statistics, </w:t>
      </w:r>
      <w:r w:rsidRPr="00A24E18">
        <w:rPr>
          <w:rStyle w:val="Emphasis"/>
        </w:rPr>
        <w:t>Australian and New Zealand Standard Offence Classification (ANZSOC)</w:t>
      </w:r>
      <w:r w:rsidRPr="00D36673">
        <w:t>, cat. no. 1234.0 (2011) &lt;https://www.abs.gov.au/ausstats/abs@.nsf/mf/1234.0&gt;.</w:t>
      </w:r>
    </w:p>
    <w:p w14:paraId="42AED8A8" w14:textId="77777777" w:rsidR="005A3418" w:rsidRPr="00D36673" w:rsidRDefault="005A3418" w:rsidP="003724FA">
      <w:r w:rsidRPr="00D36673">
        <w:t xml:space="preserve">Australian Bureau of Statistics, </w:t>
      </w:r>
      <w:r w:rsidRPr="00A24E18">
        <w:rPr>
          <w:rStyle w:val="Emphasis"/>
        </w:rPr>
        <w:t xml:space="preserve">Personal Safety, Australia </w:t>
      </w:r>
      <w:r w:rsidRPr="00D36673">
        <w:t>(2016), ‘Experience of Violence’ &lt;https://www.abs.gov.au/statistics/people/crime-and-justice/personal-safety-australia/latest-release#experience-of-violence&gt;.</w:t>
      </w:r>
    </w:p>
    <w:p w14:paraId="48BA80E5" w14:textId="77777777" w:rsidR="005A3418" w:rsidRPr="00D36673" w:rsidRDefault="005A3418" w:rsidP="003724FA">
      <w:r w:rsidRPr="00D36673">
        <w:t xml:space="preserve">Beatton, Tony, Michael P. Kidd and Stephen Machin, ‘Gender Crime Convergence Over Twenty Years: Evidence from Australia’ (2018) 109 </w:t>
      </w:r>
      <w:r w:rsidRPr="00A24E18">
        <w:rPr>
          <w:rStyle w:val="Emphasis"/>
        </w:rPr>
        <w:t xml:space="preserve">European Economic Review </w:t>
      </w:r>
      <w:r w:rsidRPr="00D36673">
        <w:t>275.</w:t>
      </w:r>
    </w:p>
    <w:p w14:paraId="35EF9F31" w14:textId="77777777" w:rsidR="005A3418" w:rsidRPr="00D36673" w:rsidRDefault="005A3418" w:rsidP="003724FA">
      <w:r w:rsidRPr="00D36673">
        <w:t xml:space="preserve">Bowles, Roger, Maria G. Reyes and Nuno Garoupa, ‘Crime Reporting Decisions and the Costs of Crime’ (2009) 15(4) </w:t>
      </w:r>
      <w:r w:rsidRPr="00A24E18">
        <w:rPr>
          <w:rStyle w:val="Emphasis"/>
        </w:rPr>
        <w:t xml:space="preserve">European Journal on Criminal Policy and Research </w:t>
      </w:r>
      <w:r w:rsidRPr="00D36673">
        <w:t>365.</w:t>
      </w:r>
    </w:p>
    <w:p w14:paraId="44BAF803" w14:textId="77777777" w:rsidR="005A3418" w:rsidRPr="00D36673" w:rsidRDefault="005A3418" w:rsidP="003724FA">
      <w:r w:rsidRPr="00D36673">
        <w:t xml:space="preserve">Campbell, Elena, Jessica Richter, Jo Howard and Helen Cockburn, </w:t>
      </w:r>
      <w:r w:rsidRPr="00A24E18">
        <w:rPr>
          <w:rStyle w:val="Emphasis"/>
        </w:rPr>
        <w:t>The PIPA Project: Positive Interventions for Perpetrators of Adolescent Violence in the Home (AVITH)</w:t>
      </w:r>
      <w:r w:rsidRPr="00D36673">
        <w:t>, ANROWS Research Report Issue 4</w:t>
      </w:r>
      <w:r w:rsidRPr="00A24E18">
        <w:rPr>
          <w:rStyle w:val="Emphasis"/>
        </w:rPr>
        <w:t xml:space="preserve"> </w:t>
      </w:r>
      <w:r w:rsidRPr="00D36673">
        <w:t>(ANROWS, 2020) &lt;https://www.anrows.org.au/publication/the-pipa-project-positive-interventions-for-perpetrators-of-adolescent-violence-in-the-home-avith/&gt;.</w:t>
      </w:r>
    </w:p>
    <w:p w14:paraId="53C9636E" w14:textId="77777777" w:rsidR="005A3418" w:rsidRPr="00D36673" w:rsidRDefault="005A3418" w:rsidP="003724FA">
      <w:r w:rsidRPr="00D36673">
        <w:lastRenderedPageBreak/>
        <w:t xml:space="preserve">Cauffman, Elizabeth, Kathryn C. Monahan and April Gile Thomas, ‘Pathways to Persistence: Female Offending from 14 to 25’ (2015) 1(3) </w:t>
      </w:r>
      <w:r w:rsidRPr="00A24E18">
        <w:rPr>
          <w:rStyle w:val="Emphasis"/>
        </w:rPr>
        <w:t xml:space="preserve">Journal of Developmental and Life-Course Criminology </w:t>
      </w:r>
      <w:r w:rsidRPr="00D36673">
        <w:t>236.</w:t>
      </w:r>
    </w:p>
    <w:p w14:paraId="6FF852B7" w14:textId="77777777" w:rsidR="005A3418" w:rsidRPr="00D36673" w:rsidRDefault="005A3418" w:rsidP="003724FA">
      <w:r w:rsidRPr="00D36673">
        <w:t xml:space="preserve">Corrections Victoria, </w:t>
      </w:r>
      <w:r w:rsidRPr="00A24E18">
        <w:rPr>
          <w:rStyle w:val="Emphasis"/>
        </w:rPr>
        <w:t xml:space="preserve">Strengthening Connections: Women’s Policy for the Victorian Corrections System </w:t>
      </w:r>
      <w:r w:rsidRPr="00D36673">
        <w:t>(2017) &lt;https://www.corrections.vic.gov.au/strengthening-connections-womens-policy-for-the-victorian-corrections-system&gt;.</w:t>
      </w:r>
    </w:p>
    <w:p w14:paraId="248A3BEE" w14:textId="77777777" w:rsidR="005A3418" w:rsidRPr="00D36673" w:rsidRDefault="005A3418" w:rsidP="003724FA">
      <w:r w:rsidRPr="00D36673">
        <w:t xml:space="preserve">Corrections Victoria, </w:t>
      </w:r>
      <w:r w:rsidRPr="00A24E18">
        <w:rPr>
          <w:rStyle w:val="Emphasis"/>
        </w:rPr>
        <w:t xml:space="preserve">Women in The Victorian Prison System </w:t>
      </w:r>
      <w:r w:rsidRPr="00D36673">
        <w:t>(2019) &lt;https://www.corrections.vic.gov.au/women-in-the-victorian-prison-system&gt;.</w:t>
      </w:r>
    </w:p>
    <w:p w14:paraId="6629E044" w14:textId="77777777" w:rsidR="005A3418" w:rsidRPr="00D36673" w:rsidRDefault="005A3418" w:rsidP="003724FA">
      <w:r w:rsidRPr="00D36673">
        <w:t xml:space="preserve">Crime Statistics Agency, ‘Family Violence Data Portal: Victoria Police’ (crimestatistics.vic.gov.au, 2021), Table Other Parties’ &lt;https://www.crimestatistics.vic.gov.au/family-violence-data-portal/family-violence-data-dashboard/victoria-police&gt;. </w:t>
      </w:r>
    </w:p>
    <w:p w14:paraId="6F8D837E" w14:textId="77777777" w:rsidR="005A3418" w:rsidRPr="00D36673" w:rsidRDefault="005A3418" w:rsidP="003724FA">
      <w:r w:rsidRPr="00D36673">
        <w:t xml:space="preserve">Flowers, Caroline, Belinda Winder and Karen Slade, ‘Identifying the Characteristics Associated with Intimate Partner Stalking: A Mixed Methods Structured Review and Narrative Synthesis’ (2020) 31(6) </w:t>
      </w:r>
      <w:r w:rsidRPr="00A24E18">
        <w:rPr>
          <w:rStyle w:val="Emphasis"/>
        </w:rPr>
        <w:t xml:space="preserve">The Journal of Forensic Psychiatry &amp; Psychology </w:t>
      </w:r>
      <w:r w:rsidRPr="00D36673">
        <w:t>889.</w:t>
      </w:r>
    </w:p>
    <w:p w14:paraId="22FA5D1B" w14:textId="77777777" w:rsidR="005A3418" w:rsidRPr="00D36673" w:rsidRDefault="005A3418" w:rsidP="003724FA">
      <w:r w:rsidRPr="00D36673">
        <w:t xml:space="preserve">Freckelton, Ian, and Kerryn Cockroft, </w:t>
      </w:r>
      <w:r w:rsidRPr="00A24E18">
        <w:rPr>
          <w:rStyle w:val="Emphasis"/>
        </w:rPr>
        <w:t xml:space="preserve">Indictable Offences in Victoria </w:t>
      </w:r>
      <w:r w:rsidRPr="00D36673">
        <w:t>(7th ed., Thomson Reuters, 2020).</w:t>
      </w:r>
    </w:p>
    <w:p w14:paraId="79D290AC" w14:textId="77777777" w:rsidR="005A3418" w:rsidRPr="00D36673" w:rsidRDefault="005A3418" w:rsidP="003724FA">
      <w:r w:rsidRPr="00D36673">
        <w:t xml:space="preserve">Friborg, Oddgeir, Nina Emaus, Jan H. Rosenvinge, Unni Bilden, Jan Abel Olsen and Gunn Pettersen, ‘Violence Affects Physical and Mental Health Differently: The General Population Based Tromso Study’ (2015) </w:t>
      </w:r>
      <w:r w:rsidRPr="00A24E18">
        <w:rPr>
          <w:rStyle w:val="Emphasis"/>
        </w:rPr>
        <w:t>PLoS One</w:t>
      </w:r>
      <w:r w:rsidRPr="00D36673">
        <w:t xml:space="preserve"> (DOI 10.1371/journal.pone.0136588) &lt;https://journals.plos.org/plosone/article?id=10.1371/journal.pone.0136588&gt;.</w:t>
      </w:r>
    </w:p>
    <w:p w14:paraId="1E051BB6" w14:textId="77777777" w:rsidR="005A3418" w:rsidRPr="00D36673" w:rsidRDefault="005A3418" w:rsidP="003724FA">
      <w:r w:rsidRPr="00D36673">
        <w:t xml:space="preserve">Horder, Jeremy, </w:t>
      </w:r>
      <w:r w:rsidRPr="00A24E18">
        <w:rPr>
          <w:rStyle w:val="Emphasis"/>
        </w:rPr>
        <w:t xml:space="preserve">Ashworth’s Principles of Criminal Law </w:t>
      </w:r>
      <w:r w:rsidRPr="00D36673">
        <w:t>(9th ed., Oxford University Press, 2019).</w:t>
      </w:r>
    </w:p>
    <w:p w14:paraId="4504C718" w14:textId="77777777" w:rsidR="005A3418" w:rsidRPr="00D36673" w:rsidRDefault="005A3418" w:rsidP="003724FA">
      <w:r w:rsidRPr="00D36673">
        <w:lastRenderedPageBreak/>
        <w:t xml:space="preserve">Judicial College of Victoria, </w:t>
      </w:r>
      <w:r w:rsidRPr="00A24E18">
        <w:rPr>
          <w:rStyle w:val="Emphasis"/>
        </w:rPr>
        <w:t xml:space="preserve">Criminal Charge Book </w:t>
      </w:r>
      <w:r w:rsidRPr="00D36673">
        <w:t xml:space="preserve">(Judicial College of Victoria, 2007–) &lt;https://www.judicialcollege.vic.edu.au/eManuals/CCB/index.htm&gt;. </w:t>
      </w:r>
    </w:p>
    <w:p w14:paraId="6356C37A" w14:textId="77777777" w:rsidR="005A3418" w:rsidRPr="00D36673" w:rsidRDefault="005A3418" w:rsidP="003724FA">
      <w:r w:rsidRPr="00D36673">
        <w:t xml:space="preserve">Logan, T.K., ‘Examining Stalking Experiences and Outcomes for Men and Women Stalked by (Ex)partners and Non-partners’ (2020) 35(3) </w:t>
      </w:r>
      <w:r w:rsidRPr="00A24E18">
        <w:rPr>
          <w:rStyle w:val="Emphasis"/>
        </w:rPr>
        <w:t xml:space="preserve">Journal of Family Violence </w:t>
      </w:r>
      <w:r w:rsidRPr="00D36673">
        <w:t>729,</w:t>
      </w:r>
    </w:p>
    <w:p w14:paraId="1295FE68" w14:textId="77777777" w:rsidR="005A3418" w:rsidRPr="00D36673" w:rsidRDefault="005A3418" w:rsidP="003724FA">
      <w:r w:rsidRPr="00D36673">
        <w:t xml:space="preserve">McEwan, Troy E., Michael Daffern, Rachel D. Mackenzie and James R.P. Ogloff, ‘Risk Factors for Stalking Violence, Persistence, and Recurrence’ (2017) 28(1) </w:t>
      </w:r>
      <w:r w:rsidRPr="00A24E18">
        <w:rPr>
          <w:rStyle w:val="Emphasis"/>
        </w:rPr>
        <w:t xml:space="preserve">Journal of Forensic Psychiatry &amp; Psychology </w:t>
      </w:r>
      <w:r w:rsidRPr="00D36673">
        <w:t>38.</w:t>
      </w:r>
    </w:p>
    <w:p w14:paraId="1F4DA284" w14:textId="77777777" w:rsidR="005A3418" w:rsidRPr="00D36673" w:rsidRDefault="005A3418" w:rsidP="003724FA">
      <w:r w:rsidRPr="00D36673">
        <w:t xml:space="preserve">McEwan, Troy E., Michele Pathé and James R.P. Ogloff, ‘Advances in Stalking Risk Assessment’ (2011) 29(2) </w:t>
      </w:r>
      <w:r w:rsidRPr="00A24E18">
        <w:rPr>
          <w:rStyle w:val="Emphasis"/>
        </w:rPr>
        <w:t xml:space="preserve">Behavioural Sciences and the Law </w:t>
      </w:r>
      <w:r w:rsidRPr="00D36673">
        <w:t>180.</w:t>
      </w:r>
    </w:p>
    <w:p w14:paraId="0060676A" w14:textId="77777777" w:rsidR="005A3418" w:rsidRPr="00D36673" w:rsidRDefault="005A3418" w:rsidP="003724FA">
      <w:r w:rsidRPr="00D36673">
        <w:t xml:space="preserve">McEwan, Troy E., Rachel D MacKenzie, Paul E. Mullen and David V. James, ‘Approach and Escalation in Stalking’ (2012) 23(3) </w:t>
      </w:r>
      <w:r w:rsidRPr="00A24E18">
        <w:rPr>
          <w:rStyle w:val="Emphasis"/>
        </w:rPr>
        <w:t xml:space="preserve">Journal of Forensic Psychiatry &amp; Psychology </w:t>
      </w:r>
      <w:r w:rsidRPr="00D36673">
        <w:t>392.</w:t>
      </w:r>
    </w:p>
    <w:p w14:paraId="0D6C0F99" w14:textId="77777777" w:rsidR="005A3418" w:rsidRPr="00D36673" w:rsidRDefault="005A3418" w:rsidP="003724FA">
      <w:r w:rsidRPr="00D36673">
        <w:t xml:space="preserve">Meloy, J. Reid, Jens Hoffmann, Karoline Roshdi, Justine Glaz-Ochik and Angela Guldimann, ‘Warning Behaviours and their Configurations Across Various Domains of Targeted Violence’ in J. Reid Meloy and Jens Hoffmann, </w:t>
      </w:r>
      <w:r w:rsidRPr="00A24E18">
        <w:rPr>
          <w:rStyle w:val="Emphasis"/>
        </w:rPr>
        <w:t xml:space="preserve">International Handbook of Threat Assessment </w:t>
      </w:r>
      <w:r w:rsidRPr="00D36673">
        <w:t>(2013) 46.</w:t>
      </w:r>
    </w:p>
    <w:p w14:paraId="059F1C01" w14:textId="77777777" w:rsidR="005A3418" w:rsidRPr="00D36673" w:rsidRDefault="005A3418" w:rsidP="003724FA">
      <w:r w:rsidRPr="00D36673">
        <w:t xml:space="preserve">Millsteed, Melanie, and Cleave McDonald, </w:t>
      </w:r>
      <w:r w:rsidRPr="00A24E18">
        <w:rPr>
          <w:rStyle w:val="Emphasis"/>
        </w:rPr>
        <w:t>Attrition of Sexual Offence Incidents Across the Victorian Criminal Justice System</w:t>
      </w:r>
      <w:r w:rsidRPr="00D36673">
        <w:t xml:space="preserve"> (2017) &lt;https://www.crimestatistics.vic.gov.au/research-and-evaluation/publications/attrition-of-sexual-offence-incidents-across-the-victorian&gt;  </w:t>
      </w:r>
    </w:p>
    <w:p w14:paraId="440215C8" w14:textId="77777777" w:rsidR="005A3418" w:rsidRPr="00D36673" w:rsidRDefault="005A3418" w:rsidP="003724FA">
      <w:r w:rsidRPr="00D36673">
        <w:t xml:space="preserve">Moeller, Kim, and Sveinung Sandberg, ‘Debts and Threats: Managing Inability to Repay Credits in Illicit Drug Distribution’ (2017) 34(2) </w:t>
      </w:r>
      <w:r w:rsidRPr="00A24E18">
        <w:rPr>
          <w:rStyle w:val="Emphasis"/>
        </w:rPr>
        <w:t xml:space="preserve">Justice Quarterly </w:t>
      </w:r>
      <w:r w:rsidRPr="00D36673">
        <w:t>272.</w:t>
      </w:r>
    </w:p>
    <w:p w14:paraId="1F0A6744" w14:textId="77777777" w:rsidR="005A3418" w:rsidRPr="00D36673" w:rsidRDefault="005A3418" w:rsidP="003724FA">
      <w:r w:rsidRPr="00D36673">
        <w:lastRenderedPageBreak/>
        <w:t xml:space="preserve">New Zealand Ministry of Justice, </w:t>
      </w:r>
      <w:r w:rsidRPr="00A24E18">
        <w:rPr>
          <w:rStyle w:val="Emphasis"/>
        </w:rPr>
        <w:t>Attrition and Progression: Reported Sexual Violence Victimisations in the Criminal Justice System</w:t>
      </w:r>
      <w:r w:rsidRPr="00D36673">
        <w:t xml:space="preserve"> (2019) &lt;https://www.justice.govt.nz/about/news-and-media/news/how-sexual-violence-cases-progress-through-the-justice-system/&gt;. </w:t>
      </w:r>
    </w:p>
    <w:p w14:paraId="6D285DF0" w14:textId="77777777" w:rsidR="005A3418" w:rsidRPr="00D36673" w:rsidRDefault="005A3418" w:rsidP="003724FA">
      <w:r w:rsidRPr="00D36673">
        <w:t xml:space="preserve">Pathé, Michèle T., Timothy Lowry, Debbie J. Haworth, Danae M. Webster, Melodie J. Mulder, Paul Winterbourne and Colin E. Briggs, ‘Assessing and Managing the Threat Posed by Fixated Persons in Australia’ (2015) 26(4) </w:t>
      </w:r>
      <w:r w:rsidRPr="00A24E18">
        <w:rPr>
          <w:rStyle w:val="Emphasis"/>
        </w:rPr>
        <w:t xml:space="preserve">The Journal of Forensic Psychiatry &amp; Psychology </w:t>
      </w:r>
      <w:r w:rsidRPr="00D36673">
        <w:t>425.</w:t>
      </w:r>
    </w:p>
    <w:p w14:paraId="40A8AFE8" w14:textId="77777777" w:rsidR="005A3418" w:rsidRPr="00D36673" w:rsidRDefault="005A3418" w:rsidP="003724FA">
      <w:r w:rsidRPr="00D36673">
        <w:t xml:space="preserve">Productivity Commission, </w:t>
      </w:r>
      <w:r w:rsidRPr="00A24E18">
        <w:rPr>
          <w:rStyle w:val="Emphasis"/>
        </w:rPr>
        <w:t xml:space="preserve">Report on Government Services 2021: C Justice </w:t>
      </w:r>
      <w:r w:rsidRPr="00D36673">
        <w:t>(2021) &lt;https://www.pc.gov.au/research/ongoing/report-on-government-services/2021&gt;.</w:t>
      </w:r>
    </w:p>
    <w:p w14:paraId="22712A87" w14:textId="77777777" w:rsidR="005A3418" w:rsidRPr="00D36673" w:rsidRDefault="005A3418" w:rsidP="003724FA">
      <w:r w:rsidRPr="00D36673">
        <w:t xml:space="preserve">Queensland Sentencing Advisory Council, </w:t>
      </w:r>
      <w:r w:rsidRPr="00A24E18">
        <w:rPr>
          <w:rStyle w:val="Emphasis"/>
        </w:rPr>
        <w:t xml:space="preserve">Penalties for Assaults on Public Officers </w:t>
      </w:r>
      <w:r w:rsidRPr="00D36673">
        <w:t xml:space="preserve">(Queensland Sentencing Advisory Council, 2020) &lt;https://www.sentencingcouncil.qld.gov.au/terms-of-reference/assault-public-officers&gt;. </w:t>
      </w:r>
    </w:p>
    <w:p w14:paraId="6A794F50" w14:textId="77777777" w:rsidR="005A3418" w:rsidRPr="00D36673" w:rsidRDefault="005A3418" w:rsidP="003724FA">
      <w:r w:rsidRPr="00D36673">
        <w:t xml:space="preserve">Sentencing Advisory Council, </w:t>
      </w:r>
      <w:r w:rsidRPr="00A24E18">
        <w:rPr>
          <w:rStyle w:val="Emphasis"/>
        </w:rPr>
        <w:t xml:space="preserve">Aggravated Burglary: Current Sentencing Practices </w:t>
      </w:r>
      <w:r w:rsidRPr="00D36673">
        <w:t xml:space="preserve">(Sentencing Advisory Council, 2011) &lt;https://www.sentencingcouncil.vic.gov.au/publications/aggravated-burglary-current-sentencing-practices&gt;. </w:t>
      </w:r>
    </w:p>
    <w:p w14:paraId="4AE49AD6" w14:textId="77777777" w:rsidR="005A3418" w:rsidRPr="00D36673" w:rsidRDefault="005A3418" w:rsidP="003724FA">
      <w:r w:rsidRPr="00D36673">
        <w:t xml:space="preserve">Sentencing Advisory Council, </w:t>
      </w:r>
      <w:r w:rsidRPr="00A24E18">
        <w:rPr>
          <w:rStyle w:val="Emphasis"/>
        </w:rPr>
        <w:t xml:space="preserve">Animal Cruelty Offences in Victoria </w:t>
      </w:r>
      <w:r w:rsidRPr="00D36673">
        <w:t>(Sentencing Advisory Council, 2019) &lt;https://www.sentencingcouncil.vic.gov.au/publications/animal-cruelty-offences-victoria&gt;.</w:t>
      </w:r>
    </w:p>
    <w:p w14:paraId="3F14D75D" w14:textId="77777777" w:rsidR="005A3418" w:rsidRPr="00D36673" w:rsidRDefault="005A3418" w:rsidP="003724FA">
      <w:r w:rsidRPr="00D36673">
        <w:t xml:space="preserve">Sentencing Advisory Council, </w:t>
      </w:r>
      <w:r w:rsidRPr="00A24E18">
        <w:rPr>
          <w:rStyle w:val="Emphasis"/>
        </w:rPr>
        <w:t xml:space="preserve">Children Held on Remand in Victoria </w:t>
      </w:r>
      <w:r w:rsidRPr="00D36673">
        <w:t xml:space="preserve">(Sentencing Advisory Council, 2020) &lt;https://www.sentencingcouncil.vic.gov.au/publications/children-held-on-remand-in-victoria&gt;. </w:t>
      </w:r>
    </w:p>
    <w:p w14:paraId="1D96D98A" w14:textId="77777777" w:rsidR="005A3418" w:rsidRPr="00D36673" w:rsidRDefault="005A3418" w:rsidP="003724FA">
      <w:r w:rsidRPr="00D36673">
        <w:t xml:space="preserve">Sentencing Advisory Council, </w:t>
      </w:r>
      <w:r w:rsidRPr="00A24E18">
        <w:rPr>
          <w:rStyle w:val="Emphasis"/>
        </w:rPr>
        <w:t xml:space="preserve">Contravention of Family Violence Intervention Orders and Safety Notices: Prior Offences and Reoffending </w:t>
      </w:r>
      <w:r w:rsidRPr="00D36673">
        <w:lastRenderedPageBreak/>
        <w:t>(Sentencing Advisory Council, 2016) &lt;https://www.sentencingcouncil.vic.gov.au/publications/contravention-family-violence-intervention-orders-and-safety-notices-prior-offences&gt;.</w:t>
      </w:r>
    </w:p>
    <w:p w14:paraId="3F2432F0" w14:textId="77777777" w:rsidR="005A3418" w:rsidRPr="00D36673" w:rsidRDefault="005A3418" w:rsidP="003724FA">
      <w:r w:rsidRPr="00D36673">
        <w:t xml:space="preserve">Sentencing Advisory Council, </w:t>
      </w:r>
      <w:r w:rsidRPr="00A24E18">
        <w:rPr>
          <w:rStyle w:val="Emphasis"/>
        </w:rPr>
        <w:t>Crossover Kids: Vulnerable Children in the Youth Justice System Report 1</w:t>
      </w:r>
      <w:r w:rsidRPr="00D36673">
        <w:t xml:space="preserve"> (Sentencing Advisory Council, 2019) &lt;https://www.sentencingcouncil.vic.gov.au/publications/crossover-kids-vulnerable-children-youth-justice-system&gt;. </w:t>
      </w:r>
    </w:p>
    <w:p w14:paraId="6AC2F6AE" w14:textId="77777777" w:rsidR="005A3418" w:rsidRPr="00D36673" w:rsidRDefault="005A3418" w:rsidP="003724FA">
      <w:r w:rsidRPr="00D36673">
        <w:t xml:space="preserve">Sentencing Advisory Council, </w:t>
      </w:r>
      <w:r w:rsidRPr="00A24E18">
        <w:rPr>
          <w:rStyle w:val="Emphasis"/>
        </w:rPr>
        <w:t>Crossover Kids: Vulnerable Children in the Youth Justice System Report 2</w:t>
      </w:r>
      <w:r w:rsidRPr="00D36673">
        <w:t xml:space="preserve"> (Sentencing Advisory Council, 2020) &lt;https://www.sentencingcouncil.vic.gov.au/publications/crossover-kids-vulnerable-children-in-the-youth-justice-system-report-2&gt;. </w:t>
      </w:r>
    </w:p>
    <w:p w14:paraId="547E54B7" w14:textId="77777777" w:rsidR="005A3418" w:rsidRPr="00D36673" w:rsidRDefault="005A3418" w:rsidP="003724FA">
      <w:r w:rsidRPr="00D36673">
        <w:t xml:space="preserve">Sentencing Advisory Council, </w:t>
      </w:r>
      <w:r w:rsidRPr="00A24E18">
        <w:rPr>
          <w:rStyle w:val="Emphasis"/>
        </w:rPr>
        <w:t>Crossover Kids: Vulnerable Children in the Youth Justice System Report 3</w:t>
      </w:r>
      <w:r w:rsidRPr="00D36673">
        <w:t xml:space="preserve"> (Sentencing Advisory Council, 2020) &lt;https://www.sentencingcouncil.vic.gov.au/publications/crossover-kids-vulnerable-children-in-the-youth-justice-system-report-3&gt;.</w:t>
      </w:r>
    </w:p>
    <w:p w14:paraId="0D84D2B7" w14:textId="77777777" w:rsidR="005A3418" w:rsidRPr="00D36673" w:rsidRDefault="005A3418" w:rsidP="003724FA">
      <w:r w:rsidRPr="00D36673">
        <w:t xml:space="preserve">Sentencing Advisory Council, </w:t>
      </w:r>
      <w:r w:rsidRPr="00A24E18">
        <w:rPr>
          <w:rStyle w:val="Emphasis"/>
        </w:rPr>
        <w:t xml:space="preserve">Reoffending by Children and Young People in Victoria </w:t>
      </w:r>
      <w:r w:rsidRPr="00D36673">
        <w:t>(Sentencing Advisory Council, 2016) &lt;https://www.sentencingcouncil.vic.gov.au/publications/reoffending-children-and-young-people-victoria&gt;.</w:t>
      </w:r>
    </w:p>
    <w:p w14:paraId="3B946EFA" w14:textId="77777777" w:rsidR="005A3418" w:rsidRPr="00D36673" w:rsidRDefault="005A3418" w:rsidP="003724FA">
      <w:r w:rsidRPr="00D36673">
        <w:t xml:space="preserve">Sentencing Advisory Council, </w:t>
      </w:r>
      <w:r w:rsidRPr="00A24E18">
        <w:rPr>
          <w:rStyle w:val="Emphasis"/>
        </w:rPr>
        <w:t xml:space="preserve">Reoffending Following Sentence in Victoria: A Statistical Overview </w:t>
      </w:r>
      <w:r w:rsidRPr="00D36673">
        <w:t>(Sentencing Advisory Council, 2015)</w:t>
      </w:r>
    </w:p>
    <w:p w14:paraId="48724503" w14:textId="77777777" w:rsidR="005A3418" w:rsidRPr="00D36673" w:rsidRDefault="005A3418" w:rsidP="003724FA">
      <w:r w:rsidRPr="00D36673">
        <w:t xml:space="preserve">Sentencing Advisory Council, </w:t>
      </w:r>
      <w:r w:rsidRPr="00A24E18">
        <w:rPr>
          <w:rStyle w:val="Emphasis"/>
        </w:rPr>
        <w:t xml:space="preserve">Sentencing Image-Based Abuse Offences In Victoria </w:t>
      </w:r>
      <w:r w:rsidRPr="00D36673">
        <w:t xml:space="preserve">(Sentencing Advisory Council, 2020) &lt;https://www.sentencingcouncil.vic.gov.au/publications/sentencing-image-based-sexual-abuse-offences-in-victoria&gt;. </w:t>
      </w:r>
    </w:p>
    <w:p w14:paraId="62CE55E9" w14:textId="77777777" w:rsidR="005A3418" w:rsidRPr="00D36673" w:rsidRDefault="005A3418" w:rsidP="003724FA">
      <w:r w:rsidRPr="00D36673">
        <w:t xml:space="preserve">Sentencing Advisory Council, ‘Sentencing Outcomes in the Children’s Court’ (sentencingcouncil.vic.gov.au, 2021) &lt;https://www.sentencingcouncil.vic.gov.au/statistics/sentencing-trends/sentencing-outcomes-childrens-court&gt;. </w:t>
      </w:r>
    </w:p>
    <w:p w14:paraId="20C2B2F9" w14:textId="77777777" w:rsidR="005A3418" w:rsidRPr="00D36673" w:rsidRDefault="005A3418" w:rsidP="003724FA">
      <w:r w:rsidRPr="00D36673">
        <w:lastRenderedPageBreak/>
        <w:t xml:space="preserve">Sentencing Advisory Council, </w:t>
      </w:r>
      <w:r w:rsidRPr="00A24E18">
        <w:rPr>
          <w:rStyle w:val="Emphasis"/>
        </w:rPr>
        <w:t xml:space="preserve">Serious Offending by People Serving a Community Correction Order: 2016–17 </w:t>
      </w:r>
      <w:r w:rsidRPr="00D36673">
        <w:t xml:space="preserve">(Sentencing Advisory Council, 2018) &lt;https://www.sentencingcouncil.vic.gov.au/publications/serious-offending-people-serving-community-correction-order-2016-17&gt;. </w:t>
      </w:r>
    </w:p>
    <w:p w14:paraId="6858C070" w14:textId="77777777" w:rsidR="005A3418" w:rsidRPr="00D36673" w:rsidRDefault="005A3418" w:rsidP="003724FA">
      <w:r w:rsidRPr="00D36673">
        <w:t xml:space="preserve">Sentencing Advisory Council, </w:t>
      </w:r>
      <w:r w:rsidRPr="00A24E18">
        <w:rPr>
          <w:rStyle w:val="Emphasis"/>
        </w:rPr>
        <w:t xml:space="preserve">Serious Offending by People Serving a Community Correction Order: 2017–18 </w:t>
      </w:r>
      <w:r w:rsidRPr="00D36673">
        <w:t xml:space="preserve">(Sentencing Advisory Council, 2019) &lt;https://www.sentencingcouncil.vic.gov.au/publications/serious-offending-people-serving-community-correction-order-2017-18&gt;. </w:t>
      </w:r>
    </w:p>
    <w:p w14:paraId="2FDB7B8E" w14:textId="77777777" w:rsidR="005A3418" w:rsidRPr="00D36673" w:rsidRDefault="005A3418" w:rsidP="003724FA">
      <w:r w:rsidRPr="00D36673">
        <w:t xml:space="preserve">Sentencing Advisory Council, </w:t>
      </w:r>
      <w:r w:rsidRPr="00A24E18">
        <w:rPr>
          <w:rStyle w:val="Emphasis"/>
        </w:rPr>
        <w:t xml:space="preserve">Serious Offending by People Serving a Community Correction Order: 2018–19 </w:t>
      </w:r>
      <w:r w:rsidRPr="00D36673">
        <w:t xml:space="preserve">(Sentencing Advisory Council, 2020) &lt;https://www.sentencingcouncil.vic.gov.au/publications/serious-offending-people-serving-community-correction-order-2018-19&gt;. </w:t>
      </w:r>
    </w:p>
    <w:p w14:paraId="121FBB86" w14:textId="77777777" w:rsidR="005A3418" w:rsidRPr="00D36673" w:rsidRDefault="005A3418" w:rsidP="003724FA">
      <w:r w:rsidRPr="00D36673">
        <w:t xml:space="preserve">Sentencing Advisory Council, </w:t>
      </w:r>
      <w:r w:rsidRPr="00A24E18">
        <w:rPr>
          <w:rStyle w:val="Emphasis"/>
        </w:rPr>
        <w:t>Serious Offending by People Serving a Community Correction Order: 2019–20</w:t>
      </w:r>
      <w:r w:rsidRPr="00D36673">
        <w:t xml:space="preserve"> (2021) 11 &lt;https://www.sentencingcouncil.vic.gov.au/publications/serious-offending-by-people-serving-a-community-correction-order-2019-20&gt;.</w:t>
      </w:r>
    </w:p>
    <w:p w14:paraId="6669BB59" w14:textId="77777777" w:rsidR="005A3418" w:rsidRPr="00D36673" w:rsidRDefault="005A3418" w:rsidP="003724FA">
      <w:r w:rsidRPr="00D36673">
        <w:t xml:space="preserve">Sentencing Advisory Council, </w:t>
      </w:r>
      <w:r w:rsidRPr="00A24E18">
        <w:rPr>
          <w:rStyle w:val="Emphasis"/>
        </w:rPr>
        <w:t xml:space="preserve">Time Served Prison Sentences in Victoria </w:t>
      </w:r>
      <w:r w:rsidRPr="00D36673">
        <w:t xml:space="preserve">(Sentencing Advisory Council, 2020) &lt;https://www.sentencingcouncil.vic.gov.au/publications/time-served-prison-sentences-victoria&gt;. </w:t>
      </w:r>
    </w:p>
    <w:p w14:paraId="014543F7" w14:textId="77777777" w:rsidR="005A3418" w:rsidRPr="00D36673" w:rsidRDefault="005A3418" w:rsidP="003724FA">
      <w:r w:rsidRPr="00D36673">
        <w:t xml:space="preserve">Shepherd, Stephane M., Danielle Newton, Cieran Harries, Rebecca L. Fix and Rachael Fullam, ‘An Analysis of High-Risk Offending Pathways for Young Females in Custody’ (2019) 26(2) </w:t>
      </w:r>
      <w:r w:rsidRPr="00A24E18">
        <w:rPr>
          <w:rStyle w:val="Emphasis"/>
        </w:rPr>
        <w:t xml:space="preserve">Psychiatry, Psychology and Law </w:t>
      </w:r>
      <w:r w:rsidRPr="00D36673">
        <w:t xml:space="preserve">194, </w:t>
      </w:r>
      <w:r w:rsidRPr="00A24E18">
        <w:rPr>
          <w:rStyle w:val="Emphasis"/>
        </w:rPr>
        <w:t xml:space="preserve"> </w:t>
      </w:r>
      <w:r w:rsidRPr="00D36673">
        <w:t xml:space="preserve"> &lt;https://www.ncbi.nlm.nih.gov/pmc/articles/PMC6762116/&gt;. </w:t>
      </w:r>
    </w:p>
    <w:p w14:paraId="594D0D28" w14:textId="77777777" w:rsidR="005A3418" w:rsidRPr="00D36673" w:rsidRDefault="005A3418" w:rsidP="003724FA">
      <w:r w:rsidRPr="00D36673">
        <w:t xml:space="preserve">Stark, Evan, </w:t>
      </w:r>
      <w:r w:rsidRPr="00A24E18">
        <w:rPr>
          <w:rStyle w:val="Emphasis"/>
        </w:rPr>
        <w:t xml:space="preserve">Coercive Control: How Men Entrap Women in Personal Life </w:t>
      </w:r>
      <w:r w:rsidRPr="00D36673">
        <w:t>(Oxford University Press, 2007).</w:t>
      </w:r>
    </w:p>
    <w:p w14:paraId="7BFE9ABC" w14:textId="77777777" w:rsidR="005A3418" w:rsidRPr="00D36673" w:rsidRDefault="005A3418" w:rsidP="003724FA">
      <w:r w:rsidRPr="00D36673">
        <w:t xml:space="preserve">Victorian Government, </w:t>
      </w:r>
      <w:r w:rsidRPr="00A24E18">
        <w:rPr>
          <w:rStyle w:val="Emphasis"/>
        </w:rPr>
        <w:t xml:space="preserve">Family Violence Multi-Agency Risk Assessment and Management Framework </w:t>
      </w:r>
      <w:r w:rsidRPr="00D36673">
        <w:t xml:space="preserve">(2018) &lt;https://www.vic.gov.au/maram-practice-guides-and-resources&gt;. </w:t>
      </w:r>
    </w:p>
    <w:p w14:paraId="7183167B" w14:textId="77777777" w:rsidR="005A3418" w:rsidRPr="00D36673" w:rsidRDefault="005A3418" w:rsidP="003724FA">
      <w:r w:rsidRPr="00D36673">
        <w:lastRenderedPageBreak/>
        <w:t xml:space="preserve">Victoria, Royal Commission into Family Violence, </w:t>
      </w:r>
      <w:r w:rsidRPr="00A24E18">
        <w:rPr>
          <w:rStyle w:val="Emphasis"/>
        </w:rPr>
        <w:t xml:space="preserve">Report and Recommendations, </w:t>
      </w:r>
      <w:r w:rsidRPr="00D36673">
        <w:t xml:space="preserve">vol. 1 (Victorian Government Printer, 2016) &lt;http://rcfv.archive.royalcommission.vic.gov.au/Report-Recommendations.html&gt;. </w:t>
      </w:r>
    </w:p>
    <w:p w14:paraId="4D025402" w14:textId="77777777" w:rsidR="005A3418" w:rsidRPr="00D36673" w:rsidRDefault="005A3418" w:rsidP="003724FA">
      <w:r w:rsidRPr="00D36673">
        <w:t xml:space="preserve">Victoria, Royal Commission into Family Violence, </w:t>
      </w:r>
      <w:r w:rsidRPr="00A24E18">
        <w:rPr>
          <w:rStyle w:val="Emphasis"/>
        </w:rPr>
        <w:t xml:space="preserve">Report and Recommendations, </w:t>
      </w:r>
      <w:r w:rsidRPr="00D36673">
        <w:t>vol. 4 (Victorian Government Printer, 2016) &lt;http://rcfv.archive.royalcommission.vic.gov.au/Report-Recommendations.html&gt;.</w:t>
      </w:r>
    </w:p>
    <w:p w14:paraId="6D5DBD25" w14:textId="77777777" w:rsidR="005A3418" w:rsidRPr="00D36673" w:rsidRDefault="005A3418" w:rsidP="003724FA">
      <w:r w:rsidRPr="00D36673">
        <w:t xml:space="preserve">Victoria, Royal Commission into Family Violence, </w:t>
      </w:r>
      <w:r w:rsidRPr="00A24E18">
        <w:rPr>
          <w:rStyle w:val="Emphasis"/>
        </w:rPr>
        <w:t xml:space="preserve">Report and Recommendations, </w:t>
      </w:r>
      <w:r w:rsidRPr="00D36673">
        <w:t xml:space="preserve">vol. 5 (Victorian Government Printer, 2016) &lt;http://rcfv.archive.royalcommission.vic.gov.au/Report-Recommendations.html&gt;. </w:t>
      </w:r>
    </w:p>
    <w:p w14:paraId="402E2E46" w14:textId="77777777" w:rsidR="005A3418" w:rsidRPr="00D36673" w:rsidRDefault="005A3418" w:rsidP="003724FA">
      <w:r w:rsidRPr="00D36673">
        <w:t xml:space="preserve">Victoria Department of Justice, </w:t>
      </w:r>
      <w:r w:rsidRPr="00A24E18">
        <w:rPr>
          <w:rStyle w:val="Emphasis"/>
        </w:rPr>
        <w:t xml:space="preserve">Review of Sexual Offences: Consultation Paper </w:t>
      </w:r>
      <w:r w:rsidRPr="00D36673">
        <w:t>(2013) 125–128 &lt;https://www.justice.vic.gov.au/review-of-sexual-offences-consultation-paper&gt;.</w:t>
      </w:r>
    </w:p>
    <w:p w14:paraId="46B21AC1" w14:textId="77777777" w:rsidR="005A3418" w:rsidRPr="00D36673" w:rsidRDefault="005A3418" w:rsidP="003724FA">
      <w:r w:rsidRPr="00D36673">
        <w:t xml:space="preserve">Warren, Lisa J., James R.P. Ogloff and Paul Mullen, ‘The Psychological Basis of Threatening Behaviour’ (2013) 20(3) </w:t>
      </w:r>
      <w:r w:rsidRPr="00A24E18">
        <w:rPr>
          <w:rStyle w:val="Emphasis"/>
        </w:rPr>
        <w:t xml:space="preserve">Psychiatry, Psychology and Law </w:t>
      </w:r>
      <w:r w:rsidRPr="00D36673">
        <w:t>329.</w:t>
      </w:r>
    </w:p>
    <w:p w14:paraId="39B94A76" w14:textId="77777777" w:rsidR="005A3418" w:rsidRPr="00D36673" w:rsidRDefault="005A3418" w:rsidP="003724FA">
      <w:r w:rsidRPr="00D36673">
        <w:t xml:space="preserve">Warren, Lisa J., Paul E. Mullen, S.D.M. Thomas, James R.P. Ogloff and P.M. Burgess, ‘Threats to Kill: A Follow-up Study’ (2007) 38 </w:t>
      </w:r>
      <w:r w:rsidRPr="00A24E18">
        <w:rPr>
          <w:rStyle w:val="Emphasis"/>
        </w:rPr>
        <w:t xml:space="preserve">Psychological Medicine </w:t>
      </w:r>
      <w:r w:rsidRPr="00D36673">
        <w:t>599</w:t>
      </w:r>
    </w:p>
    <w:p w14:paraId="146A5D5F" w14:textId="77777777" w:rsidR="005A3418" w:rsidRPr="00D36673" w:rsidRDefault="005A3418" w:rsidP="003724FA">
      <w:r w:rsidRPr="00D36673">
        <w:t xml:space="preserve">Warren, Lisa J., Paul E. Mullen and Troy E. McEwan, ‘Explicit Threats of Violence’ in J. Reid Meloy and Jens Hoffmann, </w:t>
      </w:r>
      <w:r w:rsidRPr="00A24E18">
        <w:rPr>
          <w:rStyle w:val="Emphasis"/>
        </w:rPr>
        <w:t xml:space="preserve">International Handbook of Threat Assessment </w:t>
      </w:r>
      <w:r w:rsidRPr="00D36673">
        <w:t>(Oxford University Press, 2013) 18–39.</w:t>
      </w:r>
    </w:p>
    <w:p w14:paraId="4F8CCA72" w14:textId="77777777" w:rsidR="005A3418" w:rsidRPr="00D36673" w:rsidRDefault="005A3418" w:rsidP="003724FA">
      <w:r w:rsidRPr="00D36673">
        <w:t xml:space="preserve">Warren, Lisa J., Paul E. Mullen and James R.P. Ogloff, ‘A Clinical Study of Those Who Utter Threats to Kill’ (2011) 29 </w:t>
      </w:r>
      <w:r w:rsidRPr="00A24E18">
        <w:rPr>
          <w:rStyle w:val="Emphasis"/>
        </w:rPr>
        <w:t xml:space="preserve">Behavioural Sciences and the Law </w:t>
      </w:r>
      <w:r w:rsidRPr="00D36673">
        <w:t>141.</w:t>
      </w:r>
    </w:p>
    <w:p w14:paraId="673F5572" w14:textId="77777777" w:rsidR="005A3418" w:rsidRPr="00D36673" w:rsidRDefault="005A3418" w:rsidP="0086723D">
      <w:pPr>
        <w:pStyle w:val="Heading2"/>
      </w:pPr>
      <w:r w:rsidRPr="00D36673">
        <w:lastRenderedPageBreak/>
        <w:t>Case law</w:t>
      </w:r>
    </w:p>
    <w:p w14:paraId="03BDF50C" w14:textId="77777777" w:rsidR="005A3418" w:rsidRPr="00D36673" w:rsidRDefault="005A3418" w:rsidP="003724FA">
      <w:r w:rsidRPr="00A24E18">
        <w:rPr>
          <w:rStyle w:val="Emphasis"/>
        </w:rPr>
        <w:t xml:space="preserve">Aitkin v The Queen </w:t>
      </w:r>
      <w:r w:rsidRPr="00D36673">
        <w:t>[2017] VSCA 103 (8 May 2017)</w:t>
      </w:r>
    </w:p>
    <w:p w14:paraId="296E7FCA" w14:textId="77777777" w:rsidR="005A3418" w:rsidRPr="00D36673" w:rsidRDefault="005A3418" w:rsidP="003724FA">
      <w:r w:rsidRPr="00A24E18">
        <w:rPr>
          <w:rStyle w:val="Emphasis"/>
        </w:rPr>
        <w:t>Barbaro v Quilty </w:t>
      </w:r>
      <w:r w:rsidRPr="00D36673">
        <w:t>[1999] ACTSC 119 (11 November 1999)</w:t>
      </w:r>
    </w:p>
    <w:p w14:paraId="0F29253A" w14:textId="77777777" w:rsidR="005A3418" w:rsidRPr="00D36673" w:rsidRDefault="005A3418" w:rsidP="003724FA">
      <w:r w:rsidRPr="00A24E18">
        <w:rPr>
          <w:rStyle w:val="Emphasis"/>
        </w:rPr>
        <w:t>Brooks v The Queen</w:t>
      </w:r>
      <w:r w:rsidRPr="00D36673">
        <w:t xml:space="preserve"> [2020] VSCA 93 (21 April 2020)</w:t>
      </w:r>
    </w:p>
    <w:p w14:paraId="3885E86E" w14:textId="77777777" w:rsidR="005A3418" w:rsidRPr="00D36673" w:rsidRDefault="005A3418" w:rsidP="003724FA">
      <w:r w:rsidRPr="00A24E18">
        <w:rPr>
          <w:rStyle w:val="Emphasis"/>
        </w:rPr>
        <w:t xml:space="preserve">Devereaux v The Queen </w:t>
      </w:r>
      <w:r w:rsidRPr="00D36673">
        <w:t>[2019] VSCA 6 (31 January 2019)</w:t>
      </w:r>
    </w:p>
    <w:p w14:paraId="04328CF2" w14:textId="77777777" w:rsidR="005A3418" w:rsidRPr="00D36673" w:rsidRDefault="005A3418" w:rsidP="003724FA">
      <w:r w:rsidRPr="00A24E18">
        <w:rPr>
          <w:rStyle w:val="Emphasis"/>
        </w:rPr>
        <w:t>Doherty v The Queen</w:t>
      </w:r>
      <w:r w:rsidRPr="00D36673">
        <w:t xml:space="preserve"> [2017] VSCA 215 (25 August 2017)</w:t>
      </w:r>
    </w:p>
    <w:p w14:paraId="2255D03F" w14:textId="77777777" w:rsidR="005A3418" w:rsidRPr="00D36673" w:rsidRDefault="005A3418" w:rsidP="003724FA">
      <w:r w:rsidRPr="00A24E18">
        <w:rPr>
          <w:rStyle w:val="Emphasis"/>
        </w:rPr>
        <w:t>DPP (Cth) v Merrill (A Pseudonym)</w:t>
      </w:r>
      <w:r w:rsidRPr="00D36673">
        <w:t xml:space="preserve"> [2015] VSCA 52 (1 April 2015)</w:t>
      </w:r>
    </w:p>
    <w:p w14:paraId="5122BA6E" w14:textId="77777777" w:rsidR="005A3418" w:rsidRPr="00D36673" w:rsidRDefault="005A3418" w:rsidP="003724FA">
      <w:r w:rsidRPr="00A24E18">
        <w:rPr>
          <w:rStyle w:val="Emphasis"/>
        </w:rPr>
        <w:t>DPP v Bao (A Pseudonym)</w:t>
      </w:r>
      <w:r w:rsidRPr="00D36673">
        <w:t xml:space="preserve"> [2020] VCC 1508 (18 September 2020)</w:t>
      </w:r>
    </w:p>
    <w:p w14:paraId="3C56FAFB" w14:textId="77777777" w:rsidR="005A3418" w:rsidRPr="00D36673" w:rsidRDefault="005A3418" w:rsidP="003724FA">
      <w:r w:rsidRPr="00A24E18">
        <w:rPr>
          <w:rStyle w:val="Emphasis"/>
        </w:rPr>
        <w:t>DPP v Hull (A Pseudonym)</w:t>
      </w:r>
      <w:r w:rsidRPr="00D36673">
        <w:t xml:space="preserve"> [2019] VCC 1474 (11 September 2019)</w:t>
      </w:r>
    </w:p>
    <w:p w14:paraId="6FE75409" w14:textId="77777777" w:rsidR="005A3418" w:rsidRPr="00D36673" w:rsidRDefault="005A3418" w:rsidP="003724FA">
      <w:r w:rsidRPr="00A24E18">
        <w:rPr>
          <w:rStyle w:val="Emphasis"/>
        </w:rPr>
        <w:t>DPP v Huynh</w:t>
      </w:r>
      <w:r w:rsidRPr="00D36673">
        <w:t xml:space="preserve"> [2013] VCC 499 (26 April 2013)</w:t>
      </w:r>
    </w:p>
    <w:p w14:paraId="188FC9D8" w14:textId="77777777" w:rsidR="005A3418" w:rsidRPr="00D36673" w:rsidRDefault="005A3418" w:rsidP="003724FA">
      <w:r w:rsidRPr="00A24E18">
        <w:rPr>
          <w:rStyle w:val="Emphasis"/>
        </w:rPr>
        <w:t xml:space="preserve">DPP v Kendall </w:t>
      </w:r>
      <w:r w:rsidRPr="00D36673">
        <w:t>[2020] VCC 74 (24 January 2020)</w:t>
      </w:r>
    </w:p>
    <w:p w14:paraId="5F3F1E96" w14:textId="77777777" w:rsidR="005A3418" w:rsidRPr="00D36673" w:rsidRDefault="005A3418" w:rsidP="003724FA">
      <w:r w:rsidRPr="00A24E18">
        <w:rPr>
          <w:rStyle w:val="Emphasis"/>
        </w:rPr>
        <w:t>DPP v Maalin</w:t>
      </w:r>
      <w:r w:rsidRPr="00D36673">
        <w:t xml:space="preserve"> [2017] VCC 1191 (25 August 2017)</w:t>
      </w:r>
    </w:p>
    <w:p w14:paraId="13854666" w14:textId="77777777" w:rsidR="005A3418" w:rsidRPr="00D36673" w:rsidRDefault="005A3418" w:rsidP="003724FA">
      <w:r w:rsidRPr="00A24E18">
        <w:rPr>
          <w:rStyle w:val="Emphasis"/>
        </w:rPr>
        <w:t xml:space="preserve">DPP v Matovic </w:t>
      </w:r>
      <w:r w:rsidRPr="00D36673">
        <w:t>[2020] VCC 371 (2 April 2020)</w:t>
      </w:r>
    </w:p>
    <w:p w14:paraId="7AEA6BBA" w14:textId="77777777" w:rsidR="005A3418" w:rsidRPr="00D36673" w:rsidRDefault="005A3418" w:rsidP="003724FA">
      <w:r w:rsidRPr="00A24E18">
        <w:rPr>
          <w:rStyle w:val="Emphasis"/>
        </w:rPr>
        <w:t>DPP v Memedovski</w:t>
      </w:r>
      <w:r w:rsidRPr="00D36673">
        <w:t xml:space="preserve"> [2015] VCC 1541 (27 October 2015)</w:t>
      </w:r>
    </w:p>
    <w:p w14:paraId="0E33B303" w14:textId="77777777" w:rsidR="005A3418" w:rsidRPr="00D36673" w:rsidRDefault="005A3418" w:rsidP="003724FA">
      <w:r w:rsidRPr="00A24E18">
        <w:rPr>
          <w:rStyle w:val="Emphasis"/>
        </w:rPr>
        <w:t>DPP v Monks</w:t>
      </w:r>
      <w:r w:rsidRPr="00D36673">
        <w:t xml:space="preserve"> [2013] VCC 1465 (27 September 2013)</w:t>
      </w:r>
    </w:p>
    <w:p w14:paraId="7067380E" w14:textId="77777777" w:rsidR="005A3418" w:rsidRPr="00D36673" w:rsidRDefault="005A3418" w:rsidP="003724FA">
      <w:r w:rsidRPr="00A24E18">
        <w:rPr>
          <w:rStyle w:val="Emphasis"/>
        </w:rPr>
        <w:t>DPP v Natoli</w:t>
      </w:r>
      <w:r w:rsidRPr="00D36673">
        <w:t xml:space="preserve"> [2016] VSCA 35 (11 March 2016)</w:t>
      </w:r>
    </w:p>
    <w:p w14:paraId="42DE533E" w14:textId="77777777" w:rsidR="005A3418" w:rsidRPr="00D36673" w:rsidRDefault="005A3418" w:rsidP="003724FA">
      <w:r w:rsidRPr="00A24E18">
        <w:rPr>
          <w:rStyle w:val="Emphasis"/>
        </w:rPr>
        <w:t xml:space="preserve">DPP v Oksuz </w:t>
      </w:r>
      <w:r w:rsidRPr="00D36673">
        <w:t>[2015] VSCA 316 (25 November 2015)</w:t>
      </w:r>
    </w:p>
    <w:p w14:paraId="662C4990" w14:textId="77777777" w:rsidR="005A3418" w:rsidRPr="00D36673" w:rsidRDefault="005A3418" w:rsidP="003724FA">
      <w:r w:rsidRPr="00A24E18">
        <w:rPr>
          <w:rStyle w:val="Emphasis"/>
        </w:rPr>
        <w:t xml:space="preserve">DPP v Papaioannou </w:t>
      </w:r>
      <w:r w:rsidRPr="00D36673">
        <w:t>[2019] VCC 1978 (29 November 2019)</w:t>
      </w:r>
    </w:p>
    <w:p w14:paraId="4C0F038F" w14:textId="77777777" w:rsidR="005A3418" w:rsidRPr="00D36673" w:rsidRDefault="005A3418" w:rsidP="003724FA">
      <w:r w:rsidRPr="00A24E18">
        <w:rPr>
          <w:rStyle w:val="Emphasis"/>
        </w:rPr>
        <w:t xml:space="preserve">DPP v Savage </w:t>
      </w:r>
      <w:r w:rsidRPr="00D36673">
        <w:t>[2015] VCC 1673 (19 November 2015)</w:t>
      </w:r>
    </w:p>
    <w:p w14:paraId="77087484" w14:textId="77777777" w:rsidR="005A3418" w:rsidRPr="00D36673" w:rsidRDefault="005A3418" w:rsidP="003724FA">
      <w:r w:rsidRPr="00A24E18">
        <w:rPr>
          <w:rStyle w:val="Emphasis"/>
        </w:rPr>
        <w:t xml:space="preserve">DPP v Stokes </w:t>
      </w:r>
      <w:r w:rsidRPr="00D36673">
        <w:t>[2019] VCC 1518 (16 September 2019)</w:t>
      </w:r>
    </w:p>
    <w:p w14:paraId="1A6AD78E" w14:textId="77777777" w:rsidR="005A3418" w:rsidRPr="00D36673" w:rsidRDefault="005A3418" w:rsidP="003724FA">
      <w:r w:rsidRPr="00A24E18">
        <w:rPr>
          <w:rStyle w:val="Emphasis"/>
        </w:rPr>
        <w:t xml:space="preserve">DPP v Sullivan </w:t>
      </w:r>
      <w:r w:rsidRPr="00D36673">
        <w:t>[2014] VSCA 222 (17 September 2014)</w:t>
      </w:r>
    </w:p>
    <w:p w14:paraId="0FDC0FC5" w14:textId="77777777" w:rsidR="005A3418" w:rsidRPr="00D36673" w:rsidRDefault="005A3418" w:rsidP="003724FA">
      <w:r w:rsidRPr="00A24E18">
        <w:rPr>
          <w:rStyle w:val="Emphasis"/>
        </w:rPr>
        <w:t>Folino v The Queen</w:t>
      </w:r>
      <w:r w:rsidRPr="00D36673">
        <w:t xml:space="preserve"> [2017] VSCA 295 (19 October 2017)</w:t>
      </w:r>
    </w:p>
    <w:p w14:paraId="0855C05A" w14:textId="77777777" w:rsidR="005A3418" w:rsidRPr="00D36673" w:rsidRDefault="005A3418" w:rsidP="003724FA">
      <w:r w:rsidRPr="00A24E18">
        <w:rPr>
          <w:rStyle w:val="Emphasis"/>
        </w:rPr>
        <w:t xml:space="preserve">Gale v The Queen </w:t>
      </w:r>
      <w:r w:rsidRPr="00D36673">
        <w:t>[2014] VSCA 168 (7 August 2014)</w:t>
      </w:r>
    </w:p>
    <w:p w14:paraId="5CC0F09F" w14:textId="77777777" w:rsidR="005A3418" w:rsidRPr="00D36673" w:rsidRDefault="005A3418" w:rsidP="003724FA">
      <w:r w:rsidRPr="00A24E18">
        <w:rPr>
          <w:rStyle w:val="Emphasis"/>
        </w:rPr>
        <w:lastRenderedPageBreak/>
        <w:t xml:space="preserve">Jackson v The Queen </w:t>
      </w:r>
      <w:r w:rsidRPr="00D36673">
        <w:t>[2020] VSCA 95 (24 April 2020)</w:t>
      </w:r>
    </w:p>
    <w:p w14:paraId="70DBD8E1" w14:textId="77777777" w:rsidR="005A3418" w:rsidRPr="00D36673" w:rsidRDefault="005A3418" w:rsidP="003724FA">
      <w:r w:rsidRPr="00A24E18">
        <w:rPr>
          <w:rStyle w:val="Emphasis"/>
        </w:rPr>
        <w:t xml:space="preserve">Kalala v The Queen </w:t>
      </w:r>
      <w:r w:rsidRPr="00D36673">
        <w:t>[2017] VSCA 223 (30 August 2017)</w:t>
      </w:r>
    </w:p>
    <w:p w14:paraId="3D1C16C4" w14:textId="77777777" w:rsidR="005A3418" w:rsidRPr="00D36673" w:rsidRDefault="005A3418" w:rsidP="003724FA">
      <w:r w:rsidRPr="00A24E18">
        <w:rPr>
          <w:rStyle w:val="Emphasis"/>
        </w:rPr>
        <w:t xml:space="preserve">Latorre v R </w:t>
      </w:r>
      <w:r w:rsidRPr="00D36673">
        <w:t>[2012] VSCA 280 (23 November 2012).</w:t>
      </w:r>
    </w:p>
    <w:p w14:paraId="79A22DBF" w14:textId="77777777" w:rsidR="005A3418" w:rsidRPr="00D36673" w:rsidRDefault="005A3418" w:rsidP="003724FA">
      <w:r w:rsidRPr="00A24E18">
        <w:rPr>
          <w:rStyle w:val="Emphasis"/>
        </w:rPr>
        <w:t xml:space="preserve">Marrah v The Queen </w:t>
      </w:r>
      <w:r w:rsidRPr="00D36673">
        <w:t>[2014] VSCA 119 (18 June 2014)</w:t>
      </w:r>
    </w:p>
    <w:p w14:paraId="5DC202B4" w14:textId="77777777" w:rsidR="005A3418" w:rsidRPr="00D36673" w:rsidRDefault="005A3418" w:rsidP="003724FA">
      <w:r w:rsidRPr="00A24E18">
        <w:rPr>
          <w:rStyle w:val="Emphasis"/>
        </w:rPr>
        <w:t>R v Campbell</w:t>
      </w:r>
      <w:r w:rsidRPr="00D36673">
        <w:t> [1997] 2 VR 585 (22 August 1995)</w:t>
      </w:r>
    </w:p>
    <w:p w14:paraId="76EE9937" w14:textId="77777777" w:rsidR="005A3418" w:rsidRPr="00D36673" w:rsidRDefault="005A3418" w:rsidP="003724FA">
      <w:r w:rsidRPr="00A24E18">
        <w:rPr>
          <w:rStyle w:val="Emphasis"/>
        </w:rPr>
        <w:t>R v Crabbe</w:t>
      </w:r>
      <w:r w:rsidRPr="00D36673">
        <w:t> [1985] HCA 22 (26 May 1985)</w:t>
      </w:r>
    </w:p>
    <w:p w14:paraId="3A78CD6A" w14:textId="77777777" w:rsidR="005A3418" w:rsidRPr="00D36673" w:rsidRDefault="005A3418" w:rsidP="003724FA">
      <w:r w:rsidRPr="00A24E18">
        <w:rPr>
          <w:rStyle w:val="Emphasis"/>
        </w:rPr>
        <w:t>R v Leece</w:t>
      </w:r>
      <w:r w:rsidRPr="00D36673">
        <w:t xml:space="preserve"> [1995] ACTSC 28 (30 March 1995)</w:t>
      </w:r>
    </w:p>
    <w:p w14:paraId="476D2DDB" w14:textId="77777777" w:rsidR="005A3418" w:rsidRPr="00D36673" w:rsidRDefault="005A3418" w:rsidP="003724FA">
      <w:r w:rsidRPr="00A24E18">
        <w:rPr>
          <w:rStyle w:val="Emphasis"/>
        </w:rPr>
        <w:t>R v Nuri </w:t>
      </w:r>
      <w:r w:rsidRPr="00D36673">
        <w:t>[1990] VR 641 (1 December 1989)</w:t>
      </w:r>
    </w:p>
    <w:p w14:paraId="4284F5F0" w14:textId="77777777" w:rsidR="005A3418" w:rsidRPr="00D36673" w:rsidRDefault="005A3418" w:rsidP="003724FA">
      <w:r w:rsidRPr="00A24E18">
        <w:rPr>
          <w:rStyle w:val="Emphasis"/>
        </w:rPr>
        <w:t>R v Rich</w:t>
      </w:r>
      <w:r w:rsidRPr="00D36673">
        <w:t> (Victorian Court of Appeal, Winneke P, Brooking and Buchanan JJA, 19 December 1997)</w:t>
      </w:r>
    </w:p>
    <w:p w14:paraId="01DBC7B1" w14:textId="77777777" w:rsidR="005A3418" w:rsidRPr="00D36673" w:rsidRDefault="005A3418" w:rsidP="003724FA">
      <w:r w:rsidRPr="00A24E18">
        <w:rPr>
          <w:rStyle w:val="Emphasis"/>
        </w:rPr>
        <w:t>R v Sofa</w:t>
      </w:r>
      <w:r w:rsidRPr="00D36673">
        <w:t xml:space="preserve"> (Victorian Court of Appeal, Crockett, O’Bryan and McDonald JJ, 15 October 1990) </w:t>
      </w:r>
    </w:p>
    <w:p w14:paraId="67887A0F" w14:textId="77777777" w:rsidR="005A3418" w:rsidRPr="00D36673" w:rsidRDefault="005A3418" w:rsidP="003724FA">
      <w:r w:rsidRPr="00A24E18">
        <w:rPr>
          <w:rStyle w:val="Emphasis"/>
        </w:rPr>
        <w:t>Shaw v The Queen</w:t>
      </w:r>
      <w:r w:rsidRPr="00D36673">
        <w:t xml:space="preserve"> [2012] VSCA 78 (2 May 2012)</w:t>
      </w:r>
    </w:p>
    <w:p w14:paraId="79BF8A75" w14:textId="77777777" w:rsidR="005A3418" w:rsidRPr="00D36673" w:rsidRDefault="005A3418" w:rsidP="003724FA">
      <w:r w:rsidRPr="00A24E18">
        <w:rPr>
          <w:rStyle w:val="Emphasis"/>
        </w:rPr>
        <w:t>Short v The Queen</w:t>
      </w:r>
      <w:r w:rsidRPr="00D36673">
        <w:t xml:space="preserve"> [2016] VSCA 210 (7 September 2016)</w:t>
      </w:r>
    </w:p>
    <w:p w14:paraId="442FA8C2" w14:textId="77777777" w:rsidR="005A3418" w:rsidRPr="00D36673" w:rsidRDefault="005A3418" w:rsidP="003724FA">
      <w:r w:rsidRPr="00A24E18">
        <w:rPr>
          <w:rStyle w:val="Emphasis"/>
        </w:rPr>
        <w:t>Spiteri v The Queen</w:t>
      </w:r>
      <w:r w:rsidRPr="00D36673">
        <w:t xml:space="preserve"> [2018] VSCA 254 (8 October 2018)</w:t>
      </w:r>
    </w:p>
    <w:p w14:paraId="7369F6DC" w14:textId="77777777" w:rsidR="005A3418" w:rsidRPr="00D36673" w:rsidRDefault="005A3418" w:rsidP="003724FA">
      <w:r w:rsidRPr="00A24E18">
        <w:rPr>
          <w:rStyle w:val="Emphasis"/>
        </w:rPr>
        <w:t xml:space="preserve">Uzun v The Queen </w:t>
      </w:r>
      <w:r w:rsidRPr="00D36673">
        <w:t>[2015] VSCA 292 (27 October 2015)</w:t>
      </w:r>
    </w:p>
    <w:p w14:paraId="433054B3" w14:textId="77777777" w:rsidR="005A3418" w:rsidRPr="00D36673" w:rsidRDefault="005A3418" w:rsidP="003724FA">
      <w:r w:rsidRPr="00A24E18">
        <w:rPr>
          <w:rStyle w:val="Emphasis"/>
        </w:rPr>
        <w:t>Zerafa v The Queen</w:t>
      </w:r>
      <w:r w:rsidRPr="00D36673">
        <w:t xml:space="preserve"> [2013] VSCA 42 (4 March 2013)</w:t>
      </w:r>
    </w:p>
    <w:p w14:paraId="302E3DC1" w14:textId="77777777" w:rsidR="005A3418" w:rsidRPr="00D36673" w:rsidRDefault="005A3418" w:rsidP="0086723D">
      <w:pPr>
        <w:pStyle w:val="Heading2"/>
      </w:pPr>
      <w:r w:rsidRPr="00D36673">
        <w:t>Legislation</w:t>
      </w:r>
    </w:p>
    <w:p w14:paraId="7903F013" w14:textId="77777777" w:rsidR="005A3418" w:rsidRPr="00D36673" w:rsidRDefault="005A3418" w:rsidP="00F67BC8">
      <w:pPr>
        <w:pStyle w:val="Heading3"/>
      </w:pPr>
      <w:r w:rsidRPr="00D36673">
        <w:t>Victoria</w:t>
      </w:r>
    </w:p>
    <w:p w14:paraId="271DF660" w14:textId="77777777" w:rsidR="005A3418" w:rsidRPr="00A24E18" w:rsidRDefault="005A3418" w:rsidP="003724FA">
      <w:pPr>
        <w:rPr>
          <w:rStyle w:val="Emphasis"/>
        </w:rPr>
      </w:pPr>
      <w:r w:rsidRPr="00A24E18">
        <w:rPr>
          <w:rStyle w:val="Emphasis"/>
        </w:rPr>
        <w:t>Bail Act 1977 (Vic)</w:t>
      </w:r>
    </w:p>
    <w:p w14:paraId="438182E3" w14:textId="77777777" w:rsidR="005A3418" w:rsidRPr="00D36673" w:rsidRDefault="005A3418" w:rsidP="003724FA">
      <w:r w:rsidRPr="00A24E18">
        <w:rPr>
          <w:rStyle w:val="Emphasis"/>
        </w:rPr>
        <w:t xml:space="preserve">Bail Amendment (Stage One) Act 2017 </w:t>
      </w:r>
      <w:r w:rsidRPr="00D36673">
        <w:t>(Vic)</w:t>
      </w:r>
    </w:p>
    <w:p w14:paraId="5A871947" w14:textId="77777777" w:rsidR="005A3418" w:rsidRPr="00D36673" w:rsidRDefault="005A3418" w:rsidP="003724FA">
      <w:r w:rsidRPr="00A24E18">
        <w:rPr>
          <w:rStyle w:val="Emphasis"/>
        </w:rPr>
        <w:t xml:space="preserve">Bail Amendment (Stage Two) Act 2018 </w:t>
      </w:r>
      <w:r w:rsidRPr="00D36673">
        <w:t>(Vic)</w:t>
      </w:r>
    </w:p>
    <w:p w14:paraId="0BE19854" w14:textId="77777777" w:rsidR="005A3418" w:rsidRPr="00D36673" w:rsidRDefault="005A3418" w:rsidP="003724FA">
      <w:r w:rsidRPr="00A24E18">
        <w:rPr>
          <w:rStyle w:val="Emphasis"/>
        </w:rPr>
        <w:t xml:space="preserve">Control of Weapons Act 1990 </w:t>
      </w:r>
      <w:r w:rsidRPr="00D36673">
        <w:t>(Vic)</w:t>
      </w:r>
    </w:p>
    <w:p w14:paraId="689D98B1" w14:textId="77777777" w:rsidR="005A3418" w:rsidRPr="00D36673" w:rsidRDefault="005A3418" w:rsidP="003724FA">
      <w:r w:rsidRPr="00A24E18">
        <w:rPr>
          <w:rStyle w:val="Emphasis"/>
        </w:rPr>
        <w:t xml:space="preserve">Crimes Act 1958 </w:t>
      </w:r>
      <w:r w:rsidRPr="00D36673">
        <w:t>(Vic)</w:t>
      </w:r>
    </w:p>
    <w:p w14:paraId="00F7B7C4" w14:textId="77777777" w:rsidR="005A3418" w:rsidRPr="00D36673" w:rsidRDefault="005A3418" w:rsidP="003724FA">
      <w:r w:rsidRPr="00A24E18">
        <w:rPr>
          <w:rStyle w:val="Emphasis"/>
        </w:rPr>
        <w:lastRenderedPageBreak/>
        <w:t xml:space="preserve">Crimes Amendment (Sexual Offences and Other Matters) Act 2014 </w:t>
      </w:r>
      <w:r w:rsidRPr="00D36673">
        <w:t>(Vic)</w:t>
      </w:r>
    </w:p>
    <w:p w14:paraId="3A51782D" w14:textId="77777777" w:rsidR="005A3418" w:rsidRPr="00D36673" w:rsidRDefault="005A3418" w:rsidP="003724FA">
      <w:r w:rsidRPr="00A24E18">
        <w:rPr>
          <w:rStyle w:val="Emphasis"/>
        </w:rPr>
        <w:t xml:space="preserve">Criminal Procedure Act 2009 </w:t>
      </w:r>
      <w:r w:rsidRPr="00D36673">
        <w:t>(Vic)</w:t>
      </w:r>
    </w:p>
    <w:p w14:paraId="627C2300" w14:textId="77777777" w:rsidR="005A3418" w:rsidRPr="00D36673" w:rsidRDefault="005A3418" w:rsidP="003724FA">
      <w:r w:rsidRPr="00A24E18">
        <w:rPr>
          <w:rStyle w:val="Emphasis"/>
        </w:rPr>
        <w:t xml:space="preserve">Drugs, Poisons and Controlled Substances Act 1981 </w:t>
      </w:r>
      <w:r w:rsidRPr="00D36673">
        <w:t>(Vic)</w:t>
      </w:r>
    </w:p>
    <w:p w14:paraId="4F579556" w14:textId="77777777" w:rsidR="005A3418" w:rsidRPr="00D36673" w:rsidRDefault="005A3418" w:rsidP="003724FA">
      <w:r w:rsidRPr="00A24E18">
        <w:rPr>
          <w:rStyle w:val="Emphasis"/>
        </w:rPr>
        <w:t xml:space="preserve">Family Violence Protection Act 2008 </w:t>
      </w:r>
      <w:r w:rsidRPr="00D36673">
        <w:t>(Vic)</w:t>
      </w:r>
    </w:p>
    <w:p w14:paraId="6E08D204" w14:textId="77777777" w:rsidR="005A3418" w:rsidRPr="00D36673" w:rsidRDefault="005A3418" w:rsidP="003724FA">
      <w:r w:rsidRPr="00A24E18">
        <w:rPr>
          <w:rStyle w:val="Emphasis"/>
        </w:rPr>
        <w:t xml:space="preserve">Sentencing Act 1991 </w:t>
      </w:r>
      <w:r w:rsidRPr="00D36673">
        <w:t>(Vic)</w:t>
      </w:r>
    </w:p>
    <w:p w14:paraId="636DD21F" w14:textId="77777777" w:rsidR="005A3418" w:rsidRPr="00D36673" w:rsidRDefault="005A3418" w:rsidP="003724FA">
      <w:r w:rsidRPr="00A24E18">
        <w:rPr>
          <w:rStyle w:val="Emphasis"/>
        </w:rPr>
        <w:t xml:space="preserve">Summary Offences Act 1966 </w:t>
      </w:r>
      <w:r w:rsidRPr="00D36673">
        <w:t>(Vic)</w:t>
      </w:r>
    </w:p>
    <w:p w14:paraId="0722D40B" w14:textId="77777777" w:rsidR="005A3418" w:rsidRPr="00D36673" w:rsidRDefault="005A3418" w:rsidP="00F67BC8">
      <w:pPr>
        <w:pStyle w:val="Heading3"/>
      </w:pPr>
      <w:r w:rsidRPr="00D36673">
        <w:t>Commonwealth</w:t>
      </w:r>
    </w:p>
    <w:p w14:paraId="5E2D693C" w14:textId="77777777" w:rsidR="005A3418" w:rsidRPr="00D36673" w:rsidRDefault="005A3418" w:rsidP="003724FA">
      <w:r w:rsidRPr="00A24E18">
        <w:rPr>
          <w:rStyle w:val="Emphasis"/>
        </w:rPr>
        <w:t xml:space="preserve">Criminal Code Act 1995 </w:t>
      </w:r>
      <w:r w:rsidRPr="00D36673">
        <w:t>(Cth)</w:t>
      </w:r>
    </w:p>
    <w:p w14:paraId="0F2B0854" w14:textId="77777777" w:rsidR="005A3418" w:rsidRPr="00D36673" w:rsidRDefault="005A3418" w:rsidP="00F67BC8">
      <w:pPr>
        <w:pStyle w:val="Heading3"/>
      </w:pPr>
      <w:r w:rsidRPr="00D36673">
        <w:t>Queensland</w:t>
      </w:r>
    </w:p>
    <w:p w14:paraId="00EB36B7" w14:textId="77777777" w:rsidR="005A3418" w:rsidRPr="00D36673" w:rsidRDefault="005A3418" w:rsidP="003724FA">
      <w:r w:rsidRPr="00A24E18">
        <w:rPr>
          <w:rStyle w:val="Emphasis"/>
        </w:rPr>
        <w:t xml:space="preserve">Criminal Code Act 1899 </w:t>
      </w:r>
      <w:r w:rsidRPr="00D36673">
        <w:t>(Qld)</w:t>
      </w:r>
    </w:p>
    <w:p w14:paraId="4692B2DF" w14:textId="77777777" w:rsidR="00615D12" w:rsidRPr="00D36673" w:rsidRDefault="00615D12" w:rsidP="00222B32">
      <w:pPr>
        <w:pageBreakBefore/>
      </w:pPr>
      <w:r w:rsidRPr="00D36673">
        <w:lastRenderedPageBreak/>
        <w:t>Published by the Sentencing Advisory Council</w:t>
      </w:r>
      <w:r w:rsidRPr="00D36673">
        <w:br/>
        <w:t>Melbourne, Victoria, Australia</w:t>
      </w:r>
    </w:p>
    <w:p w14:paraId="04E4FB38" w14:textId="77777777" w:rsidR="00615D12" w:rsidRPr="00D36673" w:rsidRDefault="00615D12" w:rsidP="00A24E18">
      <w:r w:rsidRPr="00D36673">
        <w:t>© Copyright State of Victoria, Sentencing Advisory Council, 2021</w:t>
      </w:r>
    </w:p>
    <w:p w14:paraId="5F863D87" w14:textId="77777777" w:rsidR="00615D12" w:rsidRPr="00D36673" w:rsidRDefault="00615D12" w:rsidP="00A24E18">
      <w:r w:rsidRPr="00D36673">
        <w:t>This publication is protected by the laws of copyright. No part may be</w:t>
      </w:r>
      <w:r w:rsidRPr="00D36673">
        <w:br/>
        <w:t>reproduced by any process except in accordance with the provisions of</w:t>
      </w:r>
      <w:r w:rsidRPr="00D36673">
        <w:br/>
        <w:t xml:space="preserve">the </w:t>
      </w:r>
      <w:r w:rsidRPr="00A24E18">
        <w:rPr>
          <w:rStyle w:val="Emphasis"/>
        </w:rPr>
        <w:t>Copyright Act 1968</w:t>
      </w:r>
      <w:r w:rsidRPr="00D36673">
        <w:t xml:space="preserve"> (Cth).</w:t>
      </w:r>
    </w:p>
    <w:p w14:paraId="3BF347FF" w14:textId="77777777" w:rsidR="00615D12" w:rsidRPr="00D36673" w:rsidRDefault="00615D12" w:rsidP="00A24E18">
      <w:r w:rsidRPr="00D36673">
        <w:t>ISBN</w:t>
      </w:r>
      <w:r w:rsidRPr="00D36673">
        <w:tab/>
        <w:t>978-1-925071-62-7 (Online)</w:t>
      </w:r>
    </w:p>
    <w:p w14:paraId="7F1DE750" w14:textId="77777777" w:rsidR="00615D12" w:rsidRPr="00D36673" w:rsidRDefault="00615D12" w:rsidP="00A24E18">
      <w:r w:rsidRPr="00D36673">
        <w:t>Authorised by the Sentencing Advisory Council,</w:t>
      </w:r>
      <w:r w:rsidRPr="00D36673">
        <w:br/>
        <w:t>Level 3, 333 Queen Street, Melbourne VIC 3000</w:t>
      </w:r>
    </w:p>
    <w:p w14:paraId="393FD48F" w14:textId="77777777" w:rsidR="00615D12" w:rsidRPr="00D36673" w:rsidRDefault="00615D12" w:rsidP="00A24E18">
      <w:r w:rsidRPr="00D36673">
        <w:t>Copyedited and typeset by Catherine Jeffreys AE</w:t>
      </w:r>
    </w:p>
    <w:p w14:paraId="60CA4C63" w14:textId="77777777" w:rsidR="00615D12" w:rsidRPr="00D36673" w:rsidRDefault="00615D12" w:rsidP="00A24E18">
      <w:r w:rsidRPr="00D36673">
        <w:t>Publications of the Sentencing Advisory Council follow the Melbourne University</w:t>
      </w:r>
      <w:r w:rsidRPr="00D36673">
        <w:br/>
        <w:t xml:space="preserve">Law Review Association Inc </w:t>
      </w:r>
      <w:r w:rsidRPr="00A24E18">
        <w:rPr>
          <w:rStyle w:val="Emphasis"/>
        </w:rPr>
        <w:t xml:space="preserve">Australian Guide to Legal Citation </w:t>
      </w:r>
      <w:r w:rsidRPr="00D36673">
        <w:t>(3rd ed., 2010).</w:t>
      </w:r>
    </w:p>
    <w:p w14:paraId="4BE15505" w14:textId="77777777" w:rsidR="00615D12" w:rsidRPr="00D36673" w:rsidRDefault="00615D12" w:rsidP="00A24E18">
      <w:r w:rsidRPr="00D36673">
        <w:t>This report reflects the law as at 31 May 2021.</w:t>
      </w:r>
    </w:p>
    <w:sectPr w:rsidR="00615D12" w:rsidRPr="00D36673" w:rsidSect="00D6349A">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7213F" w14:textId="77777777" w:rsidR="00BC6751" w:rsidRDefault="00BC6751">
      <w:pPr>
        <w:spacing w:after="0" w:line="240" w:lineRule="auto"/>
      </w:pPr>
      <w:r>
        <w:separator/>
      </w:r>
    </w:p>
  </w:endnote>
  <w:endnote w:type="continuationSeparator" w:id="0">
    <w:p w14:paraId="76AC13A4" w14:textId="77777777" w:rsidR="00BC6751" w:rsidRDefault="00BC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Regular">
    <w:altName w:val="Arial"/>
    <w:panose1 w:val="00000000000000000000"/>
    <w:charset w:val="00"/>
    <w:family w:val="auto"/>
    <w:notTrueType/>
    <w:pitch w:val="default"/>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Gill Sans Std">
    <w:panose1 w:val="020B0502020104020203"/>
    <w:charset w:val="00"/>
    <w:family w:val="swiss"/>
    <w:notTrueType/>
    <w:pitch w:val="variable"/>
    <w:sig w:usb0="00000003" w:usb1="00000000" w:usb2="00000000" w:usb3="00000000" w:csb0="00000001" w:csb1="00000000"/>
  </w:font>
  <w:font w:name="Gill Sans Std Light">
    <w:panose1 w:val="020B03020201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Demi">
    <w:altName w:val="Calibri"/>
    <w:panose1 w:val="00000000000000000000"/>
    <w:charset w:val="00"/>
    <w:family w:val="auto"/>
    <w:notTrueType/>
    <w:pitch w:val="default"/>
    <w:sig w:usb0="00000003" w:usb1="00000000" w:usb2="00000000" w:usb3="00000000" w:csb0="00000001" w:csb1="00000000"/>
  </w:font>
  <w:font w:name="ITC Franklin Gothic">
    <w:altName w:val="Calibri"/>
    <w:panose1 w:val="00000000000000000000"/>
    <w:charset w:val="00"/>
    <w:family w:val="auto"/>
    <w:notTrueType/>
    <w:pitch w:val="default"/>
    <w:sig w:usb0="00000003" w:usb1="00000000" w:usb2="00000000" w:usb3="00000000" w:csb0="00000001" w:csb1="00000000"/>
  </w:font>
  <w:font w:name="ITC Franklin Gothic Demi Italic">
    <w:altName w:val="Calibri"/>
    <w:panose1 w:val="00000000000000000000"/>
    <w:charset w:val="00"/>
    <w:family w:val="auto"/>
    <w:notTrueType/>
    <w:pitch w:val="default"/>
    <w:sig w:usb0="00000003" w:usb1="00000000" w:usb2="00000000" w:usb3="00000000" w:csb0="00000001" w:csb1="00000000"/>
  </w:font>
  <w:font w:name="ITC Franklin Gothic Std Book">
    <w:panose1 w:val="020B05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A6AF2" w14:textId="77777777" w:rsidR="00EB0405" w:rsidRDefault="00EB0405" w:rsidP="006A24A4">
    <w:pPr>
      <w:pStyle w:val="Footer"/>
      <w:ind w:left="4513" w:hanging="4513"/>
      <w:jc w:val="center"/>
    </w:pPr>
    <w:r>
      <w:fldChar w:fldCharType="begin"/>
    </w:r>
    <w:r>
      <w:instrText xml:space="preserve"> PAGE   \* MERGEFORMAT </w:instrText>
    </w:r>
    <w: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A228" w14:textId="77777777" w:rsidR="00BC6751" w:rsidRDefault="00BC6751">
      <w:pPr>
        <w:spacing w:after="0" w:line="240" w:lineRule="auto"/>
      </w:pPr>
      <w:r>
        <w:separator/>
      </w:r>
    </w:p>
  </w:footnote>
  <w:footnote w:type="continuationSeparator" w:id="0">
    <w:p w14:paraId="1AB73CE6" w14:textId="77777777" w:rsidR="00BC6751" w:rsidRDefault="00BC6751">
      <w:pPr>
        <w:spacing w:after="0" w:line="240" w:lineRule="auto"/>
      </w:pPr>
      <w:r>
        <w:continuationSeparator/>
      </w:r>
    </w:p>
  </w:footnote>
  <w:footnote w:id="1">
    <w:p w14:paraId="183D626B" w14:textId="5EB4F69C" w:rsidR="00EB0405" w:rsidRPr="00490F7A" w:rsidRDefault="00EB0405" w:rsidP="00D17C3C">
      <w:pPr>
        <w:pStyle w:val="Footnote"/>
      </w:pPr>
      <w:r w:rsidRPr="00490F7A">
        <w:rPr>
          <w:vertAlign w:val="superscript"/>
        </w:rPr>
        <w:footnoteRef/>
      </w:r>
      <w:r w:rsidRPr="00490F7A">
        <w:t>.</w:t>
      </w:r>
      <w:r w:rsidRPr="00490F7A">
        <w:tab/>
        <w:t xml:space="preserve">Over this period, 507,596 cases were sentenced in total: 479,936 in the Magistrates’ Court, 8,987 in the higher courts and 18,673 in the Children’s Court. </w:t>
      </w:r>
    </w:p>
  </w:footnote>
  <w:footnote w:id="2">
    <w:p w14:paraId="33821D87" w14:textId="57832F28" w:rsidR="00EB0405" w:rsidRPr="00490F7A" w:rsidRDefault="00EB0405" w:rsidP="00D17C3C">
      <w:pPr>
        <w:pStyle w:val="Footnote"/>
      </w:pPr>
      <w:r w:rsidRPr="00490F7A">
        <w:rPr>
          <w:vertAlign w:val="superscript"/>
        </w:rPr>
        <w:footnoteRef/>
      </w:r>
      <w:r w:rsidRPr="00490F7A">
        <w:t>.</w:t>
      </w:r>
      <w:r w:rsidRPr="00490F7A">
        <w:tab/>
        <w:t xml:space="preserve">Sentencing Advisory Council, </w:t>
      </w:r>
      <w:r w:rsidRPr="00490F7A">
        <w:rPr>
          <w:rStyle w:val="LightItalic"/>
          <w:rFonts w:ascii="Verdana" w:hAnsi="Verdana"/>
        </w:rPr>
        <w:t xml:space="preserve">Serious Offending by People Serving a Community Correction Order: 2018–19 </w:t>
      </w:r>
      <w:r w:rsidRPr="00490F7A">
        <w:t xml:space="preserve">(2020) 11; Sentencing Advisory Council, </w:t>
      </w:r>
      <w:r w:rsidRPr="00490F7A">
        <w:rPr>
          <w:rStyle w:val="LightItalic"/>
          <w:rFonts w:ascii="Verdana" w:hAnsi="Verdana"/>
        </w:rPr>
        <w:t xml:space="preserve">Serious Offending by People Serving a Community Correction Order: 2017–18 </w:t>
      </w:r>
      <w:r w:rsidRPr="00490F7A">
        <w:t xml:space="preserve">(2019) 9; Sentencing Advisory Council, </w:t>
      </w:r>
      <w:r w:rsidRPr="00490F7A">
        <w:rPr>
          <w:rStyle w:val="LightItalic"/>
          <w:rFonts w:ascii="Verdana" w:hAnsi="Verdana"/>
        </w:rPr>
        <w:t xml:space="preserve">Serious Offending by People Serving a Community Correction Order: 2016–17 </w:t>
      </w:r>
      <w:r w:rsidRPr="00490F7A">
        <w:t xml:space="preserve">(2018) 10; Sentencing Advisory Council, </w:t>
      </w:r>
      <w:r w:rsidRPr="00490F7A">
        <w:rPr>
          <w:rStyle w:val="LightItalic"/>
          <w:rFonts w:ascii="Verdana" w:hAnsi="Verdana"/>
        </w:rPr>
        <w:t>Serious Offending by People Serving a Community Correction Order: 2019–20</w:t>
      </w:r>
      <w:r w:rsidRPr="00490F7A">
        <w:t xml:space="preserve"> (2021) 11.</w:t>
      </w:r>
    </w:p>
  </w:footnote>
  <w:footnote w:id="3">
    <w:p w14:paraId="7F1682CD" w14:textId="7811A210" w:rsidR="00EB0405" w:rsidRPr="00490F7A" w:rsidRDefault="00EB0405" w:rsidP="00D17C3C">
      <w:pPr>
        <w:pStyle w:val="Footnote"/>
      </w:pPr>
      <w:r w:rsidRPr="00490F7A">
        <w:rPr>
          <w:vertAlign w:val="superscript"/>
        </w:rPr>
        <w:footnoteRef/>
      </w:r>
      <w:r w:rsidRPr="00490F7A">
        <w:t>.</w:t>
      </w:r>
      <w:r w:rsidRPr="00490F7A">
        <w:tab/>
        <w:t xml:space="preserve">Sentencing Advisory Council, </w:t>
      </w:r>
      <w:r w:rsidRPr="00490F7A">
        <w:rPr>
          <w:rStyle w:val="LightItalic"/>
          <w:rFonts w:ascii="Verdana" w:hAnsi="Verdana"/>
        </w:rPr>
        <w:t xml:space="preserve">Contravention of Family Violence Intervention Orders and Safety Notices: Prior Offences and Reoffending </w:t>
      </w:r>
      <w:r w:rsidRPr="00490F7A">
        <w:t>(2016) 30, 35–36.</w:t>
      </w:r>
    </w:p>
  </w:footnote>
  <w:footnote w:id="4">
    <w:p w14:paraId="5B6C0F1D" w14:textId="5F6599C8" w:rsidR="00EB0405" w:rsidRPr="00490F7A" w:rsidRDefault="00EB0405" w:rsidP="00D17C3C">
      <w:pPr>
        <w:pStyle w:val="Footnote"/>
      </w:pPr>
      <w:r w:rsidRPr="00490F7A">
        <w:rPr>
          <w:vertAlign w:val="superscript"/>
        </w:rPr>
        <w:footnoteRef/>
      </w:r>
      <w:r w:rsidRPr="00490F7A">
        <w:t>.</w:t>
      </w:r>
      <w:r w:rsidRPr="00490F7A">
        <w:tab/>
        <w:t xml:space="preserve">Sentencing Advisory Council, </w:t>
      </w:r>
      <w:r w:rsidRPr="00490F7A">
        <w:rPr>
          <w:rStyle w:val="LightItalic"/>
          <w:rFonts w:ascii="Verdana" w:hAnsi="Verdana"/>
        </w:rPr>
        <w:t xml:space="preserve">Reoffending by Children and Young People in Victoria </w:t>
      </w:r>
      <w:r w:rsidRPr="00490F7A">
        <w:t>(2016)</w:t>
      </w:r>
      <w:r w:rsidRPr="00490F7A">
        <w:rPr>
          <w:rStyle w:val="LightItalic"/>
          <w:rFonts w:ascii="Verdana" w:hAnsi="Verdana"/>
        </w:rPr>
        <w:t xml:space="preserve"> </w:t>
      </w:r>
      <w:r w:rsidRPr="00490F7A">
        <w:t>29.</w:t>
      </w:r>
    </w:p>
  </w:footnote>
  <w:footnote w:id="5">
    <w:p w14:paraId="406026A3" w14:textId="00AD7AF0" w:rsidR="00EB0405" w:rsidRPr="00490F7A" w:rsidRDefault="00EB0405" w:rsidP="00CB6F0C">
      <w:pPr>
        <w:pStyle w:val="Footnote"/>
      </w:pPr>
      <w:r w:rsidRPr="00490F7A">
        <w:rPr>
          <w:vertAlign w:val="superscript"/>
        </w:rPr>
        <w:footnoteRef/>
      </w:r>
      <w:r w:rsidRPr="00490F7A">
        <w:t>.</w:t>
      </w:r>
      <w:r w:rsidRPr="00490F7A">
        <w:tab/>
        <w:t xml:space="preserve">See for example, Victorian Government, </w:t>
      </w:r>
      <w:r w:rsidRPr="00490F7A">
        <w:rPr>
          <w:rStyle w:val="LightItalic"/>
          <w:rFonts w:ascii="Verdana" w:hAnsi="Verdana"/>
        </w:rPr>
        <w:t xml:space="preserve">Family Violence Multi-Agency Risk Assessment and Management Framework </w:t>
      </w:r>
      <w:r w:rsidRPr="00490F7A">
        <w:t>(2018) 28.</w:t>
      </w:r>
    </w:p>
  </w:footnote>
  <w:footnote w:id="6">
    <w:p w14:paraId="637E56EF" w14:textId="556D1B47" w:rsidR="00EB0405" w:rsidRPr="00490F7A" w:rsidRDefault="00EB0405" w:rsidP="00D63A21">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w:t>
      </w:r>
      <w:r w:rsidRPr="00490F7A">
        <w:rPr>
          <w:rStyle w:val="LightItalic"/>
          <w:rFonts w:ascii="Verdana" w:hAnsi="Verdana"/>
        </w:rPr>
        <w:t xml:space="preserve"> </w:t>
      </w:r>
      <w:r w:rsidRPr="00490F7A">
        <w:t xml:space="preserve">s 20. For some purposes, the Commonwealth offence of using a carriage service to make a threat to kill is also analysed: </w:t>
      </w:r>
      <w:r w:rsidRPr="00490F7A">
        <w:rPr>
          <w:rStyle w:val="LightItalic"/>
          <w:rFonts w:ascii="Verdana" w:hAnsi="Verdana"/>
        </w:rPr>
        <w:t xml:space="preserve">Criminal Code Act 1995 </w:t>
      </w:r>
      <w:r w:rsidRPr="00490F7A">
        <w:t>(Cth) s 474.15(1).</w:t>
      </w:r>
    </w:p>
  </w:footnote>
  <w:footnote w:id="7">
    <w:p w14:paraId="46BC0585" w14:textId="55BC656F" w:rsidR="00EB0405" w:rsidRPr="00490F7A" w:rsidRDefault="00EB0405" w:rsidP="00D63A21">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w:t>
      </w:r>
      <w:r w:rsidRPr="00490F7A">
        <w:rPr>
          <w:rStyle w:val="LightItalic"/>
          <w:rFonts w:ascii="Verdana" w:hAnsi="Verdana"/>
        </w:rPr>
        <w:t xml:space="preserve"> </w:t>
      </w:r>
      <w:r w:rsidRPr="00490F7A">
        <w:t xml:space="preserve">s 21. For some purposes, the Commonwealth offence of using a carriage service to make a threat to seriously injure is also analysed: </w:t>
      </w:r>
      <w:r w:rsidRPr="00490F7A">
        <w:rPr>
          <w:rStyle w:val="LightItalic"/>
          <w:rFonts w:ascii="Verdana" w:hAnsi="Verdana"/>
        </w:rPr>
        <w:t xml:space="preserve">Criminal Code Act 1995 </w:t>
      </w:r>
      <w:r w:rsidRPr="00490F7A">
        <w:t>(Cth) s 474.15(2).</w:t>
      </w:r>
    </w:p>
  </w:footnote>
  <w:footnote w:id="8">
    <w:p w14:paraId="6724DA5D" w14:textId="378C29B8" w:rsidR="00EB0405" w:rsidRPr="00490F7A" w:rsidRDefault="00EB0405" w:rsidP="00D63A21">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w:t>
      </w:r>
      <w:r w:rsidRPr="00490F7A">
        <w:rPr>
          <w:rStyle w:val="LightItalic"/>
          <w:rFonts w:ascii="Verdana" w:hAnsi="Verdana"/>
        </w:rPr>
        <w:t xml:space="preserve"> </w:t>
      </w:r>
      <w:r w:rsidRPr="00490F7A">
        <w:t xml:space="preserve">s 198(a). Threats to damage the offender’s own property have been excluded because the offence includes an additional mental element: </w:t>
      </w:r>
      <w:r w:rsidRPr="00490F7A">
        <w:rPr>
          <w:rStyle w:val="LightItalic"/>
          <w:rFonts w:ascii="Verdana" w:hAnsi="Verdana"/>
        </w:rPr>
        <w:t xml:space="preserve">Crimes Act 1958 </w:t>
      </w:r>
      <w:r w:rsidRPr="00490F7A">
        <w:t>(Vic)</w:t>
      </w:r>
      <w:r w:rsidRPr="00490F7A">
        <w:rPr>
          <w:rStyle w:val="LightItalic"/>
          <w:rFonts w:ascii="Verdana" w:hAnsi="Verdana"/>
        </w:rPr>
        <w:t xml:space="preserve"> </w:t>
      </w:r>
      <w:r w:rsidRPr="00490F7A">
        <w:t>s 198(b). There were very low numbers of the offence under section 198(b): 30 recorded offences and three sentenced offences during the reference period.</w:t>
      </w:r>
    </w:p>
  </w:footnote>
  <w:footnote w:id="9">
    <w:p w14:paraId="49654372" w14:textId="17293BE2" w:rsidR="00EB0405" w:rsidRPr="00490F7A" w:rsidRDefault="00EB0405" w:rsidP="00D63A21">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w:t>
      </w:r>
      <w:r w:rsidRPr="00490F7A">
        <w:rPr>
          <w:rStyle w:val="LightItalic"/>
          <w:rFonts w:ascii="Verdana" w:hAnsi="Verdana"/>
        </w:rPr>
        <w:t xml:space="preserve"> </w:t>
      </w:r>
      <w:r w:rsidRPr="00490F7A">
        <w:t>s 43.</w:t>
      </w:r>
    </w:p>
  </w:footnote>
  <w:footnote w:id="10">
    <w:p w14:paraId="467A3C82" w14:textId="23EAFDE2" w:rsidR="00EB0405" w:rsidRPr="00490F7A" w:rsidRDefault="00EB0405" w:rsidP="00D63A21">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w:t>
      </w:r>
      <w:r w:rsidRPr="00490F7A">
        <w:rPr>
          <w:rStyle w:val="LightItalic"/>
          <w:rFonts w:ascii="Verdana" w:hAnsi="Verdana"/>
        </w:rPr>
        <w:t xml:space="preserve"> </w:t>
      </w:r>
      <w:r w:rsidRPr="00490F7A">
        <w:t xml:space="preserve">s 31(1)(b). Threats to assault persons assisting an emergency worker have been excluded due to low numbers. </w:t>
      </w:r>
    </w:p>
  </w:footnote>
  <w:footnote w:id="11">
    <w:p w14:paraId="1CAB4417" w14:textId="5986157D" w:rsidR="00EB0405" w:rsidRPr="00490F7A" w:rsidRDefault="00EB0405" w:rsidP="00DC0ECA">
      <w:pPr>
        <w:pStyle w:val="Footnote"/>
      </w:pPr>
      <w:r w:rsidRPr="00490F7A">
        <w:rPr>
          <w:vertAlign w:val="superscript"/>
        </w:rPr>
        <w:footnoteRef/>
      </w:r>
      <w:r w:rsidRPr="00490F7A">
        <w:t>.</w:t>
      </w:r>
      <w:r w:rsidRPr="00490F7A">
        <w:tab/>
        <w:t xml:space="preserve">Sentencing Advisory Council, </w:t>
      </w:r>
      <w:r w:rsidRPr="00490F7A">
        <w:rPr>
          <w:rStyle w:val="LightItalic"/>
          <w:rFonts w:ascii="Verdana" w:hAnsi="Verdana"/>
        </w:rPr>
        <w:t xml:space="preserve">Sentencing Image-Based Abuse Offences in Victoria </w:t>
      </w:r>
      <w:r w:rsidRPr="00490F7A">
        <w:t xml:space="preserve">(2020). </w:t>
      </w:r>
    </w:p>
  </w:footnote>
  <w:footnote w:id="12">
    <w:p w14:paraId="05AD4C9F" w14:textId="13666039" w:rsidR="00EB0405" w:rsidRPr="00490F7A" w:rsidRDefault="00EB0405" w:rsidP="00DC0ECA">
      <w:pPr>
        <w:pStyle w:val="Footnote"/>
      </w:pPr>
      <w:r w:rsidRPr="00490F7A">
        <w:rPr>
          <w:vertAlign w:val="superscript"/>
        </w:rPr>
        <w:footnoteRef/>
      </w:r>
      <w:r w:rsidRPr="00490F7A">
        <w:t>.</w:t>
      </w:r>
      <w:r w:rsidRPr="00490F7A">
        <w:tab/>
        <w:t xml:space="preserve">Between 2015 and 2019, 12,919 physical assaults on police and emergency workers were recorded, compared to 494 threats to assault under section 31(1)(b) of the </w:t>
      </w:r>
      <w:r w:rsidRPr="00490F7A">
        <w:rPr>
          <w:rStyle w:val="LightItalic"/>
          <w:rFonts w:ascii="Verdana" w:hAnsi="Verdana"/>
        </w:rPr>
        <w:t xml:space="preserve">Crimes Act 1958 </w:t>
      </w:r>
      <w:r w:rsidRPr="00490F7A">
        <w:t>(Vic) (4%).</w:t>
      </w:r>
    </w:p>
  </w:footnote>
  <w:footnote w:id="13">
    <w:p w14:paraId="004F0D48" w14:textId="6AA2359D" w:rsidR="00EB0405" w:rsidRPr="00490F7A" w:rsidRDefault="00EB0405" w:rsidP="00AC1AE1">
      <w:pPr>
        <w:pStyle w:val="Footnote"/>
      </w:pPr>
      <w:r w:rsidRPr="00490F7A">
        <w:rPr>
          <w:vertAlign w:val="superscript"/>
        </w:rPr>
        <w:footnoteRef/>
      </w:r>
      <w:r w:rsidRPr="00490F7A">
        <w:t>.</w:t>
      </w:r>
      <w:r w:rsidRPr="00490F7A">
        <w:tab/>
        <w:t>For the purposes of Table 1, substantive offences assume the offender intended the harm caused. Where multiple offences might correspond, the closest matching offence has been selected.</w:t>
      </w:r>
    </w:p>
  </w:footnote>
  <w:footnote w:id="14">
    <w:p w14:paraId="3B9E0545" w14:textId="6DFA0F0C" w:rsidR="00EB0405" w:rsidRPr="00490F7A" w:rsidRDefault="00EB0405" w:rsidP="00692415">
      <w:pPr>
        <w:pStyle w:val="Footnote"/>
      </w:pPr>
      <w:r w:rsidRPr="00490F7A">
        <w:rPr>
          <w:vertAlign w:val="superscript"/>
        </w:rPr>
        <w:footnoteRef/>
      </w:r>
      <w:r w:rsidRPr="00490F7A">
        <w:t>.</w:t>
      </w:r>
      <w:r w:rsidRPr="00490F7A">
        <w:tab/>
        <w:t xml:space="preserve">Threats to damage property include property jointly owned by the threatener and another. It is arguable that threats to kill or seriously injure might also cover a threat of suicide, but if so, the charge does not appear to be regularly applied in that way: in </w:t>
      </w:r>
      <w:r w:rsidRPr="00490F7A">
        <w:rPr>
          <w:rStyle w:val="LightItalic"/>
          <w:rFonts w:ascii="Verdana" w:hAnsi="Verdana"/>
        </w:rPr>
        <w:t>Ballantyne v The Queen,</w:t>
      </w:r>
      <w:r w:rsidRPr="00490F7A">
        <w:t xml:space="preserve">  the offender threatened to kill both himself and his victim, but only the threat against the victim resulted in a charge of threat to kill: </w:t>
      </w:r>
      <w:r w:rsidRPr="00490F7A">
        <w:rPr>
          <w:rStyle w:val="LightItalic"/>
          <w:rFonts w:ascii="Verdana" w:hAnsi="Verdana"/>
        </w:rPr>
        <w:t>Ballantyne v The Queen</w:t>
      </w:r>
      <w:r w:rsidRPr="00490F7A">
        <w:t xml:space="preserve"> [2020] VSCA 115 (11 May 2020) [2], [7]. Such threats, when made over the phone or internet, are also sometimes charged using the Commonwealth offence of using a carriage service to menace, harass or cause offence: see Sentencing Advisory Council (2020), above n 11, 43; </w:t>
      </w:r>
      <w:r w:rsidRPr="00490F7A">
        <w:rPr>
          <w:rStyle w:val="LightItalic"/>
          <w:rFonts w:ascii="Verdana" w:hAnsi="Verdana"/>
        </w:rPr>
        <w:t xml:space="preserve">Criminal Code Act 1995 </w:t>
      </w:r>
      <w:r w:rsidRPr="00490F7A">
        <w:t xml:space="preserve">(Cth) s 474.17. </w:t>
      </w:r>
    </w:p>
  </w:footnote>
  <w:footnote w:id="15">
    <w:p w14:paraId="15400CD2" w14:textId="2D20373F" w:rsidR="00EB0405" w:rsidRPr="00692415" w:rsidRDefault="00EB0405" w:rsidP="00692415">
      <w:pPr>
        <w:pStyle w:val="Footnote"/>
        <w:rPr>
          <w:spacing w:val="-2"/>
        </w:rPr>
      </w:pPr>
      <w:r w:rsidRPr="00490F7A">
        <w:rPr>
          <w:vertAlign w:val="superscript"/>
        </w:rPr>
        <w:footnoteRef/>
      </w:r>
      <w:r w:rsidRPr="00490F7A">
        <w:t>.</w:t>
      </w:r>
      <w:r w:rsidRPr="00490F7A">
        <w:tab/>
      </w:r>
      <w:r w:rsidRPr="00490F7A">
        <w:rPr>
          <w:rStyle w:val="LightItalic"/>
          <w:rFonts w:ascii="Verdana" w:hAnsi="Verdana"/>
          <w:spacing w:val="-2"/>
        </w:rPr>
        <w:t>R v Leece</w:t>
      </w:r>
      <w:r w:rsidRPr="00490F7A">
        <w:rPr>
          <w:spacing w:val="-2"/>
        </w:rPr>
        <w:t xml:space="preserve"> [1995] ACTSC 28 (30 March 1995) [33]; Ian Freckelton and Kerryn Cockroft, </w:t>
      </w:r>
      <w:r w:rsidRPr="00490F7A">
        <w:rPr>
          <w:rStyle w:val="LightItalic"/>
          <w:rFonts w:ascii="Verdana" w:hAnsi="Verdana"/>
          <w:spacing w:val="-2"/>
        </w:rPr>
        <w:t xml:space="preserve">Indictable Offences in Victoria </w:t>
      </w:r>
      <w:r w:rsidRPr="00490F7A">
        <w:rPr>
          <w:spacing w:val="-2"/>
        </w:rPr>
        <w:t>(7th ed., 2020) 253.120.</w:t>
      </w:r>
    </w:p>
  </w:footnote>
  <w:footnote w:id="16">
    <w:p w14:paraId="7774DC93" w14:textId="4851DEAE" w:rsidR="00EB0405" w:rsidRPr="00F0080B" w:rsidRDefault="00EB0405" w:rsidP="00F0080B">
      <w:pPr>
        <w:pStyle w:val="Footnote"/>
        <w:rPr>
          <w:spacing w:val="-2"/>
        </w:rPr>
      </w:pPr>
      <w:r w:rsidRPr="00490F7A">
        <w:rPr>
          <w:vertAlign w:val="superscript"/>
        </w:rPr>
        <w:footnoteRef/>
      </w:r>
      <w:r w:rsidRPr="00490F7A">
        <w:t>.</w:t>
      </w:r>
      <w:r w:rsidRPr="00490F7A">
        <w:tab/>
      </w:r>
      <w:r w:rsidRPr="00490F7A">
        <w:rPr>
          <w:rStyle w:val="LightItalic"/>
          <w:rFonts w:ascii="Verdana" w:hAnsi="Verdana"/>
        </w:rPr>
        <w:t>R v Leece</w:t>
      </w:r>
      <w:r w:rsidRPr="00490F7A">
        <w:t xml:space="preserve"> [1995] ACTSC 28 (30 March 1995) [37]; Judicial College of Victoria, ‘7.4.10: Threats to Kill’, </w:t>
      </w:r>
      <w:r w:rsidRPr="00490F7A">
        <w:rPr>
          <w:rStyle w:val="LightItalic"/>
          <w:rFonts w:ascii="Verdana" w:hAnsi="Verdana"/>
        </w:rPr>
        <w:t xml:space="preserve">Criminal Charge Book </w:t>
      </w:r>
      <w:r w:rsidRPr="00490F7A">
        <w:t xml:space="preserve">(Judicial College of Victoria, 2012) &lt;https://www.judicialcollege.vic.edu.au/eManuals/CCB/index.htm#4983.htm&gt; at 10 May 2021, [8]; Judicial College of Victoria, ‘7.4.11: Threats to Inflict Serious Injury’, </w:t>
      </w:r>
      <w:r w:rsidRPr="00490F7A">
        <w:rPr>
          <w:rStyle w:val="LightItalic"/>
          <w:rFonts w:ascii="Verdana" w:hAnsi="Verdana"/>
        </w:rPr>
        <w:t>Criminal Charge Book</w:t>
      </w:r>
      <w:r w:rsidRPr="00490F7A">
        <w:t xml:space="preserve"> (Judicial College of Victoria, 2015) &lt;https://www.judicialcollege.vic.edu.au/eManuals/CCB/index.htm#4988.htm&gt; at 10 May 2021, [10]. Some conditional threats may constitute the use of ‘standover tactics’, an aggravating feature of the offence: see </w:t>
      </w:r>
      <w:r w:rsidRPr="00490F7A">
        <w:rPr>
          <w:rStyle w:val="LightItalic"/>
          <w:rFonts w:ascii="Verdana" w:hAnsi="Verdana"/>
        </w:rPr>
        <w:t xml:space="preserve">Latorre v R </w:t>
      </w:r>
      <w:r w:rsidRPr="00490F7A">
        <w:t xml:space="preserve">[2012] VSCA 280 (23 November 2012) [191]. On the other hand, a conditional threat where the threatened person is entitled </w:t>
      </w:r>
      <w:r w:rsidRPr="00490F7A">
        <w:rPr>
          <w:rStyle w:val="LightItalic"/>
          <w:rFonts w:ascii="Verdana" w:hAnsi="Verdana"/>
        </w:rPr>
        <w:t>not</w:t>
      </w:r>
      <w:r w:rsidRPr="00490F7A">
        <w:t xml:space="preserve"> to comply with the condition might be characterised either as </w:t>
      </w:r>
      <w:r w:rsidRPr="00490F7A">
        <w:rPr>
          <w:spacing w:val="-2"/>
        </w:rPr>
        <w:t xml:space="preserve">hypothetical or as justifying the threat in self-defence: </w:t>
      </w:r>
      <w:r w:rsidRPr="00490F7A">
        <w:rPr>
          <w:rStyle w:val="LightItalic"/>
          <w:rFonts w:ascii="Verdana" w:hAnsi="Verdana"/>
          <w:spacing w:val="-2"/>
        </w:rPr>
        <w:t>R v Leece</w:t>
      </w:r>
      <w:r w:rsidRPr="00490F7A">
        <w:rPr>
          <w:spacing w:val="-2"/>
        </w:rPr>
        <w:t xml:space="preserve"> [1995] ACTSC 28 (30 March 1995) [25], [37];</w:t>
      </w:r>
      <w:r w:rsidRPr="00490F7A">
        <w:rPr>
          <w:rStyle w:val="LightItalic"/>
          <w:rFonts w:ascii="Verdana" w:hAnsi="Verdana"/>
          <w:spacing w:val="-2"/>
        </w:rPr>
        <w:t xml:space="preserve"> Crimes Act 1958 </w:t>
      </w:r>
      <w:r w:rsidRPr="00490F7A">
        <w:rPr>
          <w:spacing w:val="-2"/>
        </w:rPr>
        <w:t xml:space="preserve">(Vic) s 322K. </w:t>
      </w:r>
    </w:p>
  </w:footnote>
  <w:footnote w:id="17">
    <w:p w14:paraId="5F08D392" w14:textId="07D89FF1" w:rsidR="00EB0405" w:rsidRPr="00490F7A" w:rsidRDefault="00EB0405" w:rsidP="00F0080B">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 xml:space="preserve">(Vic) s 43(2); </w:t>
      </w:r>
      <w:r w:rsidRPr="00490F7A">
        <w:rPr>
          <w:rStyle w:val="LightItalic"/>
          <w:rFonts w:ascii="Verdana" w:hAnsi="Verdana"/>
        </w:rPr>
        <w:t>R v Rich</w:t>
      </w:r>
      <w:r w:rsidRPr="00490F7A">
        <w:t> (Victorian Court of Appeal, Winneke P, Brooking and Buchanan JJA, 19 December 1997), 9; Judicial College of Victoria (2012), above n 16, [9]–[17]; Judicial College of Victoria (2015), above n 16, [11]–[19].</w:t>
      </w:r>
    </w:p>
  </w:footnote>
  <w:footnote w:id="18">
    <w:p w14:paraId="308F3EB5" w14:textId="1C7C9527" w:rsidR="00EB0405" w:rsidRPr="00490F7A" w:rsidRDefault="00EB0405" w:rsidP="00F0080B">
      <w:pPr>
        <w:pStyle w:val="Footnote"/>
      </w:pPr>
      <w:r w:rsidRPr="00490F7A">
        <w:rPr>
          <w:vertAlign w:val="superscript"/>
        </w:rPr>
        <w:footnoteRef/>
      </w:r>
      <w:r w:rsidRPr="00490F7A">
        <w:t>.</w:t>
      </w:r>
      <w:r w:rsidRPr="00490F7A">
        <w:tab/>
        <w:t xml:space="preserve">For example, in </w:t>
      </w:r>
      <w:r w:rsidRPr="00490F7A">
        <w:rPr>
          <w:rStyle w:val="LightItalic"/>
          <w:rFonts w:ascii="Verdana" w:hAnsi="Verdana"/>
        </w:rPr>
        <w:t xml:space="preserve">Gale v The Queen </w:t>
      </w:r>
      <w:r w:rsidRPr="00490F7A">
        <w:t>[2014] VSCA 168 (7 August 2014) [36], the court stated: ‘[i]f viewed in isolation, the phrase “I will f**k you up” lacks precision, and could not possibly form a proper basis for a threat to inflict serious injury. However, that phrase takes on a different complexion when considered in light of the circumstances surrounding the applicant’s offending. He had, less than an hour before sending the text to Mr Edgell, broken into his estranged partner’s home, under cover of darkness, wielding a cattle prod … [O]ne cannot ignore the fact that the text was sent as part of a course of conduct that involved stalking and the commission of an aggravated burglary’.</w:t>
      </w:r>
    </w:p>
  </w:footnote>
  <w:footnote w:id="19">
    <w:p w14:paraId="0AEDFB1E" w14:textId="7272C046" w:rsidR="00EB0405" w:rsidRPr="00490F7A" w:rsidRDefault="00EB0405" w:rsidP="00F0080B">
      <w:pPr>
        <w:pStyle w:val="Footnote"/>
      </w:pPr>
      <w:r w:rsidRPr="00490F7A">
        <w:rPr>
          <w:vertAlign w:val="superscript"/>
        </w:rPr>
        <w:footnoteRef/>
      </w:r>
      <w:r w:rsidRPr="00490F7A">
        <w:t>.</w:t>
      </w:r>
      <w:r w:rsidRPr="00490F7A">
        <w:tab/>
      </w:r>
      <w:r w:rsidRPr="00490F7A">
        <w:rPr>
          <w:rStyle w:val="LightItalic"/>
          <w:rFonts w:ascii="Verdana" w:hAnsi="Verdana"/>
        </w:rPr>
        <w:t>Barbaro v Quilty </w:t>
      </w:r>
      <w:r w:rsidRPr="00490F7A">
        <w:t xml:space="preserve">[1999] ACTSC 119 (11 November 1999) [62]–[63]. </w:t>
      </w:r>
    </w:p>
  </w:footnote>
  <w:footnote w:id="20">
    <w:p w14:paraId="0BE971C8" w14:textId="670E3BCC" w:rsidR="00EB0405" w:rsidRPr="00490F7A" w:rsidRDefault="00EB0405" w:rsidP="009F0A6B">
      <w:pPr>
        <w:pStyle w:val="Footnote"/>
      </w:pPr>
      <w:r w:rsidRPr="00490F7A">
        <w:rPr>
          <w:vertAlign w:val="superscript"/>
        </w:rPr>
        <w:footnoteRef/>
      </w:r>
      <w:r w:rsidRPr="00490F7A">
        <w:t>.</w:t>
      </w:r>
      <w:r w:rsidRPr="00490F7A">
        <w:tab/>
        <w:t xml:space="preserve">For threats to commit a sexual offence, this definition of recklessness is legislated. </w:t>
      </w:r>
      <w:r w:rsidRPr="00490F7A">
        <w:rPr>
          <w:rStyle w:val="LightItalic"/>
          <w:rFonts w:ascii="Verdana" w:hAnsi="Verdana"/>
        </w:rPr>
        <w:t xml:space="preserve">Crimes Act 1958 </w:t>
      </w:r>
      <w:r w:rsidRPr="00490F7A">
        <w:t xml:space="preserve">(Vic) ss 20, 21 43; </w:t>
      </w:r>
      <w:r w:rsidRPr="00490F7A">
        <w:rPr>
          <w:rStyle w:val="LightItalic"/>
          <w:rFonts w:ascii="Verdana" w:hAnsi="Verdana"/>
        </w:rPr>
        <w:t>R v Crabbe</w:t>
      </w:r>
      <w:r w:rsidRPr="00490F7A">
        <w:t> [1985] HCA 22 (26 May 1985) [10]; </w:t>
      </w:r>
      <w:r w:rsidRPr="00490F7A">
        <w:rPr>
          <w:rStyle w:val="LightItalic"/>
          <w:rFonts w:ascii="Verdana" w:hAnsi="Verdana"/>
        </w:rPr>
        <w:t>R v Campbell</w:t>
      </w:r>
      <w:r w:rsidRPr="00490F7A">
        <w:t> [1997] 2 VR 585 (22 August 1995), 592; </w:t>
      </w:r>
      <w:r w:rsidRPr="00490F7A">
        <w:rPr>
          <w:rStyle w:val="LightItalic"/>
          <w:rFonts w:ascii="Verdana" w:hAnsi="Verdana"/>
        </w:rPr>
        <w:t>R v Nuri </w:t>
      </w:r>
      <w:r w:rsidRPr="00490F7A">
        <w:t xml:space="preserve">[1990] VR 641 (1 December 1989), 643-644; </w:t>
      </w:r>
      <w:r w:rsidRPr="00490F7A">
        <w:rPr>
          <w:rStyle w:val="LightItalic"/>
          <w:rFonts w:ascii="Verdana" w:hAnsi="Verdana"/>
        </w:rPr>
        <w:t>R v Sofa</w:t>
      </w:r>
      <w:r w:rsidRPr="00490F7A">
        <w:t> (Victorian Court of Appeal, Crockett, O’Bryan and McDonald JJ, 15 October 1990), 12; Judicial College of Victoria (2012), above n 16, [18]–[23]; Judicial College of Victoria (2015), above n 16, [20]–[25].</w:t>
      </w:r>
    </w:p>
  </w:footnote>
  <w:footnote w:id="21">
    <w:p w14:paraId="53636168" w14:textId="2818E148" w:rsidR="00EB0405" w:rsidRPr="00490F7A" w:rsidRDefault="00EB0405" w:rsidP="009F0A6B">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 xml:space="preserve">(Vic) s 198; </w:t>
      </w:r>
      <w:r w:rsidRPr="00490F7A">
        <w:rPr>
          <w:rStyle w:val="LightItalic"/>
          <w:rFonts w:ascii="Verdana" w:hAnsi="Verdana"/>
        </w:rPr>
        <w:t xml:space="preserve">Criminal Code Act 1995 </w:t>
      </w:r>
      <w:r w:rsidRPr="00490F7A">
        <w:t>(Cth) s 474.15.</w:t>
      </w:r>
    </w:p>
  </w:footnote>
  <w:footnote w:id="22">
    <w:p w14:paraId="65D327B2" w14:textId="5D8752FB" w:rsidR="00EB0405" w:rsidRPr="00490F7A" w:rsidRDefault="00EB0405" w:rsidP="009F0A6B">
      <w:pPr>
        <w:pStyle w:val="Footnote"/>
      </w:pPr>
      <w:r w:rsidRPr="00490F7A">
        <w:rPr>
          <w:vertAlign w:val="superscript"/>
        </w:rPr>
        <w:footnoteRef/>
      </w:r>
      <w:r w:rsidRPr="00490F7A">
        <w:t>.</w:t>
      </w:r>
      <w:r w:rsidRPr="00490F7A">
        <w:tab/>
        <w:t xml:space="preserve">See Lisa J. Warren et al., ‘Threats to Kill: A Follow-up Study’ (2007) 38 </w:t>
      </w:r>
      <w:r w:rsidRPr="00490F7A">
        <w:rPr>
          <w:rStyle w:val="LightItalic"/>
          <w:rFonts w:ascii="Verdana" w:hAnsi="Verdana"/>
        </w:rPr>
        <w:t xml:space="preserve">Psychological Medicine </w:t>
      </w:r>
      <w:r w:rsidRPr="00490F7A">
        <w:t>599, 603.</w:t>
      </w:r>
    </w:p>
  </w:footnote>
  <w:footnote w:id="23">
    <w:p w14:paraId="49782B0E" w14:textId="2B87607E" w:rsidR="00EB0405" w:rsidRPr="009F0A6B" w:rsidRDefault="00EB0405" w:rsidP="009F0A6B">
      <w:pPr>
        <w:pStyle w:val="Footnote"/>
        <w:rPr>
          <w:spacing w:val="-1"/>
        </w:rPr>
      </w:pPr>
      <w:r w:rsidRPr="00490F7A">
        <w:rPr>
          <w:vertAlign w:val="superscript"/>
        </w:rPr>
        <w:footnoteRef/>
      </w:r>
      <w:r w:rsidRPr="00490F7A">
        <w:t>.</w:t>
      </w:r>
      <w:r w:rsidRPr="00490F7A">
        <w:tab/>
      </w:r>
      <w:r w:rsidRPr="00490F7A">
        <w:rPr>
          <w:rStyle w:val="LightItalic"/>
          <w:rFonts w:ascii="Verdana" w:hAnsi="Verdana"/>
          <w:spacing w:val="-1"/>
        </w:rPr>
        <w:t xml:space="preserve">Crimes Amendment (Sexual Offences and Other Matters) Act 2014 </w:t>
      </w:r>
      <w:r w:rsidRPr="00490F7A">
        <w:rPr>
          <w:spacing w:val="-1"/>
        </w:rPr>
        <w:t xml:space="preserve">(Vic) s 4, repealing the offence of threat to assault with intent to rape in </w:t>
      </w:r>
      <w:r w:rsidRPr="00490F7A">
        <w:rPr>
          <w:rStyle w:val="LightItalic"/>
          <w:rFonts w:ascii="Verdana" w:hAnsi="Verdana"/>
          <w:spacing w:val="-1"/>
        </w:rPr>
        <w:t xml:space="preserve">Crimes Act 1958 </w:t>
      </w:r>
      <w:r w:rsidRPr="00490F7A">
        <w:rPr>
          <w:spacing w:val="-1"/>
        </w:rPr>
        <w:t xml:space="preserve">(Vic) s 40 (repealed) and replacing it with the offence of threat to commit a sexual offence in </w:t>
      </w:r>
      <w:r w:rsidRPr="00490F7A">
        <w:rPr>
          <w:rStyle w:val="LightItalic"/>
          <w:rFonts w:ascii="Verdana" w:hAnsi="Verdana"/>
          <w:spacing w:val="-1"/>
        </w:rPr>
        <w:t xml:space="preserve">Crimes Act 1958 </w:t>
      </w:r>
      <w:r w:rsidRPr="00490F7A">
        <w:rPr>
          <w:spacing w:val="-1"/>
        </w:rPr>
        <w:t>(Vic) s 43.</w:t>
      </w:r>
    </w:p>
  </w:footnote>
  <w:footnote w:id="24">
    <w:p w14:paraId="25BF6A75" w14:textId="47D110AD" w:rsidR="00EB0405" w:rsidRPr="009F0A6B" w:rsidRDefault="00EB0405" w:rsidP="009F0A6B">
      <w:pPr>
        <w:pStyle w:val="Footnote"/>
        <w:rPr>
          <w:spacing w:val="-1"/>
        </w:rPr>
      </w:pPr>
      <w:r w:rsidRPr="00490F7A">
        <w:rPr>
          <w:vertAlign w:val="superscript"/>
        </w:rPr>
        <w:footnoteRef/>
      </w:r>
      <w:r w:rsidRPr="00490F7A">
        <w:t>.</w:t>
      </w:r>
      <w:r w:rsidRPr="00490F7A">
        <w:tab/>
      </w:r>
      <w:r w:rsidRPr="00490F7A">
        <w:rPr>
          <w:spacing w:val="-1"/>
        </w:rPr>
        <w:t xml:space="preserve">This is particularly in respect of its mental elements: Department of Justice, </w:t>
      </w:r>
      <w:r w:rsidRPr="00490F7A">
        <w:rPr>
          <w:rStyle w:val="LightItalic"/>
          <w:rFonts w:ascii="Verdana" w:hAnsi="Verdana"/>
          <w:spacing w:val="-1"/>
        </w:rPr>
        <w:t xml:space="preserve">Review of Sexual Offences: Consultation Paper </w:t>
      </w:r>
      <w:r w:rsidRPr="00490F7A">
        <w:rPr>
          <w:spacing w:val="-1"/>
        </w:rPr>
        <w:t>(2013) 125–128.</w:t>
      </w:r>
    </w:p>
  </w:footnote>
  <w:footnote w:id="25">
    <w:p w14:paraId="010B235A" w14:textId="3A799C28" w:rsidR="00EB0405" w:rsidRPr="00490F7A" w:rsidRDefault="00EB0405" w:rsidP="009F0A6B">
      <w:pPr>
        <w:pStyle w:val="Footnote"/>
      </w:pPr>
      <w:r w:rsidRPr="00490F7A">
        <w:rPr>
          <w:vertAlign w:val="superscript"/>
        </w:rPr>
        <w:footnoteRef/>
      </w:r>
      <w:r w:rsidRPr="00490F7A">
        <w:t>.</w:t>
      </w:r>
      <w:r w:rsidRPr="00490F7A">
        <w:tab/>
      </w:r>
      <w:r w:rsidRPr="00490F7A">
        <w:rPr>
          <w:rStyle w:val="LightItalic"/>
          <w:rFonts w:ascii="Verdana" w:hAnsi="Verdana"/>
        </w:rPr>
        <w:t xml:space="preserve">Criminal Procedure Act 2009 </w:t>
      </w:r>
      <w:r w:rsidRPr="00490F7A">
        <w:t>(Vic) s 28, sch 2 cl 4.23.</w:t>
      </w:r>
    </w:p>
  </w:footnote>
  <w:footnote w:id="26">
    <w:p w14:paraId="00743BD5" w14:textId="6668862B" w:rsidR="00EB0405" w:rsidRPr="00490F7A" w:rsidRDefault="00EB0405" w:rsidP="009F0A6B">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 xml:space="preserve">(Vic) s 31(2A); </w:t>
      </w:r>
      <w:r w:rsidRPr="00490F7A">
        <w:rPr>
          <w:rStyle w:val="LightItalic"/>
          <w:rFonts w:ascii="Verdana" w:hAnsi="Verdana"/>
        </w:rPr>
        <w:t>Sentencing Act 1991</w:t>
      </w:r>
      <w:r w:rsidRPr="00490F7A">
        <w:t>(Vic)</w:t>
      </w:r>
      <w:r w:rsidRPr="00490F7A">
        <w:rPr>
          <w:rStyle w:val="LightItalic"/>
          <w:rFonts w:ascii="Verdana" w:hAnsi="Verdana"/>
        </w:rPr>
        <w:t xml:space="preserve"> </w:t>
      </w:r>
      <w:r w:rsidRPr="00490F7A">
        <w:t>s 10AA(8).</w:t>
      </w:r>
    </w:p>
  </w:footnote>
  <w:footnote w:id="27">
    <w:p w14:paraId="47B8828A" w14:textId="695A1E10" w:rsidR="00EB0405" w:rsidRPr="00490F7A" w:rsidRDefault="00EB0405" w:rsidP="00CA25A8">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 s 31(b), 31(ba).</w:t>
      </w:r>
    </w:p>
  </w:footnote>
  <w:footnote w:id="28">
    <w:p w14:paraId="78169C0A" w14:textId="41402940" w:rsidR="00EB0405" w:rsidRPr="00490F7A" w:rsidRDefault="00EB0405" w:rsidP="00CA25A8">
      <w:pPr>
        <w:pStyle w:val="Footnote"/>
      </w:pPr>
      <w:r w:rsidRPr="00490F7A">
        <w:rPr>
          <w:vertAlign w:val="superscript"/>
        </w:rPr>
        <w:footnoteRef/>
      </w:r>
      <w:r w:rsidRPr="00490F7A">
        <w:t>.</w:t>
      </w:r>
      <w:r w:rsidRPr="00490F7A">
        <w:tab/>
        <w:t xml:space="preserve">See </w:t>
      </w:r>
      <w:r w:rsidRPr="00490F7A">
        <w:rPr>
          <w:rStyle w:val="LightItalic"/>
          <w:rFonts w:ascii="Verdana" w:hAnsi="Verdana"/>
        </w:rPr>
        <w:t xml:space="preserve">Spiteri v The Queen </w:t>
      </w:r>
      <w:r w:rsidRPr="00490F7A">
        <w:t>[2018] VSCA 254 (8 October 2018), in which ‘raising’ a handgun towards an officer was not sufficient to constitute obstructing a police officer, which is a closely related offence under the same provision, whereas ‘pointing’ a handgun would have been: ibid [53].</w:t>
      </w:r>
    </w:p>
  </w:footnote>
  <w:footnote w:id="29">
    <w:p w14:paraId="74EFA5CB" w14:textId="557B4322" w:rsidR="00EB0405" w:rsidRPr="00490F7A" w:rsidRDefault="00EB0405" w:rsidP="00CA25A8">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 s 31(2).</w:t>
      </w:r>
    </w:p>
  </w:footnote>
  <w:footnote w:id="30">
    <w:p w14:paraId="440945A4" w14:textId="74CB42BE" w:rsidR="00EB0405" w:rsidRPr="00490F7A" w:rsidRDefault="00EB0405" w:rsidP="00CA25A8">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 xml:space="preserve">Spiteri v The Queen </w:t>
      </w:r>
      <w:r w:rsidRPr="00490F7A">
        <w:t xml:space="preserve">[2018] VSCA 254 (18 October 2018), where the means by which the officer was obstructed was a perceived threat. </w:t>
      </w:r>
    </w:p>
  </w:footnote>
  <w:footnote w:id="31">
    <w:p w14:paraId="45E4ABFB" w14:textId="34CC7998" w:rsidR="00EB0405" w:rsidRPr="00490F7A" w:rsidRDefault="00EB0405" w:rsidP="00CA25A8">
      <w:pPr>
        <w:pStyle w:val="Footnote"/>
      </w:pPr>
      <w:r w:rsidRPr="00490F7A">
        <w:rPr>
          <w:vertAlign w:val="superscript"/>
        </w:rPr>
        <w:footnoteRef/>
      </w:r>
      <w:r w:rsidRPr="00490F7A">
        <w:t>.</w:t>
      </w:r>
      <w:r w:rsidRPr="00490F7A">
        <w:tab/>
        <w:t xml:space="preserve">For example, in </w:t>
      </w:r>
      <w:r w:rsidRPr="00490F7A">
        <w:rPr>
          <w:rStyle w:val="LightItalic"/>
          <w:rFonts w:ascii="Verdana" w:hAnsi="Verdana"/>
        </w:rPr>
        <w:t>Folino v The Queen</w:t>
      </w:r>
      <w:r w:rsidRPr="00490F7A">
        <w:t xml:space="preserve"> [2017] VSCA 295 (19 October 2017), the ‘assault’ consisted of pointing a gun at a police officer (unknown to the police officer, the gun was unloaded). </w:t>
      </w:r>
    </w:p>
  </w:footnote>
  <w:footnote w:id="32">
    <w:p w14:paraId="414F1BEE" w14:textId="23619EC0" w:rsidR="00EB0405" w:rsidRPr="00490F7A" w:rsidRDefault="00EB0405" w:rsidP="00CA25A8">
      <w:pPr>
        <w:pStyle w:val="Footnote"/>
      </w:pPr>
      <w:r w:rsidRPr="00490F7A">
        <w:rPr>
          <w:vertAlign w:val="superscript"/>
        </w:rPr>
        <w:footnoteRef/>
      </w:r>
      <w:r w:rsidRPr="00490F7A">
        <w:t>.</w:t>
      </w:r>
      <w:r w:rsidRPr="00490F7A">
        <w:tab/>
        <w:t xml:space="preserve">Jeremy Horder, </w:t>
      </w:r>
      <w:r w:rsidRPr="00490F7A">
        <w:rPr>
          <w:rStyle w:val="LightItalic"/>
          <w:rFonts w:ascii="Verdana" w:hAnsi="Verdana"/>
        </w:rPr>
        <w:t xml:space="preserve">Ashworth’s Principles of Criminal Law </w:t>
      </w:r>
      <w:r w:rsidRPr="00490F7A">
        <w:t>(9th ed., 2019) 492–493.</w:t>
      </w:r>
    </w:p>
  </w:footnote>
  <w:footnote w:id="33">
    <w:p w14:paraId="02950010" w14:textId="7314001E" w:rsidR="00EB0405" w:rsidRPr="00490F7A" w:rsidRDefault="00EB0405" w:rsidP="00CA25A8">
      <w:pPr>
        <w:pStyle w:val="Footnote"/>
      </w:pPr>
      <w:r w:rsidRPr="00490F7A">
        <w:rPr>
          <w:vertAlign w:val="superscript"/>
        </w:rPr>
        <w:footnoteRef/>
      </w:r>
      <w:r w:rsidRPr="00490F7A">
        <w:t>.</w:t>
      </w:r>
      <w:r w:rsidRPr="00490F7A">
        <w:tab/>
        <w:t xml:space="preserve">For example, the ABS Personal Safety Survey defines physical threats as an aspect of physical violence and sexual threats as an aspect of sexual violence: see Australian Bureau of Statistics, </w:t>
      </w:r>
      <w:r w:rsidRPr="00490F7A">
        <w:rPr>
          <w:rStyle w:val="LightItalic"/>
          <w:rFonts w:ascii="Verdana" w:hAnsi="Verdana"/>
        </w:rPr>
        <w:t xml:space="preserve">Personal Safety, Australia </w:t>
      </w:r>
      <w:r w:rsidRPr="00490F7A">
        <w:t>(2016), ‘Experience of Violence’.</w:t>
      </w:r>
    </w:p>
  </w:footnote>
  <w:footnote w:id="34">
    <w:p w14:paraId="345B482A" w14:textId="61556CF7" w:rsidR="00EB0405" w:rsidRPr="00490F7A" w:rsidRDefault="00EB0405" w:rsidP="00CA25A8">
      <w:pPr>
        <w:pStyle w:val="Footnote"/>
      </w:pPr>
      <w:r w:rsidRPr="00490F7A">
        <w:rPr>
          <w:vertAlign w:val="superscript"/>
        </w:rPr>
        <w:footnoteRef/>
      </w:r>
      <w:r w:rsidRPr="00490F7A">
        <w:t>.</w:t>
      </w:r>
      <w:r w:rsidRPr="00490F7A">
        <w:tab/>
        <w:t xml:space="preserve">See Peter Alldridge, ‘Threats Offences: A Case for Reform’ (1994) 8 </w:t>
      </w:r>
      <w:r w:rsidRPr="00490F7A">
        <w:rPr>
          <w:rStyle w:val="LightItalic"/>
          <w:rFonts w:ascii="Verdana" w:hAnsi="Verdana"/>
        </w:rPr>
        <w:t xml:space="preserve">Criminal Law Review </w:t>
      </w:r>
      <w:r w:rsidRPr="00490F7A">
        <w:t xml:space="preserve">176, 182; Horder (2019), above n 32, 526–527; see also Troy E. McEwan et al., ‘Advances in Stalking Risk Assessment’ (2011) 29(2) </w:t>
      </w:r>
      <w:r w:rsidRPr="00490F7A">
        <w:rPr>
          <w:rStyle w:val="LightItalic"/>
          <w:rFonts w:ascii="Verdana" w:hAnsi="Verdana"/>
        </w:rPr>
        <w:t xml:space="preserve">Behavioural Sciences and the Law </w:t>
      </w:r>
      <w:r w:rsidRPr="00490F7A">
        <w:t xml:space="preserve">180, 186. The risk that the threat will be carried out is congruent with threats as inchoate offences; the other harms suggest that threats should primarily be considered conceptually separately from their substantive counterparts. On the impact of threats and fear on freedom of choice in family violence situations, see Evan Stark, </w:t>
      </w:r>
      <w:r w:rsidRPr="00490F7A">
        <w:rPr>
          <w:rStyle w:val="LightItalic"/>
          <w:rFonts w:ascii="Verdana" w:hAnsi="Verdana"/>
        </w:rPr>
        <w:t xml:space="preserve">Coercive Control: How Men Entrap Women in Personal Life </w:t>
      </w:r>
      <w:r w:rsidRPr="00490F7A">
        <w:t>(2007) 250.</w:t>
      </w:r>
    </w:p>
  </w:footnote>
  <w:footnote w:id="35">
    <w:p w14:paraId="7CDE51B6" w14:textId="2542397E" w:rsidR="00EB0405" w:rsidRPr="00490F7A" w:rsidRDefault="00EB0405" w:rsidP="00CA25A8">
      <w:pPr>
        <w:pStyle w:val="Footnote"/>
      </w:pPr>
      <w:r w:rsidRPr="00490F7A">
        <w:rPr>
          <w:vertAlign w:val="superscript"/>
        </w:rPr>
        <w:footnoteRef/>
      </w:r>
      <w:r w:rsidRPr="00490F7A">
        <w:t>.</w:t>
      </w:r>
      <w:r w:rsidRPr="00490F7A">
        <w:tab/>
        <w:t xml:space="preserve">Lisa J. Warren, Paul E. Mullen and Troy E. McEwan, ‘Explicit Threats of Violence’ in J. Reid Meloy and Jens Hoffmann, </w:t>
      </w:r>
      <w:r w:rsidRPr="00490F7A">
        <w:rPr>
          <w:rStyle w:val="LightItalic"/>
          <w:rFonts w:ascii="Verdana" w:hAnsi="Verdana"/>
        </w:rPr>
        <w:t xml:space="preserve">International Handbook of Threat Assessment </w:t>
      </w:r>
      <w:r w:rsidRPr="00490F7A">
        <w:t>(2013) 19–20.</w:t>
      </w:r>
    </w:p>
  </w:footnote>
  <w:footnote w:id="36">
    <w:p w14:paraId="0F847670" w14:textId="78A4509D" w:rsidR="00EB0405" w:rsidRPr="00490F7A" w:rsidRDefault="00EB0405" w:rsidP="00CA25A8">
      <w:pPr>
        <w:pStyle w:val="Footnote"/>
      </w:pPr>
      <w:r w:rsidRPr="00490F7A">
        <w:rPr>
          <w:vertAlign w:val="superscript"/>
        </w:rPr>
        <w:footnoteRef/>
      </w:r>
      <w:r w:rsidRPr="00490F7A">
        <w:t>.</w:t>
      </w:r>
      <w:r w:rsidRPr="00490F7A">
        <w:tab/>
        <w:t xml:space="preserve">Ibid 19–20, 31. This can, however, escalate to the point of violence, at which point it might become either a threat with immediate impact or a threat which presages a future assault of some kind.  </w:t>
      </w:r>
    </w:p>
  </w:footnote>
  <w:footnote w:id="37">
    <w:p w14:paraId="594FCEEE" w14:textId="52B59FEE" w:rsidR="00EB0405" w:rsidRPr="00490F7A" w:rsidRDefault="00EB0405" w:rsidP="00CA25A8">
      <w:pPr>
        <w:pStyle w:val="Footnote"/>
      </w:pPr>
      <w:r w:rsidRPr="00490F7A">
        <w:rPr>
          <w:vertAlign w:val="superscript"/>
        </w:rPr>
        <w:footnoteRef/>
      </w:r>
      <w:r w:rsidRPr="00490F7A">
        <w:t>.</w:t>
      </w:r>
      <w:r w:rsidRPr="00490F7A">
        <w:tab/>
        <w:t>Ibid 20, 33. These people are generally trying to avoid confrontation, but depending on the nature of the threat they perceive, may sometimes still escalate.</w:t>
      </w:r>
    </w:p>
  </w:footnote>
  <w:footnote w:id="38">
    <w:p w14:paraId="6BFDCE6B" w14:textId="1CC541E8" w:rsidR="00EB0405" w:rsidRPr="00490F7A" w:rsidRDefault="00EB0405" w:rsidP="00CA25A8">
      <w:pPr>
        <w:pStyle w:val="Footnote"/>
      </w:pPr>
      <w:r w:rsidRPr="00490F7A">
        <w:rPr>
          <w:vertAlign w:val="superscript"/>
        </w:rPr>
        <w:footnoteRef/>
      </w:r>
      <w:r w:rsidRPr="00490F7A">
        <w:t>.</w:t>
      </w:r>
      <w:r w:rsidRPr="00490F7A">
        <w:tab/>
        <w:t xml:space="preserve">For example, the Council’s </w:t>
      </w:r>
      <w:r w:rsidRPr="00490F7A">
        <w:rPr>
          <w:rStyle w:val="LightItalic"/>
          <w:rFonts w:ascii="Verdana" w:hAnsi="Verdana"/>
        </w:rPr>
        <w:t xml:space="preserve">Crossover Kids </w:t>
      </w:r>
      <w:r w:rsidRPr="00490F7A">
        <w:t xml:space="preserve">reports found that much offending by children in out-of-home care was associated with the expression of emotion, and violent offences including threats were very common among this group: Sentencing Advisory Council, </w:t>
      </w:r>
      <w:r w:rsidRPr="00490F7A">
        <w:rPr>
          <w:rStyle w:val="LightItalic"/>
          <w:rFonts w:ascii="Verdana" w:hAnsi="Verdana"/>
        </w:rPr>
        <w:t>Crossover Kids: Vulnerable Children in the Youth Justice System Report 2</w:t>
      </w:r>
      <w:r w:rsidRPr="00490F7A">
        <w:t xml:space="preserve"> (2020) 86–87; Sentencing Advisory Council, </w:t>
      </w:r>
      <w:r w:rsidRPr="00490F7A">
        <w:rPr>
          <w:rStyle w:val="LightItalic"/>
          <w:rFonts w:ascii="Verdana" w:hAnsi="Verdana"/>
        </w:rPr>
        <w:t>Crossover Kids: Vulnerable Children in the Youth Justice System Report 3</w:t>
      </w:r>
      <w:r w:rsidRPr="00490F7A">
        <w:t xml:space="preserve"> (2020) 13–15. Stakeholders also pointed out that people whose offending is related to poverty, homelessness or certain other vulnerabilities might be more likely to experience a criminal response to emotional or defensive threats, especially if those threats are made towards law enforcement officers: Stakeholder Roundtable (7 April 2021). There is also, of course, some overlap between the groups. </w:t>
      </w:r>
    </w:p>
  </w:footnote>
  <w:footnote w:id="39">
    <w:p w14:paraId="1F3245F7" w14:textId="567E2FF4" w:rsidR="00EB0405" w:rsidRPr="00490F7A" w:rsidRDefault="00EB0405" w:rsidP="00CA25A8">
      <w:pPr>
        <w:pStyle w:val="Footnote"/>
      </w:pPr>
      <w:r w:rsidRPr="00490F7A">
        <w:rPr>
          <w:vertAlign w:val="superscript"/>
        </w:rPr>
        <w:footnoteRef/>
      </w:r>
      <w:r w:rsidRPr="00490F7A">
        <w:t>.</w:t>
      </w:r>
      <w:r w:rsidRPr="00490F7A">
        <w:tab/>
        <w:t xml:space="preserve">Warren et al. (2013), above n 35, 20, 32. These threats are unlikely to escalate if they achieve their goal. </w:t>
      </w:r>
    </w:p>
  </w:footnote>
  <w:footnote w:id="40">
    <w:p w14:paraId="75D109BE" w14:textId="42029934" w:rsidR="00EB0405" w:rsidRPr="00490F7A" w:rsidRDefault="00EB0405" w:rsidP="00CA25A8">
      <w:pPr>
        <w:pStyle w:val="Footnote"/>
      </w:pPr>
      <w:r w:rsidRPr="00490F7A">
        <w:rPr>
          <w:vertAlign w:val="superscript"/>
        </w:rPr>
        <w:footnoteRef/>
      </w:r>
      <w:r w:rsidRPr="00490F7A">
        <w:t>.</w:t>
      </w:r>
      <w:r w:rsidRPr="00490F7A">
        <w:tab/>
        <w:t xml:space="preserve">Ibid. Some among this group may require improvements in their communication skills, while others may be more committed to their end goal and thus willing to enact violence to achieve it. </w:t>
      </w:r>
    </w:p>
  </w:footnote>
  <w:footnote w:id="41">
    <w:p w14:paraId="2AF31F10" w14:textId="78BC3980" w:rsidR="00EB0405" w:rsidRPr="00CA25A8" w:rsidRDefault="00EB0405" w:rsidP="00CA25A8">
      <w:pPr>
        <w:pStyle w:val="Footnote"/>
        <w:rPr>
          <w:spacing w:val="-1"/>
        </w:rPr>
      </w:pPr>
      <w:r w:rsidRPr="00490F7A">
        <w:rPr>
          <w:vertAlign w:val="superscript"/>
        </w:rPr>
        <w:footnoteRef/>
      </w:r>
      <w:r w:rsidRPr="00490F7A">
        <w:rPr>
          <w:spacing w:val="-1"/>
        </w:rPr>
        <w:t>.</w:t>
      </w:r>
      <w:r w:rsidRPr="00490F7A">
        <w:rPr>
          <w:spacing w:val="-1"/>
        </w:rPr>
        <w:tab/>
        <w:t xml:space="preserve">Ibid 20, 33. Some in this group attempt to avoid confrontation by uttering the threat, but there is often a predisposition to violent action. </w:t>
      </w:r>
    </w:p>
  </w:footnote>
  <w:footnote w:id="42">
    <w:p w14:paraId="08CAA99F" w14:textId="67F6ECFE" w:rsidR="00EB0405" w:rsidRPr="00490F7A" w:rsidRDefault="00EB0405" w:rsidP="00CA25A8">
      <w:pPr>
        <w:pStyle w:val="Footnote"/>
      </w:pPr>
      <w:r w:rsidRPr="00490F7A">
        <w:rPr>
          <w:vertAlign w:val="superscript"/>
        </w:rPr>
        <w:footnoteRef/>
      </w:r>
      <w:r w:rsidRPr="00490F7A">
        <w:t>.</w:t>
      </w:r>
      <w:r w:rsidRPr="00490F7A">
        <w:tab/>
        <w:t xml:space="preserve">Lisa J. Warren, James R.P. Ogloff and Paul Mullen, ‘The Psychological Basis of Threatening Behaviour’ (2013) 20(3) </w:t>
      </w:r>
      <w:r w:rsidRPr="00490F7A">
        <w:rPr>
          <w:rStyle w:val="LightItalic"/>
          <w:rFonts w:ascii="Verdana" w:hAnsi="Verdana"/>
        </w:rPr>
        <w:t xml:space="preserve">Psychiatry, Psychology and Law </w:t>
      </w:r>
      <w:r w:rsidRPr="00490F7A">
        <w:t xml:space="preserve">329, 339.  </w:t>
      </w:r>
    </w:p>
  </w:footnote>
  <w:footnote w:id="43">
    <w:p w14:paraId="0225DC5E" w14:textId="06EEB21B" w:rsidR="00EB0405" w:rsidRPr="00490F7A" w:rsidRDefault="00EB0405" w:rsidP="00CA25A8">
      <w:pPr>
        <w:pStyle w:val="Footnote"/>
      </w:pPr>
      <w:r w:rsidRPr="00490F7A">
        <w:rPr>
          <w:vertAlign w:val="superscript"/>
        </w:rPr>
        <w:footnoteRef/>
      </w:r>
      <w:r w:rsidRPr="00490F7A">
        <w:t>.</w:t>
      </w:r>
      <w:r w:rsidRPr="00490F7A">
        <w:tab/>
        <w:t>In this context, it is significant also that a threat to harm a pet may be charged as a threat to destroy or damage property.</w:t>
      </w:r>
    </w:p>
  </w:footnote>
  <w:footnote w:id="44">
    <w:p w14:paraId="35C18274" w14:textId="519E9DC1" w:rsidR="00EB0405" w:rsidRPr="00490F7A" w:rsidRDefault="00EB0405" w:rsidP="00F84146">
      <w:pPr>
        <w:pStyle w:val="Footnote"/>
      </w:pPr>
      <w:r w:rsidRPr="00490F7A">
        <w:rPr>
          <w:vertAlign w:val="superscript"/>
        </w:rPr>
        <w:footnoteRef/>
      </w:r>
      <w:r w:rsidRPr="00490F7A">
        <w:t>.</w:t>
      </w:r>
      <w:r w:rsidRPr="00490F7A">
        <w:tab/>
        <w:t>Warren et al. (2013), above n 35, 22.</w:t>
      </w:r>
    </w:p>
  </w:footnote>
  <w:footnote w:id="45">
    <w:p w14:paraId="01D016C7" w14:textId="4D16D47F" w:rsidR="00EB0405" w:rsidRPr="00490F7A" w:rsidRDefault="00EB0405" w:rsidP="00F84146">
      <w:pPr>
        <w:pStyle w:val="Footnote"/>
      </w:pPr>
      <w:r w:rsidRPr="00490F7A">
        <w:rPr>
          <w:vertAlign w:val="superscript"/>
        </w:rPr>
        <w:footnoteRef/>
      </w:r>
      <w:r w:rsidRPr="00490F7A">
        <w:t>.</w:t>
      </w:r>
      <w:r w:rsidRPr="00490F7A">
        <w:tab/>
        <w:t xml:space="preserve">The risk of ongoing psychological harm is greater where the victim experiences multiple threats: Oddgeir Friborg et al., ‘Violence Affects Physical and Mental Health Differently: The General Population Based Tromso Study’ (2015) </w:t>
      </w:r>
      <w:r w:rsidRPr="00490F7A">
        <w:rPr>
          <w:rStyle w:val="LightItalic"/>
          <w:rFonts w:ascii="Verdana" w:hAnsi="Verdana"/>
        </w:rPr>
        <w:t>PLoS One</w:t>
      </w:r>
      <w:r w:rsidRPr="00490F7A">
        <w:t xml:space="preserve"> (DOI 10.1371/journal.pone.0136588) &lt;https://journals.plos.org/plosone/article?id=10.1371/journal.pone.0136588&gt; at 10 May 2021, 5, 8–9; Lars Peter Andersen et al., ‘Work-Related Threats and Post-Traumatic Symptoms in Four High-Risk Occupations: Short- and Long-Term Symptoms’ (2019) 92 </w:t>
      </w:r>
      <w:r w:rsidRPr="00490F7A">
        <w:rPr>
          <w:rStyle w:val="LightItalic"/>
          <w:rFonts w:ascii="Verdana" w:hAnsi="Verdana"/>
        </w:rPr>
        <w:t xml:space="preserve">International Archives of Occupational and Environmental Health </w:t>
      </w:r>
      <w:r w:rsidRPr="00490F7A">
        <w:t>195, 203–204.</w:t>
      </w:r>
    </w:p>
  </w:footnote>
  <w:footnote w:id="46">
    <w:p w14:paraId="3FEE6EC2" w14:textId="7FE2EEBD" w:rsidR="00EB0405" w:rsidRPr="00490F7A" w:rsidRDefault="00EB0405" w:rsidP="00F84146">
      <w:pPr>
        <w:pStyle w:val="Footnote"/>
      </w:pPr>
      <w:r w:rsidRPr="00490F7A">
        <w:rPr>
          <w:vertAlign w:val="superscript"/>
        </w:rPr>
        <w:footnoteRef/>
      </w:r>
      <w:r w:rsidRPr="00490F7A">
        <w:t>.</w:t>
      </w:r>
      <w:r w:rsidRPr="00490F7A">
        <w:tab/>
        <w:t>Friborg et al. (2015), above n 45, 7.</w:t>
      </w:r>
    </w:p>
  </w:footnote>
  <w:footnote w:id="47">
    <w:p w14:paraId="7DDFEDEE" w14:textId="7E72BDE0" w:rsidR="00EB0405" w:rsidRPr="00490F7A" w:rsidRDefault="00EB0405" w:rsidP="00CF70B4">
      <w:pPr>
        <w:pStyle w:val="Footnote"/>
      </w:pPr>
      <w:r w:rsidRPr="00490F7A">
        <w:rPr>
          <w:vertAlign w:val="superscript"/>
        </w:rPr>
        <w:footnoteRef/>
      </w:r>
      <w:r w:rsidRPr="00490F7A">
        <w:t>.</w:t>
      </w:r>
      <w:r w:rsidRPr="00490F7A">
        <w:tab/>
        <w:t>Ibid 9.</w:t>
      </w:r>
    </w:p>
  </w:footnote>
  <w:footnote w:id="48">
    <w:p w14:paraId="2EF9C129" w14:textId="12EB4751" w:rsidR="00EB0405" w:rsidRPr="00490F7A" w:rsidRDefault="00EB0405" w:rsidP="00CF70B4">
      <w:pPr>
        <w:pStyle w:val="Footnote"/>
      </w:pPr>
      <w:r w:rsidRPr="00490F7A">
        <w:rPr>
          <w:vertAlign w:val="superscript"/>
        </w:rPr>
        <w:footnoteRef/>
      </w:r>
      <w:r w:rsidRPr="00490F7A">
        <w:t>.</w:t>
      </w:r>
      <w:r w:rsidRPr="00490F7A">
        <w:tab/>
        <w:t xml:space="preserve">On the prevalence of threats in the context of family violence and stalking, see Troy E. McEwan et al., ‘Risk Factors for Stalking Violence, Persistence, and Recurrence’ (2017) 28(1) </w:t>
      </w:r>
      <w:r w:rsidRPr="00490F7A">
        <w:rPr>
          <w:rStyle w:val="LightItalic"/>
          <w:rFonts w:ascii="Verdana" w:hAnsi="Verdana"/>
        </w:rPr>
        <w:t xml:space="preserve">Journal of Forensic Psychiatry &amp; Psychology </w:t>
      </w:r>
      <w:r w:rsidRPr="00490F7A">
        <w:t>38, 45–46; in relation to family violence only, see [4.12]. On the greater harm from threats, see Friborg et al. (2015), above n 45, 9.</w:t>
      </w:r>
    </w:p>
  </w:footnote>
  <w:footnote w:id="49">
    <w:p w14:paraId="029323F0" w14:textId="671BBB86" w:rsidR="00EB0405" w:rsidRPr="00490F7A" w:rsidRDefault="00EB0405" w:rsidP="00CF70B4">
      <w:pPr>
        <w:pStyle w:val="Footnote"/>
      </w:pPr>
      <w:r w:rsidRPr="00490F7A">
        <w:rPr>
          <w:vertAlign w:val="superscript"/>
        </w:rPr>
        <w:footnoteRef/>
      </w:r>
      <w:r w:rsidRPr="00490F7A">
        <w:t>.</w:t>
      </w:r>
      <w:r w:rsidRPr="00490F7A">
        <w:tab/>
        <w:t>See Friborg et al. (2015), above n 45, 2.</w:t>
      </w:r>
      <w:r w:rsidRPr="00490F7A">
        <w:tab/>
      </w:r>
    </w:p>
  </w:footnote>
  <w:footnote w:id="50">
    <w:p w14:paraId="765F8018" w14:textId="2DF6005D" w:rsidR="00EB0405" w:rsidRPr="00490F7A" w:rsidRDefault="00EB0405" w:rsidP="00CF70B4">
      <w:pPr>
        <w:pStyle w:val="Footnote"/>
      </w:pPr>
      <w:r w:rsidRPr="00490F7A">
        <w:rPr>
          <w:vertAlign w:val="superscript"/>
        </w:rPr>
        <w:footnoteRef/>
      </w:r>
      <w:r w:rsidRPr="00490F7A">
        <w:t>.</w:t>
      </w:r>
      <w:r w:rsidRPr="00490F7A">
        <w:tab/>
        <w:t xml:space="preserve">Troy E. McEwan et al., ‘Approach and Escalation in Stalking’ (2012) 23(3) </w:t>
      </w:r>
      <w:r w:rsidRPr="00490F7A">
        <w:rPr>
          <w:rStyle w:val="LightItalic"/>
          <w:rFonts w:ascii="Verdana" w:hAnsi="Verdana"/>
        </w:rPr>
        <w:t xml:space="preserve">Journal of Forensic Psychiatry &amp; Psychology </w:t>
      </w:r>
      <w:r w:rsidRPr="00490F7A">
        <w:t xml:space="preserve">392, 401–402; T.K. Logan, ‘Examining Stalking Experiences and Outcomes for Men and Women Stalked by (Ex)partners and Non-partners’ (2020) 35(3) </w:t>
      </w:r>
      <w:r w:rsidRPr="00490F7A">
        <w:rPr>
          <w:rStyle w:val="LightItalic"/>
          <w:rFonts w:ascii="Verdana" w:hAnsi="Verdana"/>
        </w:rPr>
        <w:t xml:space="preserve">Journal of Family Violence </w:t>
      </w:r>
      <w:r w:rsidRPr="00490F7A">
        <w:t>729, 737.</w:t>
      </w:r>
    </w:p>
  </w:footnote>
  <w:footnote w:id="51">
    <w:p w14:paraId="5AAD172F" w14:textId="5178ACDA" w:rsidR="00EB0405" w:rsidRPr="00490F7A" w:rsidRDefault="00EB0405" w:rsidP="00CF70B4">
      <w:pPr>
        <w:pStyle w:val="Footnote"/>
      </w:pPr>
      <w:r w:rsidRPr="00490F7A">
        <w:rPr>
          <w:vertAlign w:val="superscript"/>
        </w:rPr>
        <w:footnoteRef/>
      </w:r>
      <w:r w:rsidRPr="00490F7A">
        <w:t>.</w:t>
      </w:r>
      <w:r w:rsidRPr="00490F7A">
        <w:tab/>
        <w:t>These findings come from research into threats experienced at work: Andersen et al. (2019), above n 45, 202.</w:t>
      </w:r>
    </w:p>
  </w:footnote>
  <w:footnote w:id="52">
    <w:p w14:paraId="0DC9FBA7" w14:textId="1D8C0276" w:rsidR="00EB0405" w:rsidRPr="00490F7A" w:rsidRDefault="00EB0405" w:rsidP="00CF70B4">
      <w:pPr>
        <w:pStyle w:val="Footnote"/>
      </w:pPr>
      <w:r w:rsidRPr="00490F7A">
        <w:rPr>
          <w:vertAlign w:val="superscript"/>
        </w:rPr>
        <w:footnoteRef/>
      </w:r>
      <w:r w:rsidRPr="00490F7A">
        <w:t>.</w:t>
      </w:r>
      <w:r w:rsidRPr="00490F7A">
        <w:tab/>
        <w:t>See Friborg et al. (2015), above n 45, 8.</w:t>
      </w:r>
    </w:p>
  </w:footnote>
  <w:footnote w:id="53">
    <w:p w14:paraId="48B81D12" w14:textId="1F47257D" w:rsidR="00EB0405" w:rsidRPr="00490F7A" w:rsidRDefault="00EB0405" w:rsidP="00CF70B4">
      <w:pPr>
        <w:pStyle w:val="Footnote"/>
      </w:pPr>
      <w:r w:rsidRPr="00490F7A">
        <w:rPr>
          <w:vertAlign w:val="superscript"/>
        </w:rPr>
        <w:footnoteRef/>
      </w:r>
      <w:r w:rsidRPr="00490F7A">
        <w:t>.</w:t>
      </w:r>
      <w:r w:rsidRPr="00490F7A">
        <w:tab/>
        <w:t>This is so even though physical violence may more often be reported. Andersen et al. (2019), above n 45, 203–204; see also Sentencing Advisory Council (2020), above n 11, 7.</w:t>
      </w:r>
    </w:p>
  </w:footnote>
  <w:footnote w:id="54">
    <w:p w14:paraId="6658E93B" w14:textId="2938B0D3" w:rsidR="00EB0405" w:rsidRPr="00490F7A" w:rsidRDefault="00EB0405" w:rsidP="00D1799C">
      <w:pPr>
        <w:pStyle w:val="Footnote"/>
      </w:pPr>
      <w:r w:rsidRPr="00490F7A">
        <w:rPr>
          <w:vertAlign w:val="superscript"/>
        </w:rPr>
        <w:footnoteRef/>
      </w:r>
      <w:r w:rsidRPr="00490F7A">
        <w:t>.</w:t>
      </w:r>
      <w:r w:rsidRPr="00490F7A">
        <w:tab/>
        <w:t xml:space="preserve">Andersen et al. (2019), above n 45, 203–204; Friborg et al. (2015), above n 45, 2; see also Sentencing Advisory Council (2020), above n 11, 7. </w:t>
      </w:r>
    </w:p>
  </w:footnote>
  <w:footnote w:id="55">
    <w:p w14:paraId="0160299D" w14:textId="7EE459CD" w:rsidR="00EB0405" w:rsidRPr="00490F7A" w:rsidRDefault="00EB0405" w:rsidP="00D1799C">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Zerafa v The Queen</w:t>
      </w:r>
      <w:r w:rsidRPr="00490F7A">
        <w:t xml:space="preserve"> [2013] VSCA 42 (4 March 2013), in which the offender made a threat against the informant after the former was imprisoned. </w:t>
      </w:r>
    </w:p>
  </w:footnote>
  <w:footnote w:id="56">
    <w:p w14:paraId="022EF051" w14:textId="195614CC" w:rsidR="00EB0405" w:rsidRPr="00490F7A" w:rsidRDefault="00EB0405" w:rsidP="00D1799C">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 ss 27, 28, 87.</w:t>
      </w:r>
    </w:p>
  </w:footnote>
  <w:footnote w:id="57">
    <w:p w14:paraId="130066B4" w14:textId="16688B63" w:rsidR="00EB0405" w:rsidRPr="00490F7A" w:rsidRDefault="00EB0405" w:rsidP="00D1799C">
      <w:pPr>
        <w:pStyle w:val="Footnote"/>
      </w:pPr>
      <w:r w:rsidRPr="00490F7A">
        <w:rPr>
          <w:vertAlign w:val="superscript"/>
        </w:rPr>
        <w:footnoteRef/>
      </w:r>
      <w:r w:rsidRPr="00490F7A">
        <w:t>.</w:t>
      </w:r>
      <w:r w:rsidRPr="00490F7A">
        <w:tab/>
        <w:t xml:space="preserve">For blackmail specifically, an additional issue may be the presence of the element of ‘a view to gain for [the threatener] or loss to another’: </w:t>
      </w:r>
      <w:r w:rsidRPr="00490F7A">
        <w:rPr>
          <w:rStyle w:val="LightItalic"/>
          <w:rFonts w:ascii="Verdana" w:hAnsi="Verdana"/>
        </w:rPr>
        <w:t xml:space="preserve">Crimes Act 1958 </w:t>
      </w:r>
      <w:r w:rsidRPr="00490F7A">
        <w:t xml:space="preserve">(Vic) s 87. However, implicit demands </w:t>
      </w:r>
      <w:r w:rsidRPr="00490F7A">
        <w:rPr>
          <w:rStyle w:val="LightItalic"/>
          <w:rFonts w:ascii="Verdana" w:hAnsi="Verdana"/>
        </w:rPr>
        <w:t xml:space="preserve">can </w:t>
      </w:r>
      <w:r w:rsidRPr="00490F7A">
        <w:t xml:space="preserve">support a blackmail charge: ‘7.5.15: Blackmail’, </w:t>
      </w:r>
      <w:r w:rsidRPr="00490F7A">
        <w:rPr>
          <w:rStyle w:val="LightItalic"/>
          <w:rFonts w:ascii="Verdana" w:hAnsi="Verdana"/>
        </w:rPr>
        <w:t>Criminal Charge Book</w:t>
      </w:r>
      <w:r w:rsidRPr="00490F7A">
        <w:t xml:space="preserve"> (Judicial College of Victoria, 2015) &lt;https://www.judicialcollege.vic.edu.au/eManuals/CCB/index.htm#4988.htm&gt; at 10 May 2021, [3]–[11].</w:t>
      </w:r>
    </w:p>
  </w:footnote>
  <w:footnote w:id="58">
    <w:p w14:paraId="300AC24D" w14:textId="27529C15" w:rsidR="00EB0405" w:rsidRPr="00490F7A" w:rsidRDefault="00EB0405" w:rsidP="007B0A92">
      <w:pPr>
        <w:pStyle w:val="Footnote"/>
      </w:pPr>
      <w:r w:rsidRPr="00490F7A">
        <w:rPr>
          <w:vertAlign w:val="superscript"/>
        </w:rPr>
        <w:footnoteRef/>
      </w:r>
      <w:r w:rsidRPr="00490F7A">
        <w:t>.</w:t>
      </w:r>
      <w:r w:rsidRPr="00490F7A">
        <w:tab/>
        <w:t xml:space="preserve">Corrections Victoria, </w:t>
      </w:r>
      <w:r w:rsidRPr="00490F7A">
        <w:rPr>
          <w:rStyle w:val="LightItalic"/>
          <w:rFonts w:ascii="Verdana" w:hAnsi="Verdana"/>
        </w:rPr>
        <w:t xml:space="preserve">Women in The Victorian Prison System </w:t>
      </w:r>
      <w:r w:rsidRPr="00490F7A">
        <w:t xml:space="preserve">(2019) 4. </w:t>
      </w:r>
    </w:p>
  </w:footnote>
  <w:footnote w:id="59">
    <w:p w14:paraId="75FC6D8C" w14:textId="273AA89F" w:rsidR="00EB0405" w:rsidRPr="00490F7A" w:rsidRDefault="00EB0405" w:rsidP="007B0A92">
      <w:pPr>
        <w:pStyle w:val="Footnote"/>
      </w:pPr>
      <w:r w:rsidRPr="00490F7A">
        <w:rPr>
          <w:vertAlign w:val="superscript"/>
        </w:rPr>
        <w:footnoteRef/>
      </w:r>
      <w:r w:rsidRPr="00490F7A">
        <w:t>.</w:t>
      </w:r>
      <w:r w:rsidRPr="00490F7A">
        <w:tab/>
        <w:t xml:space="preserve">Victoria, Royal Commission into Family Violence, </w:t>
      </w:r>
      <w:r w:rsidRPr="00490F7A">
        <w:rPr>
          <w:rStyle w:val="LightItalic"/>
          <w:rFonts w:ascii="Verdana" w:hAnsi="Verdana"/>
        </w:rPr>
        <w:t xml:space="preserve">Report and Recommendations, </w:t>
      </w:r>
      <w:r w:rsidRPr="00490F7A">
        <w:t xml:space="preserve">vol. 5 (2016) 237; see also Corrections Victoria, </w:t>
      </w:r>
      <w:r w:rsidRPr="00490F7A">
        <w:rPr>
          <w:rStyle w:val="LightItalic"/>
          <w:rFonts w:ascii="Verdana" w:hAnsi="Verdana"/>
        </w:rPr>
        <w:t xml:space="preserve">Strengthening Connections: Women’s Policy for the Victorian Corrections System </w:t>
      </w:r>
      <w:r w:rsidRPr="00490F7A">
        <w:t xml:space="preserve">(2017) 8. Other research has found that women who </w:t>
      </w:r>
      <w:r w:rsidRPr="00490F7A">
        <w:rPr>
          <w:rStyle w:val="LightItalic"/>
          <w:rFonts w:ascii="Verdana" w:hAnsi="Verdana"/>
        </w:rPr>
        <w:t xml:space="preserve">continue </w:t>
      </w:r>
      <w:r w:rsidRPr="00490F7A">
        <w:t xml:space="preserve">offending tend to have greater exposure to violence, more adversarial interpersonal relationships, and more mental health problems than do those who desist: Elizabeth Cauffman et al., ‘Pathways to Persistence: Female Offending from 14 to 25’ (2015) 1(3) </w:t>
      </w:r>
      <w:r w:rsidRPr="00490F7A">
        <w:rPr>
          <w:rStyle w:val="LightItalic"/>
          <w:rFonts w:ascii="Verdana" w:hAnsi="Verdana"/>
        </w:rPr>
        <w:t xml:space="preserve">Journal of Developmental and Life-Course Criminology </w:t>
      </w:r>
      <w:r w:rsidRPr="00490F7A">
        <w:t>236, 261.</w:t>
      </w:r>
    </w:p>
  </w:footnote>
  <w:footnote w:id="60">
    <w:p w14:paraId="5248D319" w14:textId="1063B12F" w:rsidR="00EB0405" w:rsidRPr="00490F7A" w:rsidRDefault="00EB0405" w:rsidP="007B0A92">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DPP (Cth) v Merrill (A Pseudonym)</w:t>
      </w:r>
      <w:r w:rsidRPr="00490F7A">
        <w:t xml:space="preserve"> [2015] VSCA 52 (1 April 2015), in which the offender had trafficked methamphetamine under duress due to threats made against his family (and he received a less severe sentence as a result). </w:t>
      </w:r>
    </w:p>
  </w:footnote>
  <w:footnote w:id="61">
    <w:p w14:paraId="3123E4C6" w14:textId="5B910E3F" w:rsidR="00EB0405" w:rsidRPr="00490F7A" w:rsidRDefault="00EB0405" w:rsidP="007B0A92">
      <w:pPr>
        <w:pStyle w:val="Footnote"/>
      </w:pPr>
      <w:r w:rsidRPr="00490F7A">
        <w:rPr>
          <w:vertAlign w:val="superscript"/>
        </w:rPr>
        <w:footnoteRef/>
      </w:r>
      <w:r w:rsidRPr="00490F7A">
        <w:t>.</w:t>
      </w:r>
      <w:r w:rsidRPr="00490F7A">
        <w:tab/>
        <w:t>Friborg et al. (2015), above n 45, 2, 8–9.</w:t>
      </w:r>
    </w:p>
  </w:footnote>
  <w:footnote w:id="62">
    <w:p w14:paraId="75815E6A" w14:textId="66DC6D3D" w:rsidR="00EB0405" w:rsidRPr="00490F7A" w:rsidRDefault="00EB0405" w:rsidP="007B0A92">
      <w:pPr>
        <w:pStyle w:val="Footnote"/>
      </w:pPr>
      <w:r w:rsidRPr="00490F7A">
        <w:rPr>
          <w:vertAlign w:val="superscript"/>
        </w:rPr>
        <w:footnoteRef/>
      </w:r>
      <w:r w:rsidRPr="00490F7A">
        <w:t>.</w:t>
      </w:r>
      <w:r w:rsidRPr="00490F7A">
        <w:tab/>
        <w:t>Ibid 8. In some cases, the gravity of these effects may even outweigh the harm that would be caused if the threatener actually carried out the threat: Sentencing Advisory Council (2020), above n 11, 7.</w:t>
      </w:r>
    </w:p>
  </w:footnote>
  <w:footnote w:id="63">
    <w:p w14:paraId="234255DA" w14:textId="31579BA5" w:rsidR="00EB0405" w:rsidRPr="007B0A92" w:rsidRDefault="00EB0405" w:rsidP="007B0A92">
      <w:pPr>
        <w:pStyle w:val="Footnote"/>
        <w:rPr>
          <w:spacing w:val="-1"/>
        </w:rPr>
      </w:pPr>
      <w:r w:rsidRPr="00490F7A">
        <w:rPr>
          <w:vertAlign w:val="superscript"/>
        </w:rPr>
        <w:footnoteRef/>
      </w:r>
      <w:r w:rsidRPr="00490F7A">
        <w:t>.</w:t>
      </w:r>
      <w:r w:rsidRPr="00490F7A">
        <w:tab/>
      </w:r>
      <w:r w:rsidRPr="00490F7A">
        <w:rPr>
          <w:spacing w:val="-1"/>
        </w:rPr>
        <w:t xml:space="preserve">Stark (2007), above n 34, 250–251; Victoria, Royal Commission into Family Violence, </w:t>
      </w:r>
      <w:r w:rsidRPr="00490F7A">
        <w:rPr>
          <w:rStyle w:val="LightItalic"/>
          <w:rFonts w:ascii="Verdana" w:hAnsi="Verdana"/>
          <w:spacing w:val="-1"/>
        </w:rPr>
        <w:t xml:space="preserve">Report and Recommendations, </w:t>
      </w:r>
      <w:r w:rsidRPr="00490F7A">
        <w:rPr>
          <w:spacing w:val="-1"/>
        </w:rPr>
        <w:t>vol. 1 (2016) 20–21.</w:t>
      </w:r>
    </w:p>
  </w:footnote>
  <w:footnote w:id="64">
    <w:p w14:paraId="4BE99E72" w14:textId="7F8DFEBC" w:rsidR="00EB0405" w:rsidRPr="00490F7A" w:rsidRDefault="00EB0405" w:rsidP="00E42B0E">
      <w:pPr>
        <w:pStyle w:val="Footnote"/>
      </w:pPr>
      <w:r w:rsidRPr="00490F7A">
        <w:rPr>
          <w:vertAlign w:val="superscript"/>
        </w:rPr>
        <w:footnoteRef/>
      </w:r>
      <w:r w:rsidRPr="00490F7A">
        <w:t>.</w:t>
      </w:r>
      <w:r w:rsidRPr="00490F7A">
        <w:tab/>
        <w:t>Warren et al. (2007), above n 22, 603.</w:t>
      </w:r>
    </w:p>
  </w:footnote>
  <w:footnote w:id="65">
    <w:p w14:paraId="5D5266F9" w14:textId="05727427" w:rsidR="00EB0405" w:rsidRPr="00490F7A" w:rsidRDefault="00EB0405" w:rsidP="00E42B0E">
      <w:pPr>
        <w:pStyle w:val="Footnote"/>
      </w:pPr>
      <w:r w:rsidRPr="00490F7A">
        <w:rPr>
          <w:vertAlign w:val="superscript"/>
        </w:rPr>
        <w:footnoteRef/>
      </w:r>
      <w:r w:rsidRPr="00490F7A">
        <w:t>.</w:t>
      </w:r>
      <w:r w:rsidRPr="00490F7A">
        <w:tab/>
        <w:t xml:space="preserve">J. Reid Meloy et al., ‘Warning Behaviours and their Configurations Across Various Domains of Targeted Violence’ in J. Reid Meloy and Jens Hoffmann, </w:t>
      </w:r>
      <w:r w:rsidRPr="00490F7A">
        <w:rPr>
          <w:rStyle w:val="LightItalic"/>
          <w:rFonts w:ascii="Verdana" w:hAnsi="Verdana"/>
        </w:rPr>
        <w:t xml:space="preserve">International Handbook of Threat Assessment </w:t>
      </w:r>
      <w:r w:rsidRPr="00490F7A">
        <w:t xml:space="preserve">(2013) 46. </w:t>
      </w:r>
    </w:p>
  </w:footnote>
  <w:footnote w:id="66">
    <w:p w14:paraId="25033C79" w14:textId="12DEA768" w:rsidR="00EB0405" w:rsidRPr="00490F7A" w:rsidRDefault="00EB0405" w:rsidP="00E42B0E">
      <w:pPr>
        <w:pStyle w:val="Footnote"/>
      </w:pPr>
      <w:r w:rsidRPr="00490F7A">
        <w:rPr>
          <w:vertAlign w:val="superscript"/>
        </w:rPr>
        <w:footnoteRef/>
      </w:r>
      <w:r w:rsidRPr="00490F7A">
        <w:t>.</w:t>
      </w:r>
      <w:r w:rsidRPr="00490F7A">
        <w:tab/>
        <w:t>Ibid 46; Warren et al. (2013), above n 35, 30.</w:t>
      </w:r>
    </w:p>
  </w:footnote>
  <w:footnote w:id="67">
    <w:p w14:paraId="3FE76F72" w14:textId="02C8ECD8" w:rsidR="00EB0405" w:rsidRPr="00490F7A" w:rsidRDefault="00EB0405" w:rsidP="00E42B0E">
      <w:pPr>
        <w:pStyle w:val="Footnote"/>
      </w:pPr>
      <w:r w:rsidRPr="00490F7A">
        <w:rPr>
          <w:vertAlign w:val="superscript"/>
        </w:rPr>
        <w:footnoteRef/>
      </w:r>
      <w:r w:rsidRPr="00490F7A">
        <w:t>.</w:t>
      </w:r>
      <w:r w:rsidRPr="00490F7A">
        <w:tab/>
        <w:t xml:space="preserve">Meloy et al. (2013), above n 65, 46. </w:t>
      </w:r>
    </w:p>
  </w:footnote>
  <w:footnote w:id="68">
    <w:p w14:paraId="3F5EDD34" w14:textId="7E183EC9" w:rsidR="00EB0405" w:rsidRPr="00490F7A" w:rsidRDefault="00EB0405" w:rsidP="00534897">
      <w:pPr>
        <w:pStyle w:val="Footnote"/>
      </w:pPr>
      <w:r w:rsidRPr="00490F7A">
        <w:rPr>
          <w:vertAlign w:val="superscript"/>
        </w:rPr>
        <w:footnoteRef/>
      </w:r>
      <w:r w:rsidRPr="00490F7A">
        <w:t>.</w:t>
      </w:r>
      <w:r w:rsidRPr="00490F7A">
        <w:tab/>
        <w:t xml:space="preserve">Ibid 46. </w:t>
      </w:r>
    </w:p>
  </w:footnote>
  <w:footnote w:id="69">
    <w:p w14:paraId="2CF30FA5" w14:textId="032D9DF5" w:rsidR="00EB0405" w:rsidRPr="00490F7A" w:rsidRDefault="00EB0405" w:rsidP="00534897">
      <w:pPr>
        <w:pStyle w:val="Footnote"/>
      </w:pPr>
      <w:r w:rsidRPr="00490F7A">
        <w:rPr>
          <w:vertAlign w:val="superscript"/>
        </w:rPr>
        <w:footnoteRef/>
      </w:r>
      <w:r w:rsidRPr="00490F7A">
        <w:t>.</w:t>
      </w:r>
      <w:r w:rsidRPr="00490F7A">
        <w:tab/>
        <w:t>Warren et al. (2007), above n 22, 601. This included five completed and three attempted murders against the original victims (2%).</w:t>
      </w:r>
    </w:p>
  </w:footnote>
  <w:footnote w:id="70">
    <w:p w14:paraId="7839C796" w14:textId="08117A14" w:rsidR="00EB0405" w:rsidRPr="00490F7A" w:rsidRDefault="00EB0405" w:rsidP="00534897">
      <w:pPr>
        <w:pStyle w:val="Footnote"/>
      </w:pPr>
      <w:r w:rsidRPr="00490F7A">
        <w:rPr>
          <w:vertAlign w:val="superscript"/>
        </w:rPr>
        <w:footnoteRef/>
      </w:r>
      <w:r w:rsidRPr="00490F7A">
        <w:t>.</w:t>
      </w:r>
      <w:r w:rsidRPr="00490F7A">
        <w:tab/>
        <w:t>McEwan et al. (2017), above n 48, 50. This effect was stronger when threats occurred alongside property damage or a previous intimate relationship between stalker and victim.</w:t>
      </w:r>
    </w:p>
  </w:footnote>
  <w:footnote w:id="71">
    <w:p w14:paraId="3F80A5A8" w14:textId="2184FBFB" w:rsidR="00EB0405" w:rsidRPr="00490F7A" w:rsidRDefault="00EB0405" w:rsidP="00534897">
      <w:pPr>
        <w:pStyle w:val="Footnote"/>
      </w:pPr>
      <w:r w:rsidRPr="00490F7A">
        <w:rPr>
          <w:vertAlign w:val="superscript"/>
        </w:rPr>
        <w:footnoteRef/>
      </w:r>
      <w:r w:rsidRPr="00490F7A">
        <w:t>.</w:t>
      </w:r>
      <w:r w:rsidRPr="00490F7A">
        <w:tab/>
        <w:t xml:space="preserve">McEwan et al. (2012), above n 50, 401–402 (the study found three times the rate of threats among ex-intimate partners as among non-intimate partners, albeit with a small sample); McEwan et al. (2017), above n 48, 50–51 (the combination of two or more threats, property damage, a previous intimate relationship and loitering or spying on a previous intimate partner victim strongly predicted violence). See also Caroline Flowers et al., ‘Identifying the Characteristics Associated with Intimate Partner Stalking: A Mixed Methods Structured Review and Narrative Synthesis’ (2020) 31(6) </w:t>
      </w:r>
      <w:r w:rsidRPr="00490F7A">
        <w:rPr>
          <w:rStyle w:val="LightItalic"/>
          <w:rFonts w:ascii="Verdana" w:hAnsi="Verdana"/>
        </w:rPr>
        <w:t xml:space="preserve">The Journal of Forensic Psychiatry &amp; Psychology </w:t>
      </w:r>
      <w:r w:rsidRPr="00490F7A">
        <w:t>889, 915–916.</w:t>
      </w:r>
    </w:p>
  </w:footnote>
  <w:footnote w:id="72">
    <w:p w14:paraId="0BACAF18" w14:textId="05C384D3" w:rsidR="00EB0405" w:rsidRPr="00490F7A" w:rsidRDefault="00EB0405" w:rsidP="00534897">
      <w:pPr>
        <w:pStyle w:val="Footnote"/>
      </w:pPr>
      <w:r w:rsidRPr="00490F7A">
        <w:rPr>
          <w:vertAlign w:val="superscript"/>
        </w:rPr>
        <w:footnoteRef/>
      </w:r>
      <w:r w:rsidRPr="00490F7A">
        <w:t>.</w:t>
      </w:r>
      <w:r w:rsidRPr="00490F7A">
        <w:tab/>
        <w:t xml:space="preserve">Michèle T. Pathé et al., ‘Assessing and Managing the Threat Posed by Fixated Persons in Australia’ (2015) 26(4) </w:t>
      </w:r>
      <w:r w:rsidRPr="00490F7A">
        <w:rPr>
          <w:rStyle w:val="LightItalic"/>
          <w:rFonts w:ascii="Verdana" w:hAnsi="Verdana"/>
        </w:rPr>
        <w:t xml:space="preserve">The Journal of Forensic Psychiatry &amp; Psychology </w:t>
      </w:r>
      <w:r w:rsidRPr="00490F7A">
        <w:t>425, 426.</w:t>
      </w:r>
    </w:p>
  </w:footnote>
  <w:footnote w:id="73">
    <w:p w14:paraId="168B9642" w14:textId="38CB432B" w:rsidR="00EB0405" w:rsidRPr="00490F7A" w:rsidRDefault="00EB0405" w:rsidP="00534897">
      <w:pPr>
        <w:pStyle w:val="Footnote"/>
      </w:pPr>
      <w:r w:rsidRPr="00490F7A">
        <w:rPr>
          <w:vertAlign w:val="superscript"/>
        </w:rPr>
        <w:footnoteRef/>
      </w:r>
      <w:r w:rsidRPr="00490F7A">
        <w:t>.</w:t>
      </w:r>
      <w:r w:rsidRPr="00490F7A">
        <w:tab/>
        <w:t xml:space="preserve">See </w:t>
      </w:r>
      <w:r w:rsidRPr="00490F7A">
        <w:rPr>
          <w:rStyle w:val="LightItalic"/>
          <w:rFonts w:ascii="Verdana" w:hAnsi="Verdana"/>
        </w:rPr>
        <w:t>Brooks v The Queen</w:t>
      </w:r>
      <w:r w:rsidRPr="00490F7A">
        <w:t xml:space="preserve"> [2020] VSCA 93 (21 April 2020); Warren et al. (2013), above n 35, 30.</w:t>
      </w:r>
    </w:p>
  </w:footnote>
  <w:footnote w:id="74">
    <w:p w14:paraId="7983C441" w14:textId="29377EF1" w:rsidR="00EB0405" w:rsidRPr="00490F7A" w:rsidRDefault="00EB0405" w:rsidP="00093AD1">
      <w:pPr>
        <w:pStyle w:val="Footnote"/>
      </w:pPr>
      <w:r w:rsidRPr="00490F7A">
        <w:rPr>
          <w:vertAlign w:val="superscript"/>
        </w:rPr>
        <w:footnoteRef/>
      </w:r>
      <w:r w:rsidRPr="00490F7A">
        <w:t>.</w:t>
      </w:r>
      <w:r w:rsidRPr="00490F7A">
        <w:tab/>
        <w:t>Warren et al. (2013), above n 35, 30.</w:t>
      </w:r>
    </w:p>
  </w:footnote>
  <w:footnote w:id="75">
    <w:p w14:paraId="400460E5" w14:textId="510DB1DA" w:rsidR="00EB0405" w:rsidRPr="00490F7A" w:rsidRDefault="00EB0405" w:rsidP="00093AD1">
      <w:pPr>
        <w:pStyle w:val="Footnote"/>
      </w:pPr>
      <w:r w:rsidRPr="00490F7A">
        <w:rPr>
          <w:vertAlign w:val="superscript"/>
        </w:rPr>
        <w:footnoteRef/>
      </w:r>
      <w:r w:rsidRPr="00490F7A">
        <w:t>.</w:t>
      </w:r>
      <w:r w:rsidRPr="00490F7A">
        <w:tab/>
        <w:t xml:space="preserve">Lisa J. Warren et al., ‘A Clinical Study of Those Who Utter Threats to Kill’ (2011) 29 </w:t>
      </w:r>
      <w:r w:rsidRPr="00490F7A">
        <w:rPr>
          <w:rStyle w:val="LightItalic"/>
          <w:rFonts w:ascii="Verdana" w:hAnsi="Verdana"/>
        </w:rPr>
        <w:t xml:space="preserve">Behavioural Sciences and the Law </w:t>
      </w:r>
      <w:r w:rsidRPr="00490F7A">
        <w:t xml:space="preserve">141, 148. </w:t>
      </w:r>
    </w:p>
  </w:footnote>
  <w:footnote w:id="76">
    <w:p w14:paraId="1A40DF50" w14:textId="156CCAEB" w:rsidR="00EB0405" w:rsidRPr="00490F7A" w:rsidRDefault="00EB0405" w:rsidP="00093AD1">
      <w:pPr>
        <w:pStyle w:val="Footnote"/>
      </w:pPr>
      <w:r w:rsidRPr="00490F7A">
        <w:rPr>
          <w:vertAlign w:val="superscript"/>
        </w:rPr>
        <w:footnoteRef/>
      </w:r>
      <w:r w:rsidRPr="00490F7A">
        <w:t>.</w:t>
      </w:r>
      <w:r w:rsidRPr="00490F7A">
        <w:tab/>
        <w:t>Warren et al. (2007), above n 22, 601.</w:t>
      </w:r>
    </w:p>
  </w:footnote>
  <w:footnote w:id="77">
    <w:p w14:paraId="02582074" w14:textId="09B1613B" w:rsidR="00EB0405" w:rsidRPr="00490F7A" w:rsidRDefault="00EB0405" w:rsidP="00093AD1">
      <w:pPr>
        <w:pStyle w:val="Footnote"/>
      </w:pPr>
      <w:r w:rsidRPr="00490F7A">
        <w:rPr>
          <w:vertAlign w:val="superscript"/>
        </w:rPr>
        <w:footnoteRef/>
      </w:r>
      <w:r w:rsidRPr="00490F7A">
        <w:t>.</w:t>
      </w:r>
      <w:r w:rsidRPr="00490F7A">
        <w:tab/>
        <w:t>Ibid.</w:t>
      </w:r>
    </w:p>
  </w:footnote>
  <w:footnote w:id="78">
    <w:p w14:paraId="351DA7C3" w14:textId="6D4A8EEC" w:rsidR="00EB0405" w:rsidRPr="00490F7A" w:rsidRDefault="00EB0405" w:rsidP="00A7589B">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Short v The Queen</w:t>
      </w:r>
      <w:r w:rsidRPr="00490F7A">
        <w:t xml:space="preserve"> [2016] VSCA 210 (7 September 2016) [55]; Kim Moeller and Sveinung Sandberg, ‘Debts and Threats: Managing Inability to Repay Credits in Illicit Drug Distribution’ (2017) 34(2) </w:t>
      </w:r>
      <w:r w:rsidRPr="00490F7A">
        <w:rPr>
          <w:rStyle w:val="LightItalic"/>
          <w:rFonts w:ascii="Verdana" w:hAnsi="Verdana"/>
        </w:rPr>
        <w:t xml:space="preserve">Justice Quarterly </w:t>
      </w:r>
      <w:r w:rsidRPr="00490F7A">
        <w:t>272, 286–289, 291.</w:t>
      </w:r>
    </w:p>
  </w:footnote>
  <w:footnote w:id="79">
    <w:p w14:paraId="66303A20" w14:textId="6059DD15" w:rsidR="00EB0405" w:rsidRPr="00490F7A" w:rsidRDefault="00EB0405" w:rsidP="00A7589B">
      <w:pPr>
        <w:pStyle w:val="Footnote"/>
      </w:pPr>
      <w:r w:rsidRPr="00490F7A">
        <w:rPr>
          <w:vertAlign w:val="superscript"/>
        </w:rPr>
        <w:footnoteRef/>
      </w:r>
      <w:r w:rsidRPr="00490F7A">
        <w:t>.</w:t>
      </w:r>
      <w:r w:rsidRPr="00490F7A">
        <w:tab/>
        <w:t xml:space="preserve">See for example Sentencing Advisory Council, </w:t>
      </w:r>
      <w:r w:rsidRPr="00490F7A">
        <w:rPr>
          <w:rStyle w:val="LightItalic"/>
          <w:rFonts w:ascii="Verdana" w:hAnsi="Verdana"/>
        </w:rPr>
        <w:t xml:space="preserve">Aggravated Burglary: Current Sentencing Practices </w:t>
      </w:r>
      <w:r w:rsidRPr="00490F7A">
        <w:t xml:space="preserve">(2011) 11 (finding that 12% of aggravated burglary cases involved a co-sentenced threat to kill); </w:t>
      </w:r>
      <w:r w:rsidRPr="00490F7A">
        <w:rPr>
          <w:rStyle w:val="LightItalic"/>
          <w:rFonts w:ascii="Verdana" w:hAnsi="Verdana"/>
        </w:rPr>
        <w:t>DPP v Huynh</w:t>
      </w:r>
      <w:r w:rsidRPr="00490F7A">
        <w:t xml:space="preserve"> [2013] VCC 499 (26 April 2013); in consultation, stakeholders confirmed that many non-family violence threats were associated with thefts or robberies: meeting with Magistrates’ Court (1 April 2021); Stakeholder Roundtable (7 April 2021).</w:t>
      </w:r>
    </w:p>
  </w:footnote>
  <w:footnote w:id="80">
    <w:p w14:paraId="31104437" w14:textId="72835773" w:rsidR="00EB0405" w:rsidRPr="00490F7A" w:rsidRDefault="00EB0405" w:rsidP="00A7589B">
      <w:pPr>
        <w:pStyle w:val="Footnote"/>
      </w:pPr>
      <w:r w:rsidRPr="00490F7A">
        <w:rPr>
          <w:vertAlign w:val="superscript"/>
        </w:rPr>
        <w:footnoteRef/>
      </w:r>
      <w:r w:rsidRPr="00490F7A">
        <w:t>.</w:t>
      </w:r>
      <w:r w:rsidRPr="00490F7A">
        <w:tab/>
        <w:t>Moeller and Sandberg (2017), above n 78, 288.</w:t>
      </w:r>
    </w:p>
  </w:footnote>
  <w:footnote w:id="81">
    <w:p w14:paraId="55C639A5" w14:textId="33BEDB67" w:rsidR="00EB0405" w:rsidRPr="00490F7A" w:rsidRDefault="00EB0405" w:rsidP="00A7589B">
      <w:pPr>
        <w:pStyle w:val="Footnote"/>
      </w:pPr>
      <w:r w:rsidRPr="00490F7A">
        <w:rPr>
          <w:vertAlign w:val="superscript"/>
        </w:rPr>
        <w:footnoteRef/>
      </w:r>
      <w:r w:rsidRPr="00490F7A">
        <w:t>.</w:t>
      </w:r>
      <w:r w:rsidRPr="00490F7A">
        <w:tab/>
        <w:t>Warren et al. (2013), above n 42, 335, 339. Rates of psychotic illness were particularly high.</w:t>
      </w:r>
    </w:p>
  </w:footnote>
  <w:footnote w:id="82">
    <w:p w14:paraId="4277DC8C" w14:textId="3BF3C560" w:rsidR="00EB0405" w:rsidRPr="00490F7A" w:rsidRDefault="00EB0405" w:rsidP="00A7589B">
      <w:pPr>
        <w:pStyle w:val="Footnote"/>
      </w:pPr>
      <w:r w:rsidRPr="00490F7A">
        <w:rPr>
          <w:vertAlign w:val="superscript"/>
        </w:rPr>
        <w:footnoteRef/>
      </w:r>
      <w:r w:rsidRPr="00490F7A">
        <w:t>.</w:t>
      </w:r>
      <w:r w:rsidRPr="00490F7A">
        <w:tab/>
        <w:t>Warren et al. (2011), above n 75, 147–148.</w:t>
      </w:r>
    </w:p>
  </w:footnote>
  <w:footnote w:id="83">
    <w:p w14:paraId="4A6C277D" w14:textId="11E7CE3E" w:rsidR="00EB0405" w:rsidRPr="00490F7A" w:rsidRDefault="00EB0405" w:rsidP="00A7589B">
      <w:pPr>
        <w:pStyle w:val="Footnote"/>
      </w:pPr>
      <w:r w:rsidRPr="00490F7A">
        <w:rPr>
          <w:vertAlign w:val="superscript"/>
        </w:rPr>
        <w:footnoteRef/>
      </w:r>
      <w:r w:rsidRPr="00490F7A">
        <w:t>.</w:t>
      </w:r>
      <w:r w:rsidRPr="00490F7A">
        <w:tab/>
        <w:t>Ibid; Warren et al. (2007), above n 22, 602–603.</w:t>
      </w:r>
    </w:p>
  </w:footnote>
  <w:footnote w:id="84">
    <w:p w14:paraId="05B9908E" w14:textId="04A7B9AD" w:rsidR="00EB0405" w:rsidRPr="00490F7A" w:rsidRDefault="00EB0405" w:rsidP="00A9366C">
      <w:pPr>
        <w:pStyle w:val="Footnote"/>
      </w:pPr>
      <w:r w:rsidRPr="00490F7A">
        <w:rPr>
          <w:vertAlign w:val="superscript"/>
        </w:rPr>
        <w:footnoteRef/>
      </w:r>
      <w:r w:rsidRPr="00490F7A">
        <w:t>.</w:t>
      </w:r>
      <w:r w:rsidRPr="00490F7A">
        <w:tab/>
        <w:t xml:space="preserve">For example, </w:t>
      </w:r>
      <w:r w:rsidRPr="00490F7A">
        <w:rPr>
          <w:rStyle w:val="LightItalic"/>
          <w:rFonts w:ascii="Verdana" w:hAnsi="Verdana"/>
        </w:rPr>
        <w:t xml:space="preserve">DPP v Sullivan </w:t>
      </w:r>
      <w:r w:rsidRPr="00490F7A">
        <w:t xml:space="preserve">[2014] VSCA 222 (17 September 2014), which involved a threat to seriously injure the offender’s domestic partner, a threat to kill the partner’s daughter, and a threat to blow up the family home. </w:t>
      </w:r>
    </w:p>
  </w:footnote>
  <w:footnote w:id="85">
    <w:p w14:paraId="718B80E2" w14:textId="318AE5E2" w:rsidR="00EB0405" w:rsidRPr="00490F7A" w:rsidRDefault="00EB0405" w:rsidP="00A9366C">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 xml:space="preserve">DPP v Kendall </w:t>
      </w:r>
      <w:r w:rsidRPr="00490F7A">
        <w:t>[2020] VCC 74 (24 January 2020), in which uncharged threats to kill were still relied on as context evidence for other offending: ibid [9].</w:t>
      </w:r>
    </w:p>
  </w:footnote>
  <w:footnote w:id="86">
    <w:p w14:paraId="146284C7" w14:textId="38A1E63E" w:rsidR="00EB0405" w:rsidRPr="00490F7A" w:rsidRDefault="00EB0405" w:rsidP="00A9366C">
      <w:pPr>
        <w:pStyle w:val="Footnote"/>
      </w:pPr>
      <w:r w:rsidRPr="00490F7A">
        <w:rPr>
          <w:vertAlign w:val="superscript"/>
        </w:rPr>
        <w:footnoteRef/>
      </w:r>
      <w:r w:rsidRPr="00490F7A">
        <w:t>.</w:t>
      </w:r>
      <w:r w:rsidRPr="00490F7A">
        <w:tab/>
      </w:r>
      <w:r w:rsidRPr="00490F7A">
        <w:rPr>
          <w:rStyle w:val="LightItalic"/>
          <w:rFonts w:ascii="Verdana" w:hAnsi="Verdana"/>
        </w:rPr>
        <w:t>Brooks v The Queen</w:t>
      </w:r>
      <w:r w:rsidRPr="00490F7A">
        <w:t xml:space="preserve"> [2020] VSCA 93 (21 April 2020).</w:t>
      </w:r>
    </w:p>
  </w:footnote>
  <w:footnote w:id="87">
    <w:p w14:paraId="03E5D832" w14:textId="360ABBE1" w:rsidR="00EB0405" w:rsidRPr="00490F7A" w:rsidRDefault="00EB0405" w:rsidP="00A9366C">
      <w:pPr>
        <w:pStyle w:val="Footnote"/>
      </w:pPr>
      <w:r w:rsidRPr="00490F7A">
        <w:rPr>
          <w:vertAlign w:val="superscript"/>
        </w:rPr>
        <w:footnoteRef/>
      </w:r>
      <w:r w:rsidRPr="00490F7A">
        <w:t>.</w:t>
      </w:r>
      <w:r w:rsidRPr="00490F7A">
        <w:tab/>
      </w:r>
      <w:r w:rsidRPr="00490F7A">
        <w:rPr>
          <w:rStyle w:val="LightItalic"/>
          <w:rFonts w:ascii="Verdana" w:hAnsi="Verdana"/>
        </w:rPr>
        <w:t>DPP v Natoli</w:t>
      </w:r>
      <w:r w:rsidRPr="00490F7A">
        <w:t xml:space="preserve"> [2016] VSCA 35 (11 March 2016) [41].</w:t>
      </w:r>
    </w:p>
  </w:footnote>
  <w:footnote w:id="88">
    <w:p w14:paraId="5AA113E0" w14:textId="54D67B08" w:rsidR="00EB0405" w:rsidRPr="00490F7A" w:rsidRDefault="00EB0405" w:rsidP="00A9366C">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 xml:space="preserve">Devereaux v The Queen </w:t>
      </w:r>
      <w:r w:rsidRPr="00490F7A">
        <w:t xml:space="preserve">[2019] VSCA 6 (31 January 2019), in which the sentencing court found the offending was ‘planned’: ibid [15], and </w:t>
      </w:r>
      <w:r w:rsidRPr="00490F7A">
        <w:rPr>
          <w:rStyle w:val="LightItalic"/>
          <w:rFonts w:ascii="Verdana" w:hAnsi="Verdana"/>
        </w:rPr>
        <w:t xml:space="preserve">Aitkin v The Queen </w:t>
      </w:r>
      <w:r w:rsidRPr="00490F7A">
        <w:t xml:space="preserve">[2017] VSCA 103 (8 May 2017) [103], a blackmail case in which the main focus was the menaces rather than the demand – the duration of offending and use of multiple accounts, including to circumvent the victim’s attempts to block the offender’s accounts, demonstrated careful planning. In comparison, threats made in an immediate response to emotionally distressing circumstances (eviction) were not considered to be very serious examples: </w:t>
      </w:r>
      <w:r w:rsidRPr="00490F7A">
        <w:rPr>
          <w:rStyle w:val="LightItalic"/>
          <w:rFonts w:ascii="Verdana" w:hAnsi="Verdana"/>
        </w:rPr>
        <w:t xml:space="preserve">DPP v Stokes </w:t>
      </w:r>
      <w:r w:rsidRPr="00490F7A">
        <w:t>[2019] VCC 1518 (16 September 2019) [70].</w:t>
      </w:r>
    </w:p>
  </w:footnote>
  <w:footnote w:id="89">
    <w:p w14:paraId="21A5DEE2" w14:textId="433AC902" w:rsidR="00EB0405" w:rsidRPr="00490F7A" w:rsidRDefault="00EB0405" w:rsidP="00A9366C">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Doherty v The Queen</w:t>
      </w:r>
      <w:r w:rsidRPr="00490F7A">
        <w:t xml:space="preserve"> [2017] VSCA 215 (25 August 2017) [25], [48] and </w:t>
      </w:r>
      <w:r w:rsidRPr="00490F7A">
        <w:rPr>
          <w:rStyle w:val="LightItalic"/>
          <w:rFonts w:ascii="Verdana" w:hAnsi="Verdana"/>
        </w:rPr>
        <w:t>DPP v Monks</w:t>
      </w:r>
      <w:r w:rsidRPr="00490F7A">
        <w:t xml:space="preserve"> [2013] VCC 1465 (27 September 2013) [14], [18], both of which involved the use of knives, and </w:t>
      </w:r>
      <w:r w:rsidRPr="00490F7A">
        <w:rPr>
          <w:rStyle w:val="LightItalic"/>
          <w:rFonts w:ascii="Verdana" w:hAnsi="Verdana"/>
        </w:rPr>
        <w:t>DPP v Natoli</w:t>
      </w:r>
      <w:r w:rsidRPr="00490F7A">
        <w:t xml:space="preserve"> [2016] VSCA 35 (11 March 2016) which involved a loaded firearm: ibid [41].</w:t>
      </w:r>
    </w:p>
  </w:footnote>
  <w:footnote w:id="90">
    <w:p w14:paraId="6B0A8884" w14:textId="7625A644" w:rsidR="00EB0405" w:rsidRPr="00490F7A" w:rsidRDefault="00EB0405" w:rsidP="00E00FE2">
      <w:pPr>
        <w:pStyle w:val="Footnote"/>
      </w:pPr>
      <w:r w:rsidRPr="00490F7A">
        <w:rPr>
          <w:vertAlign w:val="superscript"/>
        </w:rPr>
        <w:footnoteRef/>
      </w:r>
      <w:r w:rsidRPr="00490F7A">
        <w:t>.</w:t>
      </w:r>
      <w:r w:rsidRPr="00490F7A">
        <w:tab/>
      </w:r>
      <w:r w:rsidRPr="00490F7A">
        <w:rPr>
          <w:rStyle w:val="LightItalic"/>
          <w:rFonts w:ascii="Verdana" w:hAnsi="Verdana"/>
        </w:rPr>
        <w:t xml:space="preserve">DPP v Oksuz </w:t>
      </w:r>
      <w:r w:rsidRPr="00490F7A">
        <w:t>[2015] VSCA 316 (25 November 2015), a blackmail case in which the offender threatened to have the victim’s son stabbed in prison by criminal associates; it was ‘not in issue on the plea that the respondent had such contacts within the prison that he could call upon’. In the event, further violence did ensue against other victims. All these features of the offending were aggravating: ibid [107], [112].</w:t>
      </w:r>
    </w:p>
  </w:footnote>
  <w:footnote w:id="91">
    <w:p w14:paraId="1A9ADFD6" w14:textId="1D68655B" w:rsidR="00EB0405" w:rsidRPr="00490F7A" w:rsidRDefault="00EB0405" w:rsidP="00E00FE2">
      <w:pPr>
        <w:pStyle w:val="Footnote"/>
      </w:pPr>
      <w:r w:rsidRPr="00490F7A">
        <w:rPr>
          <w:vertAlign w:val="superscript"/>
        </w:rPr>
        <w:footnoteRef/>
      </w:r>
      <w:r w:rsidRPr="00490F7A">
        <w:t>.</w:t>
      </w:r>
      <w:r w:rsidRPr="00490F7A">
        <w:tab/>
      </w:r>
      <w:r w:rsidRPr="00490F7A">
        <w:rPr>
          <w:rStyle w:val="LightItalic"/>
          <w:rFonts w:ascii="Verdana" w:hAnsi="Verdana"/>
        </w:rPr>
        <w:t>DPP v Bao (A Pseudonym</w:t>
      </w:r>
      <w:r w:rsidRPr="00490F7A">
        <w:t xml:space="preserve">) [2020] VCC 1508 (18 September 2020) [42]. In contrast, though, threats made over a comparatively short period of time are not necessarily less serious, especially if the threats are persistent and intense: see for example, </w:t>
      </w:r>
      <w:r w:rsidRPr="00490F7A">
        <w:rPr>
          <w:rStyle w:val="LightItalic"/>
          <w:rFonts w:ascii="Verdana" w:hAnsi="Verdana"/>
        </w:rPr>
        <w:t xml:space="preserve">Devereaux v The Queen </w:t>
      </w:r>
      <w:r w:rsidRPr="00490F7A">
        <w:t>[2019] VSCA 6 (31 January 2019), in which the offender (who was a relative of the victim) made 24 separate phone calls over 27 hours; this ‘had the effect of terrifying the victim. He became physically ill and was hospitalised for three days’: ibid [29].</w:t>
      </w:r>
    </w:p>
  </w:footnote>
  <w:footnote w:id="92">
    <w:p w14:paraId="3D0364CC" w14:textId="49052834" w:rsidR="00EB0405" w:rsidRPr="00490F7A" w:rsidRDefault="00EB0405" w:rsidP="00E00FE2">
      <w:pPr>
        <w:pStyle w:val="Footnote"/>
      </w:pPr>
      <w:r w:rsidRPr="00490F7A">
        <w:rPr>
          <w:vertAlign w:val="superscript"/>
        </w:rPr>
        <w:footnoteRef/>
      </w:r>
      <w:r w:rsidRPr="00490F7A">
        <w:t>.</w:t>
      </w:r>
      <w:r w:rsidRPr="00490F7A">
        <w:tab/>
      </w:r>
      <w:r w:rsidRPr="00490F7A">
        <w:rPr>
          <w:rStyle w:val="LightItalic"/>
          <w:rFonts w:ascii="Verdana" w:hAnsi="Verdana"/>
        </w:rPr>
        <w:t xml:space="preserve">Aitkin v The Queen </w:t>
      </w:r>
      <w:r w:rsidRPr="00490F7A">
        <w:t>[2017] VSCA 103 (8 May 2017) [102]: the victim was a young woman whom the offender ‘had known since she was a baby and with whom he initially had a relationship akin to that of father and daughter’.</w:t>
      </w:r>
    </w:p>
  </w:footnote>
  <w:footnote w:id="93">
    <w:p w14:paraId="7092FC3B" w14:textId="65E42C0E" w:rsidR="00EB0405" w:rsidRPr="00490F7A" w:rsidRDefault="00EB0405" w:rsidP="00E00FE2">
      <w:pPr>
        <w:pStyle w:val="Footnote"/>
      </w:pPr>
      <w:r w:rsidRPr="00490F7A">
        <w:rPr>
          <w:vertAlign w:val="superscript"/>
        </w:rPr>
        <w:footnoteRef/>
      </w:r>
      <w:r w:rsidRPr="00490F7A">
        <w:t>.</w:t>
      </w:r>
      <w:r w:rsidRPr="00490F7A">
        <w:tab/>
        <w:t xml:space="preserve">For example, </w:t>
      </w:r>
      <w:r w:rsidRPr="00490F7A">
        <w:rPr>
          <w:rStyle w:val="LightItalic"/>
          <w:rFonts w:ascii="Verdana" w:hAnsi="Verdana"/>
        </w:rPr>
        <w:t xml:space="preserve">Latorre v R </w:t>
      </w:r>
      <w:r w:rsidRPr="00490F7A">
        <w:t>[2012] VSCA 280 (23 November 2012)</w:t>
      </w:r>
      <w:r w:rsidRPr="00490F7A">
        <w:rPr>
          <w:rStyle w:val="LightItalic"/>
          <w:rFonts w:ascii="Verdana" w:hAnsi="Verdana"/>
        </w:rPr>
        <w:t xml:space="preserve"> </w:t>
      </w:r>
      <w:r w:rsidRPr="00490F7A">
        <w:t xml:space="preserve">[191], in which the victims ‘feared for their lives and for the safety of their families and property’. </w:t>
      </w:r>
    </w:p>
  </w:footnote>
  <w:footnote w:id="94">
    <w:p w14:paraId="19E867C2" w14:textId="7D7AF4C4" w:rsidR="00EB0405" w:rsidRPr="00490F7A" w:rsidRDefault="00EB0405" w:rsidP="00E00FE2">
      <w:pPr>
        <w:pStyle w:val="Footnote"/>
      </w:pPr>
      <w:r w:rsidRPr="00490F7A">
        <w:rPr>
          <w:vertAlign w:val="superscript"/>
        </w:rPr>
        <w:footnoteRef/>
      </w:r>
      <w:r w:rsidRPr="00490F7A">
        <w:t>.</w:t>
      </w:r>
      <w:r w:rsidRPr="00490F7A">
        <w:tab/>
      </w:r>
      <w:r w:rsidRPr="00490F7A">
        <w:rPr>
          <w:rStyle w:val="LightItalic"/>
          <w:rFonts w:ascii="Verdana" w:hAnsi="Verdana"/>
        </w:rPr>
        <w:t xml:space="preserve">Devereaux v The Queen </w:t>
      </w:r>
      <w:r w:rsidRPr="00490F7A">
        <w:t xml:space="preserve">[2019] VSCA 6 (31 January 2019) [26]. </w:t>
      </w:r>
    </w:p>
  </w:footnote>
  <w:footnote w:id="95">
    <w:p w14:paraId="71846DC9" w14:textId="6CA8399F" w:rsidR="00EB0405" w:rsidRPr="00490F7A" w:rsidRDefault="00EB0405" w:rsidP="00E92569">
      <w:pPr>
        <w:pStyle w:val="Footnote"/>
      </w:pPr>
      <w:r w:rsidRPr="00490F7A">
        <w:rPr>
          <w:vertAlign w:val="superscript"/>
        </w:rPr>
        <w:footnoteRef/>
      </w:r>
      <w:r w:rsidRPr="00490F7A">
        <w:t>.</w:t>
      </w:r>
      <w:r w:rsidRPr="00490F7A">
        <w:tab/>
      </w:r>
      <w:r w:rsidRPr="00490F7A">
        <w:rPr>
          <w:rStyle w:val="LightItalic"/>
          <w:rFonts w:ascii="Verdana" w:hAnsi="Verdana"/>
        </w:rPr>
        <w:t>Brooks v The Queen</w:t>
      </w:r>
      <w:r w:rsidRPr="00490F7A">
        <w:t xml:space="preserve"> [2020] VSCA 93 (21 April 2020); </w:t>
      </w:r>
      <w:r w:rsidRPr="00490F7A">
        <w:rPr>
          <w:rStyle w:val="LightItalic"/>
          <w:rFonts w:ascii="Verdana" w:hAnsi="Verdana"/>
        </w:rPr>
        <w:t>Doherty v The Queen</w:t>
      </w:r>
      <w:r w:rsidRPr="00490F7A">
        <w:t xml:space="preserve"> [2017] VSCA 215 (25 August 2017). However, the presence of the substantive violent offence in the case may cause the court to impose a lower sentence on the threat offence as a result of totality: see for example, </w:t>
      </w:r>
      <w:r w:rsidRPr="00490F7A">
        <w:rPr>
          <w:rStyle w:val="LightItalic"/>
          <w:rFonts w:ascii="Verdana" w:hAnsi="Verdana"/>
        </w:rPr>
        <w:t>Devereaux v The Queen</w:t>
      </w:r>
      <w:r w:rsidRPr="00490F7A">
        <w:t xml:space="preserve"> [2019] VSCA 6 (31 January 2019) [32]. The extent to which uncharged threats can be taken into account as circumstances surrounding the offence is also necessarily limited: see </w:t>
      </w:r>
      <w:r w:rsidRPr="00490F7A">
        <w:rPr>
          <w:rStyle w:val="LightItalic"/>
          <w:rFonts w:ascii="Verdana" w:hAnsi="Verdana"/>
        </w:rPr>
        <w:t xml:space="preserve">Jackson v The Queen </w:t>
      </w:r>
      <w:r w:rsidRPr="00490F7A">
        <w:t>[2020] VSCA 95 (24 April 2020) where a sentence was overturned on appeal because two threats to commit a sexual offence and one threat to inflict serious injury were not separately charged but treated as aggravating factors in relation to a home invasion; the conduct was so separate from the charges that this constituted punishment for offences that the appellant was not convicted of.</w:t>
      </w:r>
    </w:p>
  </w:footnote>
  <w:footnote w:id="96">
    <w:p w14:paraId="145CC777" w14:textId="0CB788BE" w:rsidR="00EB0405" w:rsidRPr="00490F7A" w:rsidRDefault="00EB0405" w:rsidP="00E92569">
      <w:pPr>
        <w:pStyle w:val="Footnote"/>
      </w:pPr>
      <w:r w:rsidRPr="00490F7A">
        <w:rPr>
          <w:vertAlign w:val="superscript"/>
        </w:rPr>
        <w:footnoteRef/>
      </w:r>
      <w:r w:rsidRPr="00490F7A">
        <w:t>.</w:t>
      </w:r>
      <w:r w:rsidRPr="00490F7A">
        <w:tab/>
      </w:r>
      <w:r w:rsidRPr="00490F7A">
        <w:rPr>
          <w:rStyle w:val="LightItalic"/>
          <w:rFonts w:ascii="Verdana" w:hAnsi="Verdana"/>
        </w:rPr>
        <w:t>DPP v Bao (A Pseudonym)</w:t>
      </w:r>
      <w:r w:rsidRPr="00490F7A">
        <w:t xml:space="preserve"> [2020] VCC 1508 (18 September 2020) [39]–[42].</w:t>
      </w:r>
    </w:p>
  </w:footnote>
  <w:footnote w:id="97">
    <w:p w14:paraId="749CA81F" w14:textId="78059DCA" w:rsidR="00EB0405" w:rsidRPr="00490F7A" w:rsidRDefault="00EB0405" w:rsidP="00E92569">
      <w:pPr>
        <w:pStyle w:val="Footnote"/>
      </w:pPr>
      <w:r w:rsidRPr="00490F7A">
        <w:rPr>
          <w:vertAlign w:val="superscript"/>
        </w:rPr>
        <w:footnoteRef/>
      </w:r>
      <w:r w:rsidRPr="00490F7A">
        <w:t>.</w:t>
      </w:r>
      <w:r w:rsidRPr="00490F7A">
        <w:tab/>
      </w:r>
      <w:r w:rsidRPr="00490F7A">
        <w:rPr>
          <w:rStyle w:val="LightItalic"/>
          <w:rFonts w:ascii="Verdana" w:hAnsi="Verdana"/>
        </w:rPr>
        <w:t xml:space="preserve">Marrah v The Queen </w:t>
      </w:r>
      <w:r w:rsidRPr="00490F7A">
        <w:t xml:space="preserve">[2014] VSCA 119 (18 June 2014) [10], [22]; </w:t>
      </w:r>
      <w:r w:rsidRPr="00490F7A">
        <w:rPr>
          <w:rStyle w:val="LightItalic"/>
          <w:rFonts w:ascii="Verdana" w:hAnsi="Verdana"/>
        </w:rPr>
        <w:t xml:space="preserve">Doherty v The Queen </w:t>
      </w:r>
      <w:r w:rsidRPr="00490F7A">
        <w:t>[2017] VSCA 215 (25 August 2017) [25].</w:t>
      </w:r>
    </w:p>
  </w:footnote>
  <w:footnote w:id="98">
    <w:p w14:paraId="19E30FE3" w14:textId="0A833424" w:rsidR="00EB0405" w:rsidRPr="00490F7A" w:rsidRDefault="00EB0405" w:rsidP="00E92569">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 xml:space="preserve">DPP v Stokes </w:t>
      </w:r>
      <w:r w:rsidRPr="00490F7A">
        <w:t>[2019] VCC 1518 (16 September 2019) [70].</w:t>
      </w:r>
    </w:p>
  </w:footnote>
  <w:footnote w:id="99">
    <w:p w14:paraId="0FC45BB4" w14:textId="6673EFF7" w:rsidR="00EB0405" w:rsidRPr="00490F7A" w:rsidRDefault="00EB0405" w:rsidP="00E92569">
      <w:pPr>
        <w:pStyle w:val="Footnote"/>
      </w:pPr>
      <w:r w:rsidRPr="00490F7A">
        <w:rPr>
          <w:vertAlign w:val="superscript"/>
        </w:rPr>
        <w:footnoteRef/>
      </w:r>
      <w:r w:rsidRPr="00490F7A">
        <w:t>.</w:t>
      </w:r>
      <w:r w:rsidRPr="00490F7A">
        <w:tab/>
        <w:t xml:space="preserve">For example, </w:t>
      </w:r>
      <w:r w:rsidRPr="00490F7A">
        <w:rPr>
          <w:rStyle w:val="LightItalic"/>
          <w:rFonts w:ascii="Verdana" w:hAnsi="Verdana"/>
        </w:rPr>
        <w:t>DPP v Bao (A Pseudonym)</w:t>
      </w:r>
      <w:r w:rsidRPr="00490F7A">
        <w:t xml:space="preserve"> [2020] VCC 1508 (18 September 2020), in which the judge specifically highlighted the victim’s comment that ‘I live forever with the experience of having been ... abused ... and left dealing with the effects and impact of post-traumatic stress disorder’: ibid [52].</w:t>
      </w:r>
    </w:p>
  </w:footnote>
  <w:footnote w:id="100">
    <w:p w14:paraId="17B0F9E3" w14:textId="08C9BAFD" w:rsidR="00EB0405" w:rsidRPr="00490F7A" w:rsidRDefault="00EB0405" w:rsidP="00E92569">
      <w:pPr>
        <w:pStyle w:val="Footnote"/>
      </w:pPr>
      <w:r w:rsidRPr="00490F7A">
        <w:rPr>
          <w:vertAlign w:val="superscript"/>
        </w:rPr>
        <w:footnoteRef/>
      </w:r>
      <w:r w:rsidRPr="00490F7A">
        <w:t>.</w:t>
      </w:r>
      <w:r w:rsidRPr="00490F7A">
        <w:tab/>
      </w:r>
      <w:r w:rsidRPr="00490F7A">
        <w:rPr>
          <w:rStyle w:val="LightItalic"/>
          <w:rFonts w:ascii="Verdana" w:hAnsi="Verdana"/>
        </w:rPr>
        <w:t xml:space="preserve">Aitkin v The Queen </w:t>
      </w:r>
      <w:r w:rsidRPr="00490F7A">
        <w:t>[2017] VSCA 103 (8 May 2017)</w:t>
      </w:r>
      <w:r w:rsidRPr="00490F7A">
        <w:rPr>
          <w:rStyle w:val="LightItalic"/>
          <w:rFonts w:ascii="Verdana" w:hAnsi="Verdana"/>
        </w:rPr>
        <w:t xml:space="preserve"> </w:t>
      </w:r>
      <w:r w:rsidRPr="00490F7A">
        <w:t>[109]. The victim in this case was vulnerable due to her youth and the breach of trust involved in the offending.</w:t>
      </w:r>
    </w:p>
  </w:footnote>
  <w:footnote w:id="101">
    <w:p w14:paraId="73836690" w14:textId="449A7C86" w:rsidR="00EB0405" w:rsidRPr="00490F7A" w:rsidRDefault="00EB0405" w:rsidP="00394AEE">
      <w:pPr>
        <w:pStyle w:val="Footnote"/>
      </w:pPr>
      <w:r w:rsidRPr="00490F7A">
        <w:rPr>
          <w:vertAlign w:val="superscript"/>
        </w:rPr>
        <w:footnoteRef/>
      </w:r>
      <w:r w:rsidRPr="00490F7A">
        <w:t>.</w:t>
      </w:r>
      <w:r w:rsidRPr="00490F7A">
        <w:tab/>
        <w:t xml:space="preserve">This may see the threat accompanied by charges of attempting to pervert the course of justice: see for example, </w:t>
      </w:r>
      <w:r w:rsidRPr="00490F7A">
        <w:rPr>
          <w:rStyle w:val="LightItalic"/>
          <w:rFonts w:ascii="Verdana" w:hAnsi="Verdana"/>
        </w:rPr>
        <w:t>DPP v Maalin</w:t>
      </w:r>
      <w:r w:rsidRPr="00490F7A">
        <w:t xml:space="preserve"> [2017] VCC 1191 (25 August 2017) [11]–[12].</w:t>
      </w:r>
    </w:p>
  </w:footnote>
  <w:footnote w:id="102">
    <w:p w14:paraId="67D96B6C" w14:textId="75A80947" w:rsidR="00EB0405" w:rsidRPr="00490F7A" w:rsidRDefault="00EB0405" w:rsidP="00394AEE">
      <w:pPr>
        <w:pStyle w:val="Footnote"/>
      </w:pPr>
      <w:r w:rsidRPr="00490F7A">
        <w:rPr>
          <w:vertAlign w:val="superscript"/>
        </w:rPr>
        <w:footnoteRef/>
      </w:r>
      <w:r w:rsidRPr="00490F7A">
        <w:t>.</w:t>
      </w:r>
      <w:r w:rsidRPr="00490F7A">
        <w:tab/>
      </w:r>
      <w:r w:rsidRPr="00490F7A">
        <w:rPr>
          <w:rStyle w:val="LightItalic"/>
          <w:rFonts w:ascii="Verdana" w:hAnsi="Verdana"/>
        </w:rPr>
        <w:t xml:space="preserve">DPP v Stokes </w:t>
      </w:r>
      <w:r w:rsidRPr="00490F7A">
        <w:t>[2019] VCC 1518 (16 September 2019) [72].</w:t>
      </w:r>
    </w:p>
  </w:footnote>
  <w:footnote w:id="103">
    <w:p w14:paraId="2857FF0C" w14:textId="4A78D883" w:rsidR="00EB0405" w:rsidRPr="00490F7A" w:rsidRDefault="00EB0405" w:rsidP="00394AEE">
      <w:pPr>
        <w:pStyle w:val="Footnote"/>
      </w:pPr>
      <w:r w:rsidRPr="00490F7A">
        <w:rPr>
          <w:vertAlign w:val="superscript"/>
        </w:rPr>
        <w:footnoteRef/>
      </w:r>
      <w:r w:rsidRPr="00490F7A">
        <w:t>.</w:t>
      </w:r>
      <w:r w:rsidRPr="00490F7A">
        <w:tab/>
        <w:t xml:space="preserve">For example, the fact that the threats were made in response to being told that the victim had sexually abused another person ‘cannot be regarded as a mitigating circumstance’: </w:t>
      </w:r>
      <w:r w:rsidRPr="00490F7A">
        <w:rPr>
          <w:rStyle w:val="LightItalic"/>
          <w:rFonts w:ascii="Verdana" w:hAnsi="Verdana"/>
        </w:rPr>
        <w:t xml:space="preserve">Devereaux v The Queen </w:t>
      </w:r>
      <w:r w:rsidRPr="00490F7A">
        <w:t xml:space="preserve">[2019] VSCA 6 (31 January 2019) [28], n 16. </w:t>
      </w:r>
      <w:r w:rsidRPr="00490F7A">
        <w:rPr>
          <w:rStyle w:val="LightItalic"/>
          <w:rFonts w:ascii="Verdana" w:hAnsi="Verdana"/>
        </w:rPr>
        <w:t>Shaw v The Queen</w:t>
      </w:r>
      <w:r w:rsidRPr="00490F7A">
        <w:t xml:space="preserve"> [2012] VSCA 78 (2 May 2012) [60] (‘The aggravated burglary offence was a relatively serious example of the offence for the reasons identified by the sentencing judge and </w:t>
      </w:r>
      <w:r w:rsidRPr="00490F7A">
        <w:rPr>
          <w:rStyle w:val="LightItalic"/>
          <w:rFonts w:ascii="Verdana" w:hAnsi="Verdana"/>
        </w:rPr>
        <w:t>because of the vigilante character of the offenders’ behaviour</w:t>
      </w:r>
      <w:r w:rsidRPr="00490F7A">
        <w:t>’ (emphasis added)).</w:t>
      </w:r>
    </w:p>
  </w:footnote>
  <w:footnote w:id="104">
    <w:p w14:paraId="000EEA98" w14:textId="1916ECD6" w:rsidR="00EB0405" w:rsidRPr="00490F7A" w:rsidRDefault="00EB0405" w:rsidP="00394AEE">
      <w:pPr>
        <w:pStyle w:val="Footnote"/>
      </w:pPr>
      <w:r w:rsidRPr="00490F7A">
        <w:rPr>
          <w:vertAlign w:val="superscript"/>
        </w:rPr>
        <w:footnoteRef/>
      </w:r>
      <w:r w:rsidRPr="00490F7A">
        <w:t>.</w:t>
      </w:r>
      <w:r w:rsidRPr="00490F7A">
        <w:tab/>
        <w:t xml:space="preserve">See for example, </w:t>
      </w:r>
      <w:r w:rsidRPr="00490F7A">
        <w:rPr>
          <w:rStyle w:val="LightItalic"/>
          <w:rFonts w:ascii="Verdana" w:hAnsi="Verdana"/>
        </w:rPr>
        <w:t xml:space="preserve">DPP v Savage </w:t>
      </w:r>
      <w:r w:rsidRPr="00490F7A">
        <w:t>[2015] VCC 1673 (19 November 2015), in which the offender, after an evening of drinking and socialising with his victim and an acquaintance (and while suffering from a methylamphetamine addiction) confronted and attacked them about supposedly stolen ‘gunpowder’: ibid [46].</w:t>
      </w:r>
    </w:p>
  </w:footnote>
  <w:footnote w:id="105">
    <w:p w14:paraId="5E4E3978" w14:textId="6724E12F" w:rsidR="00EB0405" w:rsidRPr="00490F7A" w:rsidRDefault="00EB0405" w:rsidP="00ED376F">
      <w:pPr>
        <w:pStyle w:val="Footnote"/>
      </w:pPr>
      <w:r w:rsidRPr="00490F7A">
        <w:rPr>
          <w:vertAlign w:val="superscript"/>
        </w:rPr>
        <w:footnoteRef/>
      </w:r>
      <w:r w:rsidRPr="00490F7A">
        <w:t>.</w:t>
      </w:r>
      <w:r w:rsidRPr="00490F7A">
        <w:tab/>
      </w:r>
      <w:r w:rsidRPr="00490F7A">
        <w:rPr>
          <w:rStyle w:val="LightItalic"/>
          <w:rFonts w:ascii="Verdana" w:hAnsi="Verdana"/>
        </w:rPr>
        <w:t xml:space="preserve">Kalala v The Queen </w:t>
      </w:r>
      <w:r w:rsidRPr="00490F7A">
        <w:t>[2017] VSCA 223 (30 August 2017) [55]–[63].</w:t>
      </w:r>
    </w:p>
  </w:footnote>
  <w:footnote w:id="106">
    <w:p w14:paraId="5AED3BD0" w14:textId="0CDFBA91" w:rsidR="00EB0405" w:rsidRPr="00490F7A" w:rsidRDefault="00EB0405" w:rsidP="00ED376F">
      <w:pPr>
        <w:pStyle w:val="Footnote"/>
      </w:pPr>
      <w:r w:rsidRPr="00490F7A">
        <w:rPr>
          <w:vertAlign w:val="superscript"/>
        </w:rPr>
        <w:footnoteRef/>
      </w:r>
      <w:r w:rsidRPr="00490F7A">
        <w:t>.</w:t>
      </w:r>
      <w:r w:rsidRPr="00490F7A">
        <w:tab/>
      </w:r>
      <w:r w:rsidRPr="00490F7A">
        <w:rPr>
          <w:rStyle w:val="LightItalic"/>
          <w:rFonts w:ascii="Verdana" w:hAnsi="Verdana"/>
        </w:rPr>
        <w:t xml:space="preserve">Marrah v The Queen </w:t>
      </w:r>
      <w:r w:rsidRPr="00490F7A">
        <w:t xml:space="preserve">[2014] VSCA 119 (18 June 2014) [25]. This passage is regularly cited in sentencing remarks and in appeals relating to offending in the context of family violence (especially threats to kill): see for example, </w:t>
      </w:r>
      <w:r w:rsidRPr="00490F7A">
        <w:rPr>
          <w:rStyle w:val="LightItalic"/>
          <w:rFonts w:ascii="Verdana" w:hAnsi="Verdana"/>
        </w:rPr>
        <w:t xml:space="preserve">Uzun v The Queen </w:t>
      </w:r>
      <w:r w:rsidRPr="00490F7A">
        <w:t xml:space="preserve">[2015] VSCA 292 (27 October 2015) [40]; </w:t>
      </w:r>
      <w:r w:rsidRPr="00490F7A">
        <w:rPr>
          <w:rStyle w:val="LightItalic"/>
          <w:rFonts w:ascii="Verdana" w:hAnsi="Verdana"/>
        </w:rPr>
        <w:t>DPP v Natoli</w:t>
      </w:r>
      <w:r w:rsidRPr="00490F7A">
        <w:t xml:space="preserve"> [2016] VSCA 35 (11 March 2016) n 9; </w:t>
      </w:r>
      <w:r w:rsidRPr="00490F7A">
        <w:rPr>
          <w:rStyle w:val="LightItalic"/>
          <w:rFonts w:ascii="Verdana" w:hAnsi="Verdana"/>
        </w:rPr>
        <w:t>DPP v Hull (A Pseudonym)</w:t>
      </w:r>
      <w:r w:rsidRPr="00490F7A">
        <w:t xml:space="preserve"> [2019] VCC 1474 (11 September 2019) [49]; </w:t>
      </w:r>
      <w:r w:rsidRPr="00490F7A">
        <w:rPr>
          <w:rStyle w:val="LightItalic"/>
          <w:rFonts w:ascii="Verdana" w:hAnsi="Verdana"/>
        </w:rPr>
        <w:t xml:space="preserve">DPP v Papaioannou </w:t>
      </w:r>
      <w:r w:rsidRPr="00490F7A">
        <w:t xml:space="preserve">[2019] VCC 1978 (29 November 2019) n 7; </w:t>
      </w:r>
      <w:r w:rsidRPr="00490F7A">
        <w:rPr>
          <w:rStyle w:val="LightItalic"/>
          <w:rFonts w:ascii="Verdana" w:hAnsi="Verdana"/>
        </w:rPr>
        <w:t xml:space="preserve">DPP v Matovic </w:t>
      </w:r>
      <w:r w:rsidRPr="00490F7A">
        <w:t>[2020] VCC 371 (2 April 2020) [193].</w:t>
      </w:r>
    </w:p>
  </w:footnote>
  <w:footnote w:id="107">
    <w:p w14:paraId="15676E84" w14:textId="2C3BE71A" w:rsidR="00EB0405" w:rsidRPr="00490F7A" w:rsidRDefault="00EB0405" w:rsidP="00876E8F">
      <w:pPr>
        <w:pStyle w:val="Footnote"/>
      </w:pPr>
      <w:r w:rsidRPr="00490F7A">
        <w:rPr>
          <w:vertAlign w:val="superscript"/>
        </w:rPr>
        <w:footnoteRef/>
      </w:r>
      <w:r w:rsidRPr="00490F7A">
        <w:t>.</w:t>
      </w:r>
      <w:r w:rsidRPr="00490F7A">
        <w:tab/>
        <w:t xml:space="preserve">As such, the context in which the threat was made also aggravates the gravity of the other offending: see for example, </w:t>
      </w:r>
      <w:r w:rsidRPr="00490F7A">
        <w:rPr>
          <w:rStyle w:val="LightItalic"/>
          <w:rFonts w:ascii="Verdana" w:hAnsi="Verdana"/>
        </w:rPr>
        <w:t>DPP v Bao (A Pseudonym</w:t>
      </w:r>
      <w:r w:rsidRPr="00490F7A">
        <w:t>) [2020] VCC 1508 (18 September 2020) [46].</w:t>
      </w:r>
    </w:p>
  </w:footnote>
  <w:footnote w:id="108">
    <w:p w14:paraId="085D2F2F" w14:textId="111DA14C" w:rsidR="00EB0405" w:rsidRPr="00490F7A" w:rsidRDefault="00EB0405" w:rsidP="00876E8F">
      <w:pPr>
        <w:pStyle w:val="Footnote"/>
      </w:pPr>
      <w:r w:rsidRPr="00490F7A">
        <w:rPr>
          <w:vertAlign w:val="superscript"/>
        </w:rPr>
        <w:footnoteRef/>
      </w:r>
      <w:r w:rsidRPr="00490F7A">
        <w:t>.</w:t>
      </w:r>
      <w:r w:rsidRPr="00490F7A">
        <w:tab/>
      </w:r>
      <w:r w:rsidRPr="00490F7A">
        <w:rPr>
          <w:rStyle w:val="LightItalic"/>
          <w:rFonts w:ascii="Verdana" w:hAnsi="Verdana"/>
        </w:rPr>
        <w:t>DPP v Bao (A Pseudonym)</w:t>
      </w:r>
      <w:r w:rsidRPr="00490F7A">
        <w:t xml:space="preserve"> [2020] VCC 1508 (18 September 2020) [41]; </w:t>
      </w:r>
      <w:r w:rsidRPr="00490F7A">
        <w:rPr>
          <w:rStyle w:val="LightItalic"/>
          <w:rFonts w:ascii="Verdana" w:hAnsi="Verdana"/>
        </w:rPr>
        <w:t xml:space="preserve">DPP v Natoli </w:t>
      </w:r>
      <w:r w:rsidRPr="00490F7A">
        <w:t xml:space="preserve">[2016] VSCA 35 (11 March 2016) [45]. </w:t>
      </w:r>
    </w:p>
  </w:footnote>
  <w:footnote w:id="109">
    <w:p w14:paraId="4CC3A6E1" w14:textId="38C193B6" w:rsidR="00EB0405" w:rsidRPr="00490F7A" w:rsidRDefault="00EB0405" w:rsidP="00876E8F">
      <w:pPr>
        <w:pStyle w:val="Footnote"/>
      </w:pPr>
      <w:r w:rsidRPr="00490F7A">
        <w:rPr>
          <w:vertAlign w:val="superscript"/>
        </w:rPr>
        <w:footnoteRef/>
      </w:r>
      <w:r w:rsidRPr="00490F7A">
        <w:t>.</w:t>
      </w:r>
      <w:r w:rsidRPr="00490F7A">
        <w:tab/>
      </w:r>
      <w:r w:rsidRPr="00490F7A">
        <w:rPr>
          <w:rStyle w:val="LightItalic"/>
          <w:rFonts w:ascii="Verdana" w:hAnsi="Verdana"/>
        </w:rPr>
        <w:t>DPP v Hull (A Pseudonym)</w:t>
      </w:r>
      <w:r w:rsidRPr="00490F7A">
        <w:t xml:space="preserve"> [2019] VCC 1474 (11 September 2019) [22]–[24], [52].</w:t>
      </w:r>
    </w:p>
  </w:footnote>
  <w:footnote w:id="110">
    <w:p w14:paraId="74889067" w14:textId="754C824F" w:rsidR="00EB0405" w:rsidRPr="00490F7A" w:rsidRDefault="00EB0405" w:rsidP="00876E8F">
      <w:pPr>
        <w:pStyle w:val="Footnote"/>
      </w:pPr>
      <w:r w:rsidRPr="00490F7A">
        <w:rPr>
          <w:vertAlign w:val="superscript"/>
        </w:rPr>
        <w:footnoteRef/>
      </w:r>
      <w:r w:rsidRPr="00490F7A">
        <w:t>.</w:t>
      </w:r>
      <w:r w:rsidRPr="00490F7A">
        <w:tab/>
      </w:r>
      <w:r w:rsidRPr="00490F7A">
        <w:rPr>
          <w:rStyle w:val="LightItalic"/>
          <w:rFonts w:ascii="Verdana" w:hAnsi="Verdana"/>
        </w:rPr>
        <w:t xml:space="preserve">Family Violence Protection Act 2008 </w:t>
      </w:r>
      <w:r w:rsidRPr="00490F7A">
        <w:t>(Vic) s 5(1)(b).</w:t>
      </w:r>
    </w:p>
  </w:footnote>
  <w:footnote w:id="111">
    <w:p w14:paraId="6C2063AA" w14:textId="132FFEB2" w:rsidR="00EB0405" w:rsidRPr="00490F7A" w:rsidRDefault="00EB0405" w:rsidP="00876E8F">
      <w:pPr>
        <w:pStyle w:val="Footnote"/>
      </w:pPr>
      <w:r w:rsidRPr="00490F7A">
        <w:rPr>
          <w:vertAlign w:val="superscript"/>
        </w:rPr>
        <w:footnoteRef/>
      </w:r>
      <w:r w:rsidRPr="00490F7A">
        <w:t>.</w:t>
      </w:r>
      <w:r w:rsidRPr="00490F7A">
        <w:tab/>
      </w:r>
      <w:r w:rsidRPr="00490F7A">
        <w:rPr>
          <w:rStyle w:val="LightItalic"/>
          <w:rFonts w:ascii="Verdana" w:hAnsi="Verdana"/>
        </w:rPr>
        <w:t xml:space="preserve">Doherty v The Queen </w:t>
      </w:r>
      <w:r w:rsidRPr="00490F7A">
        <w:t xml:space="preserve">[2017] VSCA 215 (25 August 2017) [25]. In that case, the offender was also charged with burglary. The offender, dressed in dark clothing and equipped with ties and a 20-centimetre knife, waited for the victim to return home. He pinned her down, held the knife to her throat and said, ‘I’m going to f**king kill you’. In </w:t>
      </w:r>
      <w:r w:rsidRPr="00490F7A">
        <w:rPr>
          <w:rStyle w:val="LightItalic"/>
          <w:rFonts w:ascii="Verdana" w:hAnsi="Verdana"/>
        </w:rPr>
        <w:t xml:space="preserve">DPP v Natoli </w:t>
      </w:r>
      <w:r w:rsidRPr="00490F7A">
        <w:t xml:space="preserve">[2016] VSCA 35 (11 March 2016), the threat to kill ‘was explicit (“I’m going to f**king kill you”)’, was accompanied by multiple acts of furious abuse and violence and was made after the offender had earlier brandished a firearm and told the victim it was loaded. The threat was considered to be a ‘serious example’ of the offence: ibid [40]–[47]. </w:t>
      </w:r>
    </w:p>
  </w:footnote>
  <w:footnote w:id="112">
    <w:p w14:paraId="5816D104" w14:textId="33457DE3" w:rsidR="00EB0405" w:rsidRPr="00490F7A" w:rsidRDefault="00EB0405" w:rsidP="007A38B8">
      <w:pPr>
        <w:pStyle w:val="Footnote"/>
      </w:pPr>
      <w:r w:rsidRPr="00490F7A">
        <w:rPr>
          <w:vertAlign w:val="superscript"/>
        </w:rPr>
        <w:footnoteRef/>
      </w:r>
      <w:r w:rsidRPr="00490F7A">
        <w:rPr>
          <w:spacing w:val="-1"/>
        </w:rPr>
        <w:t>.</w:t>
      </w:r>
      <w:r w:rsidRPr="00490F7A">
        <w:rPr>
          <w:spacing w:val="-1"/>
        </w:rPr>
        <w:tab/>
      </w:r>
      <w:r w:rsidRPr="00490F7A">
        <w:rPr>
          <w:rStyle w:val="LightItalic"/>
          <w:rFonts w:ascii="Verdana" w:hAnsi="Verdana"/>
          <w:spacing w:val="-1"/>
        </w:rPr>
        <w:t xml:space="preserve">DPP v Stokes </w:t>
      </w:r>
      <w:r w:rsidRPr="00490F7A">
        <w:rPr>
          <w:spacing w:val="-1"/>
        </w:rPr>
        <w:t xml:space="preserve">[2019] VCC 1518 (16 September 2019) [11]; </w:t>
      </w:r>
      <w:r w:rsidRPr="00490F7A">
        <w:rPr>
          <w:rStyle w:val="LightItalic"/>
          <w:rFonts w:ascii="Verdana" w:hAnsi="Verdana"/>
          <w:spacing w:val="-1"/>
        </w:rPr>
        <w:t xml:space="preserve">DPP v Sullivan </w:t>
      </w:r>
      <w:r w:rsidRPr="00490F7A">
        <w:rPr>
          <w:spacing w:val="-1"/>
        </w:rPr>
        <w:t xml:space="preserve">[2014] VSCA 222 (17 September 2014) [10]; </w:t>
      </w:r>
      <w:r w:rsidRPr="00490F7A">
        <w:rPr>
          <w:rStyle w:val="LightItalic"/>
          <w:rFonts w:ascii="Verdana" w:hAnsi="Verdana"/>
          <w:spacing w:val="-1"/>
        </w:rPr>
        <w:t>DPP v Memedovski</w:t>
      </w:r>
      <w:r w:rsidRPr="00490F7A">
        <w:rPr>
          <w:spacing w:val="-1"/>
        </w:rPr>
        <w:t xml:space="preserve"> [2015] VCC 1541 (27 October 2015) [18]. In the case of family violence offending, the home in question may be the home in which both </w:t>
      </w:r>
      <w:r w:rsidRPr="00490F7A">
        <w:t xml:space="preserve">victim and offender have been living (the offence captures threats involving jointly owned property): </w:t>
      </w:r>
      <w:r w:rsidRPr="00490F7A">
        <w:rPr>
          <w:rStyle w:val="LightItalic"/>
          <w:rFonts w:ascii="Verdana" w:hAnsi="Verdana"/>
        </w:rPr>
        <w:t xml:space="preserve">Crimes Act 1958 </w:t>
      </w:r>
      <w:r w:rsidRPr="00490F7A">
        <w:t>(Vic) s 198(a).</w:t>
      </w:r>
    </w:p>
  </w:footnote>
  <w:footnote w:id="113">
    <w:p w14:paraId="5ECE1438" w14:textId="0BFB3A45" w:rsidR="00EB0405" w:rsidRPr="00490F7A" w:rsidRDefault="00EB0405" w:rsidP="007A38B8">
      <w:pPr>
        <w:pStyle w:val="Footnote"/>
      </w:pPr>
      <w:r w:rsidRPr="00490F7A">
        <w:rPr>
          <w:vertAlign w:val="superscript"/>
        </w:rPr>
        <w:footnoteRef/>
      </w:r>
      <w:r w:rsidRPr="00490F7A">
        <w:t>.</w:t>
      </w:r>
      <w:r w:rsidRPr="00490F7A">
        <w:tab/>
      </w:r>
      <w:r w:rsidRPr="00490F7A">
        <w:rPr>
          <w:rStyle w:val="LightItalic"/>
          <w:rFonts w:ascii="Verdana" w:hAnsi="Verdana"/>
        </w:rPr>
        <w:t>Shaw v The Queen</w:t>
      </w:r>
      <w:r w:rsidRPr="00490F7A">
        <w:t xml:space="preserve"> [2012] VSCA 78 (2 May 2012) [11]: the threat was to ‘burn your house and shoot your dogs’. Threats to harm pets are recognised in many family violence risk assessment instruments, including the Multi-Agency Risk Assessment and Management Framework, as presaging potential physical violence against human victims: Victorian Government (2018), above n 5, 28.</w:t>
      </w:r>
    </w:p>
  </w:footnote>
  <w:footnote w:id="114">
    <w:p w14:paraId="1BD5BCA0" w14:textId="3FF72383" w:rsidR="00EB0405" w:rsidRPr="00490F7A" w:rsidRDefault="00EB0405" w:rsidP="007A38B8">
      <w:pPr>
        <w:pStyle w:val="Footnote"/>
      </w:pPr>
      <w:r w:rsidRPr="00490F7A">
        <w:rPr>
          <w:vertAlign w:val="superscript"/>
        </w:rPr>
        <w:footnoteRef/>
      </w:r>
      <w:r w:rsidRPr="00490F7A">
        <w:t>.</w:t>
      </w:r>
      <w:r w:rsidRPr="00490F7A">
        <w:tab/>
        <w:t xml:space="preserve">For example, a threat to blow up one’s home implies at least a possibility of harm coming to the inhabitant: </w:t>
      </w:r>
      <w:r w:rsidRPr="00490F7A">
        <w:rPr>
          <w:rStyle w:val="LightItalic"/>
          <w:rFonts w:ascii="Verdana" w:hAnsi="Verdana"/>
        </w:rPr>
        <w:t xml:space="preserve">DPP v Sullivan </w:t>
      </w:r>
      <w:r w:rsidRPr="00490F7A">
        <w:t>[2014] VSCA 222 [10].</w:t>
      </w:r>
    </w:p>
  </w:footnote>
  <w:footnote w:id="115">
    <w:p w14:paraId="556AC77A" w14:textId="1F439772" w:rsidR="00EB0405" w:rsidRPr="00490F7A" w:rsidRDefault="00EB0405" w:rsidP="00F56B4A">
      <w:pPr>
        <w:pStyle w:val="Footnote"/>
      </w:pPr>
      <w:r w:rsidRPr="00490F7A">
        <w:rPr>
          <w:vertAlign w:val="superscript"/>
        </w:rPr>
        <w:footnoteRef/>
      </w:r>
      <w:r w:rsidRPr="00490F7A">
        <w:t>.</w:t>
      </w:r>
      <w:r w:rsidRPr="00490F7A">
        <w:tab/>
        <w:t xml:space="preserve">This figure includes only those offences under section 31(b) of the </w:t>
      </w:r>
      <w:r w:rsidRPr="00490F7A">
        <w:rPr>
          <w:rStyle w:val="LightItalic"/>
          <w:rFonts w:ascii="Verdana" w:hAnsi="Verdana"/>
        </w:rPr>
        <w:t>Crimes Act 1958</w:t>
      </w:r>
      <w:r w:rsidRPr="00490F7A">
        <w:t xml:space="preserve"> (Vic) for which the offence description denotes a </w:t>
      </w:r>
      <w:r w:rsidRPr="00490F7A">
        <w:rPr>
          <w:rStyle w:val="LightItalic"/>
          <w:rFonts w:ascii="Verdana" w:hAnsi="Verdana"/>
        </w:rPr>
        <w:t>threat</w:t>
      </w:r>
      <w:r w:rsidRPr="00490F7A">
        <w:t>. These are a small percentage of all offences under section 31(b).</w:t>
      </w:r>
    </w:p>
  </w:footnote>
  <w:footnote w:id="116">
    <w:p w14:paraId="73B9895B" w14:textId="7F15C11C" w:rsidR="00EB0405" w:rsidRPr="00490F7A" w:rsidRDefault="00EB0405" w:rsidP="00F56B4A">
      <w:pPr>
        <w:pStyle w:val="Footnote"/>
      </w:pPr>
      <w:r w:rsidRPr="00490F7A">
        <w:rPr>
          <w:vertAlign w:val="superscript"/>
        </w:rPr>
        <w:footnoteRef/>
      </w:r>
      <w:r w:rsidRPr="00490F7A">
        <w:t>.</w:t>
      </w:r>
      <w:r w:rsidRPr="00490F7A">
        <w:tab/>
        <w:t xml:space="preserve">Commonwealth threat offences are included with their Victorian counterparts. </w:t>
      </w:r>
    </w:p>
  </w:footnote>
  <w:footnote w:id="117">
    <w:p w14:paraId="74D62EF2" w14:textId="009E4111" w:rsidR="00EB0405" w:rsidRPr="00490F7A" w:rsidRDefault="00EB0405" w:rsidP="00F56B4A">
      <w:pPr>
        <w:pStyle w:val="Footnote"/>
      </w:pPr>
      <w:r w:rsidRPr="00490F7A">
        <w:rPr>
          <w:vertAlign w:val="superscript"/>
        </w:rPr>
        <w:footnoteRef/>
      </w:r>
      <w:r w:rsidRPr="00490F7A">
        <w:t>.</w:t>
      </w:r>
      <w:r w:rsidRPr="00490F7A">
        <w:tab/>
        <w:t xml:space="preserve">Commonwealth threat offences are included with their Victorian counterparts. Threat to commit a sexual offence was not recorded </w:t>
      </w:r>
      <w:r w:rsidRPr="00490F7A">
        <w:rPr>
          <w:spacing w:val="-1"/>
        </w:rPr>
        <w:t xml:space="preserve">prior to 2015 because the offence only came into force in 2015 as a result of the </w:t>
      </w:r>
      <w:r w:rsidRPr="00490F7A">
        <w:rPr>
          <w:rStyle w:val="LightItalic"/>
          <w:rFonts w:ascii="Verdana" w:hAnsi="Verdana"/>
          <w:spacing w:val="-1"/>
        </w:rPr>
        <w:t xml:space="preserve">Crimes Amendment (Sexual Offences and Other Matters) </w:t>
      </w:r>
      <w:r w:rsidRPr="00490F7A">
        <w:rPr>
          <w:rStyle w:val="LightItalic"/>
          <w:rFonts w:ascii="Verdana" w:hAnsi="Verdana"/>
        </w:rPr>
        <w:t>Act</w:t>
      </w:r>
      <w:r w:rsidRPr="00490F7A">
        <w:t xml:space="preserve"> 2014 (Vic). Threats to assault an emergency worker have been extracted from data on section 31(b) assaults more generally. </w:t>
      </w:r>
    </w:p>
  </w:footnote>
  <w:footnote w:id="118">
    <w:p w14:paraId="7B4BB5EA" w14:textId="00191A0D" w:rsidR="00EB0405" w:rsidRPr="00490F7A" w:rsidRDefault="00EB0405" w:rsidP="005158A5">
      <w:pPr>
        <w:pStyle w:val="Footnote"/>
      </w:pPr>
      <w:r w:rsidRPr="00490F7A">
        <w:rPr>
          <w:vertAlign w:val="superscript"/>
        </w:rPr>
        <w:footnoteRef/>
      </w:r>
      <w:r w:rsidRPr="00490F7A">
        <w:t>.</w:t>
      </w:r>
      <w:r w:rsidRPr="00490F7A">
        <w:tab/>
        <w:t>Meeting with Magistrates’ Court (1 April 2021); Stakeholder Roundtable (7 April 2021).</w:t>
      </w:r>
    </w:p>
  </w:footnote>
  <w:footnote w:id="119">
    <w:p w14:paraId="5A826631" w14:textId="42F3F347" w:rsidR="00EB0405" w:rsidRPr="00490F7A" w:rsidRDefault="00EB0405" w:rsidP="00346259">
      <w:pPr>
        <w:pStyle w:val="Footnote"/>
      </w:pPr>
      <w:r w:rsidRPr="00490F7A">
        <w:rPr>
          <w:vertAlign w:val="superscript"/>
        </w:rPr>
        <w:footnoteRef/>
      </w:r>
      <w:r w:rsidRPr="00490F7A">
        <w:t>.</w:t>
      </w:r>
      <w:r w:rsidRPr="00490F7A">
        <w:tab/>
        <w:t xml:space="preserve">In Figure 4, Commonwealth threat charges are included with their Victorian equivalents. Threats to commit a sexual offence were not recorded prior to 2015 because the offence was enacted in that year by the </w:t>
      </w:r>
      <w:r w:rsidRPr="00490F7A">
        <w:rPr>
          <w:rStyle w:val="LightItalic"/>
          <w:rFonts w:ascii="Verdana" w:hAnsi="Verdana"/>
        </w:rPr>
        <w:t>Crimes Amendment (Sexual Offences and Other Matters) Act 2014</w:t>
      </w:r>
      <w:r w:rsidRPr="00490F7A">
        <w:t xml:space="preserve"> (Vic).</w:t>
      </w:r>
    </w:p>
  </w:footnote>
  <w:footnote w:id="120">
    <w:p w14:paraId="6006ED09" w14:textId="5C971755" w:rsidR="00EB0405" w:rsidRPr="00490F7A" w:rsidRDefault="00EB0405" w:rsidP="003F1BBA">
      <w:pPr>
        <w:pStyle w:val="Footnote"/>
      </w:pPr>
      <w:r w:rsidRPr="00490F7A">
        <w:rPr>
          <w:vertAlign w:val="superscript"/>
        </w:rPr>
        <w:footnoteRef/>
      </w:r>
      <w:r w:rsidRPr="00490F7A">
        <w:t>.</w:t>
      </w:r>
      <w:r w:rsidRPr="00490F7A">
        <w:tab/>
        <w:t>Stakeholder Roundtable (7 April 2021).</w:t>
      </w:r>
    </w:p>
  </w:footnote>
  <w:footnote w:id="121">
    <w:p w14:paraId="5FFE024D" w14:textId="21BF70EB" w:rsidR="00EB0405" w:rsidRPr="00490F7A" w:rsidRDefault="00EB0405" w:rsidP="00EB29E2">
      <w:pPr>
        <w:pStyle w:val="Footnote"/>
      </w:pPr>
      <w:r w:rsidRPr="00490F7A">
        <w:rPr>
          <w:vertAlign w:val="superscript"/>
        </w:rPr>
        <w:footnoteRef/>
      </w:r>
      <w:r w:rsidRPr="00490F7A">
        <w:t>.</w:t>
      </w:r>
      <w:r w:rsidRPr="00490F7A">
        <w:tab/>
        <w:t>The principal proven offence is the offence that received the most serious penalty in the case.</w:t>
      </w:r>
    </w:p>
  </w:footnote>
  <w:footnote w:id="122">
    <w:p w14:paraId="75CEA44B" w14:textId="485BBB71" w:rsidR="00EB0405" w:rsidRPr="00490F7A" w:rsidRDefault="00EB0405" w:rsidP="00EB29E2">
      <w:pPr>
        <w:pStyle w:val="Footnote"/>
      </w:pPr>
      <w:r w:rsidRPr="00490F7A">
        <w:rPr>
          <w:vertAlign w:val="superscript"/>
        </w:rPr>
        <w:footnoteRef/>
      </w:r>
      <w:r w:rsidRPr="00490F7A">
        <w:t>.</w:t>
      </w:r>
      <w:r w:rsidRPr="00490F7A">
        <w:tab/>
        <w:t>Commonwealth threat charges are included with their Victorian equivalents in Figure 5.</w:t>
      </w:r>
    </w:p>
  </w:footnote>
  <w:footnote w:id="123">
    <w:p w14:paraId="72B803B4" w14:textId="5637995F" w:rsidR="00EB0405" w:rsidRPr="00490F7A" w:rsidRDefault="00EB0405" w:rsidP="00483D1A">
      <w:pPr>
        <w:pStyle w:val="Footnote"/>
      </w:pPr>
      <w:r w:rsidRPr="00490F7A">
        <w:rPr>
          <w:vertAlign w:val="superscript"/>
        </w:rPr>
        <w:footnoteRef/>
      </w:r>
      <w:r w:rsidRPr="00490F7A">
        <w:t>.</w:t>
      </w:r>
      <w:r w:rsidRPr="00490F7A">
        <w:tab/>
        <w:t xml:space="preserve">Queensland Sentencing Advisory Council, </w:t>
      </w:r>
      <w:r w:rsidRPr="00490F7A">
        <w:rPr>
          <w:rStyle w:val="LightItalic"/>
          <w:rFonts w:ascii="Verdana" w:hAnsi="Verdana"/>
        </w:rPr>
        <w:t xml:space="preserve">Penalties for Assaults on Public Officers </w:t>
      </w:r>
      <w:r w:rsidRPr="00490F7A">
        <w:t xml:space="preserve">(2020) 42. As in Victoria, threats against emergency workers are captured by the same section criminalising assaults: </w:t>
      </w:r>
      <w:r w:rsidRPr="00490F7A">
        <w:rPr>
          <w:rStyle w:val="LightItalic"/>
          <w:rFonts w:ascii="Verdana" w:hAnsi="Verdana"/>
        </w:rPr>
        <w:t xml:space="preserve">Criminal Code Act 1899 </w:t>
      </w:r>
      <w:r w:rsidRPr="00490F7A">
        <w:t xml:space="preserve">(Qld) s 340(1)(b). </w:t>
      </w:r>
    </w:p>
  </w:footnote>
  <w:footnote w:id="124">
    <w:p w14:paraId="0D093A51" w14:textId="2E03C26E" w:rsidR="00EB0405" w:rsidRPr="00490F7A" w:rsidRDefault="00EB0405" w:rsidP="00483D1A">
      <w:pPr>
        <w:pStyle w:val="Footnote"/>
      </w:pPr>
      <w:r w:rsidRPr="00490F7A">
        <w:rPr>
          <w:vertAlign w:val="superscript"/>
        </w:rPr>
        <w:footnoteRef/>
      </w:r>
      <w:r w:rsidRPr="00490F7A">
        <w:t>.</w:t>
      </w:r>
      <w:r w:rsidRPr="00490F7A">
        <w:tab/>
        <w:t>Stakeholder Roundtable (7 April 2021); on the relative specificity of threats to kill, see also [2.4].</w:t>
      </w:r>
    </w:p>
  </w:footnote>
  <w:footnote w:id="125">
    <w:p w14:paraId="76A4C518" w14:textId="18802D59" w:rsidR="00EB0405" w:rsidRPr="00490F7A" w:rsidRDefault="00EB0405" w:rsidP="007430F3">
      <w:pPr>
        <w:pStyle w:val="Footnote"/>
      </w:pPr>
      <w:r w:rsidRPr="00490F7A">
        <w:rPr>
          <w:vertAlign w:val="superscript"/>
        </w:rPr>
        <w:footnoteRef/>
      </w:r>
      <w:r w:rsidRPr="00490F7A">
        <w:t>.</w:t>
      </w:r>
      <w:r w:rsidRPr="00490F7A">
        <w:tab/>
      </w:r>
      <w:r w:rsidRPr="00490F7A">
        <w:rPr>
          <w:rStyle w:val="LightItalic"/>
          <w:rFonts w:ascii="Verdana" w:hAnsi="Verdana"/>
        </w:rPr>
        <w:t xml:space="preserve">Sentencing Act 1991 </w:t>
      </w:r>
      <w:r w:rsidRPr="00490F7A">
        <w:t xml:space="preserve">(Vic) Sch 1 cl 3. </w:t>
      </w:r>
    </w:p>
  </w:footnote>
  <w:footnote w:id="126">
    <w:p w14:paraId="2C720D1C" w14:textId="08587206" w:rsidR="00EB0405" w:rsidRPr="00490F7A" w:rsidRDefault="00EB0405" w:rsidP="007430F3">
      <w:pPr>
        <w:pStyle w:val="Footnote"/>
      </w:pPr>
      <w:r w:rsidRPr="00490F7A">
        <w:rPr>
          <w:vertAlign w:val="superscript"/>
        </w:rPr>
        <w:footnoteRef/>
      </w:r>
      <w:r w:rsidRPr="00490F7A">
        <w:t>.</w:t>
      </w:r>
      <w:r w:rsidRPr="00490F7A">
        <w:tab/>
      </w:r>
      <w:r w:rsidRPr="00490F7A">
        <w:rPr>
          <w:rStyle w:val="LightItalic"/>
          <w:rFonts w:ascii="Verdana" w:hAnsi="Verdana"/>
        </w:rPr>
        <w:t xml:space="preserve">Sentencing Act 1991 </w:t>
      </w:r>
      <w:r w:rsidRPr="00490F7A">
        <w:t xml:space="preserve">(Vic) ss 6A–6F; Stakeholder Roundtable (7 April 2021). Threats to kill in a family violence context are also Schedule 2 offences, placing defendants in a reverse onus position in applying for bail: </w:t>
      </w:r>
      <w:r w:rsidRPr="00490F7A">
        <w:rPr>
          <w:rStyle w:val="LightItalic"/>
          <w:rFonts w:ascii="Verdana" w:hAnsi="Verdana"/>
        </w:rPr>
        <w:t xml:space="preserve">Bail Act 1977 </w:t>
      </w:r>
      <w:r w:rsidRPr="00490F7A">
        <w:t>(Vic) s 4AA, sch 2 cl 7.</w:t>
      </w:r>
    </w:p>
  </w:footnote>
  <w:footnote w:id="127">
    <w:p w14:paraId="4154967B" w14:textId="441AF69E" w:rsidR="00EB0405" w:rsidRPr="00490F7A" w:rsidRDefault="00EB0405" w:rsidP="007430F3">
      <w:pPr>
        <w:pStyle w:val="Footnote"/>
      </w:pPr>
      <w:r w:rsidRPr="00490F7A">
        <w:rPr>
          <w:vertAlign w:val="superscript"/>
        </w:rPr>
        <w:footnoteRef/>
      </w:r>
      <w:r w:rsidRPr="00490F7A">
        <w:t>.</w:t>
      </w:r>
      <w:r w:rsidRPr="00490F7A">
        <w:tab/>
        <w:t xml:space="preserve">See for example, Sentencing Advisory Council (2020), above n 11, 31; Sentencing Advisory Council, </w:t>
      </w:r>
      <w:r w:rsidRPr="00490F7A">
        <w:rPr>
          <w:rStyle w:val="LightItalic"/>
          <w:rFonts w:ascii="Verdana" w:hAnsi="Verdana"/>
        </w:rPr>
        <w:t xml:space="preserve">Sentencing Sex Offences in Victoria: An Analysis of Three Sentencing Reforms </w:t>
      </w:r>
      <w:r w:rsidRPr="00490F7A">
        <w:t>(2021) 77.</w:t>
      </w:r>
    </w:p>
  </w:footnote>
  <w:footnote w:id="128">
    <w:p w14:paraId="434A295C" w14:textId="5973EC34" w:rsidR="00EB0405" w:rsidRPr="00490F7A" w:rsidRDefault="00EB0405" w:rsidP="007430F3">
      <w:pPr>
        <w:pStyle w:val="Footnote"/>
      </w:pPr>
      <w:r w:rsidRPr="00490F7A">
        <w:rPr>
          <w:vertAlign w:val="superscript"/>
        </w:rPr>
        <w:footnoteRef/>
      </w:r>
      <w:r w:rsidRPr="00490F7A">
        <w:t>.</w:t>
      </w:r>
      <w:r w:rsidRPr="00490F7A">
        <w:tab/>
        <w:t xml:space="preserve">Roger Bowles, Maria G. Reyes and Nuno Garoupa, ‘Crime Reporting Decisions and the Costs of Crime’ (2009) 15 </w:t>
      </w:r>
      <w:r w:rsidRPr="00490F7A">
        <w:rPr>
          <w:rStyle w:val="LightItalic"/>
          <w:rFonts w:ascii="Verdana" w:hAnsi="Verdana"/>
        </w:rPr>
        <w:t xml:space="preserve">European Journal on Criminal Policy and Research </w:t>
      </w:r>
      <w:r w:rsidRPr="00490F7A">
        <w:t>365, 372 (the estimated reporting rates for threats in the United Kingdom is 32%).</w:t>
      </w:r>
    </w:p>
  </w:footnote>
  <w:footnote w:id="129">
    <w:p w14:paraId="13A36D75" w14:textId="4F397ACE" w:rsidR="00EB0405" w:rsidRPr="00490F7A" w:rsidRDefault="00EB0405" w:rsidP="007430F3">
      <w:pPr>
        <w:pStyle w:val="Footnote"/>
      </w:pPr>
      <w:r w:rsidRPr="00490F7A">
        <w:rPr>
          <w:vertAlign w:val="superscript"/>
        </w:rPr>
        <w:footnoteRef/>
      </w:r>
      <w:r w:rsidRPr="00490F7A">
        <w:t>.</w:t>
      </w:r>
      <w:r w:rsidRPr="00490F7A">
        <w:tab/>
        <w:t xml:space="preserve">For the other threat offences, the rough attrition rates were 53% (threat to inflict serious injury), 49% (threat to destroy or damage property) and 37% (threat to kill).  </w:t>
      </w:r>
    </w:p>
  </w:footnote>
  <w:footnote w:id="130">
    <w:p w14:paraId="56BF5E1B" w14:textId="0C9B9272" w:rsidR="00EB0405" w:rsidRPr="00490F7A" w:rsidRDefault="00EB0405" w:rsidP="00987277">
      <w:pPr>
        <w:pStyle w:val="Footnote"/>
      </w:pPr>
      <w:r w:rsidRPr="00490F7A">
        <w:rPr>
          <w:vertAlign w:val="superscript"/>
        </w:rPr>
        <w:footnoteRef/>
      </w:r>
      <w:r w:rsidRPr="00490F7A">
        <w:t>.</w:t>
      </w:r>
      <w:r w:rsidRPr="00490F7A">
        <w:tab/>
        <w:t xml:space="preserve">See for example, Melanie Millsteed and Cleave McDonald, </w:t>
      </w:r>
      <w:r w:rsidRPr="00490F7A">
        <w:rPr>
          <w:rStyle w:val="LightItalic"/>
          <w:rFonts w:ascii="Verdana" w:hAnsi="Verdana"/>
        </w:rPr>
        <w:t>Attrition of Sexual Offence Incidents Across the Victorian Criminal Justice System</w:t>
      </w:r>
      <w:r w:rsidRPr="00490F7A">
        <w:t xml:space="preserve"> (2017) 9 (8.9% of recorded sexual assaults resulted in a conviction in the Magistrates’ Court, and a further 9.3% were transferred to the higher courts with undisclosed outcomes at trial). In New Zealand, 11% of recorded sexual violence victimisations were found to lead to a conviction: New Zealand Ministry of Justice, </w:t>
      </w:r>
      <w:r w:rsidRPr="00490F7A">
        <w:rPr>
          <w:rStyle w:val="LightItalic"/>
          <w:rFonts w:ascii="Verdana" w:hAnsi="Verdana"/>
        </w:rPr>
        <w:t>Attrition and Progression: Reported Sexual Violence Victimisations in the Criminal Justice System</w:t>
      </w:r>
      <w:r w:rsidRPr="00490F7A">
        <w:t xml:space="preserve"> (2019) 2.</w:t>
      </w:r>
    </w:p>
  </w:footnote>
  <w:footnote w:id="131">
    <w:p w14:paraId="7ADC1ABB" w14:textId="474DCF71" w:rsidR="00EB0405" w:rsidRPr="00490F7A" w:rsidRDefault="00EB0405" w:rsidP="00987277">
      <w:pPr>
        <w:pStyle w:val="Footnote"/>
      </w:pPr>
      <w:r w:rsidRPr="00490F7A">
        <w:rPr>
          <w:vertAlign w:val="superscript"/>
        </w:rPr>
        <w:footnoteRef/>
      </w:r>
      <w:r w:rsidRPr="00490F7A">
        <w:t>.</w:t>
      </w:r>
      <w:r w:rsidRPr="00490F7A">
        <w:tab/>
        <w:t>Commonwealth threat charges are included with their Victorian equivalents in Figure 6.</w:t>
      </w:r>
    </w:p>
  </w:footnote>
  <w:footnote w:id="132">
    <w:p w14:paraId="691108CA" w14:textId="2759F5FA" w:rsidR="00EB0405" w:rsidRPr="00490F7A" w:rsidRDefault="00EB0405" w:rsidP="007A549C">
      <w:pPr>
        <w:pStyle w:val="Footnote"/>
      </w:pPr>
      <w:r w:rsidRPr="00490F7A">
        <w:rPr>
          <w:vertAlign w:val="superscript"/>
        </w:rPr>
        <w:footnoteRef/>
      </w:r>
      <w:r w:rsidRPr="00490F7A">
        <w:t>.</w:t>
      </w:r>
      <w:r w:rsidRPr="00490F7A">
        <w:tab/>
        <w:t>These cases involved 92,516 or 88% of the 105,179 total charges sentenced.</w:t>
      </w:r>
    </w:p>
  </w:footnote>
  <w:footnote w:id="133">
    <w:p w14:paraId="6F86037B" w14:textId="413E3543" w:rsidR="00EB0405" w:rsidRPr="00490F7A" w:rsidRDefault="00EB0405" w:rsidP="007A549C">
      <w:pPr>
        <w:pStyle w:val="Footnote"/>
      </w:pPr>
      <w:r w:rsidRPr="00490F7A">
        <w:rPr>
          <w:vertAlign w:val="superscript"/>
        </w:rPr>
        <w:footnoteRef/>
      </w:r>
      <w:r w:rsidRPr="00490F7A">
        <w:t>.</w:t>
      </w:r>
      <w:r w:rsidRPr="00490F7A">
        <w:tab/>
        <w:t>In 2019–20, males were recorded as the ‘other party’ in 76% of family violence incidents compared to 24% for females: Crime Statistics Agency, ‘Family Violence Data Portal: Victoria Police’ (crimestatistics.vic.gov.au, 2021), Table ‘Other Parties’ &lt;https://www.crimestatistics.vic.gov.au/family-violence-data-portal/family-violence-data-dashboard/victoria-police&gt; at 10 May 2021.</w:t>
      </w:r>
    </w:p>
  </w:footnote>
  <w:footnote w:id="134">
    <w:p w14:paraId="5B046250" w14:textId="09E4AB02" w:rsidR="00EB0405" w:rsidRPr="00490F7A" w:rsidRDefault="00EB0405" w:rsidP="007A549C">
      <w:pPr>
        <w:pStyle w:val="Footnote"/>
      </w:pPr>
      <w:r w:rsidRPr="00490F7A">
        <w:rPr>
          <w:vertAlign w:val="superscript"/>
        </w:rPr>
        <w:footnoteRef/>
      </w:r>
      <w:r w:rsidRPr="00490F7A">
        <w:t>.</w:t>
      </w:r>
      <w:r w:rsidRPr="00490F7A">
        <w:tab/>
        <w:t>Commonwealth threat charges are included with their Victorian equivalents in Figure 7.</w:t>
      </w:r>
    </w:p>
  </w:footnote>
  <w:footnote w:id="135">
    <w:p w14:paraId="7861A170" w14:textId="0A8E2316" w:rsidR="00EB0405" w:rsidRPr="00490F7A" w:rsidRDefault="00EB0405" w:rsidP="007A549C">
      <w:pPr>
        <w:pStyle w:val="Footnote"/>
      </w:pPr>
      <w:r w:rsidRPr="00490F7A">
        <w:rPr>
          <w:vertAlign w:val="superscript"/>
        </w:rPr>
        <w:footnoteRef/>
      </w:r>
      <w:r w:rsidRPr="00490F7A">
        <w:t>.</w:t>
      </w:r>
      <w:r w:rsidRPr="00490F7A">
        <w:tab/>
        <w:t>A full breakdown of cases by offender year of age is available in Appendix 2.</w:t>
      </w:r>
    </w:p>
  </w:footnote>
  <w:footnote w:id="136">
    <w:p w14:paraId="15EAA7F6" w14:textId="24811F0E" w:rsidR="00EB0405" w:rsidRPr="00490F7A" w:rsidRDefault="00EB0405" w:rsidP="007A549C">
      <w:pPr>
        <w:pStyle w:val="Footnote"/>
      </w:pPr>
      <w:r w:rsidRPr="00490F7A">
        <w:rPr>
          <w:vertAlign w:val="superscript"/>
        </w:rPr>
        <w:footnoteRef/>
      </w:r>
      <w:r w:rsidRPr="00490F7A">
        <w:t>.</w:t>
      </w:r>
      <w:r w:rsidRPr="00490F7A">
        <w:tab/>
        <w:t xml:space="preserve">Sentencing Advisory Council (2020), above n 38, 39–40, 57–58, 82–83. See also Stephane M. Shepherd et al., ‘An Analysis of High-Risk Offending Pathways for Young Females in Custody’ (2019) 26(2) </w:t>
      </w:r>
      <w:r w:rsidRPr="00490F7A">
        <w:rPr>
          <w:rStyle w:val="LightItalic"/>
          <w:rFonts w:ascii="Verdana" w:hAnsi="Verdana"/>
        </w:rPr>
        <w:t xml:space="preserve">Psychiatry, Psychology and Law </w:t>
      </w:r>
      <w:r w:rsidRPr="00490F7A">
        <w:t xml:space="preserve">194, 195, 201–202. </w:t>
      </w:r>
    </w:p>
  </w:footnote>
  <w:footnote w:id="137">
    <w:p w14:paraId="63923994" w14:textId="08911FD3" w:rsidR="00EB0405" w:rsidRPr="00490F7A" w:rsidRDefault="00EB0405" w:rsidP="007A549C">
      <w:pPr>
        <w:pStyle w:val="Footnote"/>
      </w:pPr>
      <w:r w:rsidRPr="00490F7A">
        <w:rPr>
          <w:vertAlign w:val="superscript"/>
        </w:rPr>
        <w:footnoteRef/>
      </w:r>
      <w:r w:rsidRPr="00490F7A">
        <w:t>.</w:t>
      </w:r>
      <w:r w:rsidRPr="00490F7A">
        <w:tab/>
        <w:t xml:space="preserve">Meeting with Magistrates’ Court (1 April 2021); see also Tony Beatton et al., ‘Gender Crime Convergence over Twenty Years: Evidence from Australia’ (2018) 109 </w:t>
      </w:r>
      <w:r w:rsidRPr="00490F7A">
        <w:rPr>
          <w:rStyle w:val="LightItalic"/>
          <w:rFonts w:ascii="Verdana" w:hAnsi="Verdana"/>
        </w:rPr>
        <w:t xml:space="preserve">European Economic Review </w:t>
      </w:r>
      <w:r w:rsidRPr="00490F7A">
        <w:t xml:space="preserve">275, 279–281, 286. Some stakeholders also speculated that pervasive use of social media might contribute to threats, specifically among girls in this age group. </w:t>
      </w:r>
    </w:p>
  </w:footnote>
  <w:footnote w:id="138">
    <w:p w14:paraId="54EA9F89" w14:textId="1C0FE495" w:rsidR="00EB0405" w:rsidRPr="00490F7A" w:rsidRDefault="00EB0405" w:rsidP="003A6540">
      <w:pPr>
        <w:pStyle w:val="Footnote"/>
      </w:pPr>
      <w:r w:rsidRPr="00490F7A">
        <w:rPr>
          <w:vertAlign w:val="superscript"/>
        </w:rPr>
        <w:footnoteRef/>
      </w:r>
      <w:r w:rsidRPr="00490F7A">
        <w:t>.</w:t>
      </w:r>
      <w:r w:rsidRPr="00490F7A">
        <w:tab/>
        <w:t>Commonwealth threat charges are included with their Victorian equivalents in Figure 9. As the higher courts dataset does not include a family violence indicator, higher courts cases are excluded. Some cases may include more than one type of threat, and as such a case may appear more than once in Figure 9.</w:t>
      </w:r>
    </w:p>
  </w:footnote>
  <w:footnote w:id="139">
    <w:p w14:paraId="733818D1" w14:textId="28C0FC20" w:rsidR="00EB0405" w:rsidRPr="00490F7A" w:rsidRDefault="00EB0405" w:rsidP="003A6540">
      <w:pPr>
        <w:pStyle w:val="Footnote"/>
      </w:pPr>
      <w:r w:rsidRPr="00490F7A">
        <w:rPr>
          <w:vertAlign w:val="superscript"/>
        </w:rPr>
        <w:footnoteRef/>
      </w:r>
      <w:r w:rsidRPr="00490F7A">
        <w:t>.</w:t>
      </w:r>
      <w:r w:rsidRPr="00490F7A">
        <w:tab/>
        <w:t xml:space="preserve">Victoria, Royal Commission into Family Violence (2016), above n 63, 57–58; Victoria, Royal Commission into Family Violence, </w:t>
      </w:r>
      <w:r w:rsidRPr="00490F7A">
        <w:rPr>
          <w:rStyle w:val="LightItalic"/>
          <w:rFonts w:ascii="Verdana" w:hAnsi="Verdana"/>
        </w:rPr>
        <w:t xml:space="preserve">Report and Recommendations, </w:t>
      </w:r>
      <w:r w:rsidRPr="00490F7A">
        <w:t>vol. 4 (2016) 151–155.</w:t>
      </w:r>
    </w:p>
  </w:footnote>
  <w:footnote w:id="140">
    <w:p w14:paraId="5A0D45F5" w14:textId="7861D222" w:rsidR="00EB0405" w:rsidRPr="00490F7A" w:rsidRDefault="00EB0405" w:rsidP="00D129A0">
      <w:pPr>
        <w:pStyle w:val="Footnote"/>
      </w:pPr>
      <w:r w:rsidRPr="00490F7A">
        <w:rPr>
          <w:vertAlign w:val="superscript"/>
        </w:rPr>
        <w:footnoteRef/>
      </w:r>
      <w:r w:rsidRPr="00490F7A">
        <w:t>.</w:t>
      </w:r>
      <w:r w:rsidRPr="00490F7A">
        <w:tab/>
        <w:t>Commonwealth threat offences are only included in the ‘total’ column in Figure 10.</w:t>
      </w:r>
    </w:p>
  </w:footnote>
  <w:footnote w:id="141">
    <w:p w14:paraId="74F5D262" w14:textId="68E625D1" w:rsidR="00EB0405" w:rsidRPr="00490F7A" w:rsidRDefault="00EB0405" w:rsidP="00B952B0">
      <w:pPr>
        <w:pStyle w:val="Footnote"/>
      </w:pPr>
      <w:r w:rsidRPr="00490F7A">
        <w:rPr>
          <w:vertAlign w:val="superscript"/>
        </w:rPr>
        <w:footnoteRef/>
      </w:r>
      <w:r w:rsidRPr="00490F7A">
        <w:t>.</w:t>
      </w:r>
      <w:r w:rsidRPr="00490F7A">
        <w:tab/>
        <w:t xml:space="preserve">The offence types co-sentenced with threat offences in the Magistrates’ Court are outlined in Chapter 6. </w:t>
      </w:r>
    </w:p>
  </w:footnote>
  <w:footnote w:id="142">
    <w:p w14:paraId="0BB3CE74" w14:textId="4AD1542D" w:rsidR="00EB0405" w:rsidRPr="00490F7A" w:rsidRDefault="00EB0405" w:rsidP="00CC07CC">
      <w:pPr>
        <w:pStyle w:val="Footnote"/>
      </w:pPr>
      <w:r w:rsidRPr="00490F7A">
        <w:rPr>
          <w:vertAlign w:val="superscript"/>
        </w:rPr>
        <w:footnoteRef/>
      </w:r>
      <w:r w:rsidRPr="00490F7A">
        <w:t>.</w:t>
      </w:r>
      <w:r w:rsidRPr="00490F7A">
        <w:tab/>
        <w:t>Commonwealth threat offences are only included in the ‘total’ column in Figure 11.</w:t>
      </w:r>
    </w:p>
  </w:footnote>
  <w:footnote w:id="143">
    <w:p w14:paraId="0E1C7672" w14:textId="5B973117" w:rsidR="00EB0405" w:rsidRPr="00490F7A" w:rsidRDefault="00EB0405" w:rsidP="00CC07CC">
      <w:pPr>
        <w:pStyle w:val="Footnote"/>
      </w:pPr>
      <w:r w:rsidRPr="00490F7A">
        <w:rPr>
          <w:vertAlign w:val="superscript"/>
        </w:rPr>
        <w:footnoteRef/>
      </w:r>
      <w:r w:rsidRPr="00490F7A">
        <w:t>.</w:t>
      </w:r>
      <w:r w:rsidRPr="00490F7A">
        <w:tab/>
        <w:t>Sentencing Advisory Council, ‘Sentencing Outcomes in the Magistrates’ Court’ (sentencingcouncil.vic.gov.au, 2021) &lt;https://www.sentencingcouncil.vic.gov.au/statistics/sentencing-trends/sentencing-outcomes-magistrates-court&gt; at 10 May 2021.</w:t>
      </w:r>
    </w:p>
  </w:footnote>
  <w:footnote w:id="144">
    <w:p w14:paraId="0024C1A7" w14:textId="52432B07" w:rsidR="00EB0405" w:rsidRPr="00490F7A" w:rsidRDefault="00EB0405" w:rsidP="00CC07CC">
      <w:pPr>
        <w:pStyle w:val="Footnote"/>
      </w:pPr>
      <w:r w:rsidRPr="00490F7A">
        <w:rPr>
          <w:vertAlign w:val="superscript"/>
        </w:rPr>
        <w:footnoteRef/>
      </w:r>
      <w:r w:rsidRPr="00490F7A">
        <w:t>.</w:t>
      </w:r>
      <w:r w:rsidRPr="00490F7A">
        <w:tab/>
      </w:r>
      <w:r w:rsidRPr="00490F7A">
        <w:rPr>
          <w:rStyle w:val="LightItalic"/>
          <w:rFonts w:ascii="Verdana" w:hAnsi="Verdana"/>
        </w:rPr>
        <w:t xml:space="preserve">Bail Amendment (Stage One) Act 2017 </w:t>
      </w:r>
      <w:r w:rsidRPr="00490F7A">
        <w:t xml:space="preserve">(Vic); </w:t>
      </w:r>
      <w:r w:rsidRPr="00490F7A">
        <w:rPr>
          <w:rStyle w:val="LightItalic"/>
          <w:rFonts w:ascii="Verdana" w:hAnsi="Verdana"/>
        </w:rPr>
        <w:t xml:space="preserve">Bail Amendment (Stage Two) Act 2018 </w:t>
      </w:r>
      <w:r w:rsidRPr="00490F7A">
        <w:t xml:space="preserve">(Vic). In particular, threats to kill in a family violence context are not Schedule 2 offences, placing defendants in a reverse onus position when applying for bail: </w:t>
      </w:r>
      <w:r w:rsidRPr="00490F7A">
        <w:rPr>
          <w:rStyle w:val="LightItalic"/>
          <w:rFonts w:ascii="Verdana" w:hAnsi="Verdana"/>
        </w:rPr>
        <w:t xml:space="preserve">Bail Act 1977 </w:t>
      </w:r>
      <w:r w:rsidRPr="00490F7A">
        <w:t>(Vic) s 4AA, sch 2 cl 7.</w:t>
      </w:r>
    </w:p>
  </w:footnote>
  <w:footnote w:id="145">
    <w:p w14:paraId="50FD69A1" w14:textId="0C7531E4" w:rsidR="00EB0405" w:rsidRPr="00490F7A" w:rsidRDefault="00EB0405" w:rsidP="00BE350A">
      <w:pPr>
        <w:pStyle w:val="Footnote"/>
      </w:pPr>
      <w:r w:rsidRPr="00490F7A">
        <w:rPr>
          <w:vertAlign w:val="superscript"/>
        </w:rPr>
        <w:footnoteRef/>
      </w:r>
      <w:r w:rsidRPr="00490F7A">
        <w:t>.</w:t>
      </w:r>
      <w:r w:rsidRPr="00490F7A">
        <w:tab/>
        <w:t>Participant at Stakeholder Roundtable (7 April 2021).</w:t>
      </w:r>
    </w:p>
  </w:footnote>
  <w:footnote w:id="146">
    <w:p w14:paraId="7B095533" w14:textId="07079FC5" w:rsidR="00EB0405" w:rsidRPr="00490F7A" w:rsidRDefault="00EB0405" w:rsidP="00BE350A">
      <w:pPr>
        <w:pStyle w:val="Footnote"/>
      </w:pPr>
      <w:r w:rsidRPr="00490F7A">
        <w:rPr>
          <w:vertAlign w:val="superscript"/>
        </w:rPr>
        <w:footnoteRef/>
      </w:r>
      <w:r w:rsidRPr="00490F7A">
        <w:t>.</w:t>
      </w:r>
      <w:r w:rsidRPr="00490F7A">
        <w:tab/>
        <w:t>Meeting with Magistrates’ Court (1 April 2021); Stakeholder Roundtable (7 April 2021).</w:t>
      </w:r>
    </w:p>
  </w:footnote>
  <w:footnote w:id="147">
    <w:p w14:paraId="6982BAC9" w14:textId="4A88F4EC" w:rsidR="00EB0405" w:rsidRPr="00490F7A" w:rsidRDefault="00EB0405" w:rsidP="00BE350A">
      <w:pPr>
        <w:pStyle w:val="Footnote"/>
      </w:pPr>
      <w:r w:rsidRPr="00490F7A">
        <w:rPr>
          <w:vertAlign w:val="superscript"/>
        </w:rPr>
        <w:footnoteRef/>
      </w:r>
      <w:r w:rsidRPr="00490F7A">
        <w:t>.</w:t>
      </w:r>
      <w:r w:rsidRPr="00490F7A">
        <w:tab/>
        <w:t xml:space="preserve">Meeting with Magistrates’ Court (1 April 2021); Stakeholder Roundtable (7 April 2021). Stakeholders also observed that case consolidation could further contribute to inflated charge counts because it was often not worthwhile to negotiate the withdrawal of individual charges among a large collection. </w:t>
      </w:r>
    </w:p>
  </w:footnote>
  <w:footnote w:id="148">
    <w:p w14:paraId="7CC37DC1" w14:textId="0328EFF5" w:rsidR="00EB0405" w:rsidRPr="00490F7A" w:rsidRDefault="00EB0405" w:rsidP="00BE350A">
      <w:pPr>
        <w:pStyle w:val="Footnote"/>
      </w:pPr>
      <w:r w:rsidRPr="00490F7A">
        <w:rPr>
          <w:vertAlign w:val="superscript"/>
        </w:rPr>
        <w:footnoteRef/>
      </w:r>
      <w:r w:rsidRPr="00490F7A">
        <w:t>.</w:t>
      </w:r>
      <w:r w:rsidRPr="00490F7A">
        <w:tab/>
        <w:t xml:space="preserve">This analysis uses the case-level counting rule for the principal proven offence on the assumption that when a threat offence is the principal proven offence, it is likely to have been a driving influence on the sentence type imposed. </w:t>
      </w:r>
    </w:p>
  </w:footnote>
  <w:footnote w:id="149">
    <w:p w14:paraId="3B395798" w14:textId="75BBD8A8" w:rsidR="00EB0405" w:rsidRPr="00490F7A" w:rsidRDefault="00EB0405" w:rsidP="0044519B">
      <w:pPr>
        <w:pStyle w:val="Footnote"/>
      </w:pPr>
      <w:r w:rsidRPr="00490F7A">
        <w:rPr>
          <w:vertAlign w:val="superscript"/>
        </w:rPr>
        <w:footnoteRef/>
      </w:r>
      <w:r w:rsidRPr="00490F7A">
        <w:t>.</w:t>
      </w:r>
      <w:r w:rsidRPr="00490F7A">
        <w:tab/>
        <w:t xml:space="preserve">Corrections Victoria (2019), above n 58, 13. On the comparative rates of prior offending, see [7.7]. </w:t>
      </w:r>
    </w:p>
  </w:footnote>
  <w:footnote w:id="150">
    <w:p w14:paraId="7E12E988" w14:textId="42739679" w:rsidR="00EB0405" w:rsidRPr="00490F7A" w:rsidRDefault="00EB0405" w:rsidP="0044519B">
      <w:pPr>
        <w:pStyle w:val="Footnote"/>
      </w:pPr>
      <w:r w:rsidRPr="00490F7A">
        <w:rPr>
          <w:vertAlign w:val="superscript"/>
        </w:rPr>
        <w:footnoteRef/>
      </w:r>
      <w:r w:rsidRPr="00490F7A">
        <w:t>.</w:t>
      </w:r>
      <w:r w:rsidRPr="00490F7A">
        <w:tab/>
        <w:t>Meeting with Magistrates’ Court (1 April 2021).</w:t>
      </w:r>
    </w:p>
  </w:footnote>
  <w:footnote w:id="151">
    <w:p w14:paraId="36430C81" w14:textId="67607A18" w:rsidR="00EB0405" w:rsidRPr="00490F7A" w:rsidRDefault="00EB0405" w:rsidP="0044519B">
      <w:pPr>
        <w:pStyle w:val="Footnote"/>
      </w:pPr>
      <w:r w:rsidRPr="00490F7A">
        <w:rPr>
          <w:vertAlign w:val="superscript"/>
        </w:rPr>
        <w:footnoteRef/>
      </w:r>
      <w:r w:rsidRPr="00490F7A">
        <w:t>.</w:t>
      </w:r>
      <w:r w:rsidRPr="00490F7A">
        <w:tab/>
        <w:t xml:space="preserve">Meeting with Magistrates’ Court (1 April 2021). </w:t>
      </w:r>
    </w:p>
  </w:footnote>
  <w:footnote w:id="152">
    <w:p w14:paraId="4907E5C3" w14:textId="7B38D843" w:rsidR="00EB0405" w:rsidRPr="00490F7A" w:rsidRDefault="00EB0405" w:rsidP="0044519B">
      <w:pPr>
        <w:pStyle w:val="Footnote"/>
      </w:pPr>
      <w:r w:rsidRPr="00490F7A">
        <w:rPr>
          <w:vertAlign w:val="superscript"/>
        </w:rPr>
        <w:footnoteRef/>
      </w:r>
      <w:r w:rsidRPr="00490F7A">
        <w:t>.</w:t>
      </w:r>
      <w:r w:rsidRPr="00490F7A">
        <w:tab/>
        <w:t>Meeting with Magistrates’ Court (1 April 2021); Stakeholder Roundtable (7 April 2021).</w:t>
      </w:r>
    </w:p>
  </w:footnote>
  <w:footnote w:id="153">
    <w:p w14:paraId="4147BA63" w14:textId="44F19413" w:rsidR="00EB0405" w:rsidRPr="00490F7A" w:rsidRDefault="00EB0405" w:rsidP="005D0A9C">
      <w:pPr>
        <w:pStyle w:val="Footnote"/>
      </w:pPr>
      <w:r w:rsidRPr="00490F7A">
        <w:rPr>
          <w:vertAlign w:val="superscript"/>
        </w:rPr>
        <w:footnoteRef/>
      </w:r>
      <w:r w:rsidRPr="00490F7A">
        <w:t>.</w:t>
      </w:r>
      <w:r w:rsidRPr="00490F7A">
        <w:tab/>
        <w:t>Fines too were often aggregated: of the 2,135 fines imposed on threat charges in the Magistrates’ Court, 80% were aggregate fines.</w:t>
      </w:r>
    </w:p>
  </w:footnote>
  <w:footnote w:id="154">
    <w:p w14:paraId="0CCBA285" w14:textId="46177A07" w:rsidR="00EB0405" w:rsidRPr="006F3603" w:rsidRDefault="00EB0405" w:rsidP="006F3603">
      <w:pPr>
        <w:pStyle w:val="Footnote"/>
        <w:rPr>
          <w:spacing w:val="-4"/>
        </w:rPr>
      </w:pPr>
      <w:r w:rsidRPr="00490F7A">
        <w:rPr>
          <w:vertAlign w:val="superscript"/>
        </w:rPr>
        <w:footnoteRef/>
      </w:r>
      <w:r w:rsidRPr="00490F7A">
        <w:rPr>
          <w:spacing w:val="-1"/>
        </w:rPr>
        <w:t>.</w:t>
      </w:r>
      <w:r w:rsidRPr="00490F7A">
        <w:rPr>
          <w:spacing w:val="-1"/>
        </w:rPr>
        <w:tab/>
        <w:t xml:space="preserve">Eight charges of threat to assault an emergency worker received non-aggregate imprisonment terms ranging from two months to four </w:t>
      </w:r>
      <w:r w:rsidRPr="00490F7A">
        <w:rPr>
          <w:spacing w:val="-4"/>
        </w:rPr>
        <w:t>months, and two charges of threat to commit a sexual offence received non-aggregate imprisonment terms of five months and nine months.</w:t>
      </w:r>
    </w:p>
  </w:footnote>
  <w:footnote w:id="155">
    <w:p w14:paraId="0D98F5BC" w14:textId="48913A4E" w:rsidR="00EB0405" w:rsidRPr="00490F7A" w:rsidRDefault="00EB0405" w:rsidP="00973621">
      <w:pPr>
        <w:pStyle w:val="Footnote"/>
      </w:pPr>
      <w:r w:rsidRPr="00490F7A">
        <w:rPr>
          <w:vertAlign w:val="superscript"/>
        </w:rPr>
        <w:footnoteRef/>
      </w:r>
      <w:r w:rsidRPr="00490F7A">
        <w:t>.</w:t>
      </w:r>
      <w:r w:rsidRPr="00490F7A">
        <w:tab/>
        <w:t xml:space="preserve">Sentencing Advisory Council, </w:t>
      </w:r>
      <w:r w:rsidRPr="00490F7A">
        <w:rPr>
          <w:rStyle w:val="LightItalic"/>
          <w:rFonts w:ascii="Verdana" w:hAnsi="Verdana"/>
        </w:rPr>
        <w:t xml:space="preserve">Time Served Prison Sentences in Victoria </w:t>
      </w:r>
      <w:r w:rsidRPr="00490F7A">
        <w:t xml:space="preserve">(2020) 17. </w:t>
      </w:r>
    </w:p>
  </w:footnote>
  <w:footnote w:id="156">
    <w:p w14:paraId="6D846FB4" w14:textId="12D6769E" w:rsidR="00EB0405" w:rsidRPr="00490F7A" w:rsidRDefault="00EB0405" w:rsidP="00973621">
      <w:pPr>
        <w:pStyle w:val="Footnote"/>
      </w:pPr>
      <w:r w:rsidRPr="00490F7A">
        <w:rPr>
          <w:vertAlign w:val="superscript"/>
        </w:rPr>
        <w:footnoteRef/>
      </w:r>
      <w:r w:rsidRPr="00490F7A">
        <w:t>.</w:t>
      </w:r>
      <w:r w:rsidRPr="00490F7A">
        <w:tab/>
        <w:t>Where the total effective sentence was within two days of the time declared as pre-sentence detention, the two figures were taken to be identical. This accounts for administration processing times and clerical errors.</w:t>
      </w:r>
    </w:p>
  </w:footnote>
  <w:footnote w:id="157">
    <w:p w14:paraId="7BB57327" w14:textId="442D244D" w:rsidR="00EB0405" w:rsidRPr="00490F7A" w:rsidRDefault="00EB0405" w:rsidP="00973621">
      <w:pPr>
        <w:pStyle w:val="Footnote"/>
      </w:pPr>
      <w:r w:rsidRPr="00490F7A">
        <w:rPr>
          <w:vertAlign w:val="superscript"/>
        </w:rPr>
        <w:footnoteRef/>
      </w:r>
      <w:r w:rsidRPr="00490F7A">
        <w:t>.</w:t>
      </w:r>
      <w:r w:rsidRPr="00490F7A">
        <w:tab/>
        <w:t>Stakeholder Roundtable (7 April 2021).</w:t>
      </w:r>
    </w:p>
  </w:footnote>
  <w:footnote w:id="158">
    <w:p w14:paraId="1F76474D" w14:textId="3BC3DA8A" w:rsidR="00EB0405" w:rsidRPr="00490F7A" w:rsidRDefault="00EB0405" w:rsidP="0006281E">
      <w:pPr>
        <w:pStyle w:val="Footnote"/>
      </w:pPr>
      <w:r w:rsidRPr="00490F7A">
        <w:rPr>
          <w:vertAlign w:val="superscript"/>
        </w:rPr>
        <w:footnoteRef/>
      </w:r>
      <w:r w:rsidRPr="00490F7A">
        <w:t>.</w:t>
      </w:r>
      <w:r w:rsidRPr="00490F7A">
        <w:tab/>
        <w:t xml:space="preserve">A woman was sentenced for a threat offence as the principal proven offence in just two cases in the higher courts; both cases received imprisonment for threats to kill, with total effective sentences of nine months and 15 months, respectively. </w:t>
      </w:r>
    </w:p>
  </w:footnote>
  <w:footnote w:id="159">
    <w:p w14:paraId="0D53DDA8" w14:textId="63A3A331" w:rsidR="00EB0405" w:rsidRPr="00490F7A" w:rsidRDefault="00EB0405" w:rsidP="0006281E">
      <w:pPr>
        <w:pStyle w:val="Footnote"/>
      </w:pPr>
      <w:r w:rsidRPr="00490F7A">
        <w:rPr>
          <w:vertAlign w:val="superscript"/>
        </w:rPr>
        <w:footnoteRef/>
      </w:r>
      <w:r w:rsidRPr="00490F7A">
        <w:t>.</w:t>
      </w:r>
      <w:r w:rsidRPr="00490F7A">
        <w:tab/>
        <w:t xml:space="preserve">Offences with five or fewer charges in the reference period are not presented in Figure 17, but they are included in the totals: threat to assault an emergency worker (five charges), threat to commit a sexual offence (three charges), and Commonwealth threats to kill (three charges) and seriously injure (one charge). </w:t>
      </w:r>
    </w:p>
  </w:footnote>
  <w:footnote w:id="160">
    <w:p w14:paraId="5C6BE327" w14:textId="79747C53" w:rsidR="00EB0405" w:rsidRPr="00490F7A" w:rsidRDefault="00EB0405" w:rsidP="008A2918">
      <w:pPr>
        <w:pStyle w:val="Footnote"/>
      </w:pPr>
      <w:r w:rsidRPr="00490F7A">
        <w:rPr>
          <w:vertAlign w:val="superscript"/>
        </w:rPr>
        <w:footnoteRef/>
      </w:r>
      <w:r w:rsidRPr="00490F7A">
        <w:t>.</w:t>
      </w:r>
      <w:r w:rsidRPr="00490F7A">
        <w:tab/>
        <w:t>These included five threats to damage property (two months, three months, six months, six months and nine months), one threat to assault an emergency worker (six months), three threats to commit a sexual offence (three months, 10 months and 18 months) and one Commonwealth offence making a threat to kill (12 months).</w:t>
      </w:r>
    </w:p>
  </w:footnote>
  <w:footnote w:id="161">
    <w:p w14:paraId="4FD45241" w14:textId="79CA8610" w:rsidR="00EB0405" w:rsidRPr="00490F7A" w:rsidRDefault="00EB0405" w:rsidP="003826D7">
      <w:pPr>
        <w:pStyle w:val="Footnote"/>
      </w:pPr>
      <w:r w:rsidRPr="00490F7A">
        <w:rPr>
          <w:vertAlign w:val="superscript"/>
        </w:rPr>
        <w:footnoteRef/>
      </w:r>
      <w:r w:rsidRPr="00490F7A">
        <w:t>.</w:t>
      </w:r>
      <w:r w:rsidRPr="00490F7A">
        <w:tab/>
        <w:t>Offences with 20 or fewer charges in the reference period are not presented in Figure 19, but they are included in the totals: threat to commit a sexual offence (five charges). Diversions are not strictly sentences, but they are included as they are case outcomes.</w:t>
      </w:r>
    </w:p>
  </w:footnote>
  <w:footnote w:id="162">
    <w:p w14:paraId="69F2A5B0" w14:textId="479034BB" w:rsidR="00EB0405" w:rsidRPr="00490F7A" w:rsidRDefault="00EB0405" w:rsidP="004960FE">
      <w:pPr>
        <w:pStyle w:val="Footnote"/>
      </w:pPr>
      <w:r w:rsidRPr="00490F7A">
        <w:rPr>
          <w:vertAlign w:val="superscript"/>
        </w:rPr>
        <w:footnoteRef/>
      </w:r>
      <w:r w:rsidRPr="00490F7A">
        <w:t>.</w:t>
      </w:r>
      <w:r w:rsidRPr="00490F7A">
        <w:tab/>
        <w:t>Sentencing Advisory Council, ‘Sentencing Outcomes in the Children’s Court’ (sentencingcouncil.vic.gov.au, 2021) &lt;https://www.sentencingcouncil.vic.gov.au/statistics/sentencing-trends/sentencing-outcomes-childrens-court&gt; at 10 May 2021.</w:t>
      </w:r>
    </w:p>
  </w:footnote>
  <w:footnote w:id="163">
    <w:p w14:paraId="3D84B44E" w14:textId="0243CF04" w:rsidR="00EB0405" w:rsidRPr="00490F7A" w:rsidRDefault="00EB0405" w:rsidP="004960FE">
      <w:pPr>
        <w:pStyle w:val="Footnote"/>
      </w:pPr>
      <w:r w:rsidRPr="00490F7A">
        <w:rPr>
          <w:vertAlign w:val="superscript"/>
        </w:rPr>
        <w:footnoteRef/>
      </w:r>
      <w:r w:rsidRPr="00490F7A">
        <w:t>.</w:t>
      </w:r>
      <w:r w:rsidRPr="00490F7A">
        <w:tab/>
        <w:t xml:space="preserve">Victoria, Royal Commission into Family Violence (2016), above n 139, 152–156. </w:t>
      </w:r>
    </w:p>
  </w:footnote>
  <w:footnote w:id="164">
    <w:p w14:paraId="280DD75A" w14:textId="7E698133" w:rsidR="00EB0405" w:rsidRPr="00490F7A" w:rsidRDefault="00EB0405" w:rsidP="004960FE">
      <w:pPr>
        <w:pStyle w:val="Footnote"/>
      </w:pPr>
      <w:r w:rsidRPr="00490F7A">
        <w:rPr>
          <w:vertAlign w:val="superscript"/>
        </w:rPr>
        <w:footnoteRef/>
      </w:r>
      <w:r w:rsidRPr="00490F7A">
        <w:t>.</w:t>
      </w:r>
      <w:r w:rsidRPr="00490F7A">
        <w:tab/>
        <w:t xml:space="preserve">Stakeholder Roundtable (7 April 2021). See also Elena Campbell et al., </w:t>
      </w:r>
      <w:r w:rsidRPr="00490F7A">
        <w:rPr>
          <w:rStyle w:val="LightItalic"/>
          <w:rFonts w:ascii="Verdana" w:hAnsi="Verdana"/>
        </w:rPr>
        <w:t>The PIPA Project: Positive Interventions for Perpetrators of Adolescent Violence in the Home (AVITH)</w:t>
      </w:r>
      <w:r w:rsidRPr="00490F7A">
        <w:t>, ANROWS Research Report Issue 4</w:t>
      </w:r>
      <w:r w:rsidRPr="00490F7A">
        <w:rPr>
          <w:rStyle w:val="LightItalic"/>
          <w:rFonts w:ascii="Verdana" w:hAnsi="Verdana"/>
        </w:rPr>
        <w:t xml:space="preserve"> </w:t>
      </w:r>
      <w:r w:rsidRPr="00490F7A">
        <w:t>(2020) 30– 32.</w:t>
      </w:r>
    </w:p>
  </w:footnote>
  <w:footnote w:id="165">
    <w:p w14:paraId="6C830F4E" w14:textId="73A8436C" w:rsidR="00EB0405" w:rsidRPr="00490F7A" w:rsidRDefault="00EB0405" w:rsidP="00C81857">
      <w:pPr>
        <w:pStyle w:val="Footnote"/>
      </w:pPr>
      <w:r w:rsidRPr="00490F7A">
        <w:rPr>
          <w:vertAlign w:val="superscript"/>
        </w:rPr>
        <w:footnoteRef/>
      </w:r>
      <w:r w:rsidRPr="00490F7A">
        <w:t>.</w:t>
      </w:r>
      <w:r w:rsidRPr="00490F7A">
        <w:tab/>
        <w:t>Meeting with Magistrates’ Court (1 April 2021); Stakeholder Roundtable (7 April 2021).</w:t>
      </w:r>
    </w:p>
  </w:footnote>
  <w:footnote w:id="166">
    <w:p w14:paraId="42D17B47" w14:textId="206712B9" w:rsidR="00EB0405" w:rsidRPr="00490F7A" w:rsidRDefault="00EB0405" w:rsidP="00C81857">
      <w:pPr>
        <w:pStyle w:val="Footnote"/>
      </w:pPr>
      <w:r w:rsidRPr="00490F7A">
        <w:rPr>
          <w:vertAlign w:val="superscript"/>
        </w:rPr>
        <w:footnoteRef/>
      </w:r>
      <w:r w:rsidRPr="00490F7A">
        <w:t>.</w:t>
      </w:r>
      <w:r w:rsidRPr="00490F7A">
        <w:tab/>
        <w:t xml:space="preserve">Many cases in the Children’s Court (including 81% of those for which children were held on remand in 2017–18) involve two or more cases that were consolidated by the time of sentencing; this is done for efficiency and to better deal with the child’s offending behaviour: see Sentencing Advisory Council, </w:t>
      </w:r>
      <w:r w:rsidRPr="00490F7A">
        <w:rPr>
          <w:rStyle w:val="LightItalic"/>
          <w:rFonts w:ascii="Verdana" w:hAnsi="Verdana"/>
        </w:rPr>
        <w:t xml:space="preserve">Children Held on Remand in Victoria </w:t>
      </w:r>
      <w:r w:rsidRPr="00490F7A">
        <w:t>(2020) 39.</w:t>
      </w:r>
    </w:p>
  </w:footnote>
  <w:footnote w:id="167">
    <w:p w14:paraId="51816029" w14:textId="2D460CB7" w:rsidR="00EB0405" w:rsidRPr="00490F7A" w:rsidRDefault="00EB0405" w:rsidP="00C81857">
      <w:pPr>
        <w:pStyle w:val="Footnote"/>
      </w:pPr>
      <w:r w:rsidRPr="00490F7A">
        <w:rPr>
          <w:vertAlign w:val="superscript"/>
        </w:rPr>
        <w:footnoteRef/>
      </w:r>
      <w:r w:rsidRPr="00490F7A">
        <w:t>.</w:t>
      </w:r>
      <w:r w:rsidRPr="00490F7A">
        <w:tab/>
        <w:t>In consolidated data, each offender is counted only once by their most serious threat. However, because some people may have offended repeatedly, the percentages may add up to more than 100% when data is split into categories. The percentages outlined at [6.6] and in Figure 22 may vary from those in the co-sentenced offence tables because they are restricted to co-sentenced offences for which offence dates are available.</w:t>
      </w:r>
    </w:p>
  </w:footnote>
  <w:footnote w:id="168">
    <w:p w14:paraId="68FD7883" w14:textId="389B66F2" w:rsidR="00EB0405" w:rsidRPr="00490F7A" w:rsidRDefault="00EB0405" w:rsidP="001F5F6A">
      <w:pPr>
        <w:pStyle w:val="Footnote"/>
      </w:pPr>
      <w:r w:rsidRPr="00490F7A">
        <w:rPr>
          <w:vertAlign w:val="superscript"/>
        </w:rPr>
        <w:footnoteRef/>
      </w:r>
      <w:r w:rsidRPr="00490F7A">
        <w:t>.</w:t>
      </w:r>
      <w:r w:rsidRPr="00490F7A">
        <w:tab/>
        <w:t xml:space="preserve">A violent offence was defined as any offence falling under ANZSOC subdivision code 021 (excluding threats). A property damage offence was defined as any offence falling under ANZSOC code 1211 or 1219: Australian Bureau of Statistics, </w:t>
      </w:r>
      <w:r w:rsidRPr="00490F7A">
        <w:rPr>
          <w:rStyle w:val="LightItalic"/>
          <w:rFonts w:ascii="Verdana" w:hAnsi="Verdana"/>
        </w:rPr>
        <w:t>Australian and New Zealand Standard Offence Classification (ANZSOC)</w:t>
      </w:r>
      <w:r w:rsidRPr="00490F7A">
        <w:t xml:space="preserve">, cat. no. 1234.0 (2011) Division 02, Division 12. A breach of family violence order was defined as any offence against the </w:t>
      </w:r>
      <w:r w:rsidRPr="00490F7A">
        <w:rPr>
          <w:rStyle w:val="LightItalic"/>
          <w:rFonts w:ascii="Verdana" w:hAnsi="Verdana"/>
        </w:rPr>
        <w:t xml:space="preserve">Family Violence Protection Act 2008 </w:t>
      </w:r>
      <w:r w:rsidRPr="00490F7A">
        <w:t>(Vic) ss 37(1), 37(2), 37A(2), 125A(1), 123(2), 123A(2), 129(5) or 130(4).</w:t>
      </w:r>
    </w:p>
  </w:footnote>
  <w:footnote w:id="169">
    <w:p w14:paraId="65F17924" w14:textId="1FD61448" w:rsidR="00EB0405" w:rsidRPr="00490F7A" w:rsidRDefault="00EB0405" w:rsidP="00B9100E">
      <w:pPr>
        <w:pStyle w:val="Footnote"/>
      </w:pPr>
      <w:r w:rsidRPr="00490F7A">
        <w:rPr>
          <w:vertAlign w:val="superscript"/>
        </w:rPr>
        <w:footnoteRef/>
      </w:r>
      <w:r w:rsidRPr="00490F7A">
        <w:t>.</w:t>
      </w:r>
      <w:r w:rsidRPr="00490F7A">
        <w:tab/>
        <w:t>Meeting with Magistrates’ Court (1 April 2021).</w:t>
      </w:r>
    </w:p>
  </w:footnote>
  <w:footnote w:id="170">
    <w:p w14:paraId="413EAA05" w14:textId="72D4D184" w:rsidR="00EB0405" w:rsidRPr="00490F7A" w:rsidRDefault="00EB0405" w:rsidP="00B9100E">
      <w:pPr>
        <w:pStyle w:val="Footnote"/>
      </w:pPr>
      <w:r w:rsidRPr="00490F7A">
        <w:rPr>
          <w:vertAlign w:val="superscript"/>
        </w:rPr>
        <w:footnoteRef/>
      </w:r>
      <w:r w:rsidRPr="00490F7A">
        <w:t>.</w:t>
      </w:r>
      <w:r w:rsidRPr="00490F7A">
        <w:tab/>
        <w:t xml:space="preserve">Meeting with Magistrates’ Court (1 April 2021); Stakeholder Roundtable (7 April 2021). </w:t>
      </w:r>
    </w:p>
  </w:footnote>
  <w:footnote w:id="171">
    <w:p w14:paraId="49D7F2CE" w14:textId="69769A1B" w:rsidR="00EB0405" w:rsidRPr="00490F7A" w:rsidRDefault="00EB0405" w:rsidP="00B9100E">
      <w:pPr>
        <w:pStyle w:val="Footnote"/>
      </w:pPr>
      <w:r w:rsidRPr="00490F7A">
        <w:rPr>
          <w:vertAlign w:val="superscript"/>
        </w:rPr>
        <w:footnoteRef/>
      </w:r>
      <w:r w:rsidRPr="00490F7A">
        <w:t>.</w:t>
      </w:r>
      <w:r w:rsidRPr="00490F7A">
        <w:tab/>
        <w:t>Victorian Government (2018), above n 5, 28.</w:t>
      </w:r>
    </w:p>
  </w:footnote>
  <w:footnote w:id="172">
    <w:p w14:paraId="6B84700E" w14:textId="0602E00B" w:rsidR="00EB0405" w:rsidRPr="00490F7A" w:rsidRDefault="00EB0405" w:rsidP="00B9100E">
      <w:pPr>
        <w:pStyle w:val="Footnote"/>
      </w:pPr>
      <w:r w:rsidRPr="00490F7A">
        <w:rPr>
          <w:vertAlign w:val="superscript"/>
        </w:rPr>
        <w:footnoteRef/>
      </w:r>
      <w:r w:rsidRPr="00490F7A">
        <w:t>.</w:t>
      </w:r>
      <w:r w:rsidRPr="00490F7A">
        <w:tab/>
        <w:t>While not presented in Table 4, threats were co-sentenced with rape offences in 7% of higher courts cases (27 cases).</w:t>
      </w:r>
    </w:p>
  </w:footnote>
  <w:footnote w:id="173">
    <w:p w14:paraId="6C4F8C26" w14:textId="03601687" w:rsidR="00EB0405" w:rsidRPr="00490F7A" w:rsidRDefault="00EB0405" w:rsidP="00766F08">
      <w:pPr>
        <w:pStyle w:val="Footnote"/>
      </w:pPr>
      <w:r w:rsidRPr="00490F7A">
        <w:rPr>
          <w:vertAlign w:val="superscript"/>
        </w:rPr>
        <w:footnoteRef/>
      </w:r>
      <w:r w:rsidRPr="00490F7A">
        <w:t>.</w:t>
      </w:r>
      <w:r w:rsidRPr="00490F7A">
        <w:tab/>
        <w:t>For example, a threat may be made to prevent a victim from reporting to the police, rather than to have the victim hand over the property: Stakeholder Roundtable (7 April 2021).</w:t>
      </w:r>
    </w:p>
  </w:footnote>
  <w:footnote w:id="174">
    <w:p w14:paraId="6D54743B" w14:textId="184CD8F7" w:rsidR="00EB0405" w:rsidRPr="00490F7A" w:rsidRDefault="00EB0405" w:rsidP="00766F08">
      <w:pPr>
        <w:pStyle w:val="Footnote"/>
      </w:pPr>
      <w:r w:rsidRPr="00490F7A">
        <w:rPr>
          <w:vertAlign w:val="superscript"/>
        </w:rPr>
        <w:footnoteRef/>
      </w:r>
      <w:r w:rsidRPr="00490F7A">
        <w:t>.</w:t>
      </w:r>
      <w:r w:rsidRPr="00490F7A">
        <w:tab/>
        <w:t>Cells left blank intentionally as offences are not among the 10 most commonly co-sentenced offences for each respective threat.</w:t>
      </w:r>
    </w:p>
  </w:footnote>
  <w:footnote w:id="175">
    <w:p w14:paraId="6B0BA3E4" w14:textId="40F0CE50" w:rsidR="00EB0405" w:rsidRPr="00490F7A" w:rsidRDefault="00EB0405" w:rsidP="007F4F69">
      <w:pPr>
        <w:pStyle w:val="Footnote"/>
      </w:pPr>
      <w:r w:rsidRPr="00490F7A">
        <w:rPr>
          <w:vertAlign w:val="superscript"/>
        </w:rPr>
        <w:footnoteRef/>
      </w:r>
      <w:r w:rsidRPr="00490F7A">
        <w:t>.</w:t>
      </w:r>
      <w:r w:rsidRPr="00490F7A">
        <w:tab/>
        <w:t xml:space="preserve">A stalking offence was co-sentenced alongside threat offences in 4.5% of all threat cases sentenced in the Magistrates’ Court during the reference period. </w:t>
      </w:r>
    </w:p>
  </w:footnote>
  <w:footnote w:id="176">
    <w:p w14:paraId="39355F73" w14:textId="71279FA3" w:rsidR="00EB0405" w:rsidRPr="00490F7A" w:rsidRDefault="00EB0405" w:rsidP="007F4F69">
      <w:pPr>
        <w:pStyle w:val="Footnote"/>
      </w:pPr>
      <w:r w:rsidRPr="00490F7A">
        <w:rPr>
          <w:vertAlign w:val="superscript"/>
        </w:rPr>
        <w:footnoteRef/>
      </w:r>
      <w:r w:rsidRPr="00490F7A">
        <w:t>.</w:t>
      </w:r>
      <w:r w:rsidRPr="00490F7A">
        <w:tab/>
        <w:t>Flowers et al. (2020), above n 71, 911, 915–916.</w:t>
      </w:r>
    </w:p>
  </w:footnote>
  <w:footnote w:id="177">
    <w:p w14:paraId="1C85F63E" w14:textId="1CAB456D" w:rsidR="00EB0405" w:rsidRPr="00490F7A" w:rsidRDefault="00EB0405" w:rsidP="00715506">
      <w:pPr>
        <w:pStyle w:val="Footnote"/>
      </w:pPr>
      <w:r w:rsidRPr="00490F7A">
        <w:rPr>
          <w:vertAlign w:val="superscript"/>
        </w:rPr>
        <w:footnoteRef/>
      </w:r>
      <w:r w:rsidRPr="00490F7A">
        <w:t>.</w:t>
      </w:r>
      <w:r w:rsidRPr="00490F7A">
        <w:tab/>
      </w:r>
      <w:r w:rsidRPr="00490F7A">
        <w:rPr>
          <w:rStyle w:val="LightItalic"/>
          <w:rFonts w:ascii="Verdana" w:hAnsi="Verdana"/>
        </w:rPr>
        <w:t xml:space="preserve">Crimes Act 1958 </w:t>
      </w:r>
      <w:r w:rsidRPr="00490F7A">
        <w:t>(Vic) ss 21A(2)(da), 21A(2)(g)(ii).</w:t>
      </w:r>
    </w:p>
  </w:footnote>
  <w:footnote w:id="178">
    <w:p w14:paraId="0AD525D3" w14:textId="71932144" w:rsidR="00EB0405" w:rsidRPr="00490F7A" w:rsidRDefault="00EB0405" w:rsidP="00715506">
      <w:pPr>
        <w:pStyle w:val="Footnote"/>
      </w:pPr>
      <w:r w:rsidRPr="00490F7A">
        <w:rPr>
          <w:vertAlign w:val="superscript"/>
        </w:rPr>
        <w:footnoteRef/>
      </w:r>
      <w:r w:rsidRPr="00490F7A">
        <w:t>.</w:t>
      </w:r>
      <w:r w:rsidRPr="00490F7A">
        <w:tab/>
        <w:t xml:space="preserve">Stakeholder Roundtable (7 April 2021). </w:t>
      </w:r>
    </w:p>
  </w:footnote>
  <w:footnote w:id="179">
    <w:p w14:paraId="059B4AD4" w14:textId="34701029" w:rsidR="00EB0405" w:rsidRPr="00490F7A" w:rsidRDefault="00EB0405" w:rsidP="00715506">
      <w:pPr>
        <w:pStyle w:val="Footnote"/>
      </w:pPr>
      <w:r w:rsidRPr="00490F7A">
        <w:rPr>
          <w:vertAlign w:val="superscript"/>
        </w:rPr>
        <w:footnoteRef/>
      </w:r>
      <w:r w:rsidRPr="00490F7A">
        <w:t>.</w:t>
      </w:r>
      <w:r w:rsidRPr="00490F7A">
        <w:tab/>
        <w:t>Cells left blank intentionally as offences are not among the 10 most commonly co-sentenced offences for each respective threat.</w:t>
      </w:r>
    </w:p>
  </w:footnote>
  <w:footnote w:id="180">
    <w:p w14:paraId="590AA9E6" w14:textId="5F358825" w:rsidR="00EB0405" w:rsidRPr="00D05F89" w:rsidRDefault="00EB0405" w:rsidP="00D05F89">
      <w:pPr>
        <w:pStyle w:val="Footnote"/>
        <w:rPr>
          <w:spacing w:val="-1"/>
        </w:rPr>
      </w:pPr>
      <w:r w:rsidRPr="00490F7A">
        <w:rPr>
          <w:vertAlign w:val="superscript"/>
        </w:rPr>
        <w:footnoteRef/>
      </w:r>
      <w:r w:rsidRPr="00490F7A">
        <w:t>.</w:t>
      </w:r>
      <w:r w:rsidRPr="00490F7A">
        <w:tab/>
        <w:t xml:space="preserve">Sentencing Advisory Council, </w:t>
      </w:r>
      <w:r w:rsidRPr="00490F7A">
        <w:rPr>
          <w:rStyle w:val="LightItalic"/>
          <w:rFonts w:ascii="Verdana" w:hAnsi="Verdana"/>
        </w:rPr>
        <w:t xml:space="preserve">Reoffending Following Sentence in Victoria: A Statistical Overview </w:t>
      </w:r>
      <w:r w:rsidRPr="00490F7A">
        <w:t xml:space="preserve">(2015) 8. This is distinct from data </w:t>
      </w:r>
      <w:r w:rsidRPr="00490F7A">
        <w:rPr>
          <w:spacing w:val="-1"/>
        </w:rPr>
        <w:t xml:space="preserve">published by the Productivity Commission that sets out the two-year reoffending rate (defined as a return to custody or to community corrections) among prisoners on release. Restricting the dataset to offenders who have been </w:t>
      </w:r>
      <w:r w:rsidRPr="00490F7A">
        <w:rPr>
          <w:rStyle w:val="LightItalic"/>
          <w:rFonts w:ascii="Verdana" w:hAnsi="Verdana"/>
          <w:spacing w:val="-1"/>
        </w:rPr>
        <w:t xml:space="preserve">imprisoned </w:t>
      </w:r>
      <w:r w:rsidRPr="00490F7A">
        <w:rPr>
          <w:spacing w:val="-1"/>
        </w:rPr>
        <w:t xml:space="preserve">results in far higher reoffending rates. In Victoria in 2019–20, 44.2% of prisoners returned to prison within two years, and a further 10.6% did not return to prison but returned to community corrections: Productivity Commission, </w:t>
      </w:r>
      <w:r w:rsidRPr="00490F7A">
        <w:rPr>
          <w:rStyle w:val="LightItalic"/>
          <w:rFonts w:ascii="Verdana" w:hAnsi="Verdana"/>
          <w:spacing w:val="-1"/>
        </w:rPr>
        <w:t xml:space="preserve">Report on Government Services 2021: C Justice </w:t>
      </w:r>
      <w:r w:rsidRPr="00490F7A">
        <w:rPr>
          <w:spacing w:val="-1"/>
        </w:rPr>
        <w:t xml:space="preserve">(2021) Data Tables CA.4. </w:t>
      </w:r>
    </w:p>
  </w:footnote>
  <w:footnote w:id="181">
    <w:p w14:paraId="61142B40" w14:textId="23B4D90C" w:rsidR="00EB0405" w:rsidRPr="00490F7A" w:rsidRDefault="00EB0405" w:rsidP="00D05F89">
      <w:pPr>
        <w:pStyle w:val="Footnote"/>
      </w:pPr>
      <w:r w:rsidRPr="00490F7A">
        <w:rPr>
          <w:vertAlign w:val="superscript"/>
        </w:rPr>
        <w:footnoteRef/>
      </w:r>
      <w:r w:rsidRPr="00490F7A">
        <w:t>.</w:t>
      </w:r>
      <w:r w:rsidRPr="00490F7A">
        <w:tab/>
        <w:t xml:space="preserve">For an overview of reoffending rates within four years for each of those categories, see Sentencing Advisory Council, </w:t>
      </w:r>
      <w:r w:rsidRPr="00490F7A">
        <w:rPr>
          <w:rStyle w:val="LightItalic"/>
          <w:rFonts w:ascii="Verdana" w:hAnsi="Verdana"/>
        </w:rPr>
        <w:t xml:space="preserve">Animal Cruelty Offences in Victoria </w:t>
      </w:r>
      <w:r w:rsidRPr="00490F7A">
        <w:t>(2019) 58.</w:t>
      </w:r>
    </w:p>
  </w:footnote>
  <w:footnote w:id="182">
    <w:p w14:paraId="7907EEB9" w14:textId="5ED00937" w:rsidR="00EB0405" w:rsidRPr="00490F7A" w:rsidRDefault="00EB0405" w:rsidP="0026724E">
      <w:pPr>
        <w:pStyle w:val="Footnote"/>
      </w:pPr>
      <w:r w:rsidRPr="00490F7A">
        <w:rPr>
          <w:vertAlign w:val="superscript"/>
        </w:rPr>
        <w:footnoteRef/>
      </w:r>
      <w:r w:rsidRPr="00490F7A">
        <w:t>.</w:t>
      </w:r>
      <w:r w:rsidRPr="00490F7A">
        <w:tab/>
        <w:t>Stakeholder Roundtable (7 April 2021).</w:t>
      </w:r>
    </w:p>
  </w:footnote>
  <w:footnote w:id="183">
    <w:p w14:paraId="75E95C82" w14:textId="6DFE7EFC" w:rsidR="00EB0405" w:rsidRPr="00490F7A" w:rsidRDefault="00EB0405" w:rsidP="0026724E">
      <w:pPr>
        <w:pStyle w:val="Footnote"/>
      </w:pPr>
      <w:r w:rsidRPr="00490F7A">
        <w:rPr>
          <w:vertAlign w:val="superscript"/>
        </w:rPr>
        <w:footnoteRef/>
      </w:r>
      <w:r w:rsidRPr="00490F7A">
        <w:t>.</w:t>
      </w:r>
      <w:r w:rsidRPr="00490F7A">
        <w:tab/>
        <w:t xml:space="preserve">This reoffending rate calculation does not track the </w:t>
      </w:r>
      <w:r w:rsidRPr="00490F7A">
        <w:rPr>
          <w:rStyle w:val="LightItalic"/>
          <w:rFonts w:ascii="Verdana" w:hAnsi="Verdana"/>
        </w:rPr>
        <w:t xml:space="preserve">number </w:t>
      </w:r>
      <w:r w:rsidRPr="00490F7A">
        <w:t>of subsequent offences committed by any given offender nor their association with any particular victim. It simply tracks whether or not an offender was sentenced on at least one occasion for a qualifying offence.</w:t>
      </w:r>
    </w:p>
  </w:footnote>
  <w:footnote w:id="184">
    <w:p w14:paraId="4AA74964" w14:textId="575A7AFD" w:rsidR="00EB0405" w:rsidRPr="00490F7A" w:rsidRDefault="00EB0405" w:rsidP="0026724E">
      <w:pPr>
        <w:pStyle w:val="Footnote"/>
      </w:pPr>
      <w:r w:rsidRPr="00490F7A">
        <w:rPr>
          <w:vertAlign w:val="superscript"/>
        </w:rPr>
        <w:footnoteRef/>
      </w:r>
      <w:r w:rsidRPr="00490F7A">
        <w:t>.</w:t>
      </w:r>
      <w:r w:rsidRPr="00490F7A">
        <w:tab/>
        <w:t>This is defined as any offence attracting an ANZSOC classification code of 021 (assault) other than threat offences or an ANZSOC classification code of 01 (homicide and related offences) aside from 0132 (driving causing death): Australian Bureau of Statistics (2011), above n 168, Division 01.</w:t>
      </w:r>
    </w:p>
  </w:footnote>
  <w:footnote w:id="185">
    <w:p w14:paraId="2E75CCA9" w14:textId="5FD17CD1" w:rsidR="00EB0405" w:rsidRPr="00490F7A" w:rsidRDefault="00EB0405" w:rsidP="00075C45">
      <w:pPr>
        <w:pStyle w:val="Footnote"/>
      </w:pPr>
      <w:r w:rsidRPr="00490F7A">
        <w:rPr>
          <w:vertAlign w:val="superscript"/>
        </w:rPr>
        <w:footnoteRef/>
      </w:r>
      <w:r w:rsidRPr="00490F7A">
        <w:t>.</w:t>
      </w:r>
      <w:r w:rsidRPr="00490F7A">
        <w:tab/>
        <w:t xml:space="preserve">Stakeholder Roundtable (7 April 2021); see also Sentencing Advisory Council, </w:t>
      </w:r>
      <w:r w:rsidRPr="00490F7A">
        <w:rPr>
          <w:rStyle w:val="LightItalic"/>
          <w:rFonts w:ascii="Verdana" w:hAnsi="Verdana"/>
        </w:rPr>
        <w:t>Crossover Kids: Vulnerable Children in the Youth Justice System Report 1</w:t>
      </w:r>
      <w:r w:rsidRPr="00490F7A">
        <w:t xml:space="preserve"> (2019) 37–39; Sentencing Advisory Council (2020), above n 38, 16–26.</w:t>
      </w:r>
    </w:p>
  </w:footnote>
  <w:footnote w:id="186">
    <w:p w14:paraId="472BC672" w14:textId="0EC612F2" w:rsidR="00EB0405" w:rsidRPr="00490F7A" w:rsidRDefault="00EB0405" w:rsidP="00075C45">
      <w:pPr>
        <w:pStyle w:val="Footnote"/>
      </w:pPr>
      <w:r w:rsidRPr="00490F7A">
        <w:rPr>
          <w:vertAlign w:val="superscript"/>
        </w:rPr>
        <w:footnoteRef/>
      </w:r>
      <w:r w:rsidRPr="00490F7A">
        <w:t>.</w:t>
      </w:r>
      <w:r w:rsidRPr="00490F7A">
        <w:tab/>
        <w:t xml:space="preserve">The one exception, threat to assault an emergency worker, was based on very few offenders. </w:t>
      </w:r>
    </w:p>
  </w:footnote>
  <w:footnote w:id="187">
    <w:p w14:paraId="5289DD75" w14:textId="7D2185AF" w:rsidR="00EB0405" w:rsidRPr="00490F7A" w:rsidRDefault="00EB0405" w:rsidP="007B71C2">
      <w:pPr>
        <w:pStyle w:val="Footnote"/>
      </w:pPr>
      <w:r w:rsidRPr="00490F7A">
        <w:rPr>
          <w:vertAlign w:val="superscript"/>
        </w:rPr>
        <w:footnoteRef/>
      </w:r>
      <w:r w:rsidRPr="00490F7A">
        <w:t>.</w:t>
      </w:r>
      <w:r w:rsidRPr="00490F7A">
        <w:tab/>
        <w:t>Participant at Stakeholder Roundtable (7 April 2021).</w:t>
      </w:r>
    </w:p>
  </w:footnote>
  <w:footnote w:id="188">
    <w:p w14:paraId="72C08D7F" w14:textId="0A1292CC" w:rsidR="00EB0405" w:rsidRPr="00490F7A" w:rsidRDefault="00EB0405" w:rsidP="007B71C2">
      <w:pPr>
        <w:pStyle w:val="Footnote"/>
      </w:pPr>
      <w:r w:rsidRPr="00490F7A">
        <w:rPr>
          <w:vertAlign w:val="superscript"/>
        </w:rPr>
        <w:footnoteRef/>
      </w:r>
      <w:r w:rsidRPr="00490F7A">
        <w:t>.</w:t>
      </w:r>
      <w:r w:rsidRPr="00490F7A">
        <w:tab/>
        <w:t>Victorian Government (2018), above n 5 (this includes threats to harm the victim or family members, threats to kill the victim, threats to harm or kill pets or other animals, and threats to self-harm or of suicide).</w:t>
      </w:r>
    </w:p>
  </w:footnote>
  <w:footnote w:id="189">
    <w:p w14:paraId="2BB8B268" w14:textId="231D6D76" w:rsidR="00EB0405" w:rsidRPr="00490F7A" w:rsidRDefault="00EB0405" w:rsidP="00E240B2">
      <w:pPr>
        <w:pStyle w:val="Footnote"/>
      </w:pPr>
      <w:r w:rsidRPr="00490F7A">
        <w:rPr>
          <w:vertAlign w:val="superscript"/>
        </w:rPr>
        <w:footnoteRef/>
      </w:r>
      <w:r w:rsidRPr="00490F7A">
        <w:t>.</w:t>
      </w:r>
      <w:r w:rsidRPr="00490F7A">
        <w:tab/>
        <w:t xml:space="preserve">Due to the number of potential substantive charges that could correspond to a threat to inflict serious injury, this analysis was not conducted for that threat type. However, the overall violent reoffending rate of 33% following a threat to inflict serious injury provides a ceiling. </w:t>
      </w:r>
    </w:p>
  </w:footnote>
  <w:footnote w:id="190">
    <w:p w14:paraId="25F14D85" w14:textId="3AFD1E69" w:rsidR="00EB0405" w:rsidRPr="00490F7A" w:rsidRDefault="00EB0405" w:rsidP="00E240B2">
      <w:pPr>
        <w:pStyle w:val="Footnote"/>
      </w:pPr>
      <w:r w:rsidRPr="00490F7A">
        <w:rPr>
          <w:vertAlign w:val="superscript"/>
        </w:rPr>
        <w:footnoteRef/>
      </w:r>
      <w:r w:rsidRPr="00490F7A">
        <w:t>.</w:t>
      </w:r>
      <w:r w:rsidRPr="00490F7A">
        <w:tab/>
        <w:t>The threats and the homicides were not necessarily committed against the same victim – sentencing data does not track victim identity. Though only a small percentage of threat offenders committed homicide, academic research suggests that a large percentage of homicide victims were threatened before they were killed: see [2.27]–[2.30].</w:t>
      </w:r>
    </w:p>
  </w:footnote>
  <w:footnote w:id="191">
    <w:p w14:paraId="33A4339D" w14:textId="660C3E62" w:rsidR="00EB0405" w:rsidRPr="00490F7A" w:rsidRDefault="00EB0405" w:rsidP="00576629">
      <w:pPr>
        <w:pStyle w:val="Footnote"/>
      </w:pPr>
      <w:r w:rsidRPr="00490F7A">
        <w:rPr>
          <w:vertAlign w:val="superscript"/>
        </w:rPr>
        <w:footnoteRef/>
      </w:r>
      <w:r w:rsidRPr="00490F7A">
        <w:t>.</w:t>
      </w:r>
      <w:r w:rsidRPr="00490F7A">
        <w:tab/>
        <w:t xml:space="preserve">The threat offence and the substantive offence were not necessarily committed against the same victim. </w:t>
      </w:r>
    </w:p>
  </w:footnote>
  <w:footnote w:id="192">
    <w:p w14:paraId="2F9A3529" w14:textId="0E797F10" w:rsidR="00EB0405" w:rsidRPr="00490F7A" w:rsidRDefault="00EB0405" w:rsidP="00576629">
      <w:pPr>
        <w:pStyle w:val="Footnote"/>
      </w:pPr>
      <w:r w:rsidRPr="00490F7A">
        <w:rPr>
          <w:vertAlign w:val="superscript"/>
        </w:rPr>
        <w:footnoteRef/>
      </w:r>
      <w:r w:rsidRPr="00490F7A">
        <w:t>.</w:t>
      </w:r>
      <w:r w:rsidRPr="00490F7A">
        <w:tab/>
        <w:t>Stakeholder Roundtable (7 April 2021).</w:t>
      </w:r>
    </w:p>
  </w:footnote>
  <w:footnote w:id="193">
    <w:p w14:paraId="065F87D4" w14:textId="7145667B" w:rsidR="00EB0405" w:rsidRPr="00490F7A" w:rsidRDefault="00EB0405" w:rsidP="00576629">
      <w:pPr>
        <w:pStyle w:val="Footnote"/>
      </w:pPr>
      <w:r w:rsidRPr="00490F7A">
        <w:rPr>
          <w:vertAlign w:val="superscript"/>
        </w:rPr>
        <w:footnoteRef/>
      </w:r>
      <w:r w:rsidRPr="00490F7A">
        <w:t>.</w:t>
      </w:r>
      <w:r w:rsidRPr="00490F7A">
        <w:tab/>
        <w:t xml:space="preserve">Regulatory driving offences include driving while disqualified or suspended, using an unregistered motor vehicle and unlicensed driving: </w:t>
      </w:r>
      <w:r w:rsidRPr="00490F7A">
        <w:rPr>
          <w:rStyle w:val="LightItalic"/>
          <w:rFonts w:ascii="Verdana" w:hAnsi="Verdana"/>
        </w:rPr>
        <w:t xml:space="preserve">Road Safety Act 1986 </w:t>
      </w:r>
      <w:r w:rsidRPr="00490F7A">
        <w:t>(Vic) ss 7(1)(a), 18(1)(a), 30(1). Other regulatory driving offences could also be included in this category, but these three were especially prevalent.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EF36" w14:textId="72E59595" w:rsidR="00EB0405" w:rsidRPr="004C4F65" w:rsidRDefault="00EB0405" w:rsidP="00032D93">
    <w:pPr>
      <w:spacing w:before="0" w:after="320" w:line="276" w:lineRule="auto"/>
      <w:rPr>
        <w:sz w:val="20"/>
        <w:szCs w:val="20"/>
      </w:rPr>
    </w:pPr>
    <w:r w:rsidRPr="0057222A">
      <w:rPr>
        <w:i/>
        <w:iCs/>
        <w:sz w:val="20"/>
        <w:szCs w:val="20"/>
      </w:rPr>
      <w:t>Threat Offences in Victoria: Sentencing Outcomes and Reoffending</w:t>
    </w:r>
    <w:r w:rsidRPr="004C4F65">
      <w:rPr>
        <w:sz w:val="20"/>
        <w:szCs w:val="20"/>
      </w:rPr>
      <w:t xml:space="preserve"> </w:t>
    </w:r>
    <w:r w:rsidRPr="004C4F65">
      <w:rPr>
        <w:rFonts w:cs="Arial"/>
        <w:sz w:val="20"/>
        <w:szCs w:val="20"/>
      </w:rPr>
      <w:t>●</w:t>
    </w:r>
    <w:r w:rsidRPr="004C4F65">
      <w:rPr>
        <w:sz w:val="20"/>
        <w:szCs w:val="20"/>
      </w:rPr>
      <w:t xml:space="preserve"> </w:t>
    </w:r>
    <w:r>
      <w:rPr>
        <w:sz w:val="20"/>
        <w:szCs w:val="20"/>
      </w:rPr>
      <w:t>June 2021</w:t>
    </w:r>
    <w:r w:rsidRPr="004C4F65">
      <w:rPr>
        <w:sz w:val="20"/>
        <w:szCs w:val="20"/>
      </w:rPr>
      <w:t xml:space="preserve"> </w:t>
    </w:r>
    <w:r w:rsidRPr="004C4F65">
      <w:rPr>
        <w:rFonts w:cs="Arial"/>
        <w:sz w:val="20"/>
        <w:szCs w:val="20"/>
      </w:rPr>
      <w:t>●</w:t>
    </w:r>
    <w:r w:rsidRPr="004C4F65">
      <w:rPr>
        <w:sz w:val="20"/>
        <w:szCs w:val="20"/>
      </w:rPr>
      <w:t xml:space="preserve"> Sentencing Advisory Council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97F"/>
    <w:multiLevelType w:val="hybridMultilevel"/>
    <w:tmpl w:val="2826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06CDB"/>
    <w:multiLevelType w:val="hybridMultilevel"/>
    <w:tmpl w:val="53624E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2E44F8"/>
    <w:multiLevelType w:val="hybridMultilevel"/>
    <w:tmpl w:val="B18610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11449"/>
    <w:multiLevelType w:val="hybridMultilevel"/>
    <w:tmpl w:val="BFB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E10FE"/>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BD2207"/>
    <w:multiLevelType w:val="hybridMultilevel"/>
    <w:tmpl w:val="1F7E7B3A"/>
    <w:lvl w:ilvl="0" w:tplc="B6348BB6">
      <w:start w:val="1"/>
      <w:numFmt w:val="bullet"/>
      <w:pStyle w:val="Bullets"/>
      <w:lvlText w:val=""/>
      <w:lvlJc w:val="left"/>
      <w:pPr>
        <w:ind w:left="1296" w:hanging="360"/>
      </w:pPr>
      <w:rPr>
        <w:rFonts w:ascii="Symbol" w:hAnsi="Symbol" w:hint="default"/>
      </w:rPr>
    </w:lvl>
    <w:lvl w:ilvl="1" w:tplc="0C090003">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6" w15:restartNumberingAfterBreak="0">
    <w:nsid w:val="440E103F"/>
    <w:multiLevelType w:val="hybridMultilevel"/>
    <w:tmpl w:val="B18610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B47A8D"/>
    <w:multiLevelType w:val="hybridMultilevel"/>
    <w:tmpl w:val="B18610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EF05FB"/>
    <w:multiLevelType w:val="hybridMultilevel"/>
    <w:tmpl w:val="B18610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724048"/>
    <w:multiLevelType w:val="multilevel"/>
    <w:tmpl w:val="16FABB18"/>
    <w:lvl w:ilvl="0">
      <w:start w:val="1"/>
      <w:numFmt w:val="decimal"/>
      <w:pStyle w:val="Heading1Numbered"/>
      <w:lvlText w:val="%1"/>
      <w:lvlJc w:val="left"/>
      <w:pPr>
        <w:ind w:left="432" w:hanging="432"/>
      </w:pPr>
      <w:rPr>
        <w:rFonts w:hint="default"/>
      </w:rPr>
    </w:lvl>
    <w:lvl w:ilvl="1">
      <w:start w:val="1"/>
      <w:numFmt w:val="decimal"/>
      <w:pStyle w:val="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9517581"/>
    <w:multiLevelType w:val="hybridMultilevel"/>
    <w:tmpl w:val="62D62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0"/>
  </w:num>
  <w:num w:numId="6">
    <w:abstractNumId w:val="3"/>
  </w:num>
  <w:num w:numId="7">
    <w:abstractNumId w:val="4"/>
  </w:num>
  <w:num w:numId="8">
    <w:abstractNumId w:val="7"/>
  </w:num>
  <w:num w:numId="9">
    <w:abstractNumId w:val="8"/>
  </w:num>
  <w:num w:numId="10">
    <w:abstractNumId w:val="2"/>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992"/>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9A"/>
    <w:rsid w:val="000014F1"/>
    <w:rsid w:val="00005983"/>
    <w:rsid w:val="00005C26"/>
    <w:rsid w:val="0000740A"/>
    <w:rsid w:val="000074C0"/>
    <w:rsid w:val="00007C8C"/>
    <w:rsid w:val="00014E52"/>
    <w:rsid w:val="00014F2C"/>
    <w:rsid w:val="0001504F"/>
    <w:rsid w:val="000171EF"/>
    <w:rsid w:val="00024210"/>
    <w:rsid w:val="00026071"/>
    <w:rsid w:val="00027EF7"/>
    <w:rsid w:val="00030DA8"/>
    <w:rsid w:val="000319F4"/>
    <w:rsid w:val="00031D5F"/>
    <w:rsid w:val="00032D93"/>
    <w:rsid w:val="00034AE6"/>
    <w:rsid w:val="00035413"/>
    <w:rsid w:val="000427AA"/>
    <w:rsid w:val="000430CE"/>
    <w:rsid w:val="00050B03"/>
    <w:rsid w:val="00050B8A"/>
    <w:rsid w:val="00050BF8"/>
    <w:rsid w:val="00050EE9"/>
    <w:rsid w:val="00053A2E"/>
    <w:rsid w:val="00057C77"/>
    <w:rsid w:val="00057E01"/>
    <w:rsid w:val="0006281E"/>
    <w:rsid w:val="0006596C"/>
    <w:rsid w:val="00066093"/>
    <w:rsid w:val="00066A46"/>
    <w:rsid w:val="00067FA5"/>
    <w:rsid w:val="000706AC"/>
    <w:rsid w:val="00072BF5"/>
    <w:rsid w:val="0007307E"/>
    <w:rsid w:val="0007454B"/>
    <w:rsid w:val="00075C45"/>
    <w:rsid w:val="00075ECD"/>
    <w:rsid w:val="000802AD"/>
    <w:rsid w:val="00083BE5"/>
    <w:rsid w:val="000841B0"/>
    <w:rsid w:val="00084687"/>
    <w:rsid w:val="000853D4"/>
    <w:rsid w:val="00086F87"/>
    <w:rsid w:val="00090773"/>
    <w:rsid w:val="00091A64"/>
    <w:rsid w:val="00091E82"/>
    <w:rsid w:val="0009268C"/>
    <w:rsid w:val="00093AD1"/>
    <w:rsid w:val="00094B2B"/>
    <w:rsid w:val="000A08AE"/>
    <w:rsid w:val="000A36B6"/>
    <w:rsid w:val="000A3913"/>
    <w:rsid w:val="000A46D7"/>
    <w:rsid w:val="000A5570"/>
    <w:rsid w:val="000A5D12"/>
    <w:rsid w:val="000B028C"/>
    <w:rsid w:val="000B1B6C"/>
    <w:rsid w:val="000B2B5C"/>
    <w:rsid w:val="000B45FD"/>
    <w:rsid w:val="000B4F53"/>
    <w:rsid w:val="000B634A"/>
    <w:rsid w:val="000C2770"/>
    <w:rsid w:val="000C5167"/>
    <w:rsid w:val="000C5A4C"/>
    <w:rsid w:val="000C68BF"/>
    <w:rsid w:val="000D0266"/>
    <w:rsid w:val="000D1F9C"/>
    <w:rsid w:val="000D4AB1"/>
    <w:rsid w:val="000D4ACB"/>
    <w:rsid w:val="000E1D9C"/>
    <w:rsid w:val="000E2235"/>
    <w:rsid w:val="000E2800"/>
    <w:rsid w:val="000F2EE8"/>
    <w:rsid w:val="000F454E"/>
    <w:rsid w:val="00105B94"/>
    <w:rsid w:val="00106518"/>
    <w:rsid w:val="00106679"/>
    <w:rsid w:val="00107BCD"/>
    <w:rsid w:val="00111982"/>
    <w:rsid w:val="001123B9"/>
    <w:rsid w:val="00113200"/>
    <w:rsid w:val="00114896"/>
    <w:rsid w:val="00115643"/>
    <w:rsid w:val="00116306"/>
    <w:rsid w:val="00120452"/>
    <w:rsid w:val="0012279A"/>
    <w:rsid w:val="00125010"/>
    <w:rsid w:val="00125046"/>
    <w:rsid w:val="00125E7F"/>
    <w:rsid w:val="0012645E"/>
    <w:rsid w:val="00131244"/>
    <w:rsid w:val="00132FF8"/>
    <w:rsid w:val="00135356"/>
    <w:rsid w:val="00135C30"/>
    <w:rsid w:val="001405EA"/>
    <w:rsid w:val="0014068F"/>
    <w:rsid w:val="001446F6"/>
    <w:rsid w:val="001459BF"/>
    <w:rsid w:val="001463DE"/>
    <w:rsid w:val="00150C14"/>
    <w:rsid w:val="00150DBB"/>
    <w:rsid w:val="00152192"/>
    <w:rsid w:val="001600F7"/>
    <w:rsid w:val="00160502"/>
    <w:rsid w:val="001615C7"/>
    <w:rsid w:val="00165B10"/>
    <w:rsid w:val="00170D92"/>
    <w:rsid w:val="0017248A"/>
    <w:rsid w:val="00173049"/>
    <w:rsid w:val="00175A75"/>
    <w:rsid w:val="00175B23"/>
    <w:rsid w:val="00177475"/>
    <w:rsid w:val="00177AA4"/>
    <w:rsid w:val="00177B78"/>
    <w:rsid w:val="00180545"/>
    <w:rsid w:val="00181117"/>
    <w:rsid w:val="001833B4"/>
    <w:rsid w:val="00183951"/>
    <w:rsid w:val="0018415B"/>
    <w:rsid w:val="00184370"/>
    <w:rsid w:val="001917EB"/>
    <w:rsid w:val="00191E69"/>
    <w:rsid w:val="00193059"/>
    <w:rsid w:val="00193952"/>
    <w:rsid w:val="0019459C"/>
    <w:rsid w:val="00196BD3"/>
    <w:rsid w:val="001970F5"/>
    <w:rsid w:val="001A0831"/>
    <w:rsid w:val="001A14A6"/>
    <w:rsid w:val="001A385B"/>
    <w:rsid w:val="001A72C5"/>
    <w:rsid w:val="001B1898"/>
    <w:rsid w:val="001B2460"/>
    <w:rsid w:val="001B255C"/>
    <w:rsid w:val="001B7F6F"/>
    <w:rsid w:val="001C3A7B"/>
    <w:rsid w:val="001C6FF7"/>
    <w:rsid w:val="001D3B29"/>
    <w:rsid w:val="001D4674"/>
    <w:rsid w:val="001D731A"/>
    <w:rsid w:val="001E0CC8"/>
    <w:rsid w:val="001E3774"/>
    <w:rsid w:val="001E4E27"/>
    <w:rsid w:val="001E54C9"/>
    <w:rsid w:val="001E6C0C"/>
    <w:rsid w:val="001F148E"/>
    <w:rsid w:val="001F471E"/>
    <w:rsid w:val="001F4875"/>
    <w:rsid w:val="001F4AF2"/>
    <w:rsid w:val="001F5F6A"/>
    <w:rsid w:val="001F7595"/>
    <w:rsid w:val="001F7BAD"/>
    <w:rsid w:val="00203831"/>
    <w:rsid w:val="00206AF3"/>
    <w:rsid w:val="002072C1"/>
    <w:rsid w:val="00207E1C"/>
    <w:rsid w:val="00212F61"/>
    <w:rsid w:val="00217FD7"/>
    <w:rsid w:val="002209C8"/>
    <w:rsid w:val="00220B05"/>
    <w:rsid w:val="002220B3"/>
    <w:rsid w:val="002225C5"/>
    <w:rsid w:val="00222B32"/>
    <w:rsid w:val="00227210"/>
    <w:rsid w:val="002323A3"/>
    <w:rsid w:val="00236601"/>
    <w:rsid w:val="0023711F"/>
    <w:rsid w:val="00237CDC"/>
    <w:rsid w:val="00240BAE"/>
    <w:rsid w:val="0024118B"/>
    <w:rsid w:val="0025199A"/>
    <w:rsid w:val="002546D0"/>
    <w:rsid w:val="00254C1D"/>
    <w:rsid w:val="00257443"/>
    <w:rsid w:val="002619B8"/>
    <w:rsid w:val="00263161"/>
    <w:rsid w:val="002643DE"/>
    <w:rsid w:val="00266788"/>
    <w:rsid w:val="00267213"/>
    <w:rsid w:val="0026724E"/>
    <w:rsid w:val="00270C5B"/>
    <w:rsid w:val="00272FAB"/>
    <w:rsid w:val="0027601E"/>
    <w:rsid w:val="00277DD4"/>
    <w:rsid w:val="00282BBF"/>
    <w:rsid w:val="00283226"/>
    <w:rsid w:val="00283254"/>
    <w:rsid w:val="00286947"/>
    <w:rsid w:val="00287374"/>
    <w:rsid w:val="0028752B"/>
    <w:rsid w:val="00292143"/>
    <w:rsid w:val="00293F45"/>
    <w:rsid w:val="002940A2"/>
    <w:rsid w:val="00294202"/>
    <w:rsid w:val="002A0885"/>
    <w:rsid w:val="002A0E65"/>
    <w:rsid w:val="002A2B29"/>
    <w:rsid w:val="002A32E7"/>
    <w:rsid w:val="002A466E"/>
    <w:rsid w:val="002A474A"/>
    <w:rsid w:val="002A5B9B"/>
    <w:rsid w:val="002A670C"/>
    <w:rsid w:val="002B0695"/>
    <w:rsid w:val="002B1984"/>
    <w:rsid w:val="002B19E1"/>
    <w:rsid w:val="002B1D98"/>
    <w:rsid w:val="002B2B70"/>
    <w:rsid w:val="002B3328"/>
    <w:rsid w:val="002B5561"/>
    <w:rsid w:val="002B73A2"/>
    <w:rsid w:val="002C04ED"/>
    <w:rsid w:val="002C2130"/>
    <w:rsid w:val="002C24B1"/>
    <w:rsid w:val="002C26C5"/>
    <w:rsid w:val="002C2CA7"/>
    <w:rsid w:val="002C2F57"/>
    <w:rsid w:val="002C3862"/>
    <w:rsid w:val="002C4F89"/>
    <w:rsid w:val="002D0B8A"/>
    <w:rsid w:val="002D2E89"/>
    <w:rsid w:val="002D322E"/>
    <w:rsid w:val="002D32D6"/>
    <w:rsid w:val="002D3764"/>
    <w:rsid w:val="002D3DF0"/>
    <w:rsid w:val="002D579F"/>
    <w:rsid w:val="002D6557"/>
    <w:rsid w:val="002E564C"/>
    <w:rsid w:val="002E7B69"/>
    <w:rsid w:val="002F0CCB"/>
    <w:rsid w:val="002F2661"/>
    <w:rsid w:val="002F2DB3"/>
    <w:rsid w:val="002F48E4"/>
    <w:rsid w:val="002F53FC"/>
    <w:rsid w:val="002F6D30"/>
    <w:rsid w:val="002F7907"/>
    <w:rsid w:val="003003BB"/>
    <w:rsid w:val="00301967"/>
    <w:rsid w:val="003024EF"/>
    <w:rsid w:val="0030606D"/>
    <w:rsid w:val="00306BA2"/>
    <w:rsid w:val="00307BF1"/>
    <w:rsid w:val="00307F8D"/>
    <w:rsid w:val="0031200C"/>
    <w:rsid w:val="00315385"/>
    <w:rsid w:val="00315675"/>
    <w:rsid w:val="00315FC2"/>
    <w:rsid w:val="00316589"/>
    <w:rsid w:val="00321C59"/>
    <w:rsid w:val="003220B1"/>
    <w:rsid w:val="0032288B"/>
    <w:rsid w:val="003245F2"/>
    <w:rsid w:val="0032548B"/>
    <w:rsid w:val="0032633A"/>
    <w:rsid w:val="00331208"/>
    <w:rsid w:val="003316F3"/>
    <w:rsid w:val="00331878"/>
    <w:rsid w:val="003330BE"/>
    <w:rsid w:val="00333D4D"/>
    <w:rsid w:val="00334D30"/>
    <w:rsid w:val="00337A67"/>
    <w:rsid w:val="00342CAB"/>
    <w:rsid w:val="00343356"/>
    <w:rsid w:val="0034522E"/>
    <w:rsid w:val="00346259"/>
    <w:rsid w:val="00346383"/>
    <w:rsid w:val="00347C2A"/>
    <w:rsid w:val="00351B54"/>
    <w:rsid w:val="00352D71"/>
    <w:rsid w:val="00354898"/>
    <w:rsid w:val="00354DFA"/>
    <w:rsid w:val="003564D1"/>
    <w:rsid w:val="0036597D"/>
    <w:rsid w:val="00365FDF"/>
    <w:rsid w:val="003700BC"/>
    <w:rsid w:val="00370283"/>
    <w:rsid w:val="00370A32"/>
    <w:rsid w:val="00370D1B"/>
    <w:rsid w:val="003724FA"/>
    <w:rsid w:val="00372C51"/>
    <w:rsid w:val="00375E98"/>
    <w:rsid w:val="00375ED2"/>
    <w:rsid w:val="00377BF5"/>
    <w:rsid w:val="00377D92"/>
    <w:rsid w:val="003826D7"/>
    <w:rsid w:val="00383796"/>
    <w:rsid w:val="0038711E"/>
    <w:rsid w:val="0039053D"/>
    <w:rsid w:val="00390DCE"/>
    <w:rsid w:val="0039135B"/>
    <w:rsid w:val="00392E08"/>
    <w:rsid w:val="003948B9"/>
    <w:rsid w:val="00394AEE"/>
    <w:rsid w:val="00395F6D"/>
    <w:rsid w:val="003A5A87"/>
    <w:rsid w:val="003A6540"/>
    <w:rsid w:val="003B1BD7"/>
    <w:rsid w:val="003B442C"/>
    <w:rsid w:val="003B4444"/>
    <w:rsid w:val="003B4F5C"/>
    <w:rsid w:val="003B6E5E"/>
    <w:rsid w:val="003B7B1A"/>
    <w:rsid w:val="003B7E33"/>
    <w:rsid w:val="003C3218"/>
    <w:rsid w:val="003C3859"/>
    <w:rsid w:val="003C3F4E"/>
    <w:rsid w:val="003D263E"/>
    <w:rsid w:val="003D4ED9"/>
    <w:rsid w:val="003D5C43"/>
    <w:rsid w:val="003F1BBA"/>
    <w:rsid w:val="003F33A3"/>
    <w:rsid w:val="003F4090"/>
    <w:rsid w:val="003F4BC5"/>
    <w:rsid w:val="003F5FA7"/>
    <w:rsid w:val="003F62F6"/>
    <w:rsid w:val="003F697E"/>
    <w:rsid w:val="003F7D3A"/>
    <w:rsid w:val="00400CEB"/>
    <w:rsid w:val="00401C3E"/>
    <w:rsid w:val="004055B5"/>
    <w:rsid w:val="00405894"/>
    <w:rsid w:val="004078DA"/>
    <w:rsid w:val="0041021D"/>
    <w:rsid w:val="004106B3"/>
    <w:rsid w:val="004137CE"/>
    <w:rsid w:val="00414AB5"/>
    <w:rsid w:val="00415FFD"/>
    <w:rsid w:val="00417E99"/>
    <w:rsid w:val="0042101E"/>
    <w:rsid w:val="004210DA"/>
    <w:rsid w:val="004231DD"/>
    <w:rsid w:val="00423332"/>
    <w:rsid w:val="004237A9"/>
    <w:rsid w:val="00426FD2"/>
    <w:rsid w:val="00432654"/>
    <w:rsid w:val="00433B52"/>
    <w:rsid w:val="00437235"/>
    <w:rsid w:val="00437797"/>
    <w:rsid w:val="004446FF"/>
    <w:rsid w:val="0044519B"/>
    <w:rsid w:val="00451D65"/>
    <w:rsid w:val="004520D1"/>
    <w:rsid w:val="00452BDB"/>
    <w:rsid w:val="00457D97"/>
    <w:rsid w:val="00465557"/>
    <w:rsid w:val="004665B1"/>
    <w:rsid w:val="00470753"/>
    <w:rsid w:val="0047446E"/>
    <w:rsid w:val="00475FBD"/>
    <w:rsid w:val="00480D98"/>
    <w:rsid w:val="00483D1A"/>
    <w:rsid w:val="0048637D"/>
    <w:rsid w:val="00487398"/>
    <w:rsid w:val="00487F5F"/>
    <w:rsid w:val="004903C3"/>
    <w:rsid w:val="00490430"/>
    <w:rsid w:val="00490F7A"/>
    <w:rsid w:val="0049264A"/>
    <w:rsid w:val="004936FB"/>
    <w:rsid w:val="00495415"/>
    <w:rsid w:val="004960FE"/>
    <w:rsid w:val="00496282"/>
    <w:rsid w:val="0049745D"/>
    <w:rsid w:val="00497483"/>
    <w:rsid w:val="004A0D39"/>
    <w:rsid w:val="004A2CF3"/>
    <w:rsid w:val="004A358D"/>
    <w:rsid w:val="004A4D79"/>
    <w:rsid w:val="004A62A0"/>
    <w:rsid w:val="004B068E"/>
    <w:rsid w:val="004B0C4E"/>
    <w:rsid w:val="004B12EE"/>
    <w:rsid w:val="004B3ADD"/>
    <w:rsid w:val="004B3DC2"/>
    <w:rsid w:val="004B4B98"/>
    <w:rsid w:val="004B599A"/>
    <w:rsid w:val="004C1909"/>
    <w:rsid w:val="004C4F65"/>
    <w:rsid w:val="004C52D3"/>
    <w:rsid w:val="004D0185"/>
    <w:rsid w:val="004D055D"/>
    <w:rsid w:val="004D05B8"/>
    <w:rsid w:val="004D43CF"/>
    <w:rsid w:val="004D5EE2"/>
    <w:rsid w:val="004D77B3"/>
    <w:rsid w:val="004D7804"/>
    <w:rsid w:val="004E0049"/>
    <w:rsid w:val="004E2811"/>
    <w:rsid w:val="004E42C7"/>
    <w:rsid w:val="004E6367"/>
    <w:rsid w:val="004F08AD"/>
    <w:rsid w:val="004F171B"/>
    <w:rsid w:val="004F299F"/>
    <w:rsid w:val="004F5269"/>
    <w:rsid w:val="004F65AD"/>
    <w:rsid w:val="004F73C6"/>
    <w:rsid w:val="004F73F4"/>
    <w:rsid w:val="005016C9"/>
    <w:rsid w:val="005033AB"/>
    <w:rsid w:val="00505690"/>
    <w:rsid w:val="00513540"/>
    <w:rsid w:val="0051383F"/>
    <w:rsid w:val="005158A5"/>
    <w:rsid w:val="00515A6C"/>
    <w:rsid w:val="00516581"/>
    <w:rsid w:val="00520C20"/>
    <w:rsid w:val="00521F21"/>
    <w:rsid w:val="00523664"/>
    <w:rsid w:val="00523CF1"/>
    <w:rsid w:val="005258C8"/>
    <w:rsid w:val="00525E6C"/>
    <w:rsid w:val="00526D86"/>
    <w:rsid w:val="00527848"/>
    <w:rsid w:val="00527C8C"/>
    <w:rsid w:val="00533377"/>
    <w:rsid w:val="00534897"/>
    <w:rsid w:val="005373CC"/>
    <w:rsid w:val="00537B85"/>
    <w:rsid w:val="00540A99"/>
    <w:rsid w:val="00542BCC"/>
    <w:rsid w:val="00552ED1"/>
    <w:rsid w:val="00553AA8"/>
    <w:rsid w:val="00554B0F"/>
    <w:rsid w:val="005571A5"/>
    <w:rsid w:val="0056002A"/>
    <w:rsid w:val="00562570"/>
    <w:rsid w:val="005673F3"/>
    <w:rsid w:val="0056748A"/>
    <w:rsid w:val="0057222A"/>
    <w:rsid w:val="00576629"/>
    <w:rsid w:val="00580217"/>
    <w:rsid w:val="00580AF1"/>
    <w:rsid w:val="0058328D"/>
    <w:rsid w:val="00585E11"/>
    <w:rsid w:val="005912CA"/>
    <w:rsid w:val="0059183C"/>
    <w:rsid w:val="005941C3"/>
    <w:rsid w:val="005A13C8"/>
    <w:rsid w:val="005A1A70"/>
    <w:rsid w:val="005A2DD8"/>
    <w:rsid w:val="005A3418"/>
    <w:rsid w:val="005A3FCE"/>
    <w:rsid w:val="005A4851"/>
    <w:rsid w:val="005A548B"/>
    <w:rsid w:val="005A5FC3"/>
    <w:rsid w:val="005A69E7"/>
    <w:rsid w:val="005A6AD2"/>
    <w:rsid w:val="005A7369"/>
    <w:rsid w:val="005A7A4C"/>
    <w:rsid w:val="005B1C7E"/>
    <w:rsid w:val="005B2B56"/>
    <w:rsid w:val="005B3F45"/>
    <w:rsid w:val="005B7138"/>
    <w:rsid w:val="005B76C4"/>
    <w:rsid w:val="005C16F8"/>
    <w:rsid w:val="005C7673"/>
    <w:rsid w:val="005D00F7"/>
    <w:rsid w:val="005D0A9C"/>
    <w:rsid w:val="005D1C21"/>
    <w:rsid w:val="005D2FBA"/>
    <w:rsid w:val="005D3C51"/>
    <w:rsid w:val="005D47B9"/>
    <w:rsid w:val="005D5217"/>
    <w:rsid w:val="005D56D5"/>
    <w:rsid w:val="005D72E6"/>
    <w:rsid w:val="005D7FEE"/>
    <w:rsid w:val="005E03B9"/>
    <w:rsid w:val="005E08AC"/>
    <w:rsid w:val="005E08D5"/>
    <w:rsid w:val="005E1829"/>
    <w:rsid w:val="005E444F"/>
    <w:rsid w:val="005E53A9"/>
    <w:rsid w:val="005E71CC"/>
    <w:rsid w:val="005F13DF"/>
    <w:rsid w:val="005F2AE7"/>
    <w:rsid w:val="005F438A"/>
    <w:rsid w:val="005F6116"/>
    <w:rsid w:val="005F6FA9"/>
    <w:rsid w:val="00600D96"/>
    <w:rsid w:val="00613286"/>
    <w:rsid w:val="00614F6C"/>
    <w:rsid w:val="00615D12"/>
    <w:rsid w:val="006161D4"/>
    <w:rsid w:val="006171C6"/>
    <w:rsid w:val="00620DC8"/>
    <w:rsid w:val="00621735"/>
    <w:rsid w:val="0062388D"/>
    <w:rsid w:val="00623C6B"/>
    <w:rsid w:val="00624AB1"/>
    <w:rsid w:val="006267C3"/>
    <w:rsid w:val="006312CB"/>
    <w:rsid w:val="0063162A"/>
    <w:rsid w:val="00632D14"/>
    <w:rsid w:val="00633044"/>
    <w:rsid w:val="0063308C"/>
    <w:rsid w:val="00633FF7"/>
    <w:rsid w:val="00634244"/>
    <w:rsid w:val="00635F73"/>
    <w:rsid w:val="00636B72"/>
    <w:rsid w:val="00637285"/>
    <w:rsid w:val="00641DA6"/>
    <w:rsid w:val="006427FE"/>
    <w:rsid w:val="0064397B"/>
    <w:rsid w:val="00643AE3"/>
    <w:rsid w:val="006457E7"/>
    <w:rsid w:val="0065042D"/>
    <w:rsid w:val="00651388"/>
    <w:rsid w:val="006526C2"/>
    <w:rsid w:val="00653915"/>
    <w:rsid w:val="00654B4A"/>
    <w:rsid w:val="00655103"/>
    <w:rsid w:val="00657CB1"/>
    <w:rsid w:val="00662639"/>
    <w:rsid w:val="00663288"/>
    <w:rsid w:val="00664763"/>
    <w:rsid w:val="00665523"/>
    <w:rsid w:val="006666D0"/>
    <w:rsid w:val="00670BAD"/>
    <w:rsid w:val="00672D86"/>
    <w:rsid w:val="00672E9A"/>
    <w:rsid w:val="0067400D"/>
    <w:rsid w:val="00675B85"/>
    <w:rsid w:val="00682871"/>
    <w:rsid w:val="00683D32"/>
    <w:rsid w:val="006848BC"/>
    <w:rsid w:val="00685169"/>
    <w:rsid w:val="00685547"/>
    <w:rsid w:val="00685BD2"/>
    <w:rsid w:val="006871CA"/>
    <w:rsid w:val="00690765"/>
    <w:rsid w:val="00690FCB"/>
    <w:rsid w:val="00692415"/>
    <w:rsid w:val="00696D03"/>
    <w:rsid w:val="006A0EDE"/>
    <w:rsid w:val="006A24A4"/>
    <w:rsid w:val="006A37BA"/>
    <w:rsid w:val="006A3BBA"/>
    <w:rsid w:val="006A4D42"/>
    <w:rsid w:val="006A6B1E"/>
    <w:rsid w:val="006B291B"/>
    <w:rsid w:val="006B364A"/>
    <w:rsid w:val="006B72F4"/>
    <w:rsid w:val="006B7DC0"/>
    <w:rsid w:val="006B7ED1"/>
    <w:rsid w:val="006C0E9F"/>
    <w:rsid w:val="006C1244"/>
    <w:rsid w:val="006C1A96"/>
    <w:rsid w:val="006D1BC1"/>
    <w:rsid w:val="006D1D12"/>
    <w:rsid w:val="006D202C"/>
    <w:rsid w:val="006D3117"/>
    <w:rsid w:val="006D5104"/>
    <w:rsid w:val="006D7C82"/>
    <w:rsid w:val="006D7F8B"/>
    <w:rsid w:val="006E68EC"/>
    <w:rsid w:val="006E77B6"/>
    <w:rsid w:val="006E7C93"/>
    <w:rsid w:val="006F3603"/>
    <w:rsid w:val="006F3F36"/>
    <w:rsid w:val="006F4619"/>
    <w:rsid w:val="006F5E2D"/>
    <w:rsid w:val="006F6A5C"/>
    <w:rsid w:val="006F77A5"/>
    <w:rsid w:val="007010B5"/>
    <w:rsid w:val="0070203B"/>
    <w:rsid w:val="00703380"/>
    <w:rsid w:val="007044B7"/>
    <w:rsid w:val="0070601D"/>
    <w:rsid w:val="00707B92"/>
    <w:rsid w:val="0071116E"/>
    <w:rsid w:val="00711AFB"/>
    <w:rsid w:val="00712490"/>
    <w:rsid w:val="00713FE2"/>
    <w:rsid w:val="00715506"/>
    <w:rsid w:val="00716DAB"/>
    <w:rsid w:val="00720224"/>
    <w:rsid w:val="00720D8A"/>
    <w:rsid w:val="00720DFC"/>
    <w:rsid w:val="00721534"/>
    <w:rsid w:val="00721731"/>
    <w:rsid w:val="007238AB"/>
    <w:rsid w:val="00727974"/>
    <w:rsid w:val="00727C4C"/>
    <w:rsid w:val="00730D6B"/>
    <w:rsid w:val="007339E1"/>
    <w:rsid w:val="00733B0D"/>
    <w:rsid w:val="007355EA"/>
    <w:rsid w:val="00735DF1"/>
    <w:rsid w:val="00735EDA"/>
    <w:rsid w:val="00741722"/>
    <w:rsid w:val="00741982"/>
    <w:rsid w:val="00741AD3"/>
    <w:rsid w:val="00742CAD"/>
    <w:rsid w:val="007430F3"/>
    <w:rsid w:val="00744633"/>
    <w:rsid w:val="007455E8"/>
    <w:rsid w:val="00750C7D"/>
    <w:rsid w:val="0075182F"/>
    <w:rsid w:val="0076421D"/>
    <w:rsid w:val="00764EE8"/>
    <w:rsid w:val="00766F08"/>
    <w:rsid w:val="00767052"/>
    <w:rsid w:val="007673BD"/>
    <w:rsid w:val="007715AB"/>
    <w:rsid w:val="0077169E"/>
    <w:rsid w:val="00771A2E"/>
    <w:rsid w:val="00771DA7"/>
    <w:rsid w:val="00776366"/>
    <w:rsid w:val="00782856"/>
    <w:rsid w:val="00783F29"/>
    <w:rsid w:val="00785F1D"/>
    <w:rsid w:val="00786CC9"/>
    <w:rsid w:val="007906A8"/>
    <w:rsid w:val="00790C4F"/>
    <w:rsid w:val="00791C21"/>
    <w:rsid w:val="00791F41"/>
    <w:rsid w:val="007924D5"/>
    <w:rsid w:val="00792B11"/>
    <w:rsid w:val="00792D4E"/>
    <w:rsid w:val="0079303F"/>
    <w:rsid w:val="00794DFA"/>
    <w:rsid w:val="00794E92"/>
    <w:rsid w:val="0079520A"/>
    <w:rsid w:val="0079735B"/>
    <w:rsid w:val="00797752"/>
    <w:rsid w:val="007977A7"/>
    <w:rsid w:val="007A38B8"/>
    <w:rsid w:val="007A549C"/>
    <w:rsid w:val="007B0A92"/>
    <w:rsid w:val="007B1693"/>
    <w:rsid w:val="007B1EAB"/>
    <w:rsid w:val="007B298F"/>
    <w:rsid w:val="007B6AFF"/>
    <w:rsid w:val="007B71C2"/>
    <w:rsid w:val="007B7B5A"/>
    <w:rsid w:val="007C0151"/>
    <w:rsid w:val="007C1944"/>
    <w:rsid w:val="007C2B98"/>
    <w:rsid w:val="007C33A6"/>
    <w:rsid w:val="007C4882"/>
    <w:rsid w:val="007C4F31"/>
    <w:rsid w:val="007C569E"/>
    <w:rsid w:val="007C667F"/>
    <w:rsid w:val="007D0EC1"/>
    <w:rsid w:val="007D1915"/>
    <w:rsid w:val="007D1A62"/>
    <w:rsid w:val="007D34E4"/>
    <w:rsid w:val="007D570A"/>
    <w:rsid w:val="007D592D"/>
    <w:rsid w:val="007E07CD"/>
    <w:rsid w:val="007E570C"/>
    <w:rsid w:val="007E5CA6"/>
    <w:rsid w:val="007E6020"/>
    <w:rsid w:val="007E7774"/>
    <w:rsid w:val="007F25B8"/>
    <w:rsid w:val="007F2D1D"/>
    <w:rsid w:val="007F3862"/>
    <w:rsid w:val="007F4552"/>
    <w:rsid w:val="007F486D"/>
    <w:rsid w:val="007F4973"/>
    <w:rsid w:val="007F4F69"/>
    <w:rsid w:val="007F6F1F"/>
    <w:rsid w:val="007F788C"/>
    <w:rsid w:val="00801432"/>
    <w:rsid w:val="008018CA"/>
    <w:rsid w:val="00805B0D"/>
    <w:rsid w:val="00807D88"/>
    <w:rsid w:val="00810254"/>
    <w:rsid w:val="0081315E"/>
    <w:rsid w:val="008148C8"/>
    <w:rsid w:val="00814C4B"/>
    <w:rsid w:val="00816FA3"/>
    <w:rsid w:val="0081724D"/>
    <w:rsid w:val="008179EA"/>
    <w:rsid w:val="008259A4"/>
    <w:rsid w:val="00826EE0"/>
    <w:rsid w:val="0083072A"/>
    <w:rsid w:val="00831580"/>
    <w:rsid w:val="00831665"/>
    <w:rsid w:val="00831CAF"/>
    <w:rsid w:val="00831DDA"/>
    <w:rsid w:val="00834BC4"/>
    <w:rsid w:val="00837596"/>
    <w:rsid w:val="00840142"/>
    <w:rsid w:val="00842583"/>
    <w:rsid w:val="00844898"/>
    <w:rsid w:val="008479CF"/>
    <w:rsid w:val="00851822"/>
    <w:rsid w:val="00854A59"/>
    <w:rsid w:val="00856D9A"/>
    <w:rsid w:val="00857E16"/>
    <w:rsid w:val="008605AB"/>
    <w:rsid w:val="00860690"/>
    <w:rsid w:val="0086228A"/>
    <w:rsid w:val="008631EF"/>
    <w:rsid w:val="0086453A"/>
    <w:rsid w:val="00866DDA"/>
    <w:rsid w:val="0086723D"/>
    <w:rsid w:val="00867B22"/>
    <w:rsid w:val="00870A4C"/>
    <w:rsid w:val="008721F7"/>
    <w:rsid w:val="00872369"/>
    <w:rsid w:val="00875A2F"/>
    <w:rsid w:val="00875D7F"/>
    <w:rsid w:val="00876E8F"/>
    <w:rsid w:val="00880224"/>
    <w:rsid w:val="00880689"/>
    <w:rsid w:val="00880A1F"/>
    <w:rsid w:val="00885021"/>
    <w:rsid w:val="0088705B"/>
    <w:rsid w:val="00894253"/>
    <w:rsid w:val="0089590D"/>
    <w:rsid w:val="00896433"/>
    <w:rsid w:val="0089673C"/>
    <w:rsid w:val="00896965"/>
    <w:rsid w:val="00896AE3"/>
    <w:rsid w:val="00896B45"/>
    <w:rsid w:val="00896B8D"/>
    <w:rsid w:val="00897FF1"/>
    <w:rsid w:val="008A19D0"/>
    <w:rsid w:val="008A1C48"/>
    <w:rsid w:val="008A2083"/>
    <w:rsid w:val="008A2918"/>
    <w:rsid w:val="008A365A"/>
    <w:rsid w:val="008A68EA"/>
    <w:rsid w:val="008B2E75"/>
    <w:rsid w:val="008B5525"/>
    <w:rsid w:val="008C0CC7"/>
    <w:rsid w:val="008C2429"/>
    <w:rsid w:val="008C52BC"/>
    <w:rsid w:val="008C5716"/>
    <w:rsid w:val="008C5B57"/>
    <w:rsid w:val="008C5F1D"/>
    <w:rsid w:val="008C6ACF"/>
    <w:rsid w:val="008D0BFD"/>
    <w:rsid w:val="008D0DB8"/>
    <w:rsid w:val="008D152C"/>
    <w:rsid w:val="008D384B"/>
    <w:rsid w:val="008D4A7F"/>
    <w:rsid w:val="008D4CA6"/>
    <w:rsid w:val="008D503F"/>
    <w:rsid w:val="008D512A"/>
    <w:rsid w:val="008E0C9A"/>
    <w:rsid w:val="008E1B24"/>
    <w:rsid w:val="008E23B0"/>
    <w:rsid w:val="008E35D1"/>
    <w:rsid w:val="008E470B"/>
    <w:rsid w:val="008F0875"/>
    <w:rsid w:val="008F2266"/>
    <w:rsid w:val="008F362B"/>
    <w:rsid w:val="008F42B4"/>
    <w:rsid w:val="008F608B"/>
    <w:rsid w:val="008F6DEB"/>
    <w:rsid w:val="008F7BBD"/>
    <w:rsid w:val="00900627"/>
    <w:rsid w:val="00903B30"/>
    <w:rsid w:val="009051A3"/>
    <w:rsid w:val="0091246C"/>
    <w:rsid w:val="00914BC1"/>
    <w:rsid w:val="00915C56"/>
    <w:rsid w:val="00925344"/>
    <w:rsid w:val="009253CB"/>
    <w:rsid w:val="00925B52"/>
    <w:rsid w:val="00934533"/>
    <w:rsid w:val="00934E7C"/>
    <w:rsid w:val="00935D47"/>
    <w:rsid w:val="0094312C"/>
    <w:rsid w:val="00944548"/>
    <w:rsid w:val="0094526B"/>
    <w:rsid w:val="0094576D"/>
    <w:rsid w:val="00946381"/>
    <w:rsid w:val="0094640E"/>
    <w:rsid w:val="00946805"/>
    <w:rsid w:val="00946DB4"/>
    <w:rsid w:val="009472B0"/>
    <w:rsid w:val="009503C4"/>
    <w:rsid w:val="00951DEC"/>
    <w:rsid w:val="00952035"/>
    <w:rsid w:val="00957F3A"/>
    <w:rsid w:val="00960344"/>
    <w:rsid w:val="009603FA"/>
    <w:rsid w:val="00962272"/>
    <w:rsid w:val="00962ED1"/>
    <w:rsid w:val="00963820"/>
    <w:rsid w:val="00964755"/>
    <w:rsid w:val="00965327"/>
    <w:rsid w:val="00971658"/>
    <w:rsid w:val="00973621"/>
    <w:rsid w:val="00973F7B"/>
    <w:rsid w:val="0097436A"/>
    <w:rsid w:val="0097443C"/>
    <w:rsid w:val="00974D64"/>
    <w:rsid w:val="00980B55"/>
    <w:rsid w:val="00980D06"/>
    <w:rsid w:val="00981F27"/>
    <w:rsid w:val="0098349A"/>
    <w:rsid w:val="00983D8C"/>
    <w:rsid w:val="0098431B"/>
    <w:rsid w:val="0098564B"/>
    <w:rsid w:val="00987277"/>
    <w:rsid w:val="00987F92"/>
    <w:rsid w:val="0099018F"/>
    <w:rsid w:val="00992587"/>
    <w:rsid w:val="009939F2"/>
    <w:rsid w:val="00993C9B"/>
    <w:rsid w:val="009967EC"/>
    <w:rsid w:val="0099739A"/>
    <w:rsid w:val="00997616"/>
    <w:rsid w:val="009A0D71"/>
    <w:rsid w:val="009A0E17"/>
    <w:rsid w:val="009A49FB"/>
    <w:rsid w:val="009B08D4"/>
    <w:rsid w:val="009B167C"/>
    <w:rsid w:val="009B171E"/>
    <w:rsid w:val="009B1AE1"/>
    <w:rsid w:val="009B438E"/>
    <w:rsid w:val="009B5DA7"/>
    <w:rsid w:val="009C02AE"/>
    <w:rsid w:val="009C07C4"/>
    <w:rsid w:val="009C21E2"/>
    <w:rsid w:val="009C2A37"/>
    <w:rsid w:val="009C2C77"/>
    <w:rsid w:val="009C32E2"/>
    <w:rsid w:val="009C566A"/>
    <w:rsid w:val="009C630D"/>
    <w:rsid w:val="009C6CA9"/>
    <w:rsid w:val="009D0FD7"/>
    <w:rsid w:val="009D1FE4"/>
    <w:rsid w:val="009E504A"/>
    <w:rsid w:val="009E5334"/>
    <w:rsid w:val="009E6778"/>
    <w:rsid w:val="009F05B7"/>
    <w:rsid w:val="009F0A6B"/>
    <w:rsid w:val="009F12CA"/>
    <w:rsid w:val="009F489E"/>
    <w:rsid w:val="009F64B8"/>
    <w:rsid w:val="009F6942"/>
    <w:rsid w:val="00A022F7"/>
    <w:rsid w:val="00A03A42"/>
    <w:rsid w:val="00A03AF9"/>
    <w:rsid w:val="00A042E9"/>
    <w:rsid w:val="00A04A9F"/>
    <w:rsid w:val="00A051EB"/>
    <w:rsid w:val="00A06F72"/>
    <w:rsid w:val="00A10780"/>
    <w:rsid w:val="00A12C1D"/>
    <w:rsid w:val="00A16780"/>
    <w:rsid w:val="00A173CD"/>
    <w:rsid w:val="00A24E18"/>
    <w:rsid w:val="00A27F38"/>
    <w:rsid w:val="00A43237"/>
    <w:rsid w:val="00A46CFB"/>
    <w:rsid w:val="00A47C9F"/>
    <w:rsid w:val="00A5049B"/>
    <w:rsid w:val="00A5175C"/>
    <w:rsid w:val="00A51A6D"/>
    <w:rsid w:val="00A52977"/>
    <w:rsid w:val="00A53215"/>
    <w:rsid w:val="00A55A15"/>
    <w:rsid w:val="00A55C00"/>
    <w:rsid w:val="00A55E95"/>
    <w:rsid w:val="00A562D5"/>
    <w:rsid w:val="00A607D3"/>
    <w:rsid w:val="00A615CD"/>
    <w:rsid w:val="00A63AA7"/>
    <w:rsid w:val="00A64327"/>
    <w:rsid w:val="00A64448"/>
    <w:rsid w:val="00A679FC"/>
    <w:rsid w:val="00A67FE8"/>
    <w:rsid w:val="00A71D7E"/>
    <w:rsid w:val="00A73E41"/>
    <w:rsid w:val="00A7589B"/>
    <w:rsid w:val="00A813A8"/>
    <w:rsid w:val="00A82835"/>
    <w:rsid w:val="00A83355"/>
    <w:rsid w:val="00A83BE4"/>
    <w:rsid w:val="00A8473C"/>
    <w:rsid w:val="00A87BFD"/>
    <w:rsid w:val="00A901DA"/>
    <w:rsid w:val="00A92113"/>
    <w:rsid w:val="00A9366C"/>
    <w:rsid w:val="00A94AEB"/>
    <w:rsid w:val="00A96DDD"/>
    <w:rsid w:val="00AA0E3D"/>
    <w:rsid w:val="00AA4752"/>
    <w:rsid w:val="00AA4AB9"/>
    <w:rsid w:val="00AA507D"/>
    <w:rsid w:val="00AA798A"/>
    <w:rsid w:val="00AB01E6"/>
    <w:rsid w:val="00AB44EA"/>
    <w:rsid w:val="00AB6D21"/>
    <w:rsid w:val="00AC09D3"/>
    <w:rsid w:val="00AC1AE1"/>
    <w:rsid w:val="00AC33C0"/>
    <w:rsid w:val="00AC411F"/>
    <w:rsid w:val="00AC44EE"/>
    <w:rsid w:val="00AC54F2"/>
    <w:rsid w:val="00AC562F"/>
    <w:rsid w:val="00AD21D4"/>
    <w:rsid w:val="00AD509E"/>
    <w:rsid w:val="00AD73EC"/>
    <w:rsid w:val="00AD771B"/>
    <w:rsid w:val="00AE0DB0"/>
    <w:rsid w:val="00AE163C"/>
    <w:rsid w:val="00AE239B"/>
    <w:rsid w:val="00AE29F6"/>
    <w:rsid w:val="00AE3961"/>
    <w:rsid w:val="00AE43CE"/>
    <w:rsid w:val="00AE45CF"/>
    <w:rsid w:val="00AE4821"/>
    <w:rsid w:val="00AE4CA7"/>
    <w:rsid w:val="00AE6277"/>
    <w:rsid w:val="00AE62CA"/>
    <w:rsid w:val="00AE709F"/>
    <w:rsid w:val="00AE75F2"/>
    <w:rsid w:val="00AF0E38"/>
    <w:rsid w:val="00AF1090"/>
    <w:rsid w:val="00AF1625"/>
    <w:rsid w:val="00AF3D37"/>
    <w:rsid w:val="00AF469D"/>
    <w:rsid w:val="00B01E33"/>
    <w:rsid w:val="00B052EE"/>
    <w:rsid w:val="00B060F0"/>
    <w:rsid w:val="00B07B3F"/>
    <w:rsid w:val="00B125D2"/>
    <w:rsid w:val="00B17325"/>
    <w:rsid w:val="00B21C95"/>
    <w:rsid w:val="00B263DE"/>
    <w:rsid w:val="00B27213"/>
    <w:rsid w:val="00B31474"/>
    <w:rsid w:val="00B315C6"/>
    <w:rsid w:val="00B32A86"/>
    <w:rsid w:val="00B33911"/>
    <w:rsid w:val="00B34D81"/>
    <w:rsid w:val="00B3526E"/>
    <w:rsid w:val="00B35368"/>
    <w:rsid w:val="00B407D3"/>
    <w:rsid w:val="00B411B4"/>
    <w:rsid w:val="00B42032"/>
    <w:rsid w:val="00B453F8"/>
    <w:rsid w:val="00B45893"/>
    <w:rsid w:val="00B45EF1"/>
    <w:rsid w:val="00B46C7E"/>
    <w:rsid w:val="00B535F9"/>
    <w:rsid w:val="00B5475A"/>
    <w:rsid w:val="00B54A0D"/>
    <w:rsid w:val="00B57D3D"/>
    <w:rsid w:val="00B60163"/>
    <w:rsid w:val="00B6312C"/>
    <w:rsid w:val="00B6486F"/>
    <w:rsid w:val="00B64EB6"/>
    <w:rsid w:val="00B65462"/>
    <w:rsid w:val="00B70D97"/>
    <w:rsid w:val="00B71C7F"/>
    <w:rsid w:val="00B762C3"/>
    <w:rsid w:val="00B816DB"/>
    <w:rsid w:val="00B81872"/>
    <w:rsid w:val="00B81D74"/>
    <w:rsid w:val="00B83458"/>
    <w:rsid w:val="00B83836"/>
    <w:rsid w:val="00B84113"/>
    <w:rsid w:val="00B85A6F"/>
    <w:rsid w:val="00B86FA5"/>
    <w:rsid w:val="00B87BB5"/>
    <w:rsid w:val="00B9100E"/>
    <w:rsid w:val="00B916C0"/>
    <w:rsid w:val="00B952B0"/>
    <w:rsid w:val="00B96A98"/>
    <w:rsid w:val="00BA1D48"/>
    <w:rsid w:val="00BA2CFA"/>
    <w:rsid w:val="00BA67A0"/>
    <w:rsid w:val="00BA78E0"/>
    <w:rsid w:val="00BB190D"/>
    <w:rsid w:val="00BB2009"/>
    <w:rsid w:val="00BB426A"/>
    <w:rsid w:val="00BB44B1"/>
    <w:rsid w:val="00BB58C6"/>
    <w:rsid w:val="00BB74B5"/>
    <w:rsid w:val="00BC018F"/>
    <w:rsid w:val="00BC2F03"/>
    <w:rsid w:val="00BC3176"/>
    <w:rsid w:val="00BC6751"/>
    <w:rsid w:val="00BC6F63"/>
    <w:rsid w:val="00BC75DB"/>
    <w:rsid w:val="00BD5932"/>
    <w:rsid w:val="00BD6763"/>
    <w:rsid w:val="00BD6F15"/>
    <w:rsid w:val="00BD77D4"/>
    <w:rsid w:val="00BD7E5F"/>
    <w:rsid w:val="00BE09A2"/>
    <w:rsid w:val="00BE32FF"/>
    <w:rsid w:val="00BE350A"/>
    <w:rsid w:val="00BE458A"/>
    <w:rsid w:val="00BE6AC4"/>
    <w:rsid w:val="00BE7636"/>
    <w:rsid w:val="00BF1330"/>
    <w:rsid w:val="00BF40A7"/>
    <w:rsid w:val="00BF4DD1"/>
    <w:rsid w:val="00BF776D"/>
    <w:rsid w:val="00BF7C3B"/>
    <w:rsid w:val="00C0128D"/>
    <w:rsid w:val="00C02165"/>
    <w:rsid w:val="00C027AD"/>
    <w:rsid w:val="00C03334"/>
    <w:rsid w:val="00C045F1"/>
    <w:rsid w:val="00C05CC1"/>
    <w:rsid w:val="00C0646D"/>
    <w:rsid w:val="00C107C1"/>
    <w:rsid w:val="00C14695"/>
    <w:rsid w:val="00C14D08"/>
    <w:rsid w:val="00C15E47"/>
    <w:rsid w:val="00C1793F"/>
    <w:rsid w:val="00C21DDF"/>
    <w:rsid w:val="00C22333"/>
    <w:rsid w:val="00C2337E"/>
    <w:rsid w:val="00C26E23"/>
    <w:rsid w:val="00C279BA"/>
    <w:rsid w:val="00C30A9B"/>
    <w:rsid w:val="00C30CC5"/>
    <w:rsid w:val="00C332B6"/>
    <w:rsid w:val="00C3333C"/>
    <w:rsid w:val="00C33A79"/>
    <w:rsid w:val="00C41513"/>
    <w:rsid w:val="00C42A1D"/>
    <w:rsid w:val="00C4698B"/>
    <w:rsid w:val="00C51824"/>
    <w:rsid w:val="00C54DC6"/>
    <w:rsid w:val="00C63F33"/>
    <w:rsid w:val="00C643FA"/>
    <w:rsid w:val="00C64B9E"/>
    <w:rsid w:val="00C70ACB"/>
    <w:rsid w:val="00C718DD"/>
    <w:rsid w:val="00C71FD8"/>
    <w:rsid w:val="00C7257B"/>
    <w:rsid w:val="00C75B09"/>
    <w:rsid w:val="00C75F41"/>
    <w:rsid w:val="00C7756C"/>
    <w:rsid w:val="00C80E52"/>
    <w:rsid w:val="00C81857"/>
    <w:rsid w:val="00C821A8"/>
    <w:rsid w:val="00C83123"/>
    <w:rsid w:val="00C852E9"/>
    <w:rsid w:val="00C8645E"/>
    <w:rsid w:val="00C90739"/>
    <w:rsid w:val="00C9259E"/>
    <w:rsid w:val="00C9506C"/>
    <w:rsid w:val="00C966C3"/>
    <w:rsid w:val="00C9725F"/>
    <w:rsid w:val="00CA128D"/>
    <w:rsid w:val="00CA1C28"/>
    <w:rsid w:val="00CA202C"/>
    <w:rsid w:val="00CA24A7"/>
    <w:rsid w:val="00CA25A8"/>
    <w:rsid w:val="00CA4604"/>
    <w:rsid w:val="00CA4B44"/>
    <w:rsid w:val="00CA741A"/>
    <w:rsid w:val="00CB1778"/>
    <w:rsid w:val="00CB30E6"/>
    <w:rsid w:val="00CB4400"/>
    <w:rsid w:val="00CB6F0C"/>
    <w:rsid w:val="00CB750D"/>
    <w:rsid w:val="00CC07CC"/>
    <w:rsid w:val="00CC349F"/>
    <w:rsid w:val="00CC4708"/>
    <w:rsid w:val="00CC48DF"/>
    <w:rsid w:val="00CC6616"/>
    <w:rsid w:val="00CC7944"/>
    <w:rsid w:val="00CD484B"/>
    <w:rsid w:val="00CD7B7B"/>
    <w:rsid w:val="00CE02E1"/>
    <w:rsid w:val="00CE0477"/>
    <w:rsid w:val="00CE0BC9"/>
    <w:rsid w:val="00CE1A93"/>
    <w:rsid w:val="00CE2625"/>
    <w:rsid w:val="00CE2DDE"/>
    <w:rsid w:val="00CE37C2"/>
    <w:rsid w:val="00CE4FEA"/>
    <w:rsid w:val="00CE5746"/>
    <w:rsid w:val="00CE666D"/>
    <w:rsid w:val="00CE750F"/>
    <w:rsid w:val="00CF0E8D"/>
    <w:rsid w:val="00CF13DB"/>
    <w:rsid w:val="00CF2128"/>
    <w:rsid w:val="00CF2BE9"/>
    <w:rsid w:val="00CF6ECB"/>
    <w:rsid w:val="00CF70B4"/>
    <w:rsid w:val="00D015AC"/>
    <w:rsid w:val="00D0164B"/>
    <w:rsid w:val="00D01F24"/>
    <w:rsid w:val="00D02489"/>
    <w:rsid w:val="00D044F2"/>
    <w:rsid w:val="00D04D9A"/>
    <w:rsid w:val="00D055AC"/>
    <w:rsid w:val="00D05B7A"/>
    <w:rsid w:val="00D05DF2"/>
    <w:rsid w:val="00D05F89"/>
    <w:rsid w:val="00D10620"/>
    <w:rsid w:val="00D1224E"/>
    <w:rsid w:val="00D129A0"/>
    <w:rsid w:val="00D159D1"/>
    <w:rsid w:val="00D1617D"/>
    <w:rsid w:val="00D1799C"/>
    <w:rsid w:val="00D17C3C"/>
    <w:rsid w:val="00D17D3A"/>
    <w:rsid w:val="00D17EDA"/>
    <w:rsid w:val="00D20ED6"/>
    <w:rsid w:val="00D22A4A"/>
    <w:rsid w:val="00D22FF4"/>
    <w:rsid w:val="00D267FD"/>
    <w:rsid w:val="00D274CC"/>
    <w:rsid w:val="00D27704"/>
    <w:rsid w:val="00D307AF"/>
    <w:rsid w:val="00D30F52"/>
    <w:rsid w:val="00D31660"/>
    <w:rsid w:val="00D31FD8"/>
    <w:rsid w:val="00D3245A"/>
    <w:rsid w:val="00D347C8"/>
    <w:rsid w:val="00D36673"/>
    <w:rsid w:val="00D3782C"/>
    <w:rsid w:val="00D405E4"/>
    <w:rsid w:val="00D435FE"/>
    <w:rsid w:val="00D446E8"/>
    <w:rsid w:val="00D44EDE"/>
    <w:rsid w:val="00D53537"/>
    <w:rsid w:val="00D5582E"/>
    <w:rsid w:val="00D601DC"/>
    <w:rsid w:val="00D603F8"/>
    <w:rsid w:val="00D60F99"/>
    <w:rsid w:val="00D614A0"/>
    <w:rsid w:val="00D62CE9"/>
    <w:rsid w:val="00D6349A"/>
    <w:rsid w:val="00D63A21"/>
    <w:rsid w:val="00D64E5E"/>
    <w:rsid w:val="00D67C96"/>
    <w:rsid w:val="00D72302"/>
    <w:rsid w:val="00D7328F"/>
    <w:rsid w:val="00D741D1"/>
    <w:rsid w:val="00D75BAA"/>
    <w:rsid w:val="00D8020D"/>
    <w:rsid w:val="00D83583"/>
    <w:rsid w:val="00D8626C"/>
    <w:rsid w:val="00D87283"/>
    <w:rsid w:val="00D9381D"/>
    <w:rsid w:val="00D93830"/>
    <w:rsid w:val="00D95E1D"/>
    <w:rsid w:val="00DA0C0B"/>
    <w:rsid w:val="00DA2423"/>
    <w:rsid w:val="00DA5DB1"/>
    <w:rsid w:val="00DA7E0F"/>
    <w:rsid w:val="00DB30FB"/>
    <w:rsid w:val="00DB3F3E"/>
    <w:rsid w:val="00DB57AC"/>
    <w:rsid w:val="00DB7446"/>
    <w:rsid w:val="00DC0AE0"/>
    <w:rsid w:val="00DC0ECA"/>
    <w:rsid w:val="00DC4EB8"/>
    <w:rsid w:val="00DC560F"/>
    <w:rsid w:val="00DC58E0"/>
    <w:rsid w:val="00DD0221"/>
    <w:rsid w:val="00DD4247"/>
    <w:rsid w:val="00DD65DA"/>
    <w:rsid w:val="00DE0768"/>
    <w:rsid w:val="00DE0993"/>
    <w:rsid w:val="00DF104E"/>
    <w:rsid w:val="00DF2480"/>
    <w:rsid w:val="00DF2BA7"/>
    <w:rsid w:val="00DF49DB"/>
    <w:rsid w:val="00DF5255"/>
    <w:rsid w:val="00DF5A63"/>
    <w:rsid w:val="00DF5EED"/>
    <w:rsid w:val="00E00FE2"/>
    <w:rsid w:val="00E032FC"/>
    <w:rsid w:val="00E06979"/>
    <w:rsid w:val="00E06B5B"/>
    <w:rsid w:val="00E074D3"/>
    <w:rsid w:val="00E079F4"/>
    <w:rsid w:val="00E07D69"/>
    <w:rsid w:val="00E1078B"/>
    <w:rsid w:val="00E240B2"/>
    <w:rsid w:val="00E3033C"/>
    <w:rsid w:val="00E30677"/>
    <w:rsid w:val="00E31158"/>
    <w:rsid w:val="00E32978"/>
    <w:rsid w:val="00E341AD"/>
    <w:rsid w:val="00E3517D"/>
    <w:rsid w:val="00E364D1"/>
    <w:rsid w:val="00E3672A"/>
    <w:rsid w:val="00E36735"/>
    <w:rsid w:val="00E425E4"/>
    <w:rsid w:val="00E42B0E"/>
    <w:rsid w:val="00E442FB"/>
    <w:rsid w:val="00E458E1"/>
    <w:rsid w:val="00E463FB"/>
    <w:rsid w:val="00E504AB"/>
    <w:rsid w:val="00E50F7E"/>
    <w:rsid w:val="00E51F40"/>
    <w:rsid w:val="00E52CBB"/>
    <w:rsid w:val="00E536D1"/>
    <w:rsid w:val="00E53ABC"/>
    <w:rsid w:val="00E54D22"/>
    <w:rsid w:val="00E556D9"/>
    <w:rsid w:val="00E55EDC"/>
    <w:rsid w:val="00E562BF"/>
    <w:rsid w:val="00E64525"/>
    <w:rsid w:val="00E64819"/>
    <w:rsid w:val="00E6572F"/>
    <w:rsid w:val="00E66128"/>
    <w:rsid w:val="00E672E5"/>
    <w:rsid w:val="00E67326"/>
    <w:rsid w:val="00E705AE"/>
    <w:rsid w:val="00E712DD"/>
    <w:rsid w:val="00E715F0"/>
    <w:rsid w:val="00E736B3"/>
    <w:rsid w:val="00E73E8F"/>
    <w:rsid w:val="00E742E5"/>
    <w:rsid w:val="00E760E7"/>
    <w:rsid w:val="00E82A49"/>
    <w:rsid w:val="00E8418E"/>
    <w:rsid w:val="00E848FE"/>
    <w:rsid w:val="00E86618"/>
    <w:rsid w:val="00E86F5C"/>
    <w:rsid w:val="00E90DBD"/>
    <w:rsid w:val="00E92569"/>
    <w:rsid w:val="00E936D4"/>
    <w:rsid w:val="00E9593E"/>
    <w:rsid w:val="00E95C8D"/>
    <w:rsid w:val="00E96286"/>
    <w:rsid w:val="00EA2313"/>
    <w:rsid w:val="00EA4146"/>
    <w:rsid w:val="00EA5225"/>
    <w:rsid w:val="00EA52C4"/>
    <w:rsid w:val="00EA6EA9"/>
    <w:rsid w:val="00EA7259"/>
    <w:rsid w:val="00EB0405"/>
    <w:rsid w:val="00EB06EB"/>
    <w:rsid w:val="00EB0FE1"/>
    <w:rsid w:val="00EB1C36"/>
    <w:rsid w:val="00EB239C"/>
    <w:rsid w:val="00EB29E2"/>
    <w:rsid w:val="00EB3914"/>
    <w:rsid w:val="00EC1E20"/>
    <w:rsid w:val="00EC3FD1"/>
    <w:rsid w:val="00EC4C7F"/>
    <w:rsid w:val="00EC6912"/>
    <w:rsid w:val="00ED27C5"/>
    <w:rsid w:val="00ED376F"/>
    <w:rsid w:val="00ED7DF3"/>
    <w:rsid w:val="00EE2658"/>
    <w:rsid w:val="00EE2A45"/>
    <w:rsid w:val="00EE6BE4"/>
    <w:rsid w:val="00EE6FFE"/>
    <w:rsid w:val="00EF2BB6"/>
    <w:rsid w:val="00EF3745"/>
    <w:rsid w:val="00EF40CA"/>
    <w:rsid w:val="00EF500F"/>
    <w:rsid w:val="00EF6DA6"/>
    <w:rsid w:val="00EF7419"/>
    <w:rsid w:val="00EF7CE8"/>
    <w:rsid w:val="00F0080B"/>
    <w:rsid w:val="00F00867"/>
    <w:rsid w:val="00F02924"/>
    <w:rsid w:val="00F06D80"/>
    <w:rsid w:val="00F0754B"/>
    <w:rsid w:val="00F12314"/>
    <w:rsid w:val="00F12469"/>
    <w:rsid w:val="00F14C2B"/>
    <w:rsid w:val="00F15302"/>
    <w:rsid w:val="00F15385"/>
    <w:rsid w:val="00F22BBF"/>
    <w:rsid w:val="00F22BF4"/>
    <w:rsid w:val="00F237E6"/>
    <w:rsid w:val="00F24F16"/>
    <w:rsid w:val="00F254A8"/>
    <w:rsid w:val="00F27342"/>
    <w:rsid w:val="00F30147"/>
    <w:rsid w:val="00F349F2"/>
    <w:rsid w:val="00F34D09"/>
    <w:rsid w:val="00F373E9"/>
    <w:rsid w:val="00F37A8D"/>
    <w:rsid w:val="00F401BE"/>
    <w:rsid w:val="00F42C36"/>
    <w:rsid w:val="00F42F27"/>
    <w:rsid w:val="00F4395F"/>
    <w:rsid w:val="00F44A30"/>
    <w:rsid w:val="00F518F7"/>
    <w:rsid w:val="00F53C13"/>
    <w:rsid w:val="00F54010"/>
    <w:rsid w:val="00F54D6A"/>
    <w:rsid w:val="00F56893"/>
    <w:rsid w:val="00F56A1A"/>
    <w:rsid w:val="00F56B4A"/>
    <w:rsid w:val="00F62D45"/>
    <w:rsid w:val="00F67BC8"/>
    <w:rsid w:val="00F71B9C"/>
    <w:rsid w:val="00F72229"/>
    <w:rsid w:val="00F733BF"/>
    <w:rsid w:val="00F73BC7"/>
    <w:rsid w:val="00F74DDF"/>
    <w:rsid w:val="00F775A1"/>
    <w:rsid w:val="00F77CA1"/>
    <w:rsid w:val="00F77CB3"/>
    <w:rsid w:val="00F801F5"/>
    <w:rsid w:val="00F80959"/>
    <w:rsid w:val="00F84146"/>
    <w:rsid w:val="00F874E4"/>
    <w:rsid w:val="00F90CC0"/>
    <w:rsid w:val="00F91EE7"/>
    <w:rsid w:val="00F91FF2"/>
    <w:rsid w:val="00F9340B"/>
    <w:rsid w:val="00F93D7F"/>
    <w:rsid w:val="00F95476"/>
    <w:rsid w:val="00F9594C"/>
    <w:rsid w:val="00F95CA0"/>
    <w:rsid w:val="00F962AE"/>
    <w:rsid w:val="00F971E8"/>
    <w:rsid w:val="00F9742F"/>
    <w:rsid w:val="00FA491F"/>
    <w:rsid w:val="00FA702B"/>
    <w:rsid w:val="00FA71FD"/>
    <w:rsid w:val="00FA7A0D"/>
    <w:rsid w:val="00FB21C5"/>
    <w:rsid w:val="00FB226B"/>
    <w:rsid w:val="00FB3338"/>
    <w:rsid w:val="00FB4306"/>
    <w:rsid w:val="00FB500B"/>
    <w:rsid w:val="00FC1272"/>
    <w:rsid w:val="00FC15FB"/>
    <w:rsid w:val="00FC23CF"/>
    <w:rsid w:val="00FC70E1"/>
    <w:rsid w:val="00FD02E2"/>
    <w:rsid w:val="00FD0F1C"/>
    <w:rsid w:val="00FD75DA"/>
    <w:rsid w:val="00FE0D28"/>
    <w:rsid w:val="00FE132B"/>
    <w:rsid w:val="00FE3F4F"/>
    <w:rsid w:val="00FE74B5"/>
    <w:rsid w:val="00FF6596"/>
    <w:rsid w:val="00FF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74455"/>
  <w14:defaultImageDpi w14:val="96"/>
  <w15:docId w15:val="{7CF536C5-016E-43DA-8772-5366197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03B"/>
    <w:pPr>
      <w:suppressAutoHyphens/>
      <w:spacing w:before="160" w:after="160" w:line="360" w:lineRule="auto"/>
    </w:pPr>
  </w:style>
  <w:style w:type="paragraph" w:styleId="Heading1">
    <w:name w:val="heading 1"/>
    <w:basedOn w:val="Normal"/>
    <w:next w:val="Normal"/>
    <w:link w:val="Heading1Char"/>
    <w:uiPriority w:val="99"/>
    <w:qFormat/>
    <w:rsid w:val="00A83355"/>
    <w:pPr>
      <w:keepNext/>
      <w:spacing w:before="240" w:after="60" w:line="240" w:lineRule="auto"/>
      <w:outlineLvl w:val="0"/>
    </w:pPr>
    <w:rPr>
      <w:b/>
      <w:bCs/>
      <w:kern w:val="32"/>
      <w:sz w:val="40"/>
      <w:szCs w:val="32"/>
    </w:rPr>
  </w:style>
  <w:style w:type="paragraph" w:styleId="Heading2">
    <w:name w:val="heading 2"/>
    <w:basedOn w:val="Normal"/>
    <w:next w:val="Normal"/>
    <w:link w:val="Heading2Char"/>
    <w:uiPriority w:val="99"/>
    <w:unhideWhenUsed/>
    <w:qFormat/>
    <w:rsid w:val="00173049"/>
    <w:pPr>
      <w:keepNext/>
      <w:spacing w:before="240" w:after="120" w:line="240" w:lineRule="auto"/>
      <w:outlineLvl w:val="1"/>
    </w:pPr>
    <w:rPr>
      <w:b/>
      <w:bCs/>
      <w:iCs/>
      <w:sz w:val="32"/>
      <w:szCs w:val="28"/>
    </w:rPr>
  </w:style>
  <w:style w:type="paragraph" w:styleId="Heading3">
    <w:name w:val="heading 3"/>
    <w:basedOn w:val="Normal"/>
    <w:next w:val="Normal"/>
    <w:link w:val="Heading3Char"/>
    <w:uiPriority w:val="9"/>
    <w:unhideWhenUsed/>
    <w:qFormat/>
    <w:rsid w:val="00C0128D"/>
    <w:pPr>
      <w:keepNext/>
      <w:spacing w:before="240" w:after="60" w:line="240" w:lineRule="auto"/>
      <w:outlineLvl w:val="2"/>
    </w:pPr>
    <w:rPr>
      <w:b/>
      <w:bCs/>
      <w:sz w:val="26"/>
      <w:szCs w:val="26"/>
    </w:rPr>
  </w:style>
  <w:style w:type="paragraph" w:styleId="Heading4">
    <w:name w:val="heading 4"/>
    <w:basedOn w:val="Normal"/>
    <w:next w:val="Normal"/>
    <w:link w:val="Heading4Char"/>
    <w:uiPriority w:val="9"/>
    <w:unhideWhenUsed/>
    <w:qFormat/>
    <w:rsid w:val="008A1C48"/>
    <w:pPr>
      <w:keepNext/>
      <w:spacing w:before="240" w:after="60"/>
      <w:outlineLvl w:val="3"/>
    </w:pPr>
    <w:rPr>
      <w:b/>
      <w:bCs/>
      <w:i/>
      <w:szCs w:val="28"/>
    </w:rPr>
  </w:style>
  <w:style w:type="paragraph" w:styleId="Heading5">
    <w:name w:val="heading 5"/>
    <w:basedOn w:val="Normal"/>
    <w:next w:val="Normal"/>
    <w:link w:val="Heading5Char"/>
    <w:uiPriority w:val="9"/>
    <w:semiHidden/>
    <w:unhideWhenUsed/>
    <w:qFormat/>
    <w:rsid w:val="0070338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03380"/>
    <w:pPr>
      <w:numPr>
        <w:ilvl w:val="5"/>
        <w:numId w:val="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703380"/>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703380"/>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703380"/>
    <w:pPr>
      <w:numPr>
        <w:ilvl w:val="8"/>
        <w:numId w:val="1"/>
      </w:num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Helvetica Regular" w:hAnsi="Helvetica Regular" w:cs="Helvetica Regular"/>
      <w:color w:val="000000"/>
      <w:lang w:val="en-GB"/>
    </w:rPr>
  </w:style>
  <w:style w:type="paragraph" w:customStyle="1" w:styleId="SectionTitleTitlePage">
    <w:name w:val="Section Title (Title Page)"/>
    <w:basedOn w:val="NoParagraphStyle"/>
    <w:uiPriority w:val="99"/>
    <w:pPr>
      <w:pageBreakBefore/>
      <w:suppressAutoHyphens/>
      <w:spacing w:after="520" w:line="680" w:lineRule="atLeast"/>
    </w:pPr>
    <w:rPr>
      <w:rFonts w:ascii="ITC Franklin Gothic Book" w:hAnsi="ITC Franklin Gothic Book" w:cs="ITC Franklin Gothic Book"/>
      <w:color w:val="246754"/>
      <w:sz w:val="60"/>
      <w:szCs w:val="60"/>
      <w:lang w:val="en-US"/>
    </w:rPr>
  </w:style>
  <w:style w:type="paragraph" w:customStyle="1" w:styleId="AnchorGeneralStyles">
    <w:name w:val="Anchor (General Styles)"/>
    <w:basedOn w:val="NoParagraphStyle"/>
    <w:uiPriority w:val="99"/>
    <w:pPr>
      <w:suppressAutoHyphens/>
      <w:spacing w:line="130" w:lineRule="atLeast"/>
    </w:pPr>
    <w:rPr>
      <w:rFonts w:ascii="Gill Sans Std" w:hAnsi="Gill Sans Std" w:cs="Gill Sans Std"/>
      <w:sz w:val="13"/>
      <w:szCs w:val="13"/>
    </w:rPr>
  </w:style>
  <w:style w:type="paragraph" w:customStyle="1" w:styleId="BodynumberedGeneralStyles">
    <w:name w:val="Body numbered (General Styles)"/>
    <w:basedOn w:val="NoParagraphStyle"/>
    <w:uiPriority w:val="99"/>
    <w:pPr>
      <w:tabs>
        <w:tab w:val="left" w:pos="907"/>
      </w:tabs>
      <w:suppressAutoHyphens/>
      <w:spacing w:after="113" w:line="260" w:lineRule="atLeast"/>
      <w:ind w:left="737" w:hanging="737"/>
    </w:pPr>
    <w:rPr>
      <w:rFonts w:ascii="Gill Sans Std Light" w:hAnsi="Gill Sans Std Light" w:cs="Gill Sans Std Light"/>
      <w:sz w:val="21"/>
      <w:szCs w:val="21"/>
      <w:lang w:val="en-US"/>
    </w:rPr>
  </w:style>
  <w:style w:type="paragraph" w:customStyle="1" w:styleId="Body11Pre-bulletBodyParas">
    <w:name w:val="Body 1.1 Pre-bullet (Body Paras)"/>
    <w:basedOn w:val="BodynumberedGeneralStyles"/>
    <w:uiPriority w:val="99"/>
    <w:pPr>
      <w:spacing w:after="57" w:line="270" w:lineRule="atLeast"/>
      <w:ind w:left="454" w:hanging="454"/>
    </w:pPr>
  </w:style>
  <w:style w:type="paragraph" w:customStyle="1" w:styleId="BodyGeneralStyles">
    <w:name w:val="Body (General Styles)"/>
    <w:basedOn w:val="NoParagraphStyle"/>
    <w:uiPriority w:val="99"/>
    <w:pPr>
      <w:suppressAutoHyphens/>
      <w:spacing w:after="135" w:line="270" w:lineRule="atLeast"/>
    </w:pPr>
    <w:rPr>
      <w:rFonts w:ascii="Gill Sans Std Light" w:hAnsi="Gill Sans Std Light" w:cs="Gill Sans Std Light"/>
      <w:sz w:val="21"/>
      <w:szCs w:val="21"/>
      <w:lang w:val="en-US"/>
    </w:rPr>
  </w:style>
  <w:style w:type="paragraph" w:customStyle="1" w:styleId="BulletindentGeneralStyles">
    <w:name w:val="Bullet indent (General Styles)"/>
    <w:basedOn w:val="BodyGeneralStyles"/>
    <w:uiPriority w:val="99"/>
    <w:pPr>
      <w:tabs>
        <w:tab w:val="left" w:pos="907"/>
      </w:tabs>
      <w:spacing w:after="57"/>
      <w:ind w:left="850" w:hanging="227"/>
    </w:pPr>
  </w:style>
  <w:style w:type="paragraph" w:customStyle="1" w:styleId="BulletindentlastGeneralStyles">
    <w:name w:val="Bullet indent last (General Styles)"/>
    <w:basedOn w:val="BulletindentGeneralStyles"/>
    <w:uiPriority w:val="99"/>
    <w:pPr>
      <w:spacing w:after="135"/>
    </w:pPr>
  </w:style>
  <w:style w:type="paragraph" w:customStyle="1" w:styleId="Body11BodyParas">
    <w:name w:val="Body 1.1 (Body Paras)"/>
    <w:basedOn w:val="BodynumberedGeneralStyles"/>
    <w:uiPriority w:val="99"/>
    <w:pPr>
      <w:spacing w:after="130" w:line="270" w:lineRule="atLeast"/>
      <w:ind w:left="510" w:hanging="510"/>
    </w:pPr>
  </w:style>
  <w:style w:type="paragraph" w:customStyle="1" w:styleId="Heading1GeneralStyles">
    <w:name w:val="Heading 1 (General Styles)"/>
    <w:basedOn w:val="NoParagraphStyle"/>
    <w:uiPriority w:val="99"/>
    <w:pPr>
      <w:suppressAutoHyphens/>
      <w:spacing w:before="270" w:after="135" w:line="400" w:lineRule="atLeast"/>
    </w:pPr>
    <w:rPr>
      <w:rFonts w:ascii="ITC Franklin Gothic Book" w:hAnsi="ITC Franklin Gothic Book" w:cs="ITC Franklin Gothic Book"/>
      <w:color w:val="55565A"/>
      <w:sz w:val="36"/>
      <w:szCs w:val="36"/>
      <w:lang w:val="en-US"/>
    </w:rPr>
  </w:style>
  <w:style w:type="paragraph" w:customStyle="1" w:styleId="Body21Pre-bulletBodyParas">
    <w:name w:val="Body 2.1 Pre-bullet (Body Paras)"/>
    <w:basedOn w:val="Body11BodyParas"/>
    <w:uiPriority w:val="99"/>
    <w:pPr>
      <w:spacing w:after="57"/>
    </w:pPr>
  </w:style>
  <w:style w:type="paragraph" w:customStyle="1" w:styleId="Body21BodyParas">
    <w:name w:val="Body 2.1 (Body Paras)"/>
    <w:basedOn w:val="Body11BodyParas"/>
    <w:uiPriority w:val="99"/>
  </w:style>
  <w:style w:type="paragraph" w:customStyle="1" w:styleId="Heading2GeneralStyles">
    <w:name w:val="Heading 2 (General Styles)"/>
    <w:basedOn w:val="NoParagraphStyle"/>
    <w:uiPriority w:val="99"/>
    <w:pPr>
      <w:suppressAutoHyphens/>
      <w:spacing w:before="260" w:after="130" w:line="320" w:lineRule="atLeast"/>
    </w:pPr>
    <w:rPr>
      <w:rFonts w:ascii="ITC Franklin Gothic Book" w:hAnsi="ITC Franklin Gothic Book" w:cs="ITC Franklin Gothic Book"/>
      <w:color w:val="246754"/>
      <w:sz w:val="28"/>
      <w:szCs w:val="28"/>
      <w:lang w:val="en-US"/>
    </w:rPr>
  </w:style>
  <w:style w:type="paragraph" w:customStyle="1" w:styleId="QuoteGeneralStyles">
    <w:name w:val="Quote (General Styles)"/>
    <w:basedOn w:val="BodyGeneralStyles"/>
    <w:uiPriority w:val="99"/>
    <w:pPr>
      <w:ind w:left="794" w:right="57"/>
    </w:pPr>
    <w:rPr>
      <w:sz w:val="19"/>
      <w:szCs w:val="19"/>
    </w:rPr>
  </w:style>
  <w:style w:type="paragraph" w:customStyle="1" w:styleId="Heading3GeneralStyles">
    <w:name w:val="Heading 3 (General Styles)"/>
    <w:basedOn w:val="NoParagraphStyle"/>
    <w:uiPriority w:val="99"/>
    <w:pPr>
      <w:suppressAutoHyphens/>
      <w:spacing w:before="170" w:after="57" w:line="290" w:lineRule="atLeast"/>
    </w:pPr>
    <w:rPr>
      <w:rFonts w:ascii="ITC Franklin Gothic Book" w:hAnsi="ITC Franklin Gothic Book" w:cs="ITC Franklin Gothic Book"/>
      <w:color w:val="55565A"/>
      <w:sz w:val="25"/>
      <w:szCs w:val="25"/>
      <w:lang w:val="en-US"/>
    </w:rPr>
  </w:style>
  <w:style w:type="paragraph" w:customStyle="1" w:styleId="FigureTableTitleFiguresTable">
    <w:name w:val="Figure / Table Title (Figures / Table)"/>
    <w:basedOn w:val="BodyGeneralStyles"/>
    <w:uiPriority w:val="99"/>
    <w:pPr>
      <w:tabs>
        <w:tab w:val="left" w:pos="907"/>
      </w:tabs>
      <w:spacing w:before="113" w:line="200" w:lineRule="atLeast"/>
    </w:pPr>
    <w:rPr>
      <w:rFonts w:ascii="Franklin Gothic Medium" w:hAnsi="Franklin Gothic Medium" w:cs="Franklin Gothic Medium"/>
      <w:sz w:val="16"/>
      <w:szCs w:val="16"/>
    </w:rPr>
  </w:style>
  <w:style w:type="paragraph" w:customStyle="1" w:styleId="Body31BodyParas">
    <w:name w:val="Body 3.1 (Body Paras)"/>
    <w:basedOn w:val="Body11BodyParas"/>
    <w:uiPriority w:val="99"/>
  </w:style>
  <w:style w:type="paragraph" w:customStyle="1" w:styleId="Footnote1-99Footnote">
    <w:name w:val="Footnote 1-99 (Footnote)"/>
    <w:basedOn w:val="NoParagraphStyle"/>
    <w:uiPriority w:val="99"/>
    <w:pPr>
      <w:tabs>
        <w:tab w:val="left" w:pos="255"/>
      </w:tabs>
      <w:suppressAutoHyphens/>
      <w:spacing w:after="113" w:line="180" w:lineRule="atLeast"/>
      <w:ind w:left="255" w:hanging="255"/>
    </w:pPr>
    <w:rPr>
      <w:rFonts w:ascii="Gill Sans Std Light" w:hAnsi="Gill Sans Std Light" w:cs="Gill Sans Std Light"/>
      <w:sz w:val="15"/>
      <w:szCs w:val="15"/>
      <w:lang w:val="en-US"/>
    </w:rPr>
  </w:style>
  <w:style w:type="paragraph" w:customStyle="1" w:styleId="Body31Pre-bulletBodyParas">
    <w:name w:val="Body 3.1 Pre-bullet (Body Paras)"/>
    <w:basedOn w:val="Body11BodyParas"/>
    <w:uiPriority w:val="99"/>
    <w:pPr>
      <w:spacing w:after="58"/>
    </w:pPr>
  </w:style>
  <w:style w:type="paragraph" w:customStyle="1" w:styleId="BodyindentGeneralStyles">
    <w:name w:val="Body indent (General Styles)"/>
    <w:basedOn w:val="BodyGeneralStyles"/>
    <w:uiPriority w:val="99"/>
    <w:pPr>
      <w:ind w:left="510"/>
    </w:pPr>
  </w:style>
  <w:style w:type="paragraph" w:customStyle="1" w:styleId="Body41Pre-BulletBodyParas">
    <w:name w:val="Body 4.1 Pre-Bullet (Body Paras)"/>
    <w:basedOn w:val="Body11BodyParas"/>
    <w:uiPriority w:val="99"/>
    <w:pPr>
      <w:spacing w:after="58"/>
    </w:pPr>
  </w:style>
  <w:style w:type="paragraph" w:customStyle="1" w:styleId="Body41BodyParas">
    <w:name w:val="Body 4.1 (Body Paras)"/>
    <w:basedOn w:val="Body11BodyParas"/>
    <w:uiPriority w:val="99"/>
  </w:style>
  <w:style w:type="paragraph" w:customStyle="1" w:styleId="Body51Pre-bulletBodyParas">
    <w:name w:val="Body 5.1 Pre-bullet (Body Paras)"/>
    <w:basedOn w:val="Body11BodyParas"/>
    <w:uiPriority w:val="99"/>
    <w:pPr>
      <w:spacing w:after="58"/>
    </w:pPr>
  </w:style>
  <w:style w:type="paragraph" w:customStyle="1" w:styleId="Body51BodyParas">
    <w:name w:val="Body 5.1 (Body Paras)"/>
    <w:basedOn w:val="Body11BodyParas"/>
    <w:uiPriority w:val="99"/>
  </w:style>
  <w:style w:type="paragraph" w:customStyle="1" w:styleId="Body61Pre-bulletBodyParas">
    <w:name w:val="Body 6.1 Pre-bullet (Body Paras)"/>
    <w:basedOn w:val="Body11BodyParas"/>
    <w:uiPriority w:val="99"/>
    <w:pPr>
      <w:spacing w:after="58"/>
    </w:pPr>
  </w:style>
  <w:style w:type="paragraph" w:customStyle="1" w:styleId="Body61BodyParas">
    <w:name w:val="Body 6.1 (Body Paras)"/>
    <w:basedOn w:val="Body11BodyParas"/>
    <w:uiPriority w:val="99"/>
  </w:style>
  <w:style w:type="paragraph" w:customStyle="1" w:styleId="Body71BodyParas">
    <w:name w:val="Body 7.1 (Body Paras)"/>
    <w:basedOn w:val="Body11BodyParas"/>
    <w:uiPriority w:val="99"/>
  </w:style>
  <w:style w:type="paragraph" w:customStyle="1" w:styleId="Body71Pre-bulletBodyParas">
    <w:name w:val="Body 7.1 Pre-bullet (Body Paras)"/>
    <w:basedOn w:val="Body11BodyParas"/>
    <w:uiPriority w:val="99"/>
    <w:pPr>
      <w:spacing w:after="58"/>
    </w:pPr>
  </w:style>
  <w:style w:type="paragraph" w:customStyle="1" w:styleId="GlossaryEntryGeneralStyles">
    <w:name w:val="Glossary Entry (General Styles)"/>
    <w:basedOn w:val="NoParagraphStyle"/>
    <w:uiPriority w:val="99"/>
    <w:pPr>
      <w:suppressAutoHyphens/>
      <w:spacing w:line="230" w:lineRule="atLeast"/>
    </w:pPr>
    <w:rPr>
      <w:rFonts w:ascii="ITC Franklin Gothic Book" w:hAnsi="ITC Franklin Gothic Book" w:cs="ITC Franklin Gothic Book"/>
      <w:color w:val="246754"/>
      <w:sz w:val="20"/>
      <w:szCs w:val="20"/>
      <w:lang w:val="en-US"/>
    </w:rPr>
  </w:style>
  <w:style w:type="paragraph" w:customStyle="1" w:styleId="BodyPre-bulletGeneralStyles">
    <w:name w:val="Body Pre-bullet (General Styles)"/>
    <w:basedOn w:val="NoParagraphStyle"/>
    <w:uiPriority w:val="99"/>
    <w:pPr>
      <w:suppressAutoHyphens/>
      <w:spacing w:after="57" w:line="270" w:lineRule="atLeast"/>
    </w:pPr>
    <w:rPr>
      <w:rFonts w:ascii="Gill Sans Std Light" w:hAnsi="Gill Sans Std Light" w:cs="Gill Sans Std Light"/>
      <w:sz w:val="21"/>
      <w:szCs w:val="21"/>
      <w:lang w:val="en-US"/>
    </w:rPr>
  </w:style>
  <w:style w:type="paragraph" w:customStyle="1" w:styleId="BulletGeneralStyles">
    <w:name w:val="Bullet (General Styles)"/>
    <w:basedOn w:val="BodyGeneralStyles"/>
    <w:uiPriority w:val="99"/>
    <w:pPr>
      <w:tabs>
        <w:tab w:val="left" w:pos="907"/>
      </w:tabs>
      <w:spacing w:after="57"/>
      <w:ind w:left="360" w:hanging="170"/>
    </w:pPr>
  </w:style>
  <w:style w:type="paragraph" w:customStyle="1" w:styleId="TableHeadingLeftFiguresTable">
    <w:name w:val="Table Heading Left (Figures / Table)"/>
    <w:basedOn w:val="BodyGeneralStyles"/>
    <w:uiPriority w:val="99"/>
    <w:pPr>
      <w:spacing w:line="240" w:lineRule="atLeast"/>
    </w:pPr>
    <w:rPr>
      <w:rFonts w:ascii="ITC Franklin Gothic Book" w:hAnsi="ITC Franklin Gothic Book" w:cs="ITC Franklin Gothic Book"/>
      <w:color w:val="246754"/>
      <w:sz w:val="18"/>
      <w:szCs w:val="18"/>
    </w:rPr>
  </w:style>
  <w:style w:type="paragraph" w:customStyle="1" w:styleId="TableBodyLeftFiguresTable">
    <w:name w:val="Table Body Left (Figures / Table)"/>
    <w:basedOn w:val="NoParagraphStyle"/>
    <w:uiPriority w:val="99"/>
    <w:pPr>
      <w:suppressAutoHyphens/>
      <w:spacing w:after="135" w:line="240" w:lineRule="atLeast"/>
    </w:pPr>
    <w:rPr>
      <w:rFonts w:ascii="ITC Franklin Gothic Book" w:hAnsi="ITC Franklin Gothic Book" w:cs="ITC Franklin Gothic Book"/>
      <w:sz w:val="18"/>
      <w:szCs w:val="18"/>
      <w:lang w:val="en-US"/>
    </w:rPr>
  </w:style>
  <w:style w:type="paragraph" w:customStyle="1" w:styleId="TableBodyRightFiguresTable">
    <w:name w:val="Table Body Right (Figures / Table)"/>
    <w:basedOn w:val="BodyGeneralStyles"/>
    <w:uiPriority w:val="99"/>
    <w:pPr>
      <w:spacing w:line="240" w:lineRule="atLeast"/>
      <w:jc w:val="right"/>
    </w:pPr>
    <w:rPr>
      <w:rFonts w:ascii="ITC Franklin Gothic Book" w:hAnsi="ITC Franklin Gothic Book" w:cs="ITC Franklin Gothic Book"/>
      <w:sz w:val="18"/>
      <w:szCs w:val="18"/>
    </w:rPr>
  </w:style>
  <w:style w:type="paragraph" w:customStyle="1" w:styleId="TableBodyPre-bulletFiguresTable">
    <w:name w:val="Table Body Pre-bullet (Figures / Table)"/>
    <w:basedOn w:val="NoParagraphStyle"/>
    <w:uiPriority w:val="99"/>
    <w:pPr>
      <w:suppressAutoHyphens/>
      <w:spacing w:after="60" w:line="240" w:lineRule="atLeast"/>
    </w:pPr>
    <w:rPr>
      <w:rFonts w:ascii="ITC Franklin Gothic Book" w:hAnsi="ITC Franklin Gothic Book" w:cs="ITC Franklin Gothic Book"/>
      <w:sz w:val="18"/>
      <w:szCs w:val="18"/>
      <w:lang w:val="en-US"/>
    </w:rPr>
  </w:style>
  <w:style w:type="paragraph" w:customStyle="1" w:styleId="TableBulletFiguresTable">
    <w:name w:val="Table Bullet (Figures / Table)"/>
    <w:basedOn w:val="NoParagraphStyle"/>
    <w:uiPriority w:val="99"/>
    <w:pPr>
      <w:suppressAutoHyphens/>
      <w:spacing w:after="40" w:line="240" w:lineRule="atLeast"/>
      <w:ind w:left="198" w:hanging="198"/>
    </w:pPr>
    <w:rPr>
      <w:rFonts w:ascii="ITC Franklin Gothic Book" w:hAnsi="ITC Franklin Gothic Book" w:cs="ITC Franklin Gothic Book"/>
      <w:sz w:val="18"/>
      <w:szCs w:val="18"/>
      <w:lang w:val="en-US"/>
    </w:rPr>
  </w:style>
  <w:style w:type="paragraph" w:customStyle="1" w:styleId="TableHeadingRightFiguresTable">
    <w:name w:val="Table Heading Right (Figures / Table)"/>
    <w:basedOn w:val="BodyGeneralStyles"/>
    <w:uiPriority w:val="99"/>
    <w:pPr>
      <w:spacing w:line="240" w:lineRule="atLeast"/>
      <w:jc w:val="right"/>
    </w:pPr>
    <w:rPr>
      <w:rFonts w:ascii="ITC Franklin Gothic Book" w:hAnsi="ITC Franklin Gothic Book" w:cs="ITC Franklin Gothic Book"/>
      <w:color w:val="246754"/>
      <w:sz w:val="18"/>
      <w:szCs w:val="18"/>
    </w:rPr>
  </w:style>
  <w:style w:type="paragraph" w:customStyle="1" w:styleId="Footnote100-999Footnote">
    <w:name w:val="Footnote 100-999 (Footnote)"/>
    <w:basedOn w:val="NoParagraphStyle"/>
    <w:uiPriority w:val="99"/>
    <w:pPr>
      <w:tabs>
        <w:tab w:val="left" w:pos="369"/>
      </w:tabs>
      <w:suppressAutoHyphens/>
      <w:spacing w:after="113" w:line="180" w:lineRule="atLeast"/>
      <w:ind w:left="369" w:hanging="369"/>
    </w:pPr>
    <w:rPr>
      <w:rFonts w:ascii="Gill Sans Std Light" w:hAnsi="Gill Sans Std Light" w:cs="Gill Sans Std Light"/>
      <w:sz w:val="15"/>
      <w:szCs w:val="15"/>
      <w:lang w:val="en-US"/>
    </w:rPr>
  </w:style>
  <w:style w:type="character" w:customStyle="1" w:styleId="LightItalic">
    <w:name w:val="Light Italic"/>
    <w:uiPriority w:val="99"/>
    <w:rPr>
      <w:rFonts w:ascii="Gill Sans Std Light" w:hAnsi="Gill Sans Std Light" w:cs="Gill Sans Std Light"/>
      <w:i/>
      <w:iCs/>
      <w:lang w:val="en-AU"/>
    </w:rPr>
  </w:style>
  <w:style w:type="character" w:customStyle="1" w:styleId="Superscript">
    <w:name w:val="Superscript"/>
    <w:uiPriority w:val="99"/>
    <w:rPr>
      <w:vertAlign w:val="superscript"/>
    </w:rPr>
  </w:style>
  <w:style w:type="paragraph" w:styleId="TOC1">
    <w:name w:val="toc 1"/>
    <w:basedOn w:val="Normal"/>
    <w:next w:val="Normal"/>
    <w:autoRedefine/>
    <w:uiPriority w:val="39"/>
    <w:unhideWhenUsed/>
    <w:rsid w:val="00CE666D"/>
    <w:pPr>
      <w:spacing w:before="120" w:after="120"/>
    </w:pPr>
  </w:style>
  <w:style w:type="paragraph" w:customStyle="1" w:styleId="TitleTitlePage">
    <w:name w:val="Title (Title Page)"/>
    <w:basedOn w:val="Normal"/>
    <w:uiPriority w:val="99"/>
    <w:rsid w:val="00AE75F2"/>
    <w:pPr>
      <w:widowControl w:val="0"/>
      <w:autoSpaceDE w:val="0"/>
      <w:autoSpaceDN w:val="0"/>
      <w:adjustRightInd w:val="0"/>
      <w:spacing w:before="120" w:after="0" w:line="680" w:lineRule="atLeast"/>
      <w:textAlignment w:val="center"/>
    </w:pPr>
    <w:rPr>
      <w:rFonts w:ascii="ITC Franklin Gothic Book" w:hAnsi="ITC Franklin Gothic Book" w:cs="ITC Franklin Gothic Book"/>
      <w:color w:val="55565A"/>
      <w:sz w:val="60"/>
      <w:szCs w:val="60"/>
      <w:lang w:val="en-US"/>
    </w:rPr>
  </w:style>
  <w:style w:type="paragraph" w:customStyle="1" w:styleId="SubtitleTitlePage">
    <w:name w:val="Subtitle (Title Page)"/>
    <w:basedOn w:val="TitleTitlePage"/>
    <w:uiPriority w:val="99"/>
    <w:rsid w:val="00AE75F2"/>
    <w:pPr>
      <w:spacing w:after="540"/>
    </w:pPr>
    <w:rPr>
      <w:color w:val="246754"/>
    </w:rPr>
  </w:style>
  <w:style w:type="paragraph" w:customStyle="1" w:styleId="ContributorsheaderImprintandContributors">
    <w:name w:val="Contributors header (Imprint and Contributors)"/>
    <w:basedOn w:val="Normal"/>
    <w:uiPriority w:val="99"/>
    <w:rsid w:val="00AE75F2"/>
    <w:pPr>
      <w:widowControl w:val="0"/>
      <w:autoSpaceDE w:val="0"/>
      <w:autoSpaceDN w:val="0"/>
      <w:adjustRightInd w:val="0"/>
      <w:spacing w:before="270" w:after="0" w:line="270" w:lineRule="atLeast"/>
    </w:pPr>
    <w:rPr>
      <w:rFonts w:ascii="ITC Franklin Gothic Book" w:hAnsi="ITC Franklin Gothic Book" w:cs="ITC Franklin Gothic Book"/>
      <w:color w:val="246754"/>
      <w:sz w:val="21"/>
      <w:szCs w:val="21"/>
      <w:lang w:val="en-US"/>
    </w:rPr>
  </w:style>
  <w:style w:type="paragraph" w:customStyle="1" w:styleId="ContributorslistImprintandContributors">
    <w:name w:val="Contributors list (Imprint and Contributors)"/>
    <w:basedOn w:val="Normal"/>
    <w:uiPriority w:val="99"/>
    <w:rsid w:val="00AE75F2"/>
    <w:pPr>
      <w:widowControl w:val="0"/>
      <w:autoSpaceDE w:val="0"/>
      <w:autoSpaceDN w:val="0"/>
      <w:adjustRightInd w:val="0"/>
      <w:spacing w:before="120" w:after="0" w:line="270" w:lineRule="atLeast"/>
    </w:pPr>
    <w:rPr>
      <w:rFonts w:ascii="Gill Sans Std Light" w:hAnsi="Gill Sans Std Light" w:cs="Gill Sans Std Light"/>
      <w:color w:val="000000"/>
      <w:sz w:val="21"/>
      <w:szCs w:val="21"/>
      <w:lang w:val="en-US"/>
    </w:rPr>
  </w:style>
  <w:style w:type="paragraph" w:styleId="Header">
    <w:name w:val="header"/>
    <w:basedOn w:val="Normal"/>
    <w:link w:val="HeaderChar"/>
    <w:uiPriority w:val="99"/>
    <w:unhideWhenUsed/>
    <w:rsid w:val="00632D14"/>
    <w:pPr>
      <w:tabs>
        <w:tab w:val="center" w:pos="4513"/>
        <w:tab w:val="right" w:pos="9026"/>
      </w:tabs>
      <w:spacing w:before="120" w:after="120"/>
    </w:pPr>
  </w:style>
  <w:style w:type="character" w:customStyle="1" w:styleId="HeaderChar">
    <w:name w:val="Header Char"/>
    <w:basedOn w:val="DefaultParagraphFont"/>
    <w:link w:val="Header"/>
    <w:uiPriority w:val="99"/>
    <w:rsid w:val="00632D14"/>
  </w:style>
  <w:style w:type="paragraph" w:styleId="Footer">
    <w:name w:val="footer"/>
    <w:basedOn w:val="Normal"/>
    <w:link w:val="FooterChar"/>
    <w:uiPriority w:val="99"/>
    <w:unhideWhenUsed/>
    <w:rsid w:val="00632D14"/>
    <w:pPr>
      <w:tabs>
        <w:tab w:val="center" w:pos="4513"/>
        <w:tab w:val="right" w:pos="9026"/>
      </w:tabs>
      <w:spacing w:before="120" w:after="120"/>
    </w:pPr>
  </w:style>
  <w:style w:type="character" w:customStyle="1" w:styleId="FooterChar">
    <w:name w:val="Footer Char"/>
    <w:basedOn w:val="DefaultParagraphFont"/>
    <w:link w:val="Footer"/>
    <w:uiPriority w:val="99"/>
    <w:rsid w:val="00632D14"/>
  </w:style>
  <w:style w:type="character" w:styleId="Hyperlink">
    <w:name w:val="Hyperlink"/>
    <w:uiPriority w:val="99"/>
    <w:unhideWhenUsed/>
    <w:rsid w:val="00CE666D"/>
    <w:rPr>
      <w:color w:val="0563C1"/>
      <w:u w:val="single"/>
    </w:rPr>
  </w:style>
  <w:style w:type="paragraph" w:customStyle="1" w:styleId="ImprintImprintandContributors">
    <w:name w:val="Imprint (Imprint and Contributors)"/>
    <w:basedOn w:val="Normal"/>
    <w:uiPriority w:val="99"/>
    <w:rsid w:val="00B83836"/>
    <w:pPr>
      <w:widowControl w:val="0"/>
      <w:autoSpaceDE w:val="0"/>
      <w:autoSpaceDN w:val="0"/>
      <w:adjustRightInd w:val="0"/>
      <w:spacing w:before="120" w:after="120" w:line="240" w:lineRule="atLeast"/>
    </w:pPr>
    <w:rPr>
      <w:rFonts w:ascii="Gill Sans Std Light" w:hAnsi="Gill Sans Std Light" w:cs="Gill Sans Std Light"/>
      <w:color w:val="000000"/>
      <w:sz w:val="18"/>
      <w:szCs w:val="18"/>
      <w:lang w:val="en-US"/>
    </w:rPr>
  </w:style>
  <w:style w:type="paragraph" w:customStyle="1" w:styleId="Subtitle2TitlePage">
    <w:name w:val="Subtitle 2 (Title Page)"/>
    <w:basedOn w:val="NoParagraphStyle"/>
    <w:uiPriority w:val="99"/>
    <w:rsid w:val="005B7138"/>
    <w:pPr>
      <w:suppressAutoHyphens/>
      <w:spacing w:line="400" w:lineRule="atLeast"/>
    </w:pPr>
    <w:rPr>
      <w:rFonts w:ascii="ITC Franklin Gothic Book" w:hAnsi="ITC Franklin Gothic Book" w:cs="ITC Franklin Gothic Book"/>
      <w:color w:val="55565A"/>
      <w:sz w:val="36"/>
      <w:szCs w:val="36"/>
      <w:lang w:val="en-US"/>
    </w:rPr>
  </w:style>
  <w:style w:type="character" w:customStyle="1" w:styleId="Heading1Char">
    <w:name w:val="Heading 1 Char"/>
    <w:link w:val="Heading1"/>
    <w:uiPriority w:val="99"/>
    <w:rsid w:val="00A83355"/>
    <w:rPr>
      <w:b/>
      <w:bCs/>
      <w:kern w:val="32"/>
      <w:sz w:val="40"/>
      <w:szCs w:val="32"/>
    </w:rPr>
  </w:style>
  <w:style w:type="paragraph" w:styleId="Title">
    <w:name w:val="Title"/>
    <w:basedOn w:val="Normal"/>
    <w:next w:val="Normal"/>
    <w:link w:val="TitleChar"/>
    <w:uiPriority w:val="10"/>
    <w:qFormat/>
    <w:rsid w:val="00896AE3"/>
    <w:pPr>
      <w:spacing w:before="120" w:after="240" w:line="240" w:lineRule="auto"/>
      <w:outlineLvl w:val="0"/>
    </w:pPr>
    <w:rPr>
      <w:b/>
      <w:bCs/>
      <w:kern w:val="28"/>
      <w:sz w:val="36"/>
      <w:szCs w:val="32"/>
    </w:rPr>
  </w:style>
  <w:style w:type="character" w:customStyle="1" w:styleId="TitleChar">
    <w:name w:val="Title Char"/>
    <w:link w:val="Title"/>
    <w:uiPriority w:val="10"/>
    <w:rsid w:val="00896AE3"/>
    <w:rPr>
      <w:b/>
      <w:bCs/>
      <w:kern w:val="28"/>
      <w:sz w:val="36"/>
      <w:szCs w:val="32"/>
    </w:rPr>
  </w:style>
  <w:style w:type="character" w:styleId="Strong">
    <w:name w:val="Strong"/>
    <w:uiPriority w:val="22"/>
    <w:qFormat/>
    <w:rsid w:val="002B1984"/>
    <w:rPr>
      <w:b/>
      <w:bCs/>
    </w:rPr>
  </w:style>
  <w:style w:type="character" w:customStyle="1" w:styleId="Heading2Char">
    <w:name w:val="Heading 2 Char"/>
    <w:link w:val="Heading2"/>
    <w:uiPriority w:val="99"/>
    <w:rsid w:val="00173049"/>
    <w:rPr>
      <w:b/>
      <w:bCs/>
      <w:iCs/>
      <w:sz w:val="32"/>
      <w:szCs w:val="28"/>
    </w:rPr>
  </w:style>
  <w:style w:type="character" w:styleId="Emphasis">
    <w:name w:val="Emphasis"/>
    <w:uiPriority w:val="20"/>
    <w:qFormat/>
    <w:rsid w:val="009E5334"/>
    <w:rPr>
      <w:i/>
      <w:iCs/>
    </w:rPr>
  </w:style>
  <w:style w:type="paragraph" w:customStyle="1" w:styleId="Numbered">
    <w:name w:val="Numbered"/>
    <w:basedOn w:val="NormalIndent"/>
    <w:link w:val="NumberedChar"/>
    <w:qFormat/>
    <w:rsid w:val="00516581"/>
    <w:pPr>
      <w:numPr>
        <w:ilvl w:val="1"/>
        <w:numId w:val="1"/>
      </w:numPr>
      <w:tabs>
        <w:tab w:val="left" w:pos="992"/>
      </w:tabs>
      <w:ind w:left="992" w:hanging="992"/>
    </w:pPr>
  </w:style>
  <w:style w:type="character" w:customStyle="1" w:styleId="Heading3Char">
    <w:name w:val="Heading 3 Char"/>
    <w:link w:val="Heading3"/>
    <w:uiPriority w:val="9"/>
    <w:rsid w:val="00C0128D"/>
    <w:rPr>
      <w:rFonts w:ascii="Verdana" w:eastAsia="Times New Roman" w:hAnsi="Verdana" w:cs="Times New Roman"/>
      <w:b/>
      <w:bCs/>
      <w:sz w:val="26"/>
      <w:szCs w:val="26"/>
    </w:rPr>
  </w:style>
  <w:style w:type="paragraph" w:styleId="NormalIndent">
    <w:name w:val="Normal Indent"/>
    <w:basedOn w:val="Normal"/>
    <w:link w:val="NormalIndentChar"/>
    <w:uiPriority w:val="99"/>
    <w:semiHidden/>
    <w:unhideWhenUsed/>
    <w:rsid w:val="005E444F"/>
    <w:pPr>
      <w:spacing w:before="120" w:after="120"/>
      <w:ind w:left="720"/>
    </w:pPr>
  </w:style>
  <w:style w:type="character" w:customStyle="1" w:styleId="NormalIndentChar">
    <w:name w:val="Normal Indent Char"/>
    <w:link w:val="NormalIndent"/>
    <w:uiPriority w:val="99"/>
    <w:semiHidden/>
    <w:rsid w:val="005E444F"/>
    <w:rPr>
      <w:rFonts w:ascii="Verdana" w:hAnsi="Verdana"/>
      <w:sz w:val="24"/>
      <w:szCs w:val="22"/>
    </w:rPr>
  </w:style>
  <w:style w:type="character" w:customStyle="1" w:styleId="NumberedChar">
    <w:name w:val="Numbered Char"/>
    <w:link w:val="Numbered"/>
    <w:rsid w:val="00516581"/>
  </w:style>
  <w:style w:type="character" w:customStyle="1" w:styleId="Heading4Char">
    <w:name w:val="Heading 4 Char"/>
    <w:link w:val="Heading4"/>
    <w:uiPriority w:val="9"/>
    <w:rsid w:val="008A1C48"/>
    <w:rPr>
      <w:b/>
      <w:bCs/>
      <w:i/>
      <w:szCs w:val="28"/>
    </w:rPr>
  </w:style>
  <w:style w:type="character" w:customStyle="1" w:styleId="Heading5Char">
    <w:name w:val="Heading 5 Char"/>
    <w:link w:val="Heading5"/>
    <w:uiPriority w:val="9"/>
    <w:semiHidden/>
    <w:rsid w:val="00703380"/>
    <w:rPr>
      <w:rFonts w:ascii="Calibri" w:hAnsi="Calibri"/>
      <w:b/>
      <w:bCs/>
      <w:i/>
      <w:iCs/>
      <w:sz w:val="26"/>
      <w:szCs w:val="26"/>
    </w:rPr>
  </w:style>
  <w:style w:type="character" w:customStyle="1" w:styleId="Heading6Char">
    <w:name w:val="Heading 6 Char"/>
    <w:link w:val="Heading6"/>
    <w:uiPriority w:val="9"/>
    <w:semiHidden/>
    <w:rsid w:val="00703380"/>
    <w:rPr>
      <w:rFonts w:ascii="Calibri" w:hAnsi="Calibri"/>
      <w:b/>
      <w:bCs/>
    </w:rPr>
  </w:style>
  <w:style w:type="character" w:customStyle="1" w:styleId="Heading7Char">
    <w:name w:val="Heading 7 Char"/>
    <w:link w:val="Heading7"/>
    <w:uiPriority w:val="9"/>
    <w:semiHidden/>
    <w:rsid w:val="00703380"/>
    <w:rPr>
      <w:rFonts w:ascii="Calibri" w:hAnsi="Calibri"/>
    </w:rPr>
  </w:style>
  <w:style w:type="character" w:customStyle="1" w:styleId="Heading8Char">
    <w:name w:val="Heading 8 Char"/>
    <w:link w:val="Heading8"/>
    <w:uiPriority w:val="9"/>
    <w:semiHidden/>
    <w:rsid w:val="00703380"/>
    <w:rPr>
      <w:rFonts w:ascii="Calibri" w:hAnsi="Calibri"/>
      <w:i/>
      <w:iCs/>
    </w:rPr>
  </w:style>
  <w:style w:type="character" w:customStyle="1" w:styleId="Heading9Char">
    <w:name w:val="Heading 9 Char"/>
    <w:link w:val="Heading9"/>
    <w:uiPriority w:val="9"/>
    <w:semiHidden/>
    <w:rsid w:val="00703380"/>
    <w:rPr>
      <w:rFonts w:ascii="Calibri Light" w:hAnsi="Calibri Light"/>
    </w:rPr>
  </w:style>
  <w:style w:type="paragraph" w:customStyle="1" w:styleId="Heading1Numbered">
    <w:name w:val="Heading 1 Numbered"/>
    <w:next w:val="Numbered"/>
    <w:link w:val="Heading1NumberedChar"/>
    <w:qFormat/>
    <w:rsid w:val="00C9725F"/>
    <w:pPr>
      <w:pageBreakBefore/>
      <w:numPr>
        <w:numId w:val="1"/>
      </w:numPr>
      <w:tabs>
        <w:tab w:val="left" w:pos="992"/>
      </w:tabs>
      <w:suppressAutoHyphens/>
      <w:spacing w:after="240"/>
      <w:ind w:left="992" w:hanging="992"/>
    </w:pPr>
    <w:rPr>
      <w:b/>
      <w:bCs/>
      <w:kern w:val="32"/>
      <w:sz w:val="48"/>
      <w:szCs w:val="32"/>
    </w:rPr>
  </w:style>
  <w:style w:type="paragraph" w:customStyle="1" w:styleId="Bullets">
    <w:name w:val="Bullets"/>
    <w:basedOn w:val="Normal"/>
    <w:qFormat/>
    <w:rsid w:val="00B64EB6"/>
    <w:pPr>
      <w:numPr>
        <w:numId w:val="2"/>
      </w:numPr>
      <w:spacing w:before="60" w:after="60"/>
    </w:pPr>
  </w:style>
  <w:style w:type="character" w:customStyle="1" w:styleId="Heading1NumberedChar">
    <w:name w:val="Heading 1 Numbered Char"/>
    <w:link w:val="Heading1Numbered"/>
    <w:rsid w:val="00C9725F"/>
    <w:rPr>
      <w:b/>
      <w:bCs/>
      <w:kern w:val="32"/>
      <w:sz w:val="48"/>
      <w:szCs w:val="32"/>
    </w:rPr>
  </w:style>
  <w:style w:type="paragraph" w:styleId="NoSpacing">
    <w:name w:val="No Spacing"/>
    <w:uiPriority w:val="1"/>
    <w:qFormat/>
    <w:rsid w:val="00951DEC"/>
  </w:style>
  <w:style w:type="paragraph" w:styleId="Quote">
    <w:name w:val="Quote"/>
    <w:basedOn w:val="Normal"/>
    <w:next w:val="Normal"/>
    <w:link w:val="QuoteChar"/>
    <w:uiPriority w:val="29"/>
    <w:qFormat/>
    <w:rsid w:val="00415FFD"/>
    <w:pPr>
      <w:spacing w:before="200" w:after="120"/>
      <w:ind w:left="1134"/>
    </w:pPr>
    <w:rPr>
      <w:iCs/>
    </w:rPr>
  </w:style>
  <w:style w:type="character" w:customStyle="1" w:styleId="QuoteChar">
    <w:name w:val="Quote Char"/>
    <w:link w:val="Quote"/>
    <w:uiPriority w:val="29"/>
    <w:rsid w:val="00415FFD"/>
    <w:rPr>
      <w:rFonts w:ascii="Verdana" w:hAnsi="Verdana"/>
      <w:iCs/>
      <w:sz w:val="22"/>
      <w:szCs w:val="22"/>
    </w:rPr>
  </w:style>
  <w:style w:type="paragraph" w:customStyle="1" w:styleId="Footnote">
    <w:name w:val="Footnote"/>
    <w:qFormat/>
    <w:rsid w:val="009A49FB"/>
    <w:pPr>
      <w:tabs>
        <w:tab w:val="left" w:pos="454"/>
      </w:tabs>
      <w:suppressAutoHyphens/>
      <w:ind w:left="454" w:hanging="454"/>
    </w:pPr>
    <w:rPr>
      <w:rFonts w:cs="Gill Sans Std Light"/>
      <w:color w:val="000000"/>
      <w:sz w:val="20"/>
      <w:szCs w:val="15"/>
      <w:lang w:val="en-US"/>
    </w:rPr>
  </w:style>
  <w:style w:type="paragraph" w:styleId="Caption">
    <w:name w:val="caption"/>
    <w:basedOn w:val="Normal"/>
    <w:next w:val="Normal"/>
    <w:uiPriority w:val="35"/>
    <w:unhideWhenUsed/>
    <w:qFormat/>
    <w:rsid w:val="00D10620"/>
    <w:pPr>
      <w:keepNext/>
      <w:spacing w:before="120" w:after="120" w:line="240" w:lineRule="auto"/>
    </w:pPr>
    <w:rPr>
      <w:b/>
      <w:bCs/>
      <w:sz w:val="20"/>
      <w:szCs w:val="20"/>
    </w:rPr>
  </w:style>
  <w:style w:type="paragraph" w:customStyle="1" w:styleId="TableHeading">
    <w:name w:val="Table Heading"/>
    <w:qFormat/>
    <w:rsid w:val="00F56A1A"/>
    <w:pPr>
      <w:suppressAutoHyphens/>
    </w:pPr>
    <w:rPr>
      <w:rFonts w:cs="ITC Franklin Gothic Book"/>
      <w:b/>
      <w:sz w:val="20"/>
      <w:szCs w:val="18"/>
      <w:lang w:val="en-US"/>
    </w:rPr>
  </w:style>
  <w:style w:type="paragraph" w:customStyle="1" w:styleId="TableBody">
    <w:name w:val="Table Body"/>
    <w:qFormat/>
    <w:rsid w:val="00F56A1A"/>
    <w:pPr>
      <w:suppressAutoHyphens/>
    </w:pPr>
    <w:rPr>
      <w:rFonts w:cs="ITC Franklin Gothic Book"/>
      <w:color w:val="000000"/>
      <w:sz w:val="20"/>
      <w:szCs w:val="18"/>
      <w:lang w:val="en-US"/>
    </w:rPr>
  </w:style>
  <w:style w:type="paragraph" w:customStyle="1" w:styleId="Grid">
    <w:name w:val="Grid"/>
    <w:basedOn w:val="BodyGeneralStyles"/>
    <w:rsid w:val="00B052EE"/>
    <w:pPr>
      <w:spacing w:after="0" w:line="240" w:lineRule="auto"/>
    </w:pPr>
    <w:rPr>
      <w:sz w:val="16"/>
      <w:szCs w:val="16"/>
    </w:rPr>
  </w:style>
  <w:style w:type="table" w:styleId="TableGrid1">
    <w:name w:val="Table Grid 1"/>
    <w:uiPriority w:val="99"/>
    <w:semiHidden/>
    <w:unhideWhenUsed/>
    <w:rsid w:val="00263161"/>
    <w:pPr>
      <w:suppressAutoHyphens/>
      <w:spacing w:before="120" w:after="12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rPr>
      <w:cantSplit/>
    </w:trPr>
    <w:tcPr>
      <w:shd w:val="clear" w:color="auto" w:fill="auto"/>
      <w:tcMar>
        <w:top w:w="57" w:type="dxa"/>
        <w:left w:w="57" w:type="dxa"/>
        <w:bottom w:w="57" w:type="dxa"/>
        <w:right w:w="57" w:type="dxa"/>
      </w:tcMar>
    </w:tcPr>
  </w:style>
  <w:style w:type="table" w:styleId="TableGrid">
    <w:name w:val="Table Grid"/>
    <w:basedOn w:val="TableNormal"/>
    <w:uiPriority w:val="39"/>
    <w:rsid w:val="00EF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EF741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ributorssubheaderImprintandContributors">
    <w:name w:val="Contributors subheader (Imprint and Contributors)"/>
    <w:basedOn w:val="NoParagraphStyle"/>
    <w:uiPriority w:val="99"/>
    <w:rsid w:val="005C16F8"/>
    <w:pPr>
      <w:suppressAutoHyphens/>
      <w:spacing w:before="270" w:line="270" w:lineRule="atLeast"/>
    </w:pPr>
    <w:rPr>
      <w:rFonts w:ascii="ITC Franklin Gothic Book" w:hAnsi="ITC Franklin Gothic Book" w:cs="ITC Franklin Gothic Book"/>
      <w:color w:val="55565A"/>
      <w:sz w:val="21"/>
      <w:szCs w:val="21"/>
      <w:lang w:val="en-US"/>
    </w:rPr>
  </w:style>
  <w:style w:type="paragraph" w:customStyle="1" w:styleId="Body11PrebulletBodyParas">
    <w:name w:val="Body 1.1 Prebullet (Body Paras)"/>
    <w:basedOn w:val="BodynumberedGeneralStyles"/>
    <w:uiPriority w:val="99"/>
    <w:rsid w:val="005C16F8"/>
    <w:pPr>
      <w:spacing w:after="57" w:line="270" w:lineRule="atLeast"/>
      <w:ind w:left="510" w:hanging="510"/>
    </w:pPr>
  </w:style>
  <w:style w:type="paragraph" w:customStyle="1" w:styleId="Body21BodyParas0">
    <w:name w:val="Body 2.1+ (Body Paras)"/>
    <w:basedOn w:val="BodynumberedGeneralStyles"/>
    <w:uiPriority w:val="99"/>
    <w:rsid w:val="005C16F8"/>
    <w:pPr>
      <w:spacing w:after="130" w:line="270" w:lineRule="atLeast"/>
      <w:ind w:left="510" w:hanging="510"/>
    </w:pPr>
  </w:style>
  <w:style w:type="paragraph" w:customStyle="1" w:styleId="Body21PrebulletBodyParas">
    <w:name w:val="Body 2.1 Prebullet (Body Paras)"/>
    <w:basedOn w:val="BodynumberedGeneralStyles"/>
    <w:uiPriority w:val="99"/>
    <w:rsid w:val="005C16F8"/>
    <w:pPr>
      <w:spacing w:after="57" w:line="270" w:lineRule="atLeast"/>
      <w:ind w:left="510" w:hanging="510"/>
    </w:pPr>
  </w:style>
  <w:style w:type="paragraph" w:customStyle="1" w:styleId="Body31BodyParas0">
    <w:name w:val="Body 3.1+ (Body Paras)"/>
    <w:basedOn w:val="BodynumberedGeneralStyles"/>
    <w:uiPriority w:val="99"/>
    <w:rsid w:val="005C16F8"/>
    <w:pPr>
      <w:spacing w:after="130" w:line="270" w:lineRule="atLeast"/>
      <w:ind w:left="510" w:hanging="510"/>
    </w:pPr>
  </w:style>
  <w:style w:type="paragraph" w:customStyle="1" w:styleId="Body31PrebulletBodyParas">
    <w:name w:val="Body 3.1 Prebullet (Body Paras)"/>
    <w:basedOn w:val="BodynumberedGeneralStyles"/>
    <w:uiPriority w:val="99"/>
    <w:rsid w:val="005C16F8"/>
    <w:pPr>
      <w:spacing w:after="57" w:line="270" w:lineRule="atLeast"/>
      <w:ind w:left="510" w:hanging="510"/>
    </w:pPr>
  </w:style>
  <w:style w:type="paragraph" w:customStyle="1" w:styleId="Body41PrebulletBodyParas">
    <w:name w:val="Body 4.1 Prebullet (Body Paras)"/>
    <w:basedOn w:val="BodynumberedGeneralStyles"/>
    <w:uiPriority w:val="99"/>
    <w:rsid w:val="005C16F8"/>
    <w:pPr>
      <w:spacing w:after="57" w:line="270" w:lineRule="atLeast"/>
      <w:ind w:left="510" w:hanging="510"/>
    </w:pPr>
  </w:style>
  <w:style w:type="paragraph" w:customStyle="1" w:styleId="SubbulletindentGeneralStyles">
    <w:name w:val="Subbullet indent (General Styles)"/>
    <w:basedOn w:val="BodyGeneralStyles"/>
    <w:uiPriority w:val="99"/>
    <w:rsid w:val="005C16F8"/>
    <w:pPr>
      <w:tabs>
        <w:tab w:val="left" w:pos="907"/>
      </w:tabs>
      <w:spacing w:after="57"/>
      <w:ind w:left="1191" w:hanging="198"/>
    </w:pPr>
  </w:style>
  <w:style w:type="paragraph" w:customStyle="1" w:styleId="SubbulletindentlastGeneralStyles">
    <w:name w:val="Subbullet indent last (General Styles)"/>
    <w:basedOn w:val="BodyGeneralStyles"/>
    <w:uiPriority w:val="99"/>
    <w:rsid w:val="005C16F8"/>
    <w:pPr>
      <w:tabs>
        <w:tab w:val="left" w:pos="907"/>
      </w:tabs>
      <w:ind w:left="1191" w:hanging="198"/>
    </w:pPr>
  </w:style>
  <w:style w:type="paragraph" w:customStyle="1" w:styleId="Body41BodyParas0">
    <w:name w:val="Body 4.1+ (Body Paras)"/>
    <w:basedOn w:val="BodynumberedGeneralStyles"/>
    <w:uiPriority w:val="99"/>
    <w:rsid w:val="005C16F8"/>
    <w:pPr>
      <w:spacing w:after="130" w:line="270" w:lineRule="atLeast"/>
      <w:ind w:left="510" w:hanging="510"/>
    </w:pPr>
  </w:style>
  <w:style w:type="character" w:customStyle="1" w:styleId="Coloured">
    <w:name w:val="Coloured"/>
    <w:uiPriority w:val="99"/>
    <w:rsid w:val="005C16F8"/>
    <w:rPr>
      <w:color w:val="80B0E5"/>
    </w:rPr>
  </w:style>
  <w:style w:type="character" w:customStyle="1" w:styleId="Figure">
    <w:name w:val="Figure"/>
    <w:uiPriority w:val="99"/>
    <w:rsid w:val="005C16F8"/>
    <w:rPr>
      <w:rFonts w:ascii="ITC Franklin Gothic Book" w:hAnsi="ITC Franklin Gothic Book" w:cs="ITC Franklin Gothic Book"/>
      <w:color w:val="80B0E5"/>
    </w:rPr>
  </w:style>
  <w:style w:type="character" w:customStyle="1" w:styleId="DemiItalic">
    <w:name w:val="Demi Italic"/>
    <w:uiPriority w:val="99"/>
    <w:rsid w:val="005C16F8"/>
    <w:rPr>
      <w:i/>
      <w:iCs/>
      <w:lang w:val="en-AU"/>
    </w:rPr>
  </w:style>
  <w:style w:type="paragraph" w:styleId="TOCHeading">
    <w:name w:val="TOC Heading"/>
    <w:basedOn w:val="Heading1"/>
    <w:next w:val="Normal"/>
    <w:uiPriority w:val="39"/>
    <w:unhideWhenUsed/>
    <w:qFormat/>
    <w:rsid w:val="00AE709F"/>
    <w:pPr>
      <w:keepLines/>
      <w:spacing w:after="0" w:line="259" w:lineRule="auto"/>
      <w:outlineLvl w:val="9"/>
    </w:pPr>
    <w:rPr>
      <w:rFonts w:ascii="Calibri Light" w:hAnsi="Calibri Light"/>
      <w:b w:val="0"/>
      <w:bCs w:val="0"/>
      <w:color w:val="2E74B5"/>
      <w:kern w:val="0"/>
      <w:sz w:val="32"/>
      <w:lang w:val="en-US" w:eastAsia="en-US"/>
    </w:rPr>
  </w:style>
  <w:style w:type="paragraph" w:styleId="TOC2">
    <w:name w:val="toc 2"/>
    <w:basedOn w:val="Normal"/>
    <w:next w:val="Normal"/>
    <w:autoRedefine/>
    <w:uiPriority w:val="39"/>
    <w:unhideWhenUsed/>
    <w:rsid w:val="00AE709F"/>
    <w:pPr>
      <w:spacing w:before="120" w:after="100"/>
      <w:ind w:left="220"/>
    </w:pPr>
    <w:rPr>
      <w:rFonts w:ascii="Calibri" w:hAnsi="Calibri"/>
      <w:lang w:val="en-US" w:eastAsia="en-US"/>
    </w:rPr>
  </w:style>
  <w:style w:type="paragraph" w:styleId="TOC3">
    <w:name w:val="toc 3"/>
    <w:basedOn w:val="Normal"/>
    <w:next w:val="Normal"/>
    <w:autoRedefine/>
    <w:uiPriority w:val="39"/>
    <w:unhideWhenUsed/>
    <w:rsid w:val="00AE709F"/>
    <w:pPr>
      <w:spacing w:before="120" w:after="100"/>
      <w:ind w:left="440"/>
    </w:pPr>
    <w:rPr>
      <w:rFonts w:ascii="Calibri" w:hAnsi="Calibri"/>
      <w:lang w:val="en-US" w:eastAsia="en-US"/>
    </w:rPr>
  </w:style>
  <w:style w:type="paragraph" w:customStyle="1" w:styleId="Contributorsheader2ImprintandContributors">
    <w:name w:val="Contributors header 2 (Imprint and Contributors)"/>
    <w:basedOn w:val="NoParagraphStyle"/>
    <w:uiPriority w:val="99"/>
    <w:rsid w:val="00C107C1"/>
    <w:pPr>
      <w:suppressAutoHyphens/>
      <w:spacing w:before="130" w:line="270" w:lineRule="atLeast"/>
    </w:pPr>
    <w:rPr>
      <w:rFonts w:ascii="ITC Franklin Gothic Book" w:eastAsiaTheme="minorEastAsia" w:hAnsi="ITC Franklin Gothic Book" w:cs="ITC Franklin Gothic Book"/>
      <w:color w:val="555559"/>
      <w:sz w:val="21"/>
      <w:szCs w:val="21"/>
      <w:lang w:val="en-US"/>
    </w:rPr>
  </w:style>
  <w:style w:type="paragraph" w:customStyle="1" w:styleId="ABCGeneralStyles">
    <w:name w:val="ABC (General Styles)"/>
    <w:basedOn w:val="BodyGeneralStyles"/>
    <w:uiPriority w:val="99"/>
    <w:rsid w:val="00C107C1"/>
    <w:pPr>
      <w:spacing w:after="57"/>
      <w:ind w:left="600" w:hanging="360"/>
    </w:pPr>
    <w:rPr>
      <w:rFonts w:eastAsiaTheme="minorEastAsia"/>
    </w:rPr>
  </w:style>
  <w:style w:type="paragraph" w:customStyle="1" w:styleId="NumberedGeneralStyles">
    <w:name w:val="Numbered (General Styles)"/>
    <w:basedOn w:val="ABCGeneralStyles"/>
    <w:uiPriority w:val="99"/>
    <w:rsid w:val="00C107C1"/>
    <w:pPr>
      <w:ind w:left="720"/>
    </w:pPr>
  </w:style>
  <w:style w:type="paragraph" w:customStyle="1" w:styleId="BodyPrebulletGeneralStyles">
    <w:name w:val="Body Prebullet (General Styles)"/>
    <w:basedOn w:val="BodyGeneralStyles"/>
    <w:uiPriority w:val="99"/>
    <w:rsid w:val="00C107C1"/>
    <w:pPr>
      <w:spacing w:after="57"/>
    </w:pPr>
    <w:rPr>
      <w:rFonts w:eastAsiaTheme="minorEastAsia"/>
    </w:rPr>
  </w:style>
  <w:style w:type="paragraph" w:customStyle="1" w:styleId="BulletlastGeneralStyles">
    <w:name w:val="Bullet last (General Styles)"/>
    <w:basedOn w:val="BulletGeneralStyles"/>
    <w:uiPriority w:val="99"/>
    <w:rsid w:val="00C107C1"/>
    <w:pPr>
      <w:spacing w:after="130"/>
    </w:pPr>
    <w:rPr>
      <w:rFonts w:eastAsiaTheme="minorEastAsia"/>
    </w:rPr>
  </w:style>
  <w:style w:type="paragraph" w:customStyle="1" w:styleId="QuoteindentGeneralStyles">
    <w:name w:val="Quote indent (General Styles)"/>
    <w:basedOn w:val="BodyGeneralStyles"/>
    <w:uiPriority w:val="99"/>
    <w:rsid w:val="00C107C1"/>
    <w:pPr>
      <w:ind w:left="1304" w:right="57"/>
    </w:pPr>
    <w:rPr>
      <w:rFonts w:eastAsiaTheme="minorEastAsia"/>
      <w:sz w:val="19"/>
      <w:szCs w:val="19"/>
    </w:rPr>
  </w:style>
  <w:style w:type="paragraph" w:customStyle="1" w:styleId="RecommendationHeadingAGeneralStyles">
    <w:name w:val="Recommendation Heading A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BodyGeneralStyles">
    <w:name w:val="Recommendation Body (General Styles)"/>
    <w:basedOn w:val="BodyGeneralStyles"/>
    <w:uiPriority w:val="99"/>
    <w:rsid w:val="00C107C1"/>
    <w:pPr>
      <w:spacing w:after="130"/>
      <w:ind w:left="120"/>
    </w:pPr>
    <w:rPr>
      <w:rFonts w:eastAsiaTheme="minorEastAsia"/>
    </w:rPr>
  </w:style>
  <w:style w:type="paragraph" w:customStyle="1" w:styleId="RecommendationABCGeneralStyles">
    <w:name w:val="Recommendation ABC (General Styles)"/>
    <w:basedOn w:val="BodyGeneralStyles"/>
    <w:uiPriority w:val="99"/>
    <w:rsid w:val="00C107C1"/>
    <w:pPr>
      <w:tabs>
        <w:tab w:val="left" w:pos="907"/>
      </w:tabs>
      <w:spacing w:after="57"/>
      <w:ind w:left="600" w:hanging="320"/>
    </w:pPr>
    <w:rPr>
      <w:rFonts w:eastAsiaTheme="minorEastAsia"/>
    </w:rPr>
  </w:style>
  <w:style w:type="paragraph" w:customStyle="1" w:styleId="RecommendationHeadingGeneralStyles">
    <w:name w:val="Recommendation Heading (General Styles)"/>
    <w:basedOn w:val="NoParagraphStyle"/>
    <w:uiPriority w:val="99"/>
    <w:rsid w:val="00C107C1"/>
    <w:pPr>
      <w:keepNext/>
      <w:keepLines/>
      <w:pBdr>
        <w:top w:val="single" w:sz="96" w:space="0" w:color="7594CC"/>
      </w:pBdr>
      <w:suppressAutoHyphens/>
      <w:spacing w:before="240" w:after="260" w:line="320" w:lineRule="atLeast"/>
      <w:ind w:left="120"/>
    </w:pPr>
    <w:rPr>
      <w:rFonts w:ascii="Franklin Gothic Medium" w:eastAsiaTheme="minorEastAsia" w:hAnsi="Franklin Gothic Medium" w:cs="Franklin Gothic Medium"/>
      <w:color w:val="FFFFFF"/>
      <w:sz w:val="28"/>
      <w:szCs w:val="28"/>
      <w:lang w:val="en-US"/>
    </w:rPr>
  </w:style>
  <w:style w:type="paragraph" w:customStyle="1" w:styleId="RecommendationLastGeneralStyles">
    <w:name w:val="Recommendation Last (General Styles)"/>
    <w:basedOn w:val="RecommendationABCGeneralStyles"/>
    <w:uiPriority w:val="99"/>
    <w:rsid w:val="00C107C1"/>
    <w:pPr>
      <w:pBdr>
        <w:bottom w:val="single" w:sz="16" w:space="13" w:color="7594CC"/>
      </w:pBdr>
      <w:ind w:left="120" w:firstLine="0"/>
    </w:pPr>
  </w:style>
  <w:style w:type="paragraph" w:customStyle="1" w:styleId="QuotebulletGeneralStyles">
    <w:name w:val="Quote bullet (General Styles)"/>
    <w:basedOn w:val="NoParagraphStyle"/>
    <w:uiPriority w:val="99"/>
    <w:rsid w:val="00C107C1"/>
    <w:pPr>
      <w:tabs>
        <w:tab w:val="left" w:pos="1440"/>
      </w:tabs>
      <w:suppressAutoHyphens/>
      <w:spacing w:after="40"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QuotebulletlastGeneralStyles">
    <w:name w:val="Quote bullet last (General Styles)"/>
    <w:basedOn w:val="NoParagraphStyle"/>
    <w:uiPriority w:val="99"/>
    <w:rsid w:val="00C107C1"/>
    <w:pPr>
      <w:tabs>
        <w:tab w:val="left" w:pos="1440"/>
      </w:tabs>
      <w:suppressAutoHyphens/>
      <w:spacing w:after="135" w:line="270" w:lineRule="atLeast"/>
      <w:ind w:left="1134" w:right="357" w:hanging="198"/>
      <w:jc w:val="both"/>
    </w:pPr>
    <w:rPr>
      <w:rFonts w:ascii="Gill Sans Std Light" w:eastAsiaTheme="minorEastAsia" w:hAnsi="Gill Sans Std Light" w:cs="Gill Sans Std Light"/>
      <w:sz w:val="19"/>
      <w:szCs w:val="19"/>
      <w:lang w:val="en-AU"/>
    </w:rPr>
  </w:style>
  <w:style w:type="paragraph" w:customStyle="1" w:styleId="ABCindentGeneralStyles">
    <w:name w:val="ABC indent (General Styles)"/>
    <w:basedOn w:val="BodyGeneralStyles"/>
    <w:uiPriority w:val="99"/>
    <w:rsid w:val="00C107C1"/>
    <w:pPr>
      <w:spacing w:after="57"/>
      <w:ind w:left="1260" w:hanging="400"/>
    </w:pPr>
    <w:rPr>
      <w:rFonts w:eastAsiaTheme="minorEastAsia"/>
    </w:rPr>
  </w:style>
  <w:style w:type="paragraph" w:customStyle="1" w:styleId="ABCindentlastGeneralStyles">
    <w:name w:val="ABC indent last (General Styles)"/>
    <w:basedOn w:val="BodyGeneralStyles"/>
    <w:uiPriority w:val="99"/>
    <w:rsid w:val="00C107C1"/>
    <w:pPr>
      <w:spacing w:after="130"/>
      <w:ind w:left="1260" w:hanging="400"/>
    </w:pPr>
    <w:rPr>
      <w:rFonts w:eastAsiaTheme="minorEastAsia"/>
    </w:rPr>
  </w:style>
  <w:style w:type="paragraph" w:customStyle="1" w:styleId="NumberedIndentGeneralStyles">
    <w:name w:val="Numbered Indent (General Styles)"/>
    <w:basedOn w:val="BodyGeneralStyles"/>
    <w:uiPriority w:val="99"/>
    <w:rsid w:val="00C107C1"/>
    <w:pPr>
      <w:tabs>
        <w:tab w:val="left" w:pos="907"/>
      </w:tabs>
      <w:spacing w:after="57"/>
      <w:ind w:left="1077" w:hanging="227"/>
    </w:pPr>
    <w:rPr>
      <w:rFonts w:eastAsiaTheme="minorEastAsia"/>
    </w:rPr>
  </w:style>
  <w:style w:type="paragraph" w:customStyle="1" w:styleId="NumberedIndentLastGeneralStyles">
    <w:name w:val="Numbered Indent Last (General Styles)"/>
    <w:basedOn w:val="BodyGeneralStyles"/>
    <w:uiPriority w:val="99"/>
    <w:rsid w:val="00C107C1"/>
    <w:pPr>
      <w:tabs>
        <w:tab w:val="left" w:pos="907"/>
      </w:tabs>
      <w:spacing w:after="130"/>
      <w:ind w:left="1077" w:hanging="227"/>
    </w:pPr>
    <w:rPr>
      <w:rFonts w:eastAsiaTheme="minorEastAsia"/>
    </w:rPr>
  </w:style>
  <w:style w:type="paragraph" w:customStyle="1" w:styleId="SubSubbulletindentGeneralStyles">
    <w:name w:val="Sub Subbullet indent (General Styles)"/>
    <w:basedOn w:val="BodyGeneralStyles"/>
    <w:uiPriority w:val="99"/>
    <w:rsid w:val="00C107C1"/>
    <w:pPr>
      <w:tabs>
        <w:tab w:val="left" w:pos="907"/>
      </w:tabs>
      <w:spacing w:after="57"/>
      <w:ind w:left="1701" w:hanging="198"/>
    </w:pPr>
    <w:rPr>
      <w:rFonts w:eastAsiaTheme="minorEastAsia"/>
    </w:rPr>
  </w:style>
  <w:style w:type="paragraph" w:customStyle="1" w:styleId="TableNoteGeneralStyles">
    <w:name w:val="Table Note (General Styles)"/>
    <w:basedOn w:val="NoParagraphStyle"/>
    <w:uiPriority w:val="99"/>
    <w:rsid w:val="00C107C1"/>
    <w:pPr>
      <w:tabs>
        <w:tab w:val="left" w:pos="255"/>
      </w:tabs>
      <w:suppressAutoHyphens/>
      <w:spacing w:after="113" w:line="190" w:lineRule="atLeast"/>
      <w:ind w:left="227" w:hanging="227"/>
    </w:pPr>
    <w:rPr>
      <w:rFonts w:ascii="Gill Sans Std Light" w:eastAsiaTheme="minorEastAsia" w:hAnsi="Gill Sans Std Light" w:cs="Gill Sans Std Light"/>
      <w:sz w:val="16"/>
      <w:szCs w:val="16"/>
      <w:lang w:val="en-US"/>
    </w:rPr>
  </w:style>
  <w:style w:type="paragraph" w:customStyle="1" w:styleId="RecommendationBodyPrebulletGeneralStyles">
    <w:name w:val="Recommendation Body Prebullet (General Styles)"/>
    <w:basedOn w:val="BodyGeneralStyles"/>
    <w:uiPriority w:val="99"/>
    <w:rsid w:val="00C107C1"/>
    <w:pPr>
      <w:spacing w:after="57"/>
      <w:ind w:left="120"/>
    </w:pPr>
    <w:rPr>
      <w:rFonts w:eastAsiaTheme="minorEastAsia"/>
    </w:rPr>
  </w:style>
  <w:style w:type="paragraph" w:customStyle="1" w:styleId="Body51PrebulletBodyParas">
    <w:name w:val="Body 5.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51BodyParas0">
    <w:name w:val="Body 5.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BodyParas0">
    <w:name w:val="Body 6.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61PrebulletBodyParas">
    <w:name w:val="Body 6.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71BodyParas0">
    <w:name w:val="Body 7.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71PrebulletBodyParas">
    <w:name w:val="Body 7.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BodyParas0">
    <w:name w:val="Body 8.1+ (Body Paras)"/>
    <w:basedOn w:val="NoParagraphStyle"/>
    <w:uiPriority w:val="99"/>
    <w:rsid w:val="00C107C1"/>
    <w:pPr>
      <w:tabs>
        <w:tab w:val="left" w:pos="907"/>
      </w:tabs>
      <w:suppressAutoHyphens/>
      <w:spacing w:after="130" w:line="270" w:lineRule="atLeast"/>
      <w:ind w:left="600" w:hanging="600"/>
    </w:pPr>
    <w:rPr>
      <w:rFonts w:ascii="Gill Sans Std Light" w:eastAsiaTheme="minorEastAsia" w:hAnsi="Gill Sans Std Light" w:cs="Gill Sans Std Light"/>
      <w:sz w:val="21"/>
      <w:szCs w:val="21"/>
      <w:lang w:val="en-US"/>
    </w:rPr>
  </w:style>
  <w:style w:type="paragraph" w:customStyle="1" w:styleId="Body81PrebulletBodyParas">
    <w:name w:val="Body 8.1 Prebullet (Body Paras)"/>
    <w:basedOn w:val="NoParagraphStyle"/>
    <w:uiPriority w:val="99"/>
    <w:rsid w:val="00C107C1"/>
    <w:pPr>
      <w:tabs>
        <w:tab w:val="left" w:pos="907"/>
      </w:tabs>
      <w:suppressAutoHyphens/>
      <w:spacing w:after="57" w:line="270" w:lineRule="atLeast"/>
      <w:ind w:left="600" w:hanging="600"/>
    </w:pPr>
    <w:rPr>
      <w:rFonts w:ascii="Gill Sans Std Light" w:eastAsiaTheme="minorEastAsia" w:hAnsi="Gill Sans Std Light" w:cs="Gill Sans Std Light"/>
      <w:sz w:val="21"/>
      <w:szCs w:val="21"/>
      <w:lang w:val="en-US"/>
    </w:rPr>
  </w:style>
  <w:style w:type="character" w:customStyle="1" w:styleId="Bold">
    <w:name w:val="Bold"/>
    <w:uiPriority w:val="99"/>
    <w:rsid w:val="00C107C1"/>
    <w:rPr>
      <w:b/>
      <w:bCs/>
    </w:rPr>
  </w:style>
  <w:style w:type="character" w:customStyle="1" w:styleId="Italic">
    <w:name w:val="Italic"/>
    <w:uiPriority w:val="99"/>
    <w:rsid w:val="00C107C1"/>
    <w:rPr>
      <w:i/>
      <w:iCs/>
      <w:lang w:val="en-AU"/>
    </w:rPr>
  </w:style>
  <w:style w:type="character" w:customStyle="1" w:styleId="WhiteFootnote">
    <w:name w:val="White Footnote"/>
    <w:basedOn w:val="Superscript"/>
    <w:uiPriority w:val="99"/>
    <w:rsid w:val="00C107C1"/>
    <w:rPr>
      <w:b/>
      <w:bCs/>
      <w:outline/>
      <w:vertAlign w:val="superscript"/>
      <w:lang w:val="en-AU"/>
    </w:rPr>
  </w:style>
  <w:style w:type="character" w:customStyle="1" w:styleId="TableBold">
    <w:name w:val="Table Bold"/>
    <w:uiPriority w:val="99"/>
    <w:rsid w:val="00C107C1"/>
  </w:style>
  <w:style w:type="paragraph" w:styleId="FootnoteText">
    <w:name w:val="footnote text"/>
    <w:basedOn w:val="Normal"/>
    <w:link w:val="FootnoteTextChar"/>
    <w:uiPriority w:val="99"/>
    <w:semiHidden/>
    <w:unhideWhenUsed/>
    <w:rsid w:val="00050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BF8"/>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50BF8"/>
    <w:rPr>
      <w:vertAlign w:val="superscript"/>
    </w:rPr>
  </w:style>
  <w:style w:type="paragraph" w:customStyle="1" w:styleId="BodyFranklinGothicFranklinGothicSection">
    <w:name w:val="Body Franklin Gothic (Franklin Gothic Section)"/>
    <w:basedOn w:val="BodyGeneralStyles"/>
    <w:uiPriority w:val="99"/>
    <w:rsid w:val="000D1F9C"/>
    <w:pPr>
      <w:widowControl/>
      <w:spacing w:line="280" w:lineRule="atLeast"/>
    </w:pPr>
    <w:rPr>
      <w:rFonts w:ascii="ITC Franklin Gothic Book" w:hAnsi="ITC Franklin Gothic Book" w:cs="ITC Franklin Gothic Book"/>
      <w:sz w:val="20"/>
      <w:szCs w:val="20"/>
    </w:rPr>
  </w:style>
  <w:style w:type="character" w:customStyle="1" w:styleId="Demi">
    <w:name w:val="Demi"/>
    <w:uiPriority w:val="99"/>
    <w:rsid w:val="000D1F9C"/>
  </w:style>
  <w:style w:type="paragraph" w:customStyle="1" w:styleId="Heading1FranklinGothicFranklinGothicSection">
    <w:name w:val="Heading 1 Franklin Gothic (Franklin Gothic Section)"/>
    <w:basedOn w:val="NoParagraphStyle"/>
    <w:uiPriority w:val="99"/>
    <w:rsid w:val="007C1944"/>
    <w:pPr>
      <w:widowControl/>
      <w:suppressAutoHyphens/>
      <w:spacing w:before="270" w:after="135" w:line="280" w:lineRule="atLeast"/>
    </w:pPr>
    <w:rPr>
      <w:rFonts w:ascii="Franklin Gothic Medium" w:hAnsi="Franklin Gothic Medium" w:cs="Franklin Gothic Medium"/>
      <w:lang w:val="en-US"/>
    </w:rPr>
  </w:style>
  <w:style w:type="paragraph" w:customStyle="1" w:styleId="GothicBulletFranklinGothicSection">
    <w:name w:val="Gothic Bullet (Franklin Gothic Section)"/>
    <w:basedOn w:val="BodyFranklinGothicFranklinGothicSection"/>
    <w:uiPriority w:val="99"/>
    <w:rsid w:val="007C1944"/>
    <w:pPr>
      <w:spacing w:after="60"/>
      <w:ind w:left="360" w:hanging="240"/>
    </w:pPr>
  </w:style>
  <w:style w:type="paragraph" w:customStyle="1" w:styleId="GothicSubbulletFranklinGothicSection">
    <w:name w:val="Gothic Subbullet (Franklin Gothic Section)"/>
    <w:basedOn w:val="GothicBulletFranklinGothicSection"/>
    <w:uiPriority w:val="99"/>
    <w:rsid w:val="007C1944"/>
    <w:pPr>
      <w:ind w:left="720"/>
    </w:pPr>
  </w:style>
  <w:style w:type="paragraph" w:customStyle="1" w:styleId="SourceFranklinGothicSection">
    <w:name w:val="Source (Franklin Gothic Section)"/>
    <w:basedOn w:val="BodyFranklinGothicFranklinGothicSection"/>
    <w:uiPriority w:val="99"/>
    <w:rsid w:val="007C1944"/>
    <w:pPr>
      <w:spacing w:line="220" w:lineRule="atLeast"/>
    </w:pPr>
    <w:rPr>
      <w:sz w:val="18"/>
      <w:szCs w:val="18"/>
    </w:rPr>
  </w:style>
  <w:style w:type="paragraph" w:customStyle="1" w:styleId="GothicABCFranklinGothicSection">
    <w:name w:val="Gothic ABC (Franklin Gothic Section)"/>
    <w:basedOn w:val="GothicBulletFranklinGothicSection"/>
    <w:uiPriority w:val="99"/>
    <w:rsid w:val="003B6E5E"/>
    <w:pPr>
      <w:ind w:left="567" w:hanging="397"/>
    </w:pPr>
  </w:style>
  <w:style w:type="character" w:customStyle="1" w:styleId="BookItalic">
    <w:name w:val="Book Italic"/>
    <w:uiPriority w:val="99"/>
    <w:rsid w:val="00B57D3D"/>
    <w:rPr>
      <w:i/>
      <w:iCs/>
      <w:lang w:val="en-AU"/>
    </w:rPr>
  </w:style>
  <w:style w:type="paragraph" w:styleId="ListParagraph">
    <w:name w:val="List Paragraph"/>
    <w:basedOn w:val="Normal"/>
    <w:uiPriority w:val="34"/>
    <w:qFormat/>
    <w:rsid w:val="007238AB"/>
    <w:pPr>
      <w:ind w:left="720"/>
      <w:contextualSpacing/>
    </w:pPr>
  </w:style>
  <w:style w:type="paragraph" w:customStyle="1" w:styleId="BodyRun-inHeadGeneralStyles">
    <w:name w:val="Body Run-in Head (General Styles)"/>
    <w:basedOn w:val="NoParagraphStyle"/>
    <w:uiPriority w:val="99"/>
    <w:rsid w:val="00613286"/>
    <w:pPr>
      <w:keepLines/>
      <w:suppressAutoHyphens/>
      <w:spacing w:before="270" w:after="135" w:line="270" w:lineRule="atLeast"/>
    </w:pPr>
    <w:rPr>
      <w:rFonts w:ascii="Gill Sans Std Light" w:eastAsiaTheme="minorEastAsia" w:hAnsi="Gill Sans Std Light" w:cs="Gill Sans Std Light"/>
      <w:sz w:val="21"/>
      <w:szCs w:val="21"/>
      <w:lang w:val="en-US"/>
    </w:rPr>
  </w:style>
  <w:style w:type="paragraph" w:customStyle="1" w:styleId="BodyindentprebulletGeneralStyles">
    <w:name w:val="Body indent prebullet (General Styles)"/>
    <w:basedOn w:val="BodyGeneralStyles"/>
    <w:uiPriority w:val="99"/>
    <w:rsid w:val="00613286"/>
    <w:pPr>
      <w:spacing w:after="57"/>
      <w:ind w:left="600"/>
    </w:pPr>
    <w:rPr>
      <w:rFonts w:eastAsiaTheme="minorEastAsia"/>
    </w:rPr>
  </w:style>
  <w:style w:type="paragraph" w:customStyle="1" w:styleId="TableHeadingLeft2FiguresTable">
    <w:name w:val="Table Heading Left 2 (Figures / Table)"/>
    <w:basedOn w:val="BodyGeneralStyles"/>
    <w:uiPriority w:val="99"/>
    <w:rsid w:val="00613286"/>
    <w:pPr>
      <w:spacing w:line="240" w:lineRule="atLeast"/>
    </w:pPr>
    <w:rPr>
      <w:rFonts w:ascii="ITC Franklin Gothic Demi" w:eastAsiaTheme="minorEastAsia" w:hAnsi="ITC Franklin Gothic Demi" w:cs="ITC Franklin Gothic Demi"/>
      <w:color w:val="53555A"/>
      <w:sz w:val="18"/>
      <w:szCs w:val="18"/>
    </w:rPr>
  </w:style>
  <w:style w:type="paragraph" w:customStyle="1" w:styleId="TableHeadingRight2FiguresTable">
    <w:name w:val="Table Heading Right 2 (Figures / Table)"/>
    <w:basedOn w:val="BodyGeneralStyles"/>
    <w:uiPriority w:val="99"/>
    <w:rsid w:val="00613286"/>
    <w:pPr>
      <w:spacing w:line="240" w:lineRule="atLeast"/>
      <w:jc w:val="right"/>
    </w:pPr>
    <w:rPr>
      <w:rFonts w:ascii="ITC Franklin Gothic Demi" w:eastAsiaTheme="minorEastAsia" w:hAnsi="ITC Franklin Gothic Demi" w:cs="ITC Franklin Gothic Demi"/>
      <w:color w:val="53555A"/>
      <w:sz w:val="18"/>
      <w:szCs w:val="18"/>
    </w:rPr>
  </w:style>
  <w:style w:type="character" w:customStyle="1" w:styleId="DemiColour">
    <w:name w:val="Demi Colour"/>
    <w:uiPriority w:val="99"/>
    <w:rsid w:val="00613286"/>
    <w:rPr>
      <w:rFonts w:ascii="ITC Franklin Gothic Demi" w:hAnsi="ITC Franklin Gothic Demi" w:cs="ITC Franklin Gothic Demi"/>
      <w:color w:val="7594CC"/>
    </w:rPr>
  </w:style>
  <w:style w:type="character" w:customStyle="1" w:styleId="White">
    <w:name w:val="White"/>
    <w:uiPriority w:val="99"/>
    <w:rsid w:val="00613286"/>
    <w:rPr>
      <w:rFonts w:ascii="ITC Franklin Gothic" w:hAnsi="ITC Franklin Gothic" w:cs="ITC Franklin Gothic"/>
      <w:outline/>
    </w:rPr>
  </w:style>
  <w:style w:type="paragraph" w:customStyle="1" w:styleId="TOCMainTOC">
    <w:name w:val="TOC Main (TOC)"/>
    <w:basedOn w:val="NoParagraphStyle"/>
    <w:uiPriority w:val="99"/>
    <w:rsid w:val="006D1D12"/>
    <w:pPr>
      <w:suppressAutoHyphens/>
      <w:spacing w:before="165" w:after="20" w:line="240" w:lineRule="atLeast"/>
    </w:pPr>
    <w:rPr>
      <w:rFonts w:ascii="ITC Franklin Gothic Demi" w:eastAsiaTheme="minorEastAsia" w:hAnsi="ITC Franklin Gothic Demi" w:cs="ITC Franklin Gothic Demi"/>
      <w:color w:val="7594CC"/>
      <w:sz w:val="18"/>
      <w:szCs w:val="18"/>
      <w:lang w:val="en-US"/>
    </w:rPr>
  </w:style>
  <w:style w:type="paragraph" w:customStyle="1" w:styleId="TOCH1TOC">
    <w:name w:val="TOC H1 (TOC)"/>
    <w:basedOn w:val="NoParagraphStyle"/>
    <w:uiPriority w:val="99"/>
    <w:rsid w:val="006D1D12"/>
    <w:pPr>
      <w:tabs>
        <w:tab w:val="left" w:pos="473"/>
      </w:tabs>
      <w:suppressAutoHyphens/>
      <w:spacing w:after="20" w:line="240" w:lineRule="atLeast"/>
    </w:pPr>
    <w:rPr>
      <w:rFonts w:ascii="ITC Franklin Gothic Book" w:eastAsiaTheme="minorEastAsia" w:hAnsi="ITC Franklin Gothic Book" w:cs="ITC Franklin Gothic Book"/>
      <w:sz w:val="18"/>
      <w:szCs w:val="18"/>
      <w:lang w:val="en-US"/>
    </w:rPr>
  </w:style>
  <w:style w:type="paragraph" w:customStyle="1" w:styleId="TOCH2TOC">
    <w:name w:val="TOC H2 (TOC)"/>
    <w:basedOn w:val="NoParagraphStyle"/>
    <w:uiPriority w:val="99"/>
    <w:rsid w:val="006D1D12"/>
    <w:pPr>
      <w:suppressAutoHyphens/>
      <w:spacing w:after="20" w:line="240" w:lineRule="atLeast"/>
      <w:ind w:left="360"/>
    </w:pPr>
    <w:rPr>
      <w:rFonts w:ascii="ITC Franklin Gothic" w:eastAsiaTheme="minorEastAsia" w:hAnsi="ITC Franklin Gothic" w:cs="ITC Franklin Gothic"/>
      <w:sz w:val="18"/>
      <w:szCs w:val="18"/>
      <w:lang w:val="en-US"/>
    </w:rPr>
  </w:style>
  <w:style w:type="character" w:styleId="PageNumber">
    <w:name w:val="page number"/>
    <w:basedOn w:val="DefaultParagraphFont"/>
    <w:uiPriority w:val="99"/>
    <w:rsid w:val="006D1D12"/>
    <w:rPr>
      <w:rFonts w:ascii="ITC Franklin Gothic Book" w:hAnsi="ITC Franklin Gothic Book" w:cs="ITC Franklin Gothic Book"/>
      <w:color w:val="000000"/>
    </w:rPr>
  </w:style>
  <w:style w:type="paragraph" w:customStyle="1" w:styleId="BodyFranklinGothicNumberedFranklinGothicSection">
    <w:name w:val="Body Franklin Gothic Numbered (Franklin Gothic Section)"/>
    <w:basedOn w:val="BodyGeneralStyles"/>
    <w:uiPriority w:val="99"/>
    <w:rsid w:val="006D1D12"/>
    <w:pPr>
      <w:pageBreakBefore/>
      <w:tabs>
        <w:tab w:val="left" w:pos="360"/>
      </w:tabs>
      <w:spacing w:after="0" w:line="210" w:lineRule="atLeast"/>
      <w:ind w:left="360" w:hanging="360"/>
    </w:pPr>
    <w:rPr>
      <w:rFonts w:ascii="ITC Franklin Gothic Book" w:eastAsiaTheme="minorEastAsia" w:hAnsi="ITC Franklin Gothic Book" w:cs="ITC Franklin Gothic Book"/>
      <w:sz w:val="18"/>
      <w:szCs w:val="18"/>
    </w:rPr>
  </w:style>
  <w:style w:type="paragraph" w:customStyle="1" w:styleId="BodyFranklinGothicNumberedWhiteFranklinGothicSection">
    <w:name w:val="Body Franklin Gothic Numbered White (Franklin Gothic Section)"/>
    <w:basedOn w:val="BodyGeneralStyles"/>
    <w:uiPriority w:val="99"/>
    <w:rsid w:val="006D1D12"/>
    <w:pPr>
      <w:pageBreakBefore/>
      <w:tabs>
        <w:tab w:val="left" w:pos="360"/>
      </w:tabs>
      <w:spacing w:after="0" w:line="210" w:lineRule="atLeast"/>
      <w:ind w:left="360" w:hanging="360"/>
    </w:pPr>
    <w:rPr>
      <w:rFonts w:ascii="ITC Franklin Gothic Demi" w:eastAsiaTheme="minorEastAsia" w:hAnsi="ITC Franklin Gothic Demi" w:cs="ITC Franklin Gothic Demi"/>
      <w:color w:val="FFFFFF"/>
      <w:sz w:val="18"/>
      <w:szCs w:val="18"/>
    </w:rPr>
  </w:style>
  <w:style w:type="paragraph" w:customStyle="1" w:styleId="TableNumber">
    <w:name w:val="Table Number"/>
    <w:basedOn w:val="TableBody"/>
    <w:qFormat/>
    <w:rsid w:val="002A32E7"/>
    <w:pPr>
      <w:spacing w:after="60"/>
    </w:pPr>
  </w:style>
  <w:style w:type="paragraph" w:customStyle="1" w:styleId="FranklinGothicBulletFranklinGothicSection">
    <w:name w:val="Franklin Gothic Bullet (Franklin Gothic Section)"/>
    <w:basedOn w:val="Normal"/>
    <w:uiPriority w:val="99"/>
    <w:rsid w:val="00CA4B44"/>
    <w:pPr>
      <w:widowControl w:val="0"/>
      <w:tabs>
        <w:tab w:val="left" w:pos="907"/>
      </w:tabs>
      <w:autoSpaceDE w:val="0"/>
      <w:autoSpaceDN w:val="0"/>
      <w:adjustRightInd w:val="0"/>
      <w:spacing w:before="0" w:after="57" w:line="260" w:lineRule="atLeast"/>
      <w:ind w:left="360" w:hanging="170"/>
      <w:textAlignment w:val="center"/>
    </w:pPr>
    <w:rPr>
      <w:rFonts w:ascii="ITC Franklin Gothic Book" w:eastAsiaTheme="minorEastAsia" w:hAnsi="ITC Franklin Gothic Book" w:cs="ITC Franklin Gothic Book"/>
      <w:color w:val="000000"/>
      <w:sz w:val="18"/>
      <w:szCs w:val="18"/>
      <w:lang w:val="en-US"/>
    </w:rPr>
  </w:style>
  <w:style w:type="paragraph" w:customStyle="1" w:styleId="Pa63">
    <w:name w:val="Pa63"/>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64">
    <w:name w:val="Pa64"/>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Pa12">
    <w:name w:val="Pa12"/>
    <w:basedOn w:val="Normal"/>
    <w:next w:val="Normal"/>
    <w:uiPriority w:val="99"/>
    <w:rsid w:val="00066093"/>
    <w:pPr>
      <w:suppressAutoHyphens w:val="0"/>
      <w:autoSpaceDE w:val="0"/>
      <w:autoSpaceDN w:val="0"/>
      <w:adjustRightInd w:val="0"/>
      <w:spacing w:before="0" w:after="0" w:line="181" w:lineRule="atLeast"/>
    </w:pPr>
    <w:rPr>
      <w:rFonts w:ascii="ITC Franklin Gothic Book" w:hAnsi="ITC Franklin Gothic Book"/>
    </w:rPr>
  </w:style>
  <w:style w:type="paragraph" w:customStyle="1" w:styleId="FranklinGothlicLargeTextFranklinGothicSection">
    <w:name w:val="Franklin Gothlic Large Text (Franklin Gothic Section)"/>
    <w:basedOn w:val="Normal"/>
    <w:uiPriority w:val="99"/>
    <w:rsid w:val="00F80959"/>
    <w:pPr>
      <w:widowControl w:val="0"/>
      <w:autoSpaceDE w:val="0"/>
      <w:autoSpaceDN w:val="0"/>
      <w:adjustRightInd w:val="0"/>
      <w:spacing w:before="0" w:after="135" w:line="360" w:lineRule="atLeast"/>
      <w:textAlignment w:val="center"/>
    </w:pPr>
    <w:rPr>
      <w:rFonts w:ascii="ITC Franklin Gothic Demi Italic" w:eastAsiaTheme="minorEastAsia" w:hAnsi="ITC Franklin Gothic Demi Italic" w:cs="ITC Franklin Gothic Demi Italic"/>
      <w:i/>
      <w:iCs/>
      <w:color w:val="000000"/>
      <w:sz w:val="28"/>
      <w:szCs w:val="28"/>
      <w:lang w:val="en-US"/>
    </w:rPr>
  </w:style>
  <w:style w:type="paragraph" w:customStyle="1" w:styleId="TableNoteABCGeneralStyles">
    <w:name w:val="Table Note ABC (General Styles)"/>
    <w:basedOn w:val="NoParagraphStyle"/>
    <w:uiPriority w:val="99"/>
    <w:rsid w:val="005A3418"/>
    <w:pPr>
      <w:tabs>
        <w:tab w:val="left" w:pos="283"/>
        <w:tab w:val="left" w:pos="360"/>
      </w:tabs>
      <w:suppressAutoHyphens/>
      <w:spacing w:after="20" w:line="200" w:lineRule="atLeast"/>
      <w:ind w:left="283" w:hanging="283"/>
    </w:pPr>
    <w:rPr>
      <w:rFonts w:ascii="Gill Sans Std Light" w:eastAsiaTheme="minorEastAsia" w:hAnsi="Gill Sans Std Light" w:cs="Gill Sans Std Light"/>
      <w:sz w:val="16"/>
      <w:szCs w:val="16"/>
      <w:lang w:val="en-US"/>
    </w:rPr>
  </w:style>
  <w:style w:type="character" w:customStyle="1" w:styleId="DemiBlack">
    <w:name w:val="Demi Black"/>
    <w:uiPriority w:val="99"/>
    <w:rsid w:val="005A3418"/>
    <w:rPr>
      <w:rFonts w:ascii="ITC Franklin Gothic Std Book" w:hAnsi="ITC Franklin Gothic Std Book" w:cs="ITC Franklin Gothic Std Book"/>
      <w:color w:val="000000"/>
    </w:rPr>
  </w:style>
  <w:style w:type="character" w:customStyle="1" w:styleId="DemiWhite">
    <w:name w:val="Demi White"/>
    <w:uiPriority w:val="99"/>
    <w:rsid w:val="005A3418"/>
    <w:rPr>
      <w:rFonts w:ascii="ITC Franklin Gothic Std Book" w:hAnsi="ITC Franklin Gothic Std Book" w:cs="ITC Franklin Gothic Std Book"/>
      <w:outline/>
    </w:rPr>
  </w:style>
  <w:style w:type="character" w:customStyle="1" w:styleId="FigureNumber">
    <w:name w:val="Figure Number"/>
    <w:uiPriority w:val="99"/>
    <w:rsid w:val="005A3418"/>
    <w:rPr>
      <w:color w:val="3E608F"/>
    </w:rPr>
  </w:style>
  <w:style w:type="character" w:customStyle="1" w:styleId="ProjectColour">
    <w:name w:val="Project Colour"/>
    <w:uiPriority w:val="99"/>
    <w:rsid w:val="00B85A6F"/>
    <w:rPr>
      <w:color w:val="3E608F"/>
    </w:rPr>
  </w:style>
  <w:style w:type="paragraph" w:styleId="Subtitle">
    <w:name w:val="Subtitle"/>
    <w:basedOn w:val="Normal"/>
    <w:next w:val="Normal"/>
    <w:link w:val="SubtitleChar"/>
    <w:uiPriority w:val="11"/>
    <w:qFormat/>
    <w:rsid w:val="0007454B"/>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454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8886">
      <w:bodyDiv w:val="1"/>
      <w:marLeft w:val="0"/>
      <w:marRight w:val="0"/>
      <w:marTop w:val="0"/>
      <w:marBottom w:val="0"/>
      <w:divBdr>
        <w:top w:val="none" w:sz="0" w:space="0" w:color="auto"/>
        <w:left w:val="none" w:sz="0" w:space="0" w:color="auto"/>
        <w:bottom w:val="none" w:sz="0" w:space="0" w:color="auto"/>
        <w:right w:val="none" w:sz="0" w:space="0" w:color="auto"/>
      </w:divBdr>
    </w:div>
    <w:div w:id="68233506">
      <w:bodyDiv w:val="1"/>
      <w:marLeft w:val="0"/>
      <w:marRight w:val="0"/>
      <w:marTop w:val="0"/>
      <w:marBottom w:val="0"/>
      <w:divBdr>
        <w:top w:val="none" w:sz="0" w:space="0" w:color="auto"/>
        <w:left w:val="none" w:sz="0" w:space="0" w:color="auto"/>
        <w:bottom w:val="none" w:sz="0" w:space="0" w:color="auto"/>
        <w:right w:val="none" w:sz="0" w:space="0" w:color="auto"/>
      </w:divBdr>
    </w:div>
    <w:div w:id="109713305">
      <w:bodyDiv w:val="1"/>
      <w:marLeft w:val="0"/>
      <w:marRight w:val="0"/>
      <w:marTop w:val="0"/>
      <w:marBottom w:val="0"/>
      <w:divBdr>
        <w:top w:val="none" w:sz="0" w:space="0" w:color="auto"/>
        <w:left w:val="none" w:sz="0" w:space="0" w:color="auto"/>
        <w:bottom w:val="none" w:sz="0" w:space="0" w:color="auto"/>
        <w:right w:val="none" w:sz="0" w:space="0" w:color="auto"/>
      </w:divBdr>
    </w:div>
    <w:div w:id="117914533">
      <w:bodyDiv w:val="1"/>
      <w:marLeft w:val="0"/>
      <w:marRight w:val="0"/>
      <w:marTop w:val="0"/>
      <w:marBottom w:val="0"/>
      <w:divBdr>
        <w:top w:val="none" w:sz="0" w:space="0" w:color="auto"/>
        <w:left w:val="none" w:sz="0" w:space="0" w:color="auto"/>
        <w:bottom w:val="none" w:sz="0" w:space="0" w:color="auto"/>
        <w:right w:val="none" w:sz="0" w:space="0" w:color="auto"/>
      </w:divBdr>
    </w:div>
    <w:div w:id="126243955">
      <w:bodyDiv w:val="1"/>
      <w:marLeft w:val="0"/>
      <w:marRight w:val="0"/>
      <w:marTop w:val="0"/>
      <w:marBottom w:val="0"/>
      <w:divBdr>
        <w:top w:val="none" w:sz="0" w:space="0" w:color="auto"/>
        <w:left w:val="none" w:sz="0" w:space="0" w:color="auto"/>
        <w:bottom w:val="none" w:sz="0" w:space="0" w:color="auto"/>
        <w:right w:val="none" w:sz="0" w:space="0" w:color="auto"/>
      </w:divBdr>
    </w:div>
    <w:div w:id="132063746">
      <w:bodyDiv w:val="1"/>
      <w:marLeft w:val="0"/>
      <w:marRight w:val="0"/>
      <w:marTop w:val="0"/>
      <w:marBottom w:val="0"/>
      <w:divBdr>
        <w:top w:val="none" w:sz="0" w:space="0" w:color="auto"/>
        <w:left w:val="none" w:sz="0" w:space="0" w:color="auto"/>
        <w:bottom w:val="none" w:sz="0" w:space="0" w:color="auto"/>
        <w:right w:val="none" w:sz="0" w:space="0" w:color="auto"/>
      </w:divBdr>
    </w:div>
    <w:div w:id="159777461">
      <w:bodyDiv w:val="1"/>
      <w:marLeft w:val="0"/>
      <w:marRight w:val="0"/>
      <w:marTop w:val="0"/>
      <w:marBottom w:val="0"/>
      <w:divBdr>
        <w:top w:val="none" w:sz="0" w:space="0" w:color="auto"/>
        <w:left w:val="none" w:sz="0" w:space="0" w:color="auto"/>
        <w:bottom w:val="none" w:sz="0" w:space="0" w:color="auto"/>
        <w:right w:val="none" w:sz="0" w:space="0" w:color="auto"/>
      </w:divBdr>
    </w:div>
    <w:div w:id="177546379">
      <w:bodyDiv w:val="1"/>
      <w:marLeft w:val="0"/>
      <w:marRight w:val="0"/>
      <w:marTop w:val="0"/>
      <w:marBottom w:val="0"/>
      <w:divBdr>
        <w:top w:val="none" w:sz="0" w:space="0" w:color="auto"/>
        <w:left w:val="none" w:sz="0" w:space="0" w:color="auto"/>
        <w:bottom w:val="none" w:sz="0" w:space="0" w:color="auto"/>
        <w:right w:val="none" w:sz="0" w:space="0" w:color="auto"/>
      </w:divBdr>
    </w:div>
    <w:div w:id="254674264">
      <w:bodyDiv w:val="1"/>
      <w:marLeft w:val="0"/>
      <w:marRight w:val="0"/>
      <w:marTop w:val="0"/>
      <w:marBottom w:val="0"/>
      <w:divBdr>
        <w:top w:val="none" w:sz="0" w:space="0" w:color="auto"/>
        <w:left w:val="none" w:sz="0" w:space="0" w:color="auto"/>
        <w:bottom w:val="none" w:sz="0" w:space="0" w:color="auto"/>
        <w:right w:val="none" w:sz="0" w:space="0" w:color="auto"/>
      </w:divBdr>
    </w:div>
    <w:div w:id="267544903">
      <w:bodyDiv w:val="1"/>
      <w:marLeft w:val="0"/>
      <w:marRight w:val="0"/>
      <w:marTop w:val="0"/>
      <w:marBottom w:val="0"/>
      <w:divBdr>
        <w:top w:val="none" w:sz="0" w:space="0" w:color="auto"/>
        <w:left w:val="none" w:sz="0" w:space="0" w:color="auto"/>
        <w:bottom w:val="none" w:sz="0" w:space="0" w:color="auto"/>
        <w:right w:val="none" w:sz="0" w:space="0" w:color="auto"/>
      </w:divBdr>
    </w:div>
    <w:div w:id="289167735">
      <w:bodyDiv w:val="1"/>
      <w:marLeft w:val="0"/>
      <w:marRight w:val="0"/>
      <w:marTop w:val="0"/>
      <w:marBottom w:val="0"/>
      <w:divBdr>
        <w:top w:val="none" w:sz="0" w:space="0" w:color="auto"/>
        <w:left w:val="none" w:sz="0" w:space="0" w:color="auto"/>
        <w:bottom w:val="none" w:sz="0" w:space="0" w:color="auto"/>
        <w:right w:val="none" w:sz="0" w:space="0" w:color="auto"/>
      </w:divBdr>
    </w:div>
    <w:div w:id="291373497">
      <w:bodyDiv w:val="1"/>
      <w:marLeft w:val="0"/>
      <w:marRight w:val="0"/>
      <w:marTop w:val="0"/>
      <w:marBottom w:val="0"/>
      <w:divBdr>
        <w:top w:val="none" w:sz="0" w:space="0" w:color="auto"/>
        <w:left w:val="none" w:sz="0" w:space="0" w:color="auto"/>
        <w:bottom w:val="none" w:sz="0" w:space="0" w:color="auto"/>
        <w:right w:val="none" w:sz="0" w:space="0" w:color="auto"/>
      </w:divBdr>
    </w:div>
    <w:div w:id="300234194">
      <w:bodyDiv w:val="1"/>
      <w:marLeft w:val="0"/>
      <w:marRight w:val="0"/>
      <w:marTop w:val="0"/>
      <w:marBottom w:val="0"/>
      <w:divBdr>
        <w:top w:val="none" w:sz="0" w:space="0" w:color="auto"/>
        <w:left w:val="none" w:sz="0" w:space="0" w:color="auto"/>
        <w:bottom w:val="none" w:sz="0" w:space="0" w:color="auto"/>
        <w:right w:val="none" w:sz="0" w:space="0" w:color="auto"/>
      </w:divBdr>
    </w:div>
    <w:div w:id="309870076">
      <w:bodyDiv w:val="1"/>
      <w:marLeft w:val="0"/>
      <w:marRight w:val="0"/>
      <w:marTop w:val="0"/>
      <w:marBottom w:val="0"/>
      <w:divBdr>
        <w:top w:val="none" w:sz="0" w:space="0" w:color="auto"/>
        <w:left w:val="none" w:sz="0" w:space="0" w:color="auto"/>
        <w:bottom w:val="none" w:sz="0" w:space="0" w:color="auto"/>
        <w:right w:val="none" w:sz="0" w:space="0" w:color="auto"/>
      </w:divBdr>
    </w:div>
    <w:div w:id="310913766">
      <w:bodyDiv w:val="1"/>
      <w:marLeft w:val="0"/>
      <w:marRight w:val="0"/>
      <w:marTop w:val="0"/>
      <w:marBottom w:val="0"/>
      <w:divBdr>
        <w:top w:val="none" w:sz="0" w:space="0" w:color="auto"/>
        <w:left w:val="none" w:sz="0" w:space="0" w:color="auto"/>
        <w:bottom w:val="none" w:sz="0" w:space="0" w:color="auto"/>
        <w:right w:val="none" w:sz="0" w:space="0" w:color="auto"/>
      </w:divBdr>
    </w:div>
    <w:div w:id="316997878">
      <w:bodyDiv w:val="1"/>
      <w:marLeft w:val="0"/>
      <w:marRight w:val="0"/>
      <w:marTop w:val="0"/>
      <w:marBottom w:val="0"/>
      <w:divBdr>
        <w:top w:val="none" w:sz="0" w:space="0" w:color="auto"/>
        <w:left w:val="none" w:sz="0" w:space="0" w:color="auto"/>
        <w:bottom w:val="none" w:sz="0" w:space="0" w:color="auto"/>
        <w:right w:val="none" w:sz="0" w:space="0" w:color="auto"/>
      </w:divBdr>
    </w:div>
    <w:div w:id="322851807">
      <w:bodyDiv w:val="1"/>
      <w:marLeft w:val="0"/>
      <w:marRight w:val="0"/>
      <w:marTop w:val="0"/>
      <w:marBottom w:val="0"/>
      <w:divBdr>
        <w:top w:val="none" w:sz="0" w:space="0" w:color="auto"/>
        <w:left w:val="none" w:sz="0" w:space="0" w:color="auto"/>
        <w:bottom w:val="none" w:sz="0" w:space="0" w:color="auto"/>
        <w:right w:val="none" w:sz="0" w:space="0" w:color="auto"/>
      </w:divBdr>
    </w:div>
    <w:div w:id="339891757">
      <w:bodyDiv w:val="1"/>
      <w:marLeft w:val="0"/>
      <w:marRight w:val="0"/>
      <w:marTop w:val="0"/>
      <w:marBottom w:val="0"/>
      <w:divBdr>
        <w:top w:val="none" w:sz="0" w:space="0" w:color="auto"/>
        <w:left w:val="none" w:sz="0" w:space="0" w:color="auto"/>
        <w:bottom w:val="none" w:sz="0" w:space="0" w:color="auto"/>
        <w:right w:val="none" w:sz="0" w:space="0" w:color="auto"/>
      </w:divBdr>
    </w:div>
    <w:div w:id="359354779">
      <w:bodyDiv w:val="1"/>
      <w:marLeft w:val="0"/>
      <w:marRight w:val="0"/>
      <w:marTop w:val="0"/>
      <w:marBottom w:val="0"/>
      <w:divBdr>
        <w:top w:val="none" w:sz="0" w:space="0" w:color="auto"/>
        <w:left w:val="none" w:sz="0" w:space="0" w:color="auto"/>
        <w:bottom w:val="none" w:sz="0" w:space="0" w:color="auto"/>
        <w:right w:val="none" w:sz="0" w:space="0" w:color="auto"/>
      </w:divBdr>
    </w:div>
    <w:div w:id="363484014">
      <w:bodyDiv w:val="1"/>
      <w:marLeft w:val="0"/>
      <w:marRight w:val="0"/>
      <w:marTop w:val="0"/>
      <w:marBottom w:val="0"/>
      <w:divBdr>
        <w:top w:val="none" w:sz="0" w:space="0" w:color="auto"/>
        <w:left w:val="none" w:sz="0" w:space="0" w:color="auto"/>
        <w:bottom w:val="none" w:sz="0" w:space="0" w:color="auto"/>
        <w:right w:val="none" w:sz="0" w:space="0" w:color="auto"/>
      </w:divBdr>
    </w:div>
    <w:div w:id="383869941">
      <w:bodyDiv w:val="1"/>
      <w:marLeft w:val="0"/>
      <w:marRight w:val="0"/>
      <w:marTop w:val="0"/>
      <w:marBottom w:val="0"/>
      <w:divBdr>
        <w:top w:val="none" w:sz="0" w:space="0" w:color="auto"/>
        <w:left w:val="none" w:sz="0" w:space="0" w:color="auto"/>
        <w:bottom w:val="none" w:sz="0" w:space="0" w:color="auto"/>
        <w:right w:val="none" w:sz="0" w:space="0" w:color="auto"/>
      </w:divBdr>
    </w:div>
    <w:div w:id="383909937">
      <w:bodyDiv w:val="1"/>
      <w:marLeft w:val="0"/>
      <w:marRight w:val="0"/>
      <w:marTop w:val="0"/>
      <w:marBottom w:val="0"/>
      <w:divBdr>
        <w:top w:val="none" w:sz="0" w:space="0" w:color="auto"/>
        <w:left w:val="none" w:sz="0" w:space="0" w:color="auto"/>
        <w:bottom w:val="none" w:sz="0" w:space="0" w:color="auto"/>
        <w:right w:val="none" w:sz="0" w:space="0" w:color="auto"/>
      </w:divBdr>
    </w:div>
    <w:div w:id="422411822">
      <w:bodyDiv w:val="1"/>
      <w:marLeft w:val="0"/>
      <w:marRight w:val="0"/>
      <w:marTop w:val="0"/>
      <w:marBottom w:val="0"/>
      <w:divBdr>
        <w:top w:val="none" w:sz="0" w:space="0" w:color="auto"/>
        <w:left w:val="none" w:sz="0" w:space="0" w:color="auto"/>
        <w:bottom w:val="none" w:sz="0" w:space="0" w:color="auto"/>
        <w:right w:val="none" w:sz="0" w:space="0" w:color="auto"/>
      </w:divBdr>
    </w:div>
    <w:div w:id="425228017">
      <w:bodyDiv w:val="1"/>
      <w:marLeft w:val="0"/>
      <w:marRight w:val="0"/>
      <w:marTop w:val="0"/>
      <w:marBottom w:val="0"/>
      <w:divBdr>
        <w:top w:val="none" w:sz="0" w:space="0" w:color="auto"/>
        <w:left w:val="none" w:sz="0" w:space="0" w:color="auto"/>
        <w:bottom w:val="none" w:sz="0" w:space="0" w:color="auto"/>
        <w:right w:val="none" w:sz="0" w:space="0" w:color="auto"/>
      </w:divBdr>
    </w:div>
    <w:div w:id="447159759">
      <w:bodyDiv w:val="1"/>
      <w:marLeft w:val="0"/>
      <w:marRight w:val="0"/>
      <w:marTop w:val="0"/>
      <w:marBottom w:val="0"/>
      <w:divBdr>
        <w:top w:val="none" w:sz="0" w:space="0" w:color="auto"/>
        <w:left w:val="none" w:sz="0" w:space="0" w:color="auto"/>
        <w:bottom w:val="none" w:sz="0" w:space="0" w:color="auto"/>
        <w:right w:val="none" w:sz="0" w:space="0" w:color="auto"/>
      </w:divBdr>
    </w:div>
    <w:div w:id="454910518">
      <w:bodyDiv w:val="1"/>
      <w:marLeft w:val="0"/>
      <w:marRight w:val="0"/>
      <w:marTop w:val="0"/>
      <w:marBottom w:val="0"/>
      <w:divBdr>
        <w:top w:val="none" w:sz="0" w:space="0" w:color="auto"/>
        <w:left w:val="none" w:sz="0" w:space="0" w:color="auto"/>
        <w:bottom w:val="none" w:sz="0" w:space="0" w:color="auto"/>
        <w:right w:val="none" w:sz="0" w:space="0" w:color="auto"/>
      </w:divBdr>
    </w:div>
    <w:div w:id="471097515">
      <w:bodyDiv w:val="1"/>
      <w:marLeft w:val="0"/>
      <w:marRight w:val="0"/>
      <w:marTop w:val="0"/>
      <w:marBottom w:val="0"/>
      <w:divBdr>
        <w:top w:val="none" w:sz="0" w:space="0" w:color="auto"/>
        <w:left w:val="none" w:sz="0" w:space="0" w:color="auto"/>
        <w:bottom w:val="none" w:sz="0" w:space="0" w:color="auto"/>
        <w:right w:val="none" w:sz="0" w:space="0" w:color="auto"/>
      </w:divBdr>
    </w:div>
    <w:div w:id="497577617">
      <w:bodyDiv w:val="1"/>
      <w:marLeft w:val="0"/>
      <w:marRight w:val="0"/>
      <w:marTop w:val="0"/>
      <w:marBottom w:val="0"/>
      <w:divBdr>
        <w:top w:val="none" w:sz="0" w:space="0" w:color="auto"/>
        <w:left w:val="none" w:sz="0" w:space="0" w:color="auto"/>
        <w:bottom w:val="none" w:sz="0" w:space="0" w:color="auto"/>
        <w:right w:val="none" w:sz="0" w:space="0" w:color="auto"/>
      </w:divBdr>
    </w:div>
    <w:div w:id="579632705">
      <w:bodyDiv w:val="1"/>
      <w:marLeft w:val="0"/>
      <w:marRight w:val="0"/>
      <w:marTop w:val="0"/>
      <w:marBottom w:val="0"/>
      <w:divBdr>
        <w:top w:val="none" w:sz="0" w:space="0" w:color="auto"/>
        <w:left w:val="none" w:sz="0" w:space="0" w:color="auto"/>
        <w:bottom w:val="none" w:sz="0" w:space="0" w:color="auto"/>
        <w:right w:val="none" w:sz="0" w:space="0" w:color="auto"/>
      </w:divBdr>
    </w:div>
    <w:div w:id="610817703">
      <w:bodyDiv w:val="1"/>
      <w:marLeft w:val="0"/>
      <w:marRight w:val="0"/>
      <w:marTop w:val="0"/>
      <w:marBottom w:val="0"/>
      <w:divBdr>
        <w:top w:val="none" w:sz="0" w:space="0" w:color="auto"/>
        <w:left w:val="none" w:sz="0" w:space="0" w:color="auto"/>
        <w:bottom w:val="none" w:sz="0" w:space="0" w:color="auto"/>
        <w:right w:val="none" w:sz="0" w:space="0" w:color="auto"/>
      </w:divBdr>
    </w:div>
    <w:div w:id="616722735">
      <w:bodyDiv w:val="1"/>
      <w:marLeft w:val="0"/>
      <w:marRight w:val="0"/>
      <w:marTop w:val="0"/>
      <w:marBottom w:val="0"/>
      <w:divBdr>
        <w:top w:val="none" w:sz="0" w:space="0" w:color="auto"/>
        <w:left w:val="none" w:sz="0" w:space="0" w:color="auto"/>
        <w:bottom w:val="none" w:sz="0" w:space="0" w:color="auto"/>
        <w:right w:val="none" w:sz="0" w:space="0" w:color="auto"/>
      </w:divBdr>
    </w:div>
    <w:div w:id="641889234">
      <w:bodyDiv w:val="1"/>
      <w:marLeft w:val="0"/>
      <w:marRight w:val="0"/>
      <w:marTop w:val="0"/>
      <w:marBottom w:val="0"/>
      <w:divBdr>
        <w:top w:val="none" w:sz="0" w:space="0" w:color="auto"/>
        <w:left w:val="none" w:sz="0" w:space="0" w:color="auto"/>
        <w:bottom w:val="none" w:sz="0" w:space="0" w:color="auto"/>
        <w:right w:val="none" w:sz="0" w:space="0" w:color="auto"/>
      </w:divBdr>
    </w:div>
    <w:div w:id="659776344">
      <w:bodyDiv w:val="1"/>
      <w:marLeft w:val="0"/>
      <w:marRight w:val="0"/>
      <w:marTop w:val="0"/>
      <w:marBottom w:val="0"/>
      <w:divBdr>
        <w:top w:val="none" w:sz="0" w:space="0" w:color="auto"/>
        <w:left w:val="none" w:sz="0" w:space="0" w:color="auto"/>
        <w:bottom w:val="none" w:sz="0" w:space="0" w:color="auto"/>
        <w:right w:val="none" w:sz="0" w:space="0" w:color="auto"/>
      </w:divBdr>
    </w:div>
    <w:div w:id="664554355">
      <w:bodyDiv w:val="1"/>
      <w:marLeft w:val="0"/>
      <w:marRight w:val="0"/>
      <w:marTop w:val="0"/>
      <w:marBottom w:val="0"/>
      <w:divBdr>
        <w:top w:val="none" w:sz="0" w:space="0" w:color="auto"/>
        <w:left w:val="none" w:sz="0" w:space="0" w:color="auto"/>
        <w:bottom w:val="none" w:sz="0" w:space="0" w:color="auto"/>
        <w:right w:val="none" w:sz="0" w:space="0" w:color="auto"/>
      </w:divBdr>
    </w:div>
    <w:div w:id="665134668">
      <w:bodyDiv w:val="1"/>
      <w:marLeft w:val="0"/>
      <w:marRight w:val="0"/>
      <w:marTop w:val="0"/>
      <w:marBottom w:val="0"/>
      <w:divBdr>
        <w:top w:val="none" w:sz="0" w:space="0" w:color="auto"/>
        <w:left w:val="none" w:sz="0" w:space="0" w:color="auto"/>
        <w:bottom w:val="none" w:sz="0" w:space="0" w:color="auto"/>
        <w:right w:val="none" w:sz="0" w:space="0" w:color="auto"/>
      </w:divBdr>
    </w:div>
    <w:div w:id="680933441">
      <w:bodyDiv w:val="1"/>
      <w:marLeft w:val="0"/>
      <w:marRight w:val="0"/>
      <w:marTop w:val="0"/>
      <w:marBottom w:val="0"/>
      <w:divBdr>
        <w:top w:val="none" w:sz="0" w:space="0" w:color="auto"/>
        <w:left w:val="none" w:sz="0" w:space="0" w:color="auto"/>
        <w:bottom w:val="none" w:sz="0" w:space="0" w:color="auto"/>
        <w:right w:val="none" w:sz="0" w:space="0" w:color="auto"/>
      </w:divBdr>
    </w:div>
    <w:div w:id="709570870">
      <w:bodyDiv w:val="1"/>
      <w:marLeft w:val="0"/>
      <w:marRight w:val="0"/>
      <w:marTop w:val="0"/>
      <w:marBottom w:val="0"/>
      <w:divBdr>
        <w:top w:val="none" w:sz="0" w:space="0" w:color="auto"/>
        <w:left w:val="none" w:sz="0" w:space="0" w:color="auto"/>
        <w:bottom w:val="none" w:sz="0" w:space="0" w:color="auto"/>
        <w:right w:val="none" w:sz="0" w:space="0" w:color="auto"/>
      </w:divBdr>
    </w:div>
    <w:div w:id="793328173">
      <w:bodyDiv w:val="1"/>
      <w:marLeft w:val="0"/>
      <w:marRight w:val="0"/>
      <w:marTop w:val="0"/>
      <w:marBottom w:val="0"/>
      <w:divBdr>
        <w:top w:val="none" w:sz="0" w:space="0" w:color="auto"/>
        <w:left w:val="none" w:sz="0" w:space="0" w:color="auto"/>
        <w:bottom w:val="none" w:sz="0" w:space="0" w:color="auto"/>
        <w:right w:val="none" w:sz="0" w:space="0" w:color="auto"/>
      </w:divBdr>
    </w:div>
    <w:div w:id="801844922">
      <w:bodyDiv w:val="1"/>
      <w:marLeft w:val="0"/>
      <w:marRight w:val="0"/>
      <w:marTop w:val="0"/>
      <w:marBottom w:val="0"/>
      <w:divBdr>
        <w:top w:val="none" w:sz="0" w:space="0" w:color="auto"/>
        <w:left w:val="none" w:sz="0" w:space="0" w:color="auto"/>
        <w:bottom w:val="none" w:sz="0" w:space="0" w:color="auto"/>
        <w:right w:val="none" w:sz="0" w:space="0" w:color="auto"/>
      </w:divBdr>
    </w:div>
    <w:div w:id="830678666">
      <w:bodyDiv w:val="1"/>
      <w:marLeft w:val="0"/>
      <w:marRight w:val="0"/>
      <w:marTop w:val="0"/>
      <w:marBottom w:val="0"/>
      <w:divBdr>
        <w:top w:val="none" w:sz="0" w:space="0" w:color="auto"/>
        <w:left w:val="none" w:sz="0" w:space="0" w:color="auto"/>
        <w:bottom w:val="none" w:sz="0" w:space="0" w:color="auto"/>
        <w:right w:val="none" w:sz="0" w:space="0" w:color="auto"/>
      </w:divBdr>
    </w:div>
    <w:div w:id="850602420">
      <w:bodyDiv w:val="1"/>
      <w:marLeft w:val="0"/>
      <w:marRight w:val="0"/>
      <w:marTop w:val="0"/>
      <w:marBottom w:val="0"/>
      <w:divBdr>
        <w:top w:val="none" w:sz="0" w:space="0" w:color="auto"/>
        <w:left w:val="none" w:sz="0" w:space="0" w:color="auto"/>
        <w:bottom w:val="none" w:sz="0" w:space="0" w:color="auto"/>
        <w:right w:val="none" w:sz="0" w:space="0" w:color="auto"/>
      </w:divBdr>
    </w:div>
    <w:div w:id="853037540">
      <w:bodyDiv w:val="1"/>
      <w:marLeft w:val="0"/>
      <w:marRight w:val="0"/>
      <w:marTop w:val="0"/>
      <w:marBottom w:val="0"/>
      <w:divBdr>
        <w:top w:val="none" w:sz="0" w:space="0" w:color="auto"/>
        <w:left w:val="none" w:sz="0" w:space="0" w:color="auto"/>
        <w:bottom w:val="none" w:sz="0" w:space="0" w:color="auto"/>
        <w:right w:val="none" w:sz="0" w:space="0" w:color="auto"/>
      </w:divBdr>
    </w:div>
    <w:div w:id="894395367">
      <w:bodyDiv w:val="1"/>
      <w:marLeft w:val="0"/>
      <w:marRight w:val="0"/>
      <w:marTop w:val="0"/>
      <w:marBottom w:val="0"/>
      <w:divBdr>
        <w:top w:val="none" w:sz="0" w:space="0" w:color="auto"/>
        <w:left w:val="none" w:sz="0" w:space="0" w:color="auto"/>
        <w:bottom w:val="none" w:sz="0" w:space="0" w:color="auto"/>
        <w:right w:val="none" w:sz="0" w:space="0" w:color="auto"/>
      </w:divBdr>
    </w:div>
    <w:div w:id="902182954">
      <w:bodyDiv w:val="1"/>
      <w:marLeft w:val="0"/>
      <w:marRight w:val="0"/>
      <w:marTop w:val="0"/>
      <w:marBottom w:val="0"/>
      <w:divBdr>
        <w:top w:val="none" w:sz="0" w:space="0" w:color="auto"/>
        <w:left w:val="none" w:sz="0" w:space="0" w:color="auto"/>
        <w:bottom w:val="none" w:sz="0" w:space="0" w:color="auto"/>
        <w:right w:val="none" w:sz="0" w:space="0" w:color="auto"/>
      </w:divBdr>
    </w:div>
    <w:div w:id="914054751">
      <w:bodyDiv w:val="1"/>
      <w:marLeft w:val="0"/>
      <w:marRight w:val="0"/>
      <w:marTop w:val="0"/>
      <w:marBottom w:val="0"/>
      <w:divBdr>
        <w:top w:val="none" w:sz="0" w:space="0" w:color="auto"/>
        <w:left w:val="none" w:sz="0" w:space="0" w:color="auto"/>
        <w:bottom w:val="none" w:sz="0" w:space="0" w:color="auto"/>
        <w:right w:val="none" w:sz="0" w:space="0" w:color="auto"/>
      </w:divBdr>
    </w:div>
    <w:div w:id="931007874">
      <w:bodyDiv w:val="1"/>
      <w:marLeft w:val="0"/>
      <w:marRight w:val="0"/>
      <w:marTop w:val="0"/>
      <w:marBottom w:val="0"/>
      <w:divBdr>
        <w:top w:val="none" w:sz="0" w:space="0" w:color="auto"/>
        <w:left w:val="none" w:sz="0" w:space="0" w:color="auto"/>
        <w:bottom w:val="none" w:sz="0" w:space="0" w:color="auto"/>
        <w:right w:val="none" w:sz="0" w:space="0" w:color="auto"/>
      </w:divBdr>
    </w:div>
    <w:div w:id="940261028">
      <w:bodyDiv w:val="1"/>
      <w:marLeft w:val="0"/>
      <w:marRight w:val="0"/>
      <w:marTop w:val="0"/>
      <w:marBottom w:val="0"/>
      <w:divBdr>
        <w:top w:val="none" w:sz="0" w:space="0" w:color="auto"/>
        <w:left w:val="none" w:sz="0" w:space="0" w:color="auto"/>
        <w:bottom w:val="none" w:sz="0" w:space="0" w:color="auto"/>
        <w:right w:val="none" w:sz="0" w:space="0" w:color="auto"/>
      </w:divBdr>
    </w:div>
    <w:div w:id="981276058">
      <w:bodyDiv w:val="1"/>
      <w:marLeft w:val="0"/>
      <w:marRight w:val="0"/>
      <w:marTop w:val="0"/>
      <w:marBottom w:val="0"/>
      <w:divBdr>
        <w:top w:val="none" w:sz="0" w:space="0" w:color="auto"/>
        <w:left w:val="none" w:sz="0" w:space="0" w:color="auto"/>
        <w:bottom w:val="none" w:sz="0" w:space="0" w:color="auto"/>
        <w:right w:val="none" w:sz="0" w:space="0" w:color="auto"/>
      </w:divBdr>
    </w:div>
    <w:div w:id="1031224146">
      <w:bodyDiv w:val="1"/>
      <w:marLeft w:val="0"/>
      <w:marRight w:val="0"/>
      <w:marTop w:val="0"/>
      <w:marBottom w:val="0"/>
      <w:divBdr>
        <w:top w:val="none" w:sz="0" w:space="0" w:color="auto"/>
        <w:left w:val="none" w:sz="0" w:space="0" w:color="auto"/>
        <w:bottom w:val="none" w:sz="0" w:space="0" w:color="auto"/>
        <w:right w:val="none" w:sz="0" w:space="0" w:color="auto"/>
      </w:divBdr>
    </w:div>
    <w:div w:id="1033577323">
      <w:bodyDiv w:val="1"/>
      <w:marLeft w:val="0"/>
      <w:marRight w:val="0"/>
      <w:marTop w:val="0"/>
      <w:marBottom w:val="0"/>
      <w:divBdr>
        <w:top w:val="none" w:sz="0" w:space="0" w:color="auto"/>
        <w:left w:val="none" w:sz="0" w:space="0" w:color="auto"/>
        <w:bottom w:val="none" w:sz="0" w:space="0" w:color="auto"/>
        <w:right w:val="none" w:sz="0" w:space="0" w:color="auto"/>
      </w:divBdr>
    </w:div>
    <w:div w:id="1039743253">
      <w:bodyDiv w:val="1"/>
      <w:marLeft w:val="0"/>
      <w:marRight w:val="0"/>
      <w:marTop w:val="0"/>
      <w:marBottom w:val="0"/>
      <w:divBdr>
        <w:top w:val="none" w:sz="0" w:space="0" w:color="auto"/>
        <w:left w:val="none" w:sz="0" w:space="0" w:color="auto"/>
        <w:bottom w:val="none" w:sz="0" w:space="0" w:color="auto"/>
        <w:right w:val="none" w:sz="0" w:space="0" w:color="auto"/>
      </w:divBdr>
    </w:div>
    <w:div w:id="1045762154">
      <w:bodyDiv w:val="1"/>
      <w:marLeft w:val="0"/>
      <w:marRight w:val="0"/>
      <w:marTop w:val="0"/>
      <w:marBottom w:val="0"/>
      <w:divBdr>
        <w:top w:val="none" w:sz="0" w:space="0" w:color="auto"/>
        <w:left w:val="none" w:sz="0" w:space="0" w:color="auto"/>
        <w:bottom w:val="none" w:sz="0" w:space="0" w:color="auto"/>
        <w:right w:val="none" w:sz="0" w:space="0" w:color="auto"/>
      </w:divBdr>
    </w:div>
    <w:div w:id="1055815836">
      <w:bodyDiv w:val="1"/>
      <w:marLeft w:val="0"/>
      <w:marRight w:val="0"/>
      <w:marTop w:val="0"/>
      <w:marBottom w:val="0"/>
      <w:divBdr>
        <w:top w:val="none" w:sz="0" w:space="0" w:color="auto"/>
        <w:left w:val="none" w:sz="0" w:space="0" w:color="auto"/>
        <w:bottom w:val="none" w:sz="0" w:space="0" w:color="auto"/>
        <w:right w:val="none" w:sz="0" w:space="0" w:color="auto"/>
      </w:divBdr>
    </w:div>
    <w:div w:id="1065176364">
      <w:bodyDiv w:val="1"/>
      <w:marLeft w:val="0"/>
      <w:marRight w:val="0"/>
      <w:marTop w:val="0"/>
      <w:marBottom w:val="0"/>
      <w:divBdr>
        <w:top w:val="none" w:sz="0" w:space="0" w:color="auto"/>
        <w:left w:val="none" w:sz="0" w:space="0" w:color="auto"/>
        <w:bottom w:val="none" w:sz="0" w:space="0" w:color="auto"/>
        <w:right w:val="none" w:sz="0" w:space="0" w:color="auto"/>
      </w:divBdr>
    </w:div>
    <w:div w:id="1098914772">
      <w:bodyDiv w:val="1"/>
      <w:marLeft w:val="0"/>
      <w:marRight w:val="0"/>
      <w:marTop w:val="0"/>
      <w:marBottom w:val="0"/>
      <w:divBdr>
        <w:top w:val="none" w:sz="0" w:space="0" w:color="auto"/>
        <w:left w:val="none" w:sz="0" w:space="0" w:color="auto"/>
        <w:bottom w:val="none" w:sz="0" w:space="0" w:color="auto"/>
        <w:right w:val="none" w:sz="0" w:space="0" w:color="auto"/>
      </w:divBdr>
    </w:div>
    <w:div w:id="1108891827">
      <w:bodyDiv w:val="1"/>
      <w:marLeft w:val="0"/>
      <w:marRight w:val="0"/>
      <w:marTop w:val="0"/>
      <w:marBottom w:val="0"/>
      <w:divBdr>
        <w:top w:val="none" w:sz="0" w:space="0" w:color="auto"/>
        <w:left w:val="none" w:sz="0" w:space="0" w:color="auto"/>
        <w:bottom w:val="none" w:sz="0" w:space="0" w:color="auto"/>
        <w:right w:val="none" w:sz="0" w:space="0" w:color="auto"/>
      </w:divBdr>
    </w:div>
    <w:div w:id="1198010112">
      <w:bodyDiv w:val="1"/>
      <w:marLeft w:val="0"/>
      <w:marRight w:val="0"/>
      <w:marTop w:val="0"/>
      <w:marBottom w:val="0"/>
      <w:divBdr>
        <w:top w:val="none" w:sz="0" w:space="0" w:color="auto"/>
        <w:left w:val="none" w:sz="0" w:space="0" w:color="auto"/>
        <w:bottom w:val="none" w:sz="0" w:space="0" w:color="auto"/>
        <w:right w:val="none" w:sz="0" w:space="0" w:color="auto"/>
      </w:divBdr>
    </w:div>
    <w:div w:id="1207140317">
      <w:bodyDiv w:val="1"/>
      <w:marLeft w:val="0"/>
      <w:marRight w:val="0"/>
      <w:marTop w:val="0"/>
      <w:marBottom w:val="0"/>
      <w:divBdr>
        <w:top w:val="none" w:sz="0" w:space="0" w:color="auto"/>
        <w:left w:val="none" w:sz="0" w:space="0" w:color="auto"/>
        <w:bottom w:val="none" w:sz="0" w:space="0" w:color="auto"/>
        <w:right w:val="none" w:sz="0" w:space="0" w:color="auto"/>
      </w:divBdr>
    </w:div>
    <w:div w:id="1211839285">
      <w:bodyDiv w:val="1"/>
      <w:marLeft w:val="0"/>
      <w:marRight w:val="0"/>
      <w:marTop w:val="0"/>
      <w:marBottom w:val="0"/>
      <w:divBdr>
        <w:top w:val="none" w:sz="0" w:space="0" w:color="auto"/>
        <w:left w:val="none" w:sz="0" w:space="0" w:color="auto"/>
        <w:bottom w:val="none" w:sz="0" w:space="0" w:color="auto"/>
        <w:right w:val="none" w:sz="0" w:space="0" w:color="auto"/>
      </w:divBdr>
    </w:div>
    <w:div w:id="1226337790">
      <w:bodyDiv w:val="1"/>
      <w:marLeft w:val="0"/>
      <w:marRight w:val="0"/>
      <w:marTop w:val="0"/>
      <w:marBottom w:val="0"/>
      <w:divBdr>
        <w:top w:val="none" w:sz="0" w:space="0" w:color="auto"/>
        <w:left w:val="none" w:sz="0" w:space="0" w:color="auto"/>
        <w:bottom w:val="none" w:sz="0" w:space="0" w:color="auto"/>
        <w:right w:val="none" w:sz="0" w:space="0" w:color="auto"/>
      </w:divBdr>
    </w:div>
    <w:div w:id="1242064534">
      <w:bodyDiv w:val="1"/>
      <w:marLeft w:val="0"/>
      <w:marRight w:val="0"/>
      <w:marTop w:val="0"/>
      <w:marBottom w:val="0"/>
      <w:divBdr>
        <w:top w:val="none" w:sz="0" w:space="0" w:color="auto"/>
        <w:left w:val="none" w:sz="0" w:space="0" w:color="auto"/>
        <w:bottom w:val="none" w:sz="0" w:space="0" w:color="auto"/>
        <w:right w:val="none" w:sz="0" w:space="0" w:color="auto"/>
      </w:divBdr>
    </w:div>
    <w:div w:id="1249194459">
      <w:bodyDiv w:val="1"/>
      <w:marLeft w:val="0"/>
      <w:marRight w:val="0"/>
      <w:marTop w:val="0"/>
      <w:marBottom w:val="0"/>
      <w:divBdr>
        <w:top w:val="none" w:sz="0" w:space="0" w:color="auto"/>
        <w:left w:val="none" w:sz="0" w:space="0" w:color="auto"/>
        <w:bottom w:val="none" w:sz="0" w:space="0" w:color="auto"/>
        <w:right w:val="none" w:sz="0" w:space="0" w:color="auto"/>
      </w:divBdr>
    </w:div>
    <w:div w:id="1253928055">
      <w:bodyDiv w:val="1"/>
      <w:marLeft w:val="0"/>
      <w:marRight w:val="0"/>
      <w:marTop w:val="0"/>
      <w:marBottom w:val="0"/>
      <w:divBdr>
        <w:top w:val="none" w:sz="0" w:space="0" w:color="auto"/>
        <w:left w:val="none" w:sz="0" w:space="0" w:color="auto"/>
        <w:bottom w:val="none" w:sz="0" w:space="0" w:color="auto"/>
        <w:right w:val="none" w:sz="0" w:space="0" w:color="auto"/>
      </w:divBdr>
    </w:div>
    <w:div w:id="1282491292">
      <w:bodyDiv w:val="1"/>
      <w:marLeft w:val="0"/>
      <w:marRight w:val="0"/>
      <w:marTop w:val="0"/>
      <w:marBottom w:val="0"/>
      <w:divBdr>
        <w:top w:val="none" w:sz="0" w:space="0" w:color="auto"/>
        <w:left w:val="none" w:sz="0" w:space="0" w:color="auto"/>
        <w:bottom w:val="none" w:sz="0" w:space="0" w:color="auto"/>
        <w:right w:val="none" w:sz="0" w:space="0" w:color="auto"/>
      </w:divBdr>
    </w:div>
    <w:div w:id="1292634655">
      <w:bodyDiv w:val="1"/>
      <w:marLeft w:val="0"/>
      <w:marRight w:val="0"/>
      <w:marTop w:val="0"/>
      <w:marBottom w:val="0"/>
      <w:divBdr>
        <w:top w:val="none" w:sz="0" w:space="0" w:color="auto"/>
        <w:left w:val="none" w:sz="0" w:space="0" w:color="auto"/>
        <w:bottom w:val="none" w:sz="0" w:space="0" w:color="auto"/>
        <w:right w:val="none" w:sz="0" w:space="0" w:color="auto"/>
      </w:divBdr>
    </w:div>
    <w:div w:id="1301421078">
      <w:bodyDiv w:val="1"/>
      <w:marLeft w:val="0"/>
      <w:marRight w:val="0"/>
      <w:marTop w:val="0"/>
      <w:marBottom w:val="0"/>
      <w:divBdr>
        <w:top w:val="none" w:sz="0" w:space="0" w:color="auto"/>
        <w:left w:val="none" w:sz="0" w:space="0" w:color="auto"/>
        <w:bottom w:val="none" w:sz="0" w:space="0" w:color="auto"/>
        <w:right w:val="none" w:sz="0" w:space="0" w:color="auto"/>
      </w:divBdr>
    </w:div>
    <w:div w:id="1302928550">
      <w:bodyDiv w:val="1"/>
      <w:marLeft w:val="0"/>
      <w:marRight w:val="0"/>
      <w:marTop w:val="0"/>
      <w:marBottom w:val="0"/>
      <w:divBdr>
        <w:top w:val="none" w:sz="0" w:space="0" w:color="auto"/>
        <w:left w:val="none" w:sz="0" w:space="0" w:color="auto"/>
        <w:bottom w:val="none" w:sz="0" w:space="0" w:color="auto"/>
        <w:right w:val="none" w:sz="0" w:space="0" w:color="auto"/>
      </w:divBdr>
    </w:div>
    <w:div w:id="1321806955">
      <w:bodyDiv w:val="1"/>
      <w:marLeft w:val="0"/>
      <w:marRight w:val="0"/>
      <w:marTop w:val="0"/>
      <w:marBottom w:val="0"/>
      <w:divBdr>
        <w:top w:val="none" w:sz="0" w:space="0" w:color="auto"/>
        <w:left w:val="none" w:sz="0" w:space="0" w:color="auto"/>
        <w:bottom w:val="none" w:sz="0" w:space="0" w:color="auto"/>
        <w:right w:val="none" w:sz="0" w:space="0" w:color="auto"/>
      </w:divBdr>
    </w:div>
    <w:div w:id="1384716848">
      <w:bodyDiv w:val="1"/>
      <w:marLeft w:val="0"/>
      <w:marRight w:val="0"/>
      <w:marTop w:val="0"/>
      <w:marBottom w:val="0"/>
      <w:divBdr>
        <w:top w:val="none" w:sz="0" w:space="0" w:color="auto"/>
        <w:left w:val="none" w:sz="0" w:space="0" w:color="auto"/>
        <w:bottom w:val="none" w:sz="0" w:space="0" w:color="auto"/>
        <w:right w:val="none" w:sz="0" w:space="0" w:color="auto"/>
      </w:divBdr>
    </w:div>
    <w:div w:id="1403410402">
      <w:bodyDiv w:val="1"/>
      <w:marLeft w:val="0"/>
      <w:marRight w:val="0"/>
      <w:marTop w:val="0"/>
      <w:marBottom w:val="0"/>
      <w:divBdr>
        <w:top w:val="none" w:sz="0" w:space="0" w:color="auto"/>
        <w:left w:val="none" w:sz="0" w:space="0" w:color="auto"/>
        <w:bottom w:val="none" w:sz="0" w:space="0" w:color="auto"/>
        <w:right w:val="none" w:sz="0" w:space="0" w:color="auto"/>
      </w:divBdr>
    </w:div>
    <w:div w:id="1425498555">
      <w:bodyDiv w:val="1"/>
      <w:marLeft w:val="0"/>
      <w:marRight w:val="0"/>
      <w:marTop w:val="0"/>
      <w:marBottom w:val="0"/>
      <w:divBdr>
        <w:top w:val="none" w:sz="0" w:space="0" w:color="auto"/>
        <w:left w:val="none" w:sz="0" w:space="0" w:color="auto"/>
        <w:bottom w:val="none" w:sz="0" w:space="0" w:color="auto"/>
        <w:right w:val="none" w:sz="0" w:space="0" w:color="auto"/>
      </w:divBdr>
    </w:div>
    <w:div w:id="1435781589">
      <w:bodyDiv w:val="1"/>
      <w:marLeft w:val="0"/>
      <w:marRight w:val="0"/>
      <w:marTop w:val="0"/>
      <w:marBottom w:val="0"/>
      <w:divBdr>
        <w:top w:val="none" w:sz="0" w:space="0" w:color="auto"/>
        <w:left w:val="none" w:sz="0" w:space="0" w:color="auto"/>
        <w:bottom w:val="none" w:sz="0" w:space="0" w:color="auto"/>
        <w:right w:val="none" w:sz="0" w:space="0" w:color="auto"/>
      </w:divBdr>
    </w:div>
    <w:div w:id="1459378181">
      <w:bodyDiv w:val="1"/>
      <w:marLeft w:val="0"/>
      <w:marRight w:val="0"/>
      <w:marTop w:val="0"/>
      <w:marBottom w:val="0"/>
      <w:divBdr>
        <w:top w:val="none" w:sz="0" w:space="0" w:color="auto"/>
        <w:left w:val="none" w:sz="0" w:space="0" w:color="auto"/>
        <w:bottom w:val="none" w:sz="0" w:space="0" w:color="auto"/>
        <w:right w:val="none" w:sz="0" w:space="0" w:color="auto"/>
      </w:divBdr>
    </w:div>
    <w:div w:id="1476989409">
      <w:bodyDiv w:val="1"/>
      <w:marLeft w:val="0"/>
      <w:marRight w:val="0"/>
      <w:marTop w:val="0"/>
      <w:marBottom w:val="0"/>
      <w:divBdr>
        <w:top w:val="none" w:sz="0" w:space="0" w:color="auto"/>
        <w:left w:val="none" w:sz="0" w:space="0" w:color="auto"/>
        <w:bottom w:val="none" w:sz="0" w:space="0" w:color="auto"/>
        <w:right w:val="none" w:sz="0" w:space="0" w:color="auto"/>
      </w:divBdr>
    </w:div>
    <w:div w:id="1512261654">
      <w:bodyDiv w:val="1"/>
      <w:marLeft w:val="0"/>
      <w:marRight w:val="0"/>
      <w:marTop w:val="0"/>
      <w:marBottom w:val="0"/>
      <w:divBdr>
        <w:top w:val="none" w:sz="0" w:space="0" w:color="auto"/>
        <w:left w:val="none" w:sz="0" w:space="0" w:color="auto"/>
        <w:bottom w:val="none" w:sz="0" w:space="0" w:color="auto"/>
        <w:right w:val="none" w:sz="0" w:space="0" w:color="auto"/>
      </w:divBdr>
    </w:div>
    <w:div w:id="1566378242">
      <w:bodyDiv w:val="1"/>
      <w:marLeft w:val="0"/>
      <w:marRight w:val="0"/>
      <w:marTop w:val="0"/>
      <w:marBottom w:val="0"/>
      <w:divBdr>
        <w:top w:val="none" w:sz="0" w:space="0" w:color="auto"/>
        <w:left w:val="none" w:sz="0" w:space="0" w:color="auto"/>
        <w:bottom w:val="none" w:sz="0" w:space="0" w:color="auto"/>
        <w:right w:val="none" w:sz="0" w:space="0" w:color="auto"/>
      </w:divBdr>
    </w:div>
    <w:div w:id="1571498080">
      <w:bodyDiv w:val="1"/>
      <w:marLeft w:val="0"/>
      <w:marRight w:val="0"/>
      <w:marTop w:val="0"/>
      <w:marBottom w:val="0"/>
      <w:divBdr>
        <w:top w:val="none" w:sz="0" w:space="0" w:color="auto"/>
        <w:left w:val="none" w:sz="0" w:space="0" w:color="auto"/>
        <w:bottom w:val="none" w:sz="0" w:space="0" w:color="auto"/>
        <w:right w:val="none" w:sz="0" w:space="0" w:color="auto"/>
      </w:divBdr>
    </w:div>
    <w:div w:id="1653097632">
      <w:bodyDiv w:val="1"/>
      <w:marLeft w:val="0"/>
      <w:marRight w:val="0"/>
      <w:marTop w:val="0"/>
      <w:marBottom w:val="0"/>
      <w:divBdr>
        <w:top w:val="none" w:sz="0" w:space="0" w:color="auto"/>
        <w:left w:val="none" w:sz="0" w:space="0" w:color="auto"/>
        <w:bottom w:val="none" w:sz="0" w:space="0" w:color="auto"/>
        <w:right w:val="none" w:sz="0" w:space="0" w:color="auto"/>
      </w:divBdr>
    </w:div>
    <w:div w:id="1654260672">
      <w:bodyDiv w:val="1"/>
      <w:marLeft w:val="0"/>
      <w:marRight w:val="0"/>
      <w:marTop w:val="0"/>
      <w:marBottom w:val="0"/>
      <w:divBdr>
        <w:top w:val="none" w:sz="0" w:space="0" w:color="auto"/>
        <w:left w:val="none" w:sz="0" w:space="0" w:color="auto"/>
        <w:bottom w:val="none" w:sz="0" w:space="0" w:color="auto"/>
        <w:right w:val="none" w:sz="0" w:space="0" w:color="auto"/>
      </w:divBdr>
    </w:div>
    <w:div w:id="1673801804">
      <w:bodyDiv w:val="1"/>
      <w:marLeft w:val="0"/>
      <w:marRight w:val="0"/>
      <w:marTop w:val="0"/>
      <w:marBottom w:val="0"/>
      <w:divBdr>
        <w:top w:val="none" w:sz="0" w:space="0" w:color="auto"/>
        <w:left w:val="none" w:sz="0" w:space="0" w:color="auto"/>
        <w:bottom w:val="none" w:sz="0" w:space="0" w:color="auto"/>
        <w:right w:val="none" w:sz="0" w:space="0" w:color="auto"/>
      </w:divBdr>
    </w:div>
    <w:div w:id="1708095922">
      <w:bodyDiv w:val="1"/>
      <w:marLeft w:val="0"/>
      <w:marRight w:val="0"/>
      <w:marTop w:val="0"/>
      <w:marBottom w:val="0"/>
      <w:divBdr>
        <w:top w:val="none" w:sz="0" w:space="0" w:color="auto"/>
        <w:left w:val="none" w:sz="0" w:space="0" w:color="auto"/>
        <w:bottom w:val="none" w:sz="0" w:space="0" w:color="auto"/>
        <w:right w:val="none" w:sz="0" w:space="0" w:color="auto"/>
      </w:divBdr>
    </w:div>
    <w:div w:id="1712803588">
      <w:bodyDiv w:val="1"/>
      <w:marLeft w:val="0"/>
      <w:marRight w:val="0"/>
      <w:marTop w:val="0"/>
      <w:marBottom w:val="0"/>
      <w:divBdr>
        <w:top w:val="none" w:sz="0" w:space="0" w:color="auto"/>
        <w:left w:val="none" w:sz="0" w:space="0" w:color="auto"/>
        <w:bottom w:val="none" w:sz="0" w:space="0" w:color="auto"/>
        <w:right w:val="none" w:sz="0" w:space="0" w:color="auto"/>
      </w:divBdr>
    </w:div>
    <w:div w:id="1713265562">
      <w:bodyDiv w:val="1"/>
      <w:marLeft w:val="0"/>
      <w:marRight w:val="0"/>
      <w:marTop w:val="0"/>
      <w:marBottom w:val="0"/>
      <w:divBdr>
        <w:top w:val="none" w:sz="0" w:space="0" w:color="auto"/>
        <w:left w:val="none" w:sz="0" w:space="0" w:color="auto"/>
        <w:bottom w:val="none" w:sz="0" w:space="0" w:color="auto"/>
        <w:right w:val="none" w:sz="0" w:space="0" w:color="auto"/>
      </w:divBdr>
    </w:div>
    <w:div w:id="1737783454">
      <w:bodyDiv w:val="1"/>
      <w:marLeft w:val="0"/>
      <w:marRight w:val="0"/>
      <w:marTop w:val="0"/>
      <w:marBottom w:val="0"/>
      <w:divBdr>
        <w:top w:val="none" w:sz="0" w:space="0" w:color="auto"/>
        <w:left w:val="none" w:sz="0" w:space="0" w:color="auto"/>
        <w:bottom w:val="none" w:sz="0" w:space="0" w:color="auto"/>
        <w:right w:val="none" w:sz="0" w:space="0" w:color="auto"/>
      </w:divBdr>
    </w:div>
    <w:div w:id="1746874891">
      <w:bodyDiv w:val="1"/>
      <w:marLeft w:val="0"/>
      <w:marRight w:val="0"/>
      <w:marTop w:val="0"/>
      <w:marBottom w:val="0"/>
      <w:divBdr>
        <w:top w:val="none" w:sz="0" w:space="0" w:color="auto"/>
        <w:left w:val="none" w:sz="0" w:space="0" w:color="auto"/>
        <w:bottom w:val="none" w:sz="0" w:space="0" w:color="auto"/>
        <w:right w:val="none" w:sz="0" w:space="0" w:color="auto"/>
      </w:divBdr>
    </w:div>
    <w:div w:id="1777670894">
      <w:bodyDiv w:val="1"/>
      <w:marLeft w:val="0"/>
      <w:marRight w:val="0"/>
      <w:marTop w:val="0"/>
      <w:marBottom w:val="0"/>
      <w:divBdr>
        <w:top w:val="none" w:sz="0" w:space="0" w:color="auto"/>
        <w:left w:val="none" w:sz="0" w:space="0" w:color="auto"/>
        <w:bottom w:val="none" w:sz="0" w:space="0" w:color="auto"/>
        <w:right w:val="none" w:sz="0" w:space="0" w:color="auto"/>
      </w:divBdr>
    </w:div>
    <w:div w:id="1810973581">
      <w:bodyDiv w:val="1"/>
      <w:marLeft w:val="0"/>
      <w:marRight w:val="0"/>
      <w:marTop w:val="0"/>
      <w:marBottom w:val="0"/>
      <w:divBdr>
        <w:top w:val="none" w:sz="0" w:space="0" w:color="auto"/>
        <w:left w:val="none" w:sz="0" w:space="0" w:color="auto"/>
        <w:bottom w:val="none" w:sz="0" w:space="0" w:color="auto"/>
        <w:right w:val="none" w:sz="0" w:space="0" w:color="auto"/>
      </w:divBdr>
    </w:div>
    <w:div w:id="1813449230">
      <w:bodyDiv w:val="1"/>
      <w:marLeft w:val="0"/>
      <w:marRight w:val="0"/>
      <w:marTop w:val="0"/>
      <w:marBottom w:val="0"/>
      <w:divBdr>
        <w:top w:val="none" w:sz="0" w:space="0" w:color="auto"/>
        <w:left w:val="none" w:sz="0" w:space="0" w:color="auto"/>
        <w:bottom w:val="none" w:sz="0" w:space="0" w:color="auto"/>
        <w:right w:val="none" w:sz="0" w:space="0" w:color="auto"/>
      </w:divBdr>
    </w:div>
    <w:div w:id="1835608701">
      <w:bodyDiv w:val="1"/>
      <w:marLeft w:val="0"/>
      <w:marRight w:val="0"/>
      <w:marTop w:val="0"/>
      <w:marBottom w:val="0"/>
      <w:divBdr>
        <w:top w:val="none" w:sz="0" w:space="0" w:color="auto"/>
        <w:left w:val="none" w:sz="0" w:space="0" w:color="auto"/>
        <w:bottom w:val="none" w:sz="0" w:space="0" w:color="auto"/>
        <w:right w:val="none" w:sz="0" w:space="0" w:color="auto"/>
      </w:divBdr>
    </w:div>
    <w:div w:id="1840538355">
      <w:bodyDiv w:val="1"/>
      <w:marLeft w:val="0"/>
      <w:marRight w:val="0"/>
      <w:marTop w:val="0"/>
      <w:marBottom w:val="0"/>
      <w:divBdr>
        <w:top w:val="none" w:sz="0" w:space="0" w:color="auto"/>
        <w:left w:val="none" w:sz="0" w:space="0" w:color="auto"/>
        <w:bottom w:val="none" w:sz="0" w:space="0" w:color="auto"/>
        <w:right w:val="none" w:sz="0" w:space="0" w:color="auto"/>
      </w:divBdr>
    </w:div>
    <w:div w:id="1859930354">
      <w:bodyDiv w:val="1"/>
      <w:marLeft w:val="0"/>
      <w:marRight w:val="0"/>
      <w:marTop w:val="0"/>
      <w:marBottom w:val="0"/>
      <w:divBdr>
        <w:top w:val="none" w:sz="0" w:space="0" w:color="auto"/>
        <w:left w:val="none" w:sz="0" w:space="0" w:color="auto"/>
        <w:bottom w:val="none" w:sz="0" w:space="0" w:color="auto"/>
        <w:right w:val="none" w:sz="0" w:space="0" w:color="auto"/>
      </w:divBdr>
    </w:div>
    <w:div w:id="1874885063">
      <w:bodyDiv w:val="1"/>
      <w:marLeft w:val="0"/>
      <w:marRight w:val="0"/>
      <w:marTop w:val="0"/>
      <w:marBottom w:val="0"/>
      <w:divBdr>
        <w:top w:val="none" w:sz="0" w:space="0" w:color="auto"/>
        <w:left w:val="none" w:sz="0" w:space="0" w:color="auto"/>
        <w:bottom w:val="none" w:sz="0" w:space="0" w:color="auto"/>
        <w:right w:val="none" w:sz="0" w:space="0" w:color="auto"/>
      </w:divBdr>
    </w:div>
    <w:div w:id="1881087845">
      <w:bodyDiv w:val="1"/>
      <w:marLeft w:val="0"/>
      <w:marRight w:val="0"/>
      <w:marTop w:val="0"/>
      <w:marBottom w:val="0"/>
      <w:divBdr>
        <w:top w:val="none" w:sz="0" w:space="0" w:color="auto"/>
        <w:left w:val="none" w:sz="0" w:space="0" w:color="auto"/>
        <w:bottom w:val="none" w:sz="0" w:space="0" w:color="auto"/>
        <w:right w:val="none" w:sz="0" w:space="0" w:color="auto"/>
      </w:divBdr>
    </w:div>
    <w:div w:id="1883667520">
      <w:bodyDiv w:val="1"/>
      <w:marLeft w:val="0"/>
      <w:marRight w:val="0"/>
      <w:marTop w:val="0"/>
      <w:marBottom w:val="0"/>
      <w:divBdr>
        <w:top w:val="none" w:sz="0" w:space="0" w:color="auto"/>
        <w:left w:val="none" w:sz="0" w:space="0" w:color="auto"/>
        <w:bottom w:val="none" w:sz="0" w:space="0" w:color="auto"/>
        <w:right w:val="none" w:sz="0" w:space="0" w:color="auto"/>
      </w:divBdr>
    </w:div>
    <w:div w:id="1888494714">
      <w:bodyDiv w:val="1"/>
      <w:marLeft w:val="0"/>
      <w:marRight w:val="0"/>
      <w:marTop w:val="0"/>
      <w:marBottom w:val="0"/>
      <w:divBdr>
        <w:top w:val="none" w:sz="0" w:space="0" w:color="auto"/>
        <w:left w:val="none" w:sz="0" w:space="0" w:color="auto"/>
        <w:bottom w:val="none" w:sz="0" w:space="0" w:color="auto"/>
        <w:right w:val="none" w:sz="0" w:space="0" w:color="auto"/>
      </w:divBdr>
    </w:div>
    <w:div w:id="1923879240">
      <w:bodyDiv w:val="1"/>
      <w:marLeft w:val="0"/>
      <w:marRight w:val="0"/>
      <w:marTop w:val="0"/>
      <w:marBottom w:val="0"/>
      <w:divBdr>
        <w:top w:val="none" w:sz="0" w:space="0" w:color="auto"/>
        <w:left w:val="none" w:sz="0" w:space="0" w:color="auto"/>
        <w:bottom w:val="none" w:sz="0" w:space="0" w:color="auto"/>
        <w:right w:val="none" w:sz="0" w:space="0" w:color="auto"/>
      </w:divBdr>
    </w:div>
    <w:div w:id="1938055205">
      <w:bodyDiv w:val="1"/>
      <w:marLeft w:val="0"/>
      <w:marRight w:val="0"/>
      <w:marTop w:val="0"/>
      <w:marBottom w:val="0"/>
      <w:divBdr>
        <w:top w:val="none" w:sz="0" w:space="0" w:color="auto"/>
        <w:left w:val="none" w:sz="0" w:space="0" w:color="auto"/>
        <w:bottom w:val="none" w:sz="0" w:space="0" w:color="auto"/>
        <w:right w:val="none" w:sz="0" w:space="0" w:color="auto"/>
      </w:divBdr>
    </w:div>
    <w:div w:id="1938639780">
      <w:bodyDiv w:val="1"/>
      <w:marLeft w:val="0"/>
      <w:marRight w:val="0"/>
      <w:marTop w:val="0"/>
      <w:marBottom w:val="0"/>
      <w:divBdr>
        <w:top w:val="none" w:sz="0" w:space="0" w:color="auto"/>
        <w:left w:val="none" w:sz="0" w:space="0" w:color="auto"/>
        <w:bottom w:val="none" w:sz="0" w:space="0" w:color="auto"/>
        <w:right w:val="none" w:sz="0" w:space="0" w:color="auto"/>
      </w:divBdr>
    </w:div>
    <w:div w:id="2011058027">
      <w:bodyDiv w:val="1"/>
      <w:marLeft w:val="0"/>
      <w:marRight w:val="0"/>
      <w:marTop w:val="0"/>
      <w:marBottom w:val="0"/>
      <w:divBdr>
        <w:top w:val="none" w:sz="0" w:space="0" w:color="auto"/>
        <w:left w:val="none" w:sz="0" w:space="0" w:color="auto"/>
        <w:bottom w:val="none" w:sz="0" w:space="0" w:color="auto"/>
        <w:right w:val="none" w:sz="0" w:space="0" w:color="auto"/>
      </w:divBdr>
    </w:div>
    <w:div w:id="2029401262">
      <w:bodyDiv w:val="1"/>
      <w:marLeft w:val="0"/>
      <w:marRight w:val="0"/>
      <w:marTop w:val="0"/>
      <w:marBottom w:val="0"/>
      <w:divBdr>
        <w:top w:val="none" w:sz="0" w:space="0" w:color="auto"/>
        <w:left w:val="none" w:sz="0" w:space="0" w:color="auto"/>
        <w:bottom w:val="none" w:sz="0" w:space="0" w:color="auto"/>
        <w:right w:val="none" w:sz="0" w:space="0" w:color="auto"/>
      </w:divBdr>
    </w:div>
    <w:div w:id="2041466869">
      <w:bodyDiv w:val="1"/>
      <w:marLeft w:val="0"/>
      <w:marRight w:val="0"/>
      <w:marTop w:val="0"/>
      <w:marBottom w:val="0"/>
      <w:divBdr>
        <w:top w:val="none" w:sz="0" w:space="0" w:color="auto"/>
        <w:left w:val="none" w:sz="0" w:space="0" w:color="auto"/>
        <w:bottom w:val="none" w:sz="0" w:space="0" w:color="auto"/>
        <w:right w:val="none" w:sz="0" w:space="0" w:color="auto"/>
      </w:divBdr>
    </w:div>
    <w:div w:id="2042781844">
      <w:bodyDiv w:val="1"/>
      <w:marLeft w:val="0"/>
      <w:marRight w:val="0"/>
      <w:marTop w:val="0"/>
      <w:marBottom w:val="0"/>
      <w:divBdr>
        <w:top w:val="none" w:sz="0" w:space="0" w:color="auto"/>
        <w:left w:val="none" w:sz="0" w:space="0" w:color="auto"/>
        <w:bottom w:val="none" w:sz="0" w:space="0" w:color="auto"/>
        <w:right w:val="none" w:sz="0" w:space="0" w:color="auto"/>
      </w:divBdr>
    </w:div>
    <w:div w:id="2050450189">
      <w:bodyDiv w:val="1"/>
      <w:marLeft w:val="0"/>
      <w:marRight w:val="0"/>
      <w:marTop w:val="0"/>
      <w:marBottom w:val="0"/>
      <w:divBdr>
        <w:top w:val="none" w:sz="0" w:space="0" w:color="auto"/>
        <w:left w:val="none" w:sz="0" w:space="0" w:color="auto"/>
        <w:bottom w:val="none" w:sz="0" w:space="0" w:color="auto"/>
        <w:right w:val="none" w:sz="0" w:space="0" w:color="auto"/>
      </w:divBdr>
    </w:div>
    <w:div w:id="2052803215">
      <w:bodyDiv w:val="1"/>
      <w:marLeft w:val="0"/>
      <w:marRight w:val="0"/>
      <w:marTop w:val="0"/>
      <w:marBottom w:val="0"/>
      <w:divBdr>
        <w:top w:val="none" w:sz="0" w:space="0" w:color="auto"/>
        <w:left w:val="none" w:sz="0" w:space="0" w:color="auto"/>
        <w:bottom w:val="none" w:sz="0" w:space="0" w:color="auto"/>
        <w:right w:val="none" w:sz="0" w:space="0" w:color="auto"/>
      </w:divBdr>
    </w:div>
    <w:div w:id="2096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2F97-784C-4568-988D-93C20D27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106</Pages>
  <Words>20972</Words>
  <Characters>119546</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Threat Offences in Victoria: Sentencing Outcomes and Reoffending</vt:lpstr>
    </vt:vector>
  </TitlesOfParts>
  <Company>Sentencing Advisory Council</Company>
  <LinksUpToDate>false</LinksUpToDate>
  <CharactersWithSpaces>140238</CharactersWithSpaces>
  <SharedDoc>false</SharedDoc>
  <HLinks>
    <vt:vector size="48" baseType="variant">
      <vt:variant>
        <vt:i4>1572912</vt:i4>
      </vt:variant>
      <vt:variant>
        <vt:i4>44</vt:i4>
      </vt:variant>
      <vt:variant>
        <vt:i4>0</vt:i4>
      </vt:variant>
      <vt:variant>
        <vt:i4>5</vt:i4>
      </vt:variant>
      <vt:variant>
        <vt:lpwstr/>
      </vt:variant>
      <vt:variant>
        <vt:lpwstr>_Toc415058465</vt:lpwstr>
      </vt:variant>
      <vt:variant>
        <vt:i4>1572912</vt:i4>
      </vt:variant>
      <vt:variant>
        <vt:i4>38</vt:i4>
      </vt:variant>
      <vt:variant>
        <vt:i4>0</vt:i4>
      </vt:variant>
      <vt:variant>
        <vt:i4>5</vt:i4>
      </vt:variant>
      <vt:variant>
        <vt:lpwstr/>
      </vt:variant>
      <vt:variant>
        <vt:lpwstr>_Toc415058464</vt:lpwstr>
      </vt:variant>
      <vt:variant>
        <vt:i4>1572912</vt:i4>
      </vt:variant>
      <vt:variant>
        <vt:i4>32</vt:i4>
      </vt:variant>
      <vt:variant>
        <vt:i4>0</vt:i4>
      </vt:variant>
      <vt:variant>
        <vt:i4>5</vt:i4>
      </vt:variant>
      <vt:variant>
        <vt:lpwstr/>
      </vt:variant>
      <vt:variant>
        <vt:lpwstr>_Toc415058463</vt:lpwstr>
      </vt:variant>
      <vt:variant>
        <vt:i4>1572912</vt:i4>
      </vt:variant>
      <vt:variant>
        <vt:i4>26</vt:i4>
      </vt:variant>
      <vt:variant>
        <vt:i4>0</vt:i4>
      </vt:variant>
      <vt:variant>
        <vt:i4>5</vt:i4>
      </vt:variant>
      <vt:variant>
        <vt:lpwstr/>
      </vt:variant>
      <vt:variant>
        <vt:lpwstr>_Toc415058462</vt:lpwstr>
      </vt:variant>
      <vt:variant>
        <vt:i4>1572912</vt:i4>
      </vt:variant>
      <vt:variant>
        <vt:i4>20</vt:i4>
      </vt:variant>
      <vt:variant>
        <vt:i4>0</vt:i4>
      </vt:variant>
      <vt:variant>
        <vt:i4>5</vt:i4>
      </vt:variant>
      <vt:variant>
        <vt:lpwstr/>
      </vt:variant>
      <vt:variant>
        <vt:lpwstr>_Toc415058461</vt:lpwstr>
      </vt:variant>
      <vt:variant>
        <vt:i4>1572912</vt:i4>
      </vt:variant>
      <vt:variant>
        <vt:i4>14</vt:i4>
      </vt:variant>
      <vt:variant>
        <vt:i4>0</vt:i4>
      </vt:variant>
      <vt:variant>
        <vt:i4>5</vt:i4>
      </vt:variant>
      <vt:variant>
        <vt:lpwstr/>
      </vt:variant>
      <vt:variant>
        <vt:lpwstr>_Toc415058460</vt:lpwstr>
      </vt:variant>
      <vt:variant>
        <vt:i4>1769520</vt:i4>
      </vt:variant>
      <vt:variant>
        <vt:i4>8</vt:i4>
      </vt:variant>
      <vt:variant>
        <vt:i4>0</vt:i4>
      </vt:variant>
      <vt:variant>
        <vt:i4>5</vt:i4>
      </vt:variant>
      <vt:variant>
        <vt:lpwstr/>
      </vt:variant>
      <vt:variant>
        <vt:lpwstr>_Toc415058459</vt:lpwstr>
      </vt:variant>
      <vt:variant>
        <vt:i4>1769520</vt:i4>
      </vt:variant>
      <vt:variant>
        <vt:i4>2</vt:i4>
      </vt:variant>
      <vt:variant>
        <vt:i4>0</vt:i4>
      </vt:variant>
      <vt:variant>
        <vt:i4>5</vt:i4>
      </vt:variant>
      <vt:variant>
        <vt:lpwstr/>
      </vt:variant>
      <vt:variant>
        <vt:lpwstr>_Toc415058458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Offences in Victoria: Sentencing Outcomes and Reoffending</dc:title>
  <dc:subject/>
  <dc:creator>Sentencing Advisory Council</dc:creator>
  <cp:keywords/>
  <dc:description/>
  <cp:lastModifiedBy>Catherine M Jeffreys (DJCS)</cp:lastModifiedBy>
  <cp:revision>482</cp:revision>
  <dcterms:created xsi:type="dcterms:W3CDTF">2021-06-24T03:18:00Z</dcterms:created>
  <dcterms:modified xsi:type="dcterms:W3CDTF">2021-06-25T01:18:00Z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-344614904</vt:i4>
  </property>
</Properties>
</file>