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27CA" w14:textId="315BCCD4" w:rsidR="003E6974" w:rsidRPr="007F530F" w:rsidRDefault="003E6974" w:rsidP="00AD336E">
      <w:pPr>
        <w:pStyle w:val="Title"/>
      </w:pPr>
      <w:r w:rsidRPr="007F530F">
        <w:t>Sentencing Sex Offences in Victoria:</w:t>
      </w:r>
      <w:r w:rsidR="0082631E" w:rsidRPr="00D00197">
        <w:t xml:space="preserve"> </w:t>
      </w:r>
      <w:r w:rsidRPr="007F530F">
        <w:t>An Analysis of Three Sentencing Reforms</w:t>
      </w:r>
    </w:p>
    <w:p w14:paraId="7FA96A00" w14:textId="63985527" w:rsidR="008F6E2B" w:rsidRPr="007F530F" w:rsidRDefault="008F6E2B" w:rsidP="00D5017F">
      <w:pPr>
        <w:rPr>
          <w:lang w:val="en-US"/>
        </w:rPr>
      </w:pPr>
      <w:r w:rsidRPr="007F530F">
        <w:rPr>
          <w:lang w:val="en-US"/>
        </w:rPr>
        <w:t>Sentencing Advisory Council</w:t>
      </w:r>
      <w:r w:rsidR="00D5017F" w:rsidRPr="007F530F">
        <w:rPr>
          <w:lang w:val="en-US"/>
        </w:rPr>
        <w:t xml:space="preserve">, </w:t>
      </w:r>
      <w:r w:rsidRPr="007F530F">
        <w:rPr>
          <w:lang w:val="en-US"/>
        </w:rPr>
        <w:t>June 2021</w:t>
      </w:r>
    </w:p>
    <w:p w14:paraId="6607B014" w14:textId="7A2E7489" w:rsidR="00F23A58" w:rsidRDefault="00F23A58" w:rsidP="00F23A58">
      <w:pPr>
        <w:pStyle w:val="Heading1"/>
        <w:rPr>
          <w:lang w:val="en-US"/>
        </w:rPr>
      </w:pPr>
      <w:bookmarkStart w:id="0" w:name="_Toc74903993"/>
      <w:r w:rsidRPr="007F530F">
        <w:rPr>
          <w:lang w:val="en-US"/>
        </w:rPr>
        <w:t>Contents</w:t>
      </w:r>
      <w:bookmarkEnd w:id="0"/>
    </w:p>
    <w:p w14:paraId="56C76B83" w14:textId="15551E1C" w:rsidR="003953FC" w:rsidRDefault="003953FC">
      <w:pPr>
        <w:pStyle w:val="TOC1"/>
        <w:tabs>
          <w:tab w:val="right" w:leader="dot" w:pos="9016"/>
        </w:tabs>
        <w:rPr>
          <w:rFonts w:asciiTheme="minorHAnsi" w:eastAsiaTheme="minorEastAsia" w:hAnsiTheme="minorHAnsi" w:cstheme="minorBidi"/>
          <w:noProof/>
          <w:sz w:val="22"/>
          <w:szCs w:val="22"/>
        </w:rPr>
      </w:pPr>
      <w:r>
        <w:rPr>
          <w:lang w:val="en-US"/>
        </w:rPr>
        <w:fldChar w:fldCharType="begin"/>
      </w:r>
      <w:r>
        <w:rPr>
          <w:lang w:val="en-US"/>
        </w:rPr>
        <w:instrText xml:space="preserve"> TOC \h \z \t "Heading 1,1,Heading 1 Numbered,1" </w:instrText>
      </w:r>
      <w:r>
        <w:rPr>
          <w:lang w:val="en-US"/>
        </w:rPr>
        <w:fldChar w:fldCharType="separate"/>
      </w:r>
      <w:hyperlink w:anchor="_Toc74903994" w:history="1">
        <w:r w:rsidRPr="00A50764">
          <w:rPr>
            <w:rStyle w:val="Hyperlink"/>
            <w:noProof/>
          </w:rPr>
          <w:t>Contributors</w:t>
        </w:r>
        <w:r>
          <w:rPr>
            <w:noProof/>
            <w:webHidden/>
          </w:rPr>
          <w:tab/>
        </w:r>
        <w:r>
          <w:rPr>
            <w:noProof/>
            <w:webHidden/>
          </w:rPr>
          <w:fldChar w:fldCharType="begin"/>
        </w:r>
        <w:r>
          <w:rPr>
            <w:noProof/>
            <w:webHidden/>
          </w:rPr>
          <w:instrText xml:space="preserve"> PAGEREF _Toc74903994 \h </w:instrText>
        </w:r>
        <w:r>
          <w:rPr>
            <w:noProof/>
            <w:webHidden/>
          </w:rPr>
        </w:r>
        <w:r>
          <w:rPr>
            <w:noProof/>
            <w:webHidden/>
          </w:rPr>
          <w:fldChar w:fldCharType="separate"/>
        </w:r>
        <w:r w:rsidR="0012596A">
          <w:rPr>
            <w:noProof/>
            <w:webHidden/>
          </w:rPr>
          <w:t>3</w:t>
        </w:r>
        <w:r>
          <w:rPr>
            <w:noProof/>
            <w:webHidden/>
          </w:rPr>
          <w:fldChar w:fldCharType="end"/>
        </w:r>
      </w:hyperlink>
    </w:p>
    <w:p w14:paraId="3B746F1C" w14:textId="6C5E042C" w:rsidR="003953FC" w:rsidRDefault="000C01CB">
      <w:pPr>
        <w:pStyle w:val="TOC1"/>
        <w:tabs>
          <w:tab w:val="right" w:leader="dot" w:pos="9016"/>
        </w:tabs>
        <w:rPr>
          <w:rFonts w:asciiTheme="minorHAnsi" w:eastAsiaTheme="minorEastAsia" w:hAnsiTheme="minorHAnsi" w:cstheme="minorBidi"/>
          <w:noProof/>
          <w:sz w:val="22"/>
          <w:szCs w:val="22"/>
        </w:rPr>
      </w:pPr>
      <w:hyperlink w:anchor="_Toc74903995" w:history="1">
        <w:r w:rsidR="003953FC" w:rsidRPr="00A50764">
          <w:rPr>
            <w:rStyle w:val="Hyperlink"/>
            <w:noProof/>
          </w:rPr>
          <w:t>Warning to readers</w:t>
        </w:r>
        <w:r w:rsidR="003953FC">
          <w:rPr>
            <w:noProof/>
            <w:webHidden/>
          </w:rPr>
          <w:tab/>
        </w:r>
        <w:r w:rsidR="003953FC">
          <w:rPr>
            <w:noProof/>
            <w:webHidden/>
          </w:rPr>
          <w:fldChar w:fldCharType="begin"/>
        </w:r>
        <w:r w:rsidR="003953FC">
          <w:rPr>
            <w:noProof/>
            <w:webHidden/>
          </w:rPr>
          <w:instrText xml:space="preserve"> PAGEREF _Toc74903995 \h </w:instrText>
        </w:r>
        <w:r w:rsidR="003953FC">
          <w:rPr>
            <w:noProof/>
            <w:webHidden/>
          </w:rPr>
        </w:r>
        <w:r w:rsidR="003953FC">
          <w:rPr>
            <w:noProof/>
            <w:webHidden/>
          </w:rPr>
          <w:fldChar w:fldCharType="separate"/>
        </w:r>
        <w:r w:rsidR="0012596A">
          <w:rPr>
            <w:noProof/>
            <w:webHidden/>
          </w:rPr>
          <w:t>4</w:t>
        </w:r>
        <w:r w:rsidR="003953FC">
          <w:rPr>
            <w:noProof/>
            <w:webHidden/>
          </w:rPr>
          <w:fldChar w:fldCharType="end"/>
        </w:r>
      </w:hyperlink>
    </w:p>
    <w:p w14:paraId="7CD75BEF" w14:textId="50D2C9DC" w:rsidR="003953FC" w:rsidRDefault="000C01CB">
      <w:pPr>
        <w:pStyle w:val="TOC1"/>
        <w:tabs>
          <w:tab w:val="right" w:leader="dot" w:pos="9016"/>
        </w:tabs>
        <w:rPr>
          <w:rFonts w:asciiTheme="minorHAnsi" w:eastAsiaTheme="minorEastAsia" w:hAnsiTheme="minorHAnsi" w:cstheme="minorBidi"/>
          <w:noProof/>
          <w:sz w:val="22"/>
          <w:szCs w:val="22"/>
        </w:rPr>
      </w:pPr>
      <w:hyperlink w:anchor="_Toc74903996" w:history="1">
        <w:r w:rsidR="003953FC" w:rsidRPr="00A50764">
          <w:rPr>
            <w:rStyle w:val="Hyperlink"/>
            <w:noProof/>
          </w:rPr>
          <w:t>A note on terminology</w:t>
        </w:r>
        <w:r w:rsidR="003953FC">
          <w:rPr>
            <w:noProof/>
            <w:webHidden/>
          </w:rPr>
          <w:tab/>
        </w:r>
        <w:r w:rsidR="003953FC">
          <w:rPr>
            <w:noProof/>
            <w:webHidden/>
          </w:rPr>
          <w:fldChar w:fldCharType="begin"/>
        </w:r>
        <w:r w:rsidR="003953FC">
          <w:rPr>
            <w:noProof/>
            <w:webHidden/>
          </w:rPr>
          <w:instrText xml:space="preserve"> PAGEREF _Toc74903996 \h </w:instrText>
        </w:r>
        <w:r w:rsidR="003953FC">
          <w:rPr>
            <w:noProof/>
            <w:webHidden/>
          </w:rPr>
        </w:r>
        <w:r w:rsidR="003953FC">
          <w:rPr>
            <w:noProof/>
            <w:webHidden/>
          </w:rPr>
          <w:fldChar w:fldCharType="separate"/>
        </w:r>
        <w:r w:rsidR="0012596A">
          <w:rPr>
            <w:noProof/>
            <w:webHidden/>
          </w:rPr>
          <w:t>4</w:t>
        </w:r>
        <w:r w:rsidR="003953FC">
          <w:rPr>
            <w:noProof/>
            <w:webHidden/>
          </w:rPr>
          <w:fldChar w:fldCharType="end"/>
        </w:r>
      </w:hyperlink>
    </w:p>
    <w:p w14:paraId="6CEEED10" w14:textId="564BDF63" w:rsidR="003953FC" w:rsidRDefault="000C01CB">
      <w:pPr>
        <w:pStyle w:val="TOC1"/>
        <w:tabs>
          <w:tab w:val="right" w:leader="dot" w:pos="9016"/>
        </w:tabs>
        <w:rPr>
          <w:rFonts w:asciiTheme="minorHAnsi" w:eastAsiaTheme="minorEastAsia" w:hAnsiTheme="minorHAnsi" w:cstheme="minorBidi"/>
          <w:noProof/>
          <w:sz w:val="22"/>
          <w:szCs w:val="22"/>
        </w:rPr>
      </w:pPr>
      <w:hyperlink w:anchor="_Toc74903997" w:history="1">
        <w:r w:rsidR="003953FC" w:rsidRPr="00A50764">
          <w:rPr>
            <w:rStyle w:val="Hyperlink"/>
            <w:noProof/>
          </w:rPr>
          <w:t>Executive summary</w:t>
        </w:r>
        <w:r w:rsidR="003953FC">
          <w:rPr>
            <w:noProof/>
            <w:webHidden/>
          </w:rPr>
          <w:tab/>
        </w:r>
        <w:r w:rsidR="003953FC">
          <w:rPr>
            <w:noProof/>
            <w:webHidden/>
          </w:rPr>
          <w:fldChar w:fldCharType="begin"/>
        </w:r>
        <w:r w:rsidR="003953FC">
          <w:rPr>
            <w:noProof/>
            <w:webHidden/>
          </w:rPr>
          <w:instrText xml:space="preserve"> PAGEREF _Toc74903997 \h </w:instrText>
        </w:r>
        <w:r w:rsidR="003953FC">
          <w:rPr>
            <w:noProof/>
            <w:webHidden/>
          </w:rPr>
        </w:r>
        <w:r w:rsidR="003953FC">
          <w:rPr>
            <w:noProof/>
            <w:webHidden/>
          </w:rPr>
          <w:fldChar w:fldCharType="separate"/>
        </w:r>
        <w:r w:rsidR="0012596A">
          <w:rPr>
            <w:noProof/>
            <w:webHidden/>
          </w:rPr>
          <w:t>5</w:t>
        </w:r>
        <w:r w:rsidR="003953FC">
          <w:rPr>
            <w:noProof/>
            <w:webHidden/>
          </w:rPr>
          <w:fldChar w:fldCharType="end"/>
        </w:r>
      </w:hyperlink>
    </w:p>
    <w:p w14:paraId="250967CA" w14:textId="356C65E4"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3998" w:history="1">
        <w:r w:rsidR="003953FC" w:rsidRPr="00A50764">
          <w:rPr>
            <w:rStyle w:val="Hyperlink"/>
            <w:noProof/>
          </w:rPr>
          <w:t>1</w:t>
        </w:r>
        <w:r w:rsidR="003953FC">
          <w:rPr>
            <w:rFonts w:asciiTheme="minorHAnsi" w:eastAsiaTheme="minorEastAsia" w:hAnsiTheme="minorHAnsi" w:cstheme="minorBidi"/>
            <w:noProof/>
            <w:sz w:val="22"/>
            <w:szCs w:val="22"/>
          </w:rPr>
          <w:tab/>
        </w:r>
        <w:r w:rsidR="003953FC" w:rsidRPr="00A50764">
          <w:rPr>
            <w:rStyle w:val="Hyperlink"/>
            <w:noProof/>
          </w:rPr>
          <w:t>Introduction</w:t>
        </w:r>
        <w:r w:rsidR="003953FC">
          <w:rPr>
            <w:noProof/>
            <w:webHidden/>
          </w:rPr>
          <w:tab/>
        </w:r>
        <w:r w:rsidR="003953FC">
          <w:rPr>
            <w:noProof/>
            <w:webHidden/>
          </w:rPr>
          <w:fldChar w:fldCharType="begin"/>
        </w:r>
        <w:r w:rsidR="003953FC">
          <w:rPr>
            <w:noProof/>
            <w:webHidden/>
          </w:rPr>
          <w:instrText xml:space="preserve"> PAGEREF _Toc74903998 \h </w:instrText>
        </w:r>
        <w:r w:rsidR="003953FC">
          <w:rPr>
            <w:noProof/>
            <w:webHidden/>
          </w:rPr>
        </w:r>
        <w:r w:rsidR="003953FC">
          <w:rPr>
            <w:noProof/>
            <w:webHidden/>
          </w:rPr>
          <w:fldChar w:fldCharType="separate"/>
        </w:r>
        <w:r w:rsidR="0012596A">
          <w:rPr>
            <w:noProof/>
            <w:webHidden/>
          </w:rPr>
          <w:t>12</w:t>
        </w:r>
        <w:r w:rsidR="003953FC">
          <w:rPr>
            <w:noProof/>
            <w:webHidden/>
          </w:rPr>
          <w:fldChar w:fldCharType="end"/>
        </w:r>
      </w:hyperlink>
    </w:p>
    <w:p w14:paraId="74DF764A" w14:textId="464917C8"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3999" w:history="1">
        <w:r w:rsidR="003953FC" w:rsidRPr="00A50764">
          <w:rPr>
            <w:rStyle w:val="Hyperlink"/>
            <w:noProof/>
          </w:rPr>
          <w:t>2</w:t>
        </w:r>
        <w:r w:rsidR="003953FC">
          <w:rPr>
            <w:rFonts w:asciiTheme="minorHAnsi" w:eastAsiaTheme="minorEastAsia" w:hAnsiTheme="minorHAnsi" w:cstheme="minorBidi"/>
            <w:noProof/>
            <w:sz w:val="22"/>
            <w:szCs w:val="22"/>
          </w:rPr>
          <w:tab/>
        </w:r>
        <w:r w:rsidR="003953FC" w:rsidRPr="00A50764">
          <w:rPr>
            <w:rStyle w:val="Hyperlink"/>
            <w:noProof/>
          </w:rPr>
          <w:t>The three sentencing reforms</w:t>
        </w:r>
        <w:r w:rsidR="003953FC">
          <w:rPr>
            <w:noProof/>
            <w:webHidden/>
          </w:rPr>
          <w:tab/>
        </w:r>
        <w:r w:rsidR="003953FC">
          <w:rPr>
            <w:noProof/>
            <w:webHidden/>
          </w:rPr>
          <w:fldChar w:fldCharType="begin"/>
        </w:r>
        <w:r w:rsidR="003953FC">
          <w:rPr>
            <w:noProof/>
            <w:webHidden/>
          </w:rPr>
          <w:instrText xml:space="preserve"> PAGEREF _Toc74903999 \h </w:instrText>
        </w:r>
        <w:r w:rsidR="003953FC">
          <w:rPr>
            <w:noProof/>
            <w:webHidden/>
          </w:rPr>
        </w:r>
        <w:r w:rsidR="003953FC">
          <w:rPr>
            <w:noProof/>
            <w:webHidden/>
          </w:rPr>
          <w:fldChar w:fldCharType="separate"/>
        </w:r>
        <w:r w:rsidR="0012596A">
          <w:rPr>
            <w:noProof/>
            <w:webHidden/>
          </w:rPr>
          <w:t>21</w:t>
        </w:r>
        <w:r w:rsidR="003953FC">
          <w:rPr>
            <w:noProof/>
            <w:webHidden/>
          </w:rPr>
          <w:fldChar w:fldCharType="end"/>
        </w:r>
      </w:hyperlink>
    </w:p>
    <w:p w14:paraId="3BC9E0C8" w14:textId="218EC5F3"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0" w:history="1">
        <w:r w:rsidR="003953FC" w:rsidRPr="00A50764">
          <w:rPr>
            <w:rStyle w:val="Hyperlink"/>
            <w:noProof/>
          </w:rPr>
          <w:t>3</w:t>
        </w:r>
        <w:r w:rsidR="003953FC">
          <w:rPr>
            <w:rFonts w:asciiTheme="minorHAnsi" w:eastAsiaTheme="minorEastAsia" w:hAnsiTheme="minorHAnsi" w:cstheme="minorBidi"/>
            <w:noProof/>
            <w:sz w:val="22"/>
            <w:szCs w:val="22"/>
          </w:rPr>
          <w:tab/>
        </w:r>
        <w:r w:rsidR="003953FC" w:rsidRPr="00A50764">
          <w:rPr>
            <w:rStyle w:val="Hyperlink"/>
            <w:noProof/>
          </w:rPr>
          <w:t>Rape offences</w:t>
        </w:r>
        <w:r w:rsidR="003953FC">
          <w:rPr>
            <w:noProof/>
            <w:webHidden/>
          </w:rPr>
          <w:tab/>
        </w:r>
        <w:r w:rsidR="003953FC">
          <w:rPr>
            <w:noProof/>
            <w:webHidden/>
          </w:rPr>
          <w:fldChar w:fldCharType="begin"/>
        </w:r>
        <w:r w:rsidR="003953FC">
          <w:rPr>
            <w:noProof/>
            <w:webHidden/>
          </w:rPr>
          <w:instrText xml:space="preserve"> PAGEREF _Toc74904000 \h </w:instrText>
        </w:r>
        <w:r w:rsidR="003953FC">
          <w:rPr>
            <w:noProof/>
            <w:webHidden/>
          </w:rPr>
        </w:r>
        <w:r w:rsidR="003953FC">
          <w:rPr>
            <w:noProof/>
            <w:webHidden/>
          </w:rPr>
          <w:fldChar w:fldCharType="separate"/>
        </w:r>
        <w:r w:rsidR="0012596A">
          <w:rPr>
            <w:noProof/>
            <w:webHidden/>
          </w:rPr>
          <w:t>35</w:t>
        </w:r>
        <w:r w:rsidR="003953FC">
          <w:rPr>
            <w:noProof/>
            <w:webHidden/>
          </w:rPr>
          <w:fldChar w:fldCharType="end"/>
        </w:r>
      </w:hyperlink>
    </w:p>
    <w:p w14:paraId="4AC121B6" w14:textId="06F7B8D1"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1" w:history="1">
        <w:r w:rsidR="003953FC" w:rsidRPr="00A50764">
          <w:rPr>
            <w:rStyle w:val="Hyperlink"/>
            <w:noProof/>
          </w:rPr>
          <w:t>4</w:t>
        </w:r>
        <w:r w:rsidR="003953FC">
          <w:rPr>
            <w:rFonts w:asciiTheme="minorHAnsi" w:eastAsiaTheme="minorEastAsia" w:hAnsiTheme="minorHAnsi" w:cstheme="minorBidi"/>
            <w:noProof/>
            <w:sz w:val="22"/>
            <w:szCs w:val="22"/>
          </w:rPr>
          <w:tab/>
        </w:r>
        <w:r w:rsidR="003953FC" w:rsidRPr="00A50764">
          <w:rPr>
            <w:rStyle w:val="Hyperlink"/>
            <w:noProof/>
          </w:rPr>
          <w:t>Sexual assault offences</w:t>
        </w:r>
        <w:r w:rsidR="003953FC">
          <w:rPr>
            <w:noProof/>
            <w:webHidden/>
          </w:rPr>
          <w:tab/>
        </w:r>
        <w:r w:rsidR="003953FC">
          <w:rPr>
            <w:noProof/>
            <w:webHidden/>
          </w:rPr>
          <w:fldChar w:fldCharType="begin"/>
        </w:r>
        <w:r w:rsidR="003953FC">
          <w:rPr>
            <w:noProof/>
            <w:webHidden/>
          </w:rPr>
          <w:instrText xml:space="preserve"> PAGEREF _Toc74904001 \h </w:instrText>
        </w:r>
        <w:r w:rsidR="003953FC">
          <w:rPr>
            <w:noProof/>
            <w:webHidden/>
          </w:rPr>
        </w:r>
        <w:r w:rsidR="003953FC">
          <w:rPr>
            <w:noProof/>
            <w:webHidden/>
          </w:rPr>
          <w:fldChar w:fldCharType="separate"/>
        </w:r>
        <w:r w:rsidR="0012596A">
          <w:rPr>
            <w:noProof/>
            <w:webHidden/>
          </w:rPr>
          <w:t>50</w:t>
        </w:r>
        <w:r w:rsidR="003953FC">
          <w:rPr>
            <w:noProof/>
            <w:webHidden/>
          </w:rPr>
          <w:fldChar w:fldCharType="end"/>
        </w:r>
      </w:hyperlink>
    </w:p>
    <w:p w14:paraId="6E3720C6" w14:textId="263B0993"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2" w:history="1">
        <w:r w:rsidR="003953FC" w:rsidRPr="00A50764">
          <w:rPr>
            <w:rStyle w:val="Hyperlink"/>
            <w:noProof/>
          </w:rPr>
          <w:t>5</w:t>
        </w:r>
        <w:r w:rsidR="003953FC">
          <w:rPr>
            <w:rFonts w:asciiTheme="minorHAnsi" w:eastAsiaTheme="minorEastAsia" w:hAnsiTheme="minorHAnsi" w:cstheme="minorBidi"/>
            <w:noProof/>
            <w:sz w:val="22"/>
            <w:szCs w:val="22"/>
          </w:rPr>
          <w:tab/>
        </w:r>
        <w:r w:rsidR="003953FC" w:rsidRPr="00A50764">
          <w:rPr>
            <w:rStyle w:val="Hyperlink"/>
            <w:noProof/>
          </w:rPr>
          <w:t>Incest offences</w:t>
        </w:r>
        <w:r w:rsidR="003953FC">
          <w:rPr>
            <w:noProof/>
            <w:webHidden/>
          </w:rPr>
          <w:tab/>
        </w:r>
        <w:r w:rsidR="003953FC">
          <w:rPr>
            <w:noProof/>
            <w:webHidden/>
          </w:rPr>
          <w:fldChar w:fldCharType="begin"/>
        </w:r>
        <w:r w:rsidR="003953FC">
          <w:rPr>
            <w:noProof/>
            <w:webHidden/>
          </w:rPr>
          <w:instrText xml:space="preserve"> PAGEREF _Toc74904002 \h </w:instrText>
        </w:r>
        <w:r w:rsidR="003953FC">
          <w:rPr>
            <w:noProof/>
            <w:webHidden/>
          </w:rPr>
        </w:r>
        <w:r w:rsidR="003953FC">
          <w:rPr>
            <w:noProof/>
            <w:webHidden/>
          </w:rPr>
          <w:fldChar w:fldCharType="separate"/>
        </w:r>
        <w:r w:rsidR="0012596A">
          <w:rPr>
            <w:noProof/>
            <w:webHidden/>
          </w:rPr>
          <w:t>60</w:t>
        </w:r>
        <w:r w:rsidR="003953FC">
          <w:rPr>
            <w:noProof/>
            <w:webHidden/>
          </w:rPr>
          <w:fldChar w:fldCharType="end"/>
        </w:r>
      </w:hyperlink>
    </w:p>
    <w:p w14:paraId="53F14E14" w14:textId="729D476C"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3" w:history="1">
        <w:r w:rsidR="003953FC" w:rsidRPr="00A50764">
          <w:rPr>
            <w:rStyle w:val="Hyperlink"/>
            <w:noProof/>
          </w:rPr>
          <w:t>6</w:t>
        </w:r>
        <w:r w:rsidR="003953FC">
          <w:rPr>
            <w:rFonts w:asciiTheme="minorHAnsi" w:eastAsiaTheme="minorEastAsia" w:hAnsiTheme="minorHAnsi" w:cstheme="minorBidi"/>
            <w:noProof/>
            <w:sz w:val="22"/>
            <w:szCs w:val="22"/>
          </w:rPr>
          <w:tab/>
        </w:r>
        <w:r w:rsidR="003953FC" w:rsidRPr="00A50764">
          <w:rPr>
            <w:rStyle w:val="Hyperlink"/>
            <w:noProof/>
          </w:rPr>
          <w:t>Child sexual penetration offences</w:t>
        </w:r>
        <w:r w:rsidR="003953FC">
          <w:rPr>
            <w:noProof/>
            <w:webHidden/>
          </w:rPr>
          <w:tab/>
        </w:r>
        <w:r w:rsidR="003953FC">
          <w:rPr>
            <w:noProof/>
            <w:webHidden/>
          </w:rPr>
          <w:fldChar w:fldCharType="begin"/>
        </w:r>
        <w:r w:rsidR="003953FC">
          <w:rPr>
            <w:noProof/>
            <w:webHidden/>
          </w:rPr>
          <w:instrText xml:space="preserve"> PAGEREF _Toc74904003 \h </w:instrText>
        </w:r>
        <w:r w:rsidR="003953FC">
          <w:rPr>
            <w:noProof/>
            <w:webHidden/>
          </w:rPr>
        </w:r>
        <w:r w:rsidR="003953FC">
          <w:rPr>
            <w:noProof/>
            <w:webHidden/>
          </w:rPr>
          <w:fldChar w:fldCharType="separate"/>
        </w:r>
        <w:r w:rsidR="0012596A">
          <w:rPr>
            <w:noProof/>
            <w:webHidden/>
          </w:rPr>
          <w:t>80</w:t>
        </w:r>
        <w:r w:rsidR="003953FC">
          <w:rPr>
            <w:noProof/>
            <w:webHidden/>
          </w:rPr>
          <w:fldChar w:fldCharType="end"/>
        </w:r>
      </w:hyperlink>
    </w:p>
    <w:p w14:paraId="6B4D42BC" w14:textId="59609D0F"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4" w:history="1">
        <w:r w:rsidR="003953FC" w:rsidRPr="00A50764">
          <w:rPr>
            <w:rStyle w:val="Hyperlink"/>
            <w:noProof/>
          </w:rPr>
          <w:t>7</w:t>
        </w:r>
        <w:r w:rsidR="003953FC">
          <w:rPr>
            <w:rFonts w:asciiTheme="minorHAnsi" w:eastAsiaTheme="minorEastAsia" w:hAnsiTheme="minorHAnsi" w:cstheme="minorBidi"/>
            <w:noProof/>
            <w:sz w:val="22"/>
            <w:szCs w:val="22"/>
          </w:rPr>
          <w:tab/>
        </w:r>
        <w:r w:rsidR="003953FC" w:rsidRPr="00A50764">
          <w:rPr>
            <w:rStyle w:val="Hyperlink"/>
            <w:noProof/>
          </w:rPr>
          <w:t>Child sexual assault offences</w:t>
        </w:r>
        <w:r w:rsidR="003953FC">
          <w:rPr>
            <w:noProof/>
            <w:webHidden/>
          </w:rPr>
          <w:tab/>
        </w:r>
        <w:r w:rsidR="003953FC">
          <w:rPr>
            <w:noProof/>
            <w:webHidden/>
          </w:rPr>
          <w:fldChar w:fldCharType="begin"/>
        </w:r>
        <w:r w:rsidR="003953FC">
          <w:rPr>
            <w:noProof/>
            <w:webHidden/>
          </w:rPr>
          <w:instrText xml:space="preserve"> PAGEREF _Toc74904004 \h </w:instrText>
        </w:r>
        <w:r w:rsidR="003953FC">
          <w:rPr>
            <w:noProof/>
            <w:webHidden/>
          </w:rPr>
        </w:r>
        <w:r w:rsidR="003953FC">
          <w:rPr>
            <w:noProof/>
            <w:webHidden/>
          </w:rPr>
          <w:fldChar w:fldCharType="separate"/>
        </w:r>
        <w:r w:rsidR="0012596A">
          <w:rPr>
            <w:noProof/>
            <w:webHidden/>
          </w:rPr>
          <w:t>103</w:t>
        </w:r>
        <w:r w:rsidR="003953FC">
          <w:rPr>
            <w:noProof/>
            <w:webHidden/>
          </w:rPr>
          <w:fldChar w:fldCharType="end"/>
        </w:r>
      </w:hyperlink>
    </w:p>
    <w:p w14:paraId="0E060E9A" w14:textId="54473D70"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5" w:history="1">
        <w:r w:rsidR="003953FC" w:rsidRPr="00A50764">
          <w:rPr>
            <w:rStyle w:val="Hyperlink"/>
            <w:noProof/>
          </w:rPr>
          <w:t>8</w:t>
        </w:r>
        <w:r w:rsidR="003953FC">
          <w:rPr>
            <w:rFonts w:asciiTheme="minorHAnsi" w:eastAsiaTheme="minorEastAsia" w:hAnsiTheme="minorHAnsi" w:cstheme="minorBidi"/>
            <w:noProof/>
            <w:sz w:val="22"/>
            <w:szCs w:val="22"/>
          </w:rPr>
          <w:tab/>
        </w:r>
        <w:r w:rsidR="003953FC" w:rsidRPr="00A50764">
          <w:rPr>
            <w:rStyle w:val="Hyperlink"/>
            <w:noProof/>
          </w:rPr>
          <w:t>Persistent sexual abuse of a child offences</w:t>
        </w:r>
        <w:r w:rsidR="003953FC">
          <w:rPr>
            <w:noProof/>
            <w:webHidden/>
          </w:rPr>
          <w:tab/>
        </w:r>
        <w:r w:rsidR="003953FC">
          <w:rPr>
            <w:noProof/>
            <w:webHidden/>
          </w:rPr>
          <w:fldChar w:fldCharType="begin"/>
        </w:r>
        <w:r w:rsidR="003953FC">
          <w:rPr>
            <w:noProof/>
            <w:webHidden/>
          </w:rPr>
          <w:instrText xml:space="preserve"> PAGEREF _Toc74904005 \h </w:instrText>
        </w:r>
        <w:r w:rsidR="003953FC">
          <w:rPr>
            <w:noProof/>
            <w:webHidden/>
          </w:rPr>
        </w:r>
        <w:r w:rsidR="003953FC">
          <w:rPr>
            <w:noProof/>
            <w:webHidden/>
          </w:rPr>
          <w:fldChar w:fldCharType="separate"/>
        </w:r>
        <w:r w:rsidR="0012596A">
          <w:rPr>
            <w:noProof/>
            <w:webHidden/>
          </w:rPr>
          <w:t>116</w:t>
        </w:r>
        <w:r w:rsidR="003953FC">
          <w:rPr>
            <w:noProof/>
            <w:webHidden/>
          </w:rPr>
          <w:fldChar w:fldCharType="end"/>
        </w:r>
      </w:hyperlink>
    </w:p>
    <w:p w14:paraId="196AD76E" w14:textId="22D1A13E" w:rsidR="003953FC" w:rsidRDefault="000C01CB">
      <w:pPr>
        <w:pStyle w:val="TOC1"/>
        <w:tabs>
          <w:tab w:val="left" w:pos="440"/>
          <w:tab w:val="right" w:leader="dot" w:pos="9016"/>
        </w:tabs>
        <w:rPr>
          <w:rFonts w:asciiTheme="minorHAnsi" w:eastAsiaTheme="minorEastAsia" w:hAnsiTheme="minorHAnsi" w:cstheme="minorBidi"/>
          <w:noProof/>
          <w:sz w:val="22"/>
          <w:szCs w:val="22"/>
        </w:rPr>
      </w:pPr>
      <w:hyperlink w:anchor="_Toc74904006" w:history="1">
        <w:r w:rsidR="003953FC" w:rsidRPr="00A50764">
          <w:rPr>
            <w:rStyle w:val="Hyperlink"/>
            <w:noProof/>
          </w:rPr>
          <w:t>9</w:t>
        </w:r>
        <w:r w:rsidR="003953FC">
          <w:rPr>
            <w:rFonts w:asciiTheme="minorHAnsi" w:eastAsiaTheme="minorEastAsia" w:hAnsiTheme="minorHAnsi" w:cstheme="minorBidi"/>
            <w:noProof/>
            <w:sz w:val="22"/>
            <w:szCs w:val="22"/>
          </w:rPr>
          <w:tab/>
        </w:r>
        <w:r w:rsidR="003953FC" w:rsidRPr="00A50764">
          <w:rPr>
            <w:rStyle w:val="Hyperlink"/>
            <w:noProof/>
          </w:rPr>
          <w:t>Concluding remarks</w:t>
        </w:r>
        <w:r w:rsidR="003953FC">
          <w:rPr>
            <w:noProof/>
            <w:webHidden/>
          </w:rPr>
          <w:tab/>
        </w:r>
        <w:r w:rsidR="003953FC">
          <w:rPr>
            <w:noProof/>
            <w:webHidden/>
          </w:rPr>
          <w:fldChar w:fldCharType="begin"/>
        </w:r>
        <w:r w:rsidR="003953FC">
          <w:rPr>
            <w:noProof/>
            <w:webHidden/>
          </w:rPr>
          <w:instrText xml:space="preserve"> PAGEREF _Toc74904006 \h </w:instrText>
        </w:r>
        <w:r w:rsidR="003953FC">
          <w:rPr>
            <w:noProof/>
            <w:webHidden/>
          </w:rPr>
        </w:r>
        <w:r w:rsidR="003953FC">
          <w:rPr>
            <w:noProof/>
            <w:webHidden/>
          </w:rPr>
          <w:fldChar w:fldCharType="separate"/>
        </w:r>
        <w:r w:rsidR="0012596A">
          <w:rPr>
            <w:noProof/>
            <w:webHidden/>
          </w:rPr>
          <w:t>125</w:t>
        </w:r>
        <w:r w:rsidR="003953FC">
          <w:rPr>
            <w:noProof/>
            <w:webHidden/>
          </w:rPr>
          <w:fldChar w:fldCharType="end"/>
        </w:r>
      </w:hyperlink>
    </w:p>
    <w:p w14:paraId="32D75441" w14:textId="70D90DA9"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07" w:history="1">
        <w:r w:rsidR="003953FC" w:rsidRPr="00A50764">
          <w:rPr>
            <w:rStyle w:val="Hyperlink"/>
            <w:noProof/>
          </w:rPr>
          <w:t>Appendix 1: Consultation</w:t>
        </w:r>
        <w:r w:rsidR="003953FC">
          <w:rPr>
            <w:noProof/>
            <w:webHidden/>
          </w:rPr>
          <w:tab/>
        </w:r>
        <w:r w:rsidR="003953FC">
          <w:rPr>
            <w:noProof/>
            <w:webHidden/>
          </w:rPr>
          <w:fldChar w:fldCharType="begin"/>
        </w:r>
        <w:r w:rsidR="003953FC">
          <w:rPr>
            <w:noProof/>
            <w:webHidden/>
          </w:rPr>
          <w:instrText xml:space="preserve"> PAGEREF _Toc74904007 \h </w:instrText>
        </w:r>
        <w:r w:rsidR="003953FC">
          <w:rPr>
            <w:noProof/>
            <w:webHidden/>
          </w:rPr>
        </w:r>
        <w:r w:rsidR="003953FC">
          <w:rPr>
            <w:noProof/>
            <w:webHidden/>
          </w:rPr>
          <w:fldChar w:fldCharType="separate"/>
        </w:r>
        <w:r w:rsidR="0012596A">
          <w:rPr>
            <w:noProof/>
            <w:webHidden/>
          </w:rPr>
          <w:t>137</w:t>
        </w:r>
        <w:r w:rsidR="003953FC">
          <w:rPr>
            <w:noProof/>
            <w:webHidden/>
          </w:rPr>
          <w:fldChar w:fldCharType="end"/>
        </w:r>
      </w:hyperlink>
    </w:p>
    <w:p w14:paraId="09C80B6C" w14:textId="2FC8B068"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08" w:history="1">
        <w:r w:rsidR="003953FC" w:rsidRPr="00A50764">
          <w:rPr>
            <w:rStyle w:val="Hyperlink"/>
            <w:noProof/>
          </w:rPr>
          <w:t>Appendix 2: Methodology</w:t>
        </w:r>
        <w:r w:rsidR="003953FC">
          <w:rPr>
            <w:noProof/>
            <w:webHidden/>
          </w:rPr>
          <w:tab/>
        </w:r>
        <w:r w:rsidR="003953FC">
          <w:rPr>
            <w:noProof/>
            <w:webHidden/>
          </w:rPr>
          <w:fldChar w:fldCharType="begin"/>
        </w:r>
        <w:r w:rsidR="003953FC">
          <w:rPr>
            <w:noProof/>
            <w:webHidden/>
          </w:rPr>
          <w:instrText xml:space="preserve"> PAGEREF _Toc74904008 \h </w:instrText>
        </w:r>
        <w:r w:rsidR="003953FC">
          <w:rPr>
            <w:noProof/>
            <w:webHidden/>
          </w:rPr>
        </w:r>
        <w:r w:rsidR="003953FC">
          <w:rPr>
            <w:noProof/>
            <w:webHidden/>
          </w:rPr>
          <w:fldChar w:fldCharType="separate"/>
        </w:r>
        <w:r w:rsidR="0012596A">
          <w:rPr>
            <w:noProof/>
            <w:webHidden/>
          </w:rPr>
          <w:t>138</w:t>
        </w:r>
        <w:r w:rsidR="003953FC">
          <w:rPr>
            <w:noProof/>
            <w:webHidden/>
          </w:rPr>
          <w:fldChar w:fldCharType="end"/>
        </w:r>
      </w:hyperlink>
    </w:p>
    <w:p w14:paraId="5A6ADE7D" w14:textId="2C413F41"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09" w:history="1">
        <w:r w:rsidR="003953FC" w:rsidRPr="00A50764">
          <w:rPr>
            <w:rStyle w:val="Hyperlink"/>
            <w:noProof/>
          </w:rPr>
          <w:t>Appendix 3: Charge-level and case-level prison sentences for contact sex offences</w:t>
        </w:r>
        <w:r w:rsidR="003953FC">
          <w:rPr>
            <w:noProof/>
            <w:webHidden/>
          </w:rPr>
          <w:tab/>
        </w:r>
        <w:r w:rsidR="003953FC">
          <w:rPr>
            <w:noProof/>
            <w:webHidden/>
          </w:rPr>
          <w:fldChar w:fldCharType="begin"/>
        </w:r>
        <w:r w:rsidR="003953FC">
          <w:rPr>
            <w:noProof/>
            <w:webHidden/>
          </w:rPr>
          <w:instrText xml:space="preserve"> PAGEREF _Toc74904009 \h </w:instrText>
        </w:r>
        <w:r w:rsidR="003953FC">
          <w:rPr>
            <w:noProof/>
            <w:webHidden/>
          </w:rPr>
        </w:r>
        <w:r w:rsidR="003953FC">
          <w:rPr>
            <w:noProof/>
            <w:webHidden/>
          </w:rPr>
          <w:fldChar w:fldCharType="separate"/>
        </w:r>
        <w:r w:rsidR="0012596A">
          <w:rPr>
            <w:noProof/>
            <w:webHidden/>
          </w:rPr>
          <w:t>144</w:t>
        </w:r>
        <w:r w:rsidR="003953FC">
          <w:rPr>
            <w:noProof/>
            <w:webHidden/>
          </w:rPr>
          <w:fldChar w:fldCharType="end"/>
        </w:r>
      </w:hyperlink>
    </w:p>
    <w:p w14:paraId="50E63A59" w14:textId="34CE901A"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10" w:history="1">
        <w:r w:rsidR="003953FC" w:rsidRPr="00A50764">
          <w:rPr>
            <w:rStyle w:val="Hyperlink"/>
            <w:noProof/>
          </w:rPr>
          <w:t>Appendix 4: How long were prison sentences for other contact sex offences?</w:t>
        </w:r>
        <w:r w:rsidR="003953FC">
          <w:rPr>
            <w:noProof/>
            <w:webHidden/>
          </w:rPr>
          <w:tab/>
        </w:r>
        <w:r w:rsidR="003953FC">
          <w:rPr>
            <w:noProof/>
            <w:webHidden/>
          </w:rPr>
          <w:fldChar w:fldCharType="begin"/>
        </w:r>
        <w:r w:rsidR="003953FC">
          <w:rPr>
            <w:noProof/>
            <w:webHidden/>
          </w:rPr>
          <w:instrText xml:space="preserve"> PAGEREF _Toc74904010 \h </w:instrText>
        </w:r>
        <w:r w:rsidR="003953FC">
          <w:rPr>
            <w:noProof/>
            <w:webHidden/>
          </w:rPr>
        </w:r>
        <w:r w:rsidR="003953FC">
          <w:rPr>
            <w:noProof/>
            <w:webHidden/>
          </w:rPr>
          <w:fldChar w:fldCharType="separate"/>
        </w:r>
        <w:r w:rsidR="0012596A">
          <w:rPr>
            <w:noProof/>
            <w:webHidden/>
          </w:rPr>
          <w:t>148</w:t>
        </w:r>
        <w:r w:rsidR="003953FC">
          <w:rPr>
            <w:noProof/>
            <w:webHidden/>
          </w:rPr>
          <w:fldChar w:fldCharType="end"/>
        </w:r>
      </w:hyperlink>
    </w:p>
    <w:p w14:paraId="2B59597A" w14:textId="53AFCD8F"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11" w:history="1">
        <w:r w:rsidR="003953FC" w:rsidRPr="00A50764">
          <w:rPr>
            <w:rStyle w:val="Hyperlink"/>
            <w:noProof/>
          </w:rPr>
          <w:t>Glossary</w:t>
        </w:r>
        <w:r w:rsidR="003953FC">
          <w:rPr>
            <w:noProof/>
            <w:webHidden/>
          </w:rPr>
          <w:tab/>
        </w:r>
        <w:r w:rsidR="003953FC">
          <w:rPr>
            <w:noProof/>
            <w:webHidden/>
          </w:rPr>
          <w:fldChar w:fldCharType="begin"/>
        </w:r>
        <w:r w:rsidR="003953FC">
          <w:rPr>
            <w:noProof/>
            <w:webHidden/>
          </w:rPr>
          <w:instrText xml:space="preserve"> PAGEREF _Toc74904011 \h </w:instrText>
        </w:r>
        <w:r w:rsidR="003953FC">
          <w:rPr>
            <w:noProof/>
            <w:webHidden/>
          </w:rPr>
        </w:r>
        <w:r w:rsidR="003953FC">
          <w:rPr>
            <w:noProof/>
            <w:webHidden/>
          </w:rPr>
          <w:fldChar w:fldCharType="separate"/>
        </w:r>
        <w:r w:rsidR="0012596A">
          <w:rPr>
            <w:noProof/>
            <w:webHidden/>
          </w:rPr>
          <w:t>158</w:t>
        </w:r>
        <w:r w:rsidR="003953FC">
          <w:rPr>
            <w:noProof/>
            <w:webHidden/>
          </w:rPr>
          <w:fldChar w:fldCharType="end"/>
        </w:r>
      </w:hyperlink>
    </w:p>
    <w:p w14:paraId="1DCA5B70" w14:textId="0349EBDD" w:rsidR="003953FC" w:rsidRDefault="000C01CB">
      <w:pPr>
        <w:pStyle w:val="TOC1"/>
        <w:tabs>
          <w:tab w:val="right" w:leader="dot" w:pos="9016"/>
        </w:tabs>
        <w:rPr>
          <w:rFonts w:asciiTheme="minorHAnsi" w:eastAsiaTheme="minorEastAsia" w:hAnsiTheme="minorHAnsi" w:cstheme="minorBidi"/>
          <w:noProof/>
          <w:sz w:val="22"/>
          <w:szCs w:val="22"/>
        </w:rPr>
      </w:pPr>
      <w:hyperlink w:anchor="_Toc74904012" w:history="1">
        <w:r w:rsidR="003953FC" w:rsidRPr="00A50764">
          <w:rPr>
            <w:rStyle w:val="Hyperlink"/>
            <w:noProof/>
          </w:rPr>
          <w:t>References</w:t>
        </w:r>
        <w:r w:rsidR="003953FC">
          <w:rPr>
            <w:noProof/>
            <w:webHidden/>
          </w:rPr>
          <w:tab/>
        </w:r>
        <w:r w:rsidR="003953FC">
          <w:rPr>
            <w:noProof/>
            <w:webHidden/>
          </w:rPr>
          <w:fldChar w:fldCharType="begin"/>
        </w:r>
        <w:r w:rsidR="003953FC">
          <w:rPr>
            <w:noProof/>
            <w:webHidden/>
          </w:rPr>
          <w:instrText xml:space="preserve"> PAGEREF _Toc74904012 \h </w:instrText>
        </w:r>
        <w:r w:rsidR="003953FC">
          <w:rPr>
            <w:noProof/>
            <w:webHidden/>
          </w:rPr>
        </w:r>
        <w:r w:rsidR="003953FC">
          <w:rPr>
            <w:noProof/>
            <w:webHidden/>
          </w:rPr>
          <w:fldChar w:fldCharType="separate"/>
        </w:r>
        <w:r w:rsidR="0012596A">
          <w:rPr>
            <w:noProof/>
            <w:webHidden/>
          </w:rPr>
          <w:t>162</w:t>
        </w:r>
        <w:r w:rsidR="003953FC">
          <w:rPr>
            <w:noProof/>
            <w:webHidden/>
          </w:rPr>
          <w:fldChar w:fldCharType="end"/>
        </w:r>
      </w:hyperlink>
    </w:p>
    <w:p w14:paraId="6339B244" w14:textId="7722A16A" w:rsidR="003953FC" w:rsidRPr="003953FC" w:rsidRDefault="003953FC" w:rsidP="003953FC">
      <w:pPr>
        <w:rPr>
          <w:lang w:val="en-US"/>
        </w:rPr>
      </w:pPr>
      <w:r>
        <w:rPr>
          <w:lang w:val="en-US"/>
        </w:rPr>
        <w:fldChar w:fldCharType="end"/>
      </w:r>
    </w:p>
    <w:p w14:paraId="7FAD7D3C" w14:textId="02278690" w:rsidR="00EF5C25" w:rsidRPr="007F530F" w:rsidRDefault="00EF5C25" w:rsidP="00664152">
      <w:pPr>
        <w:pStyle w:val="Heading1"/>
        <w:pageBreakBefore/>
      </w:pPr>
      <w:bookmarkStart w:id="1" w:name="_Toc74903994"/>
      <w:r w:rsidRPr="007F530F">
        <w:lastRenderedPageBreak/>
        <w:t>Contributors</w:t>
      </w:r>
      <w:bookmarkEnd w:id="1"/>
    </w:p>
    <w:p w14:paraId="3DAA6A26" w14:textId="77777777" w:rsidR="00EF5C25" w:rsidRPr="00B67121" w:rsidRDefault="00EF5C25" w:rsidP="00B67121">
      <w:pPr>
        <w:pStyle w:val="Heading2"/>
      </w:pPr>
      <w:r w:rsidRPr="00B67121">
        <w:t>Authors</w:t>
      </w:r>
    </w:p>
    <w:p w14:paraId="08C4D103" w14:textId="1525B141" w:rsidR="00EF5C25" w:rsidRPr="007F530F" w:rsidRDefault="00EF5C25" w:rsidP="00C02D76">
      <w:r w:rsidRPr="007F530F">
        <w:t>Paul McGorrery</w:t>
      </w:r>
      <w:r w:rsidR="00094AD7">
        <w:t xml:space="preserve">, </w:t>
      </w:r>
      <w:r w:rsidRPr="007F530F">
        <w:t>Zsombor Bathy</w:t>
      </w:r>
      <w:r w:rsidR="00094AD7">
        <w:t xml:space="preserve">, </w:t>
      </w:r>
      <w:r w:rsidRPr="007F530F">
        <w:t>Octavian Simu</w:t>
      </w:r>
    </w:p>
    <w:p w14:paraId="01930B7A" w14:textId="77777777" w:rsidR="00EF5C25" w:rsidRPr="00B67121" w:rsidRDefault="00EF5C25" w:rsidP="00B67121">
      <w:pPr>
        <w:pStyle w:val="Heading2"/>
      </w:pPr>
      <w:r w:rsidRPr="00B67121">
        <w:t>Sentencing Advisory Council</w:t>
      </w:r>
    </w:p>
    <w:p w14:paraId="012C0152" w14:textId="77777777" w:rsidR="00EF5C25" w:rsidRPr="007F530F" w:rsidRDefault="00EF5C25" w:rsidP="008F330F">
      <w:pPr>
        <w:pStyle w:val="Heading3"/>
      </w:pPr>
      <w:r w:rsidRPr="007F530F">
        <w:t>Chair</w:t>
      </w:r>
    </w:p>
    <w:p w14:paraId="103B4A89" w14:textId="77777777" w:rsidR="00EF5C25" w:rsidRPr="007F530F" w:rsidRDefault="00EF5C25" w:rsidP="00C02D76">
      <w:r w:rsidRPr="007F530F">
        <w:t>Arie Freiberg AM</w:t>
      </w:r>
    </w:p>
    <w:p w14:paraId="4DA71B08" w14:textId="77777777" w:rsidR="00EF5C25" w:rsidRPr="007F530F" w:rsidRDefault="00EF5C25" w:rsidP="008F330F">
      <w:pPr>
        <w:pStyle w:val="Heading3"/>
      </w:pPr>
      <w:r w:rsidRPr="007F530F">
        <w:t>Deputy-Chair</w:t>
      </w:r>
    </w:p>
    <w:p w14:paraId="1EC4E85F" w14:textId="77777777" w:rsidR="00EF5C25" w:rsidRPr="007F530F" w:rsidRDefault="00EF5C25" w:rsidP="00C02D76">
      <w:r w:rsidRPr="007F530F">
        <w:t>Lisa Ward</w:t>
      </w:r>
    </w:p>
    <w:p w14:paraId="03135A3C" w14:textId="77777777" w:rsidR="00EF5C25" w:rsidRPr="007F530F" w:rsidRDefault="00EF5C25" w:rsidP="008F330F">
      <w:pPr>
        <w:pStyle w:val="Heading3"/>
      </w:pPr>
      <w:r w:rsidRPr="007F530F">
        <w:t>Council Directors</w:t>
      </w:r>
    </w:p>
    <w:p w14:paraId="4E9BBF74" w14:textId="18B9A6F1" w:rsidR="00EF5C25" w:rsidRPr="007F530F" w:rsidRDefault="00EF5C25" w:rsidP="00C02D76">
      <w:r w:rsidRPr="007F530F">
        <w:t>Carmel Arthur</w:t>
      </w:r>
      <w:r w:rsidR="00094AD7">
        <w:t>,</w:t>
      </w:r>
      <w:r w:rsidR="00FF0FEE">
        <w:t xml:space="preserve"> </w:t>
      </w:r>
      <w:r w:rsidRPr="007F530F">
        <w:t>Hugh de Kretser</w:t>
      </w:r>
      <w:r w:rsidR="00094AD7">
        <w:t xml:space="preserve">, </w:t>
      </w:r>
      <w:r w:rsidRPr="007F530F">
        <w:t>Fiona Dowsley</w:t>
      </w:r>
      <w:r w:rsidR="00094AD7">
        <w:t xml:space="preserve">, </w:t>
      </w:r>
      <w:r w:rsidRPr="007F530F">
        <w:t>Helen Fatouros</w:t>
      </w:r>
      <w:r w:rsidR="00094AD7">
        <w:t xml:space="preserve">, </w:t>
      </w:r>
      <w:r w:rsidRPr="007F530F">
        <w:t>David Grace AM QC</w:t>
      </w:r>
      <w:r w:rsidR="00094AD7">
        <w:t xml:space="preserve">, </w:t>
      </w:r>
      <w:r w:rsidRPr="007F530F">
        <w:t>Sherril Handley</w:t>
      </w:r>
      <w:r w:rsidR="00094AD7">
        <w:t xml:space="preserve">, </w:t>
      </w:r>
      <w:r w:rsidRPr="007F530F">
        <w:t>Brendan Kissane QC</w:t>
      </w:r>
      <w:r w:rsidR="00094AD7">
        <w:t xml:space="preserve">, </w:t>
      </w:r>
      <w:r w:rsidRPr="007F530F">
        <w:t>Dan Nicholson</w:t>
      </w:r>
      <w:r w:rsidR="00094AD7">
        <w:t xml:space="preserve">, </w:t>
      </w:r>
      <w:r w:rsidRPr="007F530F">
        <w:t>Susanna Quinn</w:t>
      </w:r>
      <w:r w:rsidR="00094AD7">
        <w:t xml:space="preserve">, </w:t>
      </w:r>
      <w:r w:rsidRPr="007F530F">
        <w:t>Wendy Steendam</w:t>
      </w:r>
    </w:p>
    <w:p w14:paraId="480C922B" w14:textId="77777777" w:rsidR="00EF5C25" w:rsidRPr="007F530F" w:rsidRDefault="00EF5C25" w:rsidP="008F330F">
      <w:pPr>
        <w:pStyle w:val="Heading3"/>
      </w:pPr>
      <w:r w:rsidRPr="007F530F">
        <w:t>Chief Executive Officer</w:t>
      </w:r>
    </w:p>
    <w:p w14:paraId="25504AF9" w14:textId="77777777" w:rsidR="00EF5C25" w:rsidRPr="007F530F" w:rsidRDefault="00EF5C25" w:rsidP="002C6923">
      <w:r w:rsidRPr="007F530F">
        <w:t>Cynthia Marwood</w:t>
      </w:r>
    </w:p>
    <w:p w14:paraId="1458F3A6" w14:textId="77777777" w:rsidR="00EF5C25" w:rsidRPr="007F530F" w:rsidRDefault="00EF5C25" w:rsidP="006633AA">
      <w:pPr>
        <w:pStyle w:val="Heading2"/>
      </w:pPr>
      <w:r w:rsidRPr="007F530F">
        <w:t>Acknowledgments</w:t>
      </w:r>
    </w:p>
    <w:p w14:paraId="3387DBD5" w14:textId="77777777" w:rsidR="00EF5C25" w:rsidRPr="007F530F" w:rsidRDefault="00EF5C25" w:rsidP="002C6923">
      <w:r w:rsidRPr="007F530F">
        <w:t>The Council would like to thank Court Services Victoria and the Crime Statistics Agency for providing the data in this report, and the County Court for permission to reference unpublished sentencing remarks. The Council would also like to thank the following for their invaluable insights and feedback in consultation on the findings in this report: the Supreme Court, the County Court, the Magistrates’ Court, the Office of Public Prosecutions, Victoria Legal Aid, the Department of Justice and Community Safety, the Victims of Crime Commissioner, Sexual Assault Services Victoria, Victoria Police, the Victorian Law Reform Commission and the Rape &amp; Sexual Assault Research &amp; Advocacy Initiative.</w:t>
      </w:r>
    </w:p>
    <w:p w14:paraId="7E093A84" w14:textId="77777777" w:rsidR="00EF5C25" w:rsidRPr="007F530F" w:rsidRDefault="00EF5C25" w:rsidP="006633AA">
      <w:pPr>
        <w:pStyle w:val="Heading1"/>
      </w:pPr>
      <w:bookmarkStart w:id="2" w:name="_Toc74903995"/>
      <w:r w:rsidRPr="007F530F">
        <w:lastRenderedPageBreak/>
        <w:t>Warning to readers</w:t>
      </w:r>
      <w:bookmarkEnd w:id="2"/>
    </w:p>
    <w:p w14:paraId="4316C660" w14:textId="77777777" w:rsidR="00EF5C25" w:rsidRPr="007F530F" w:rsidRDefault="00EF5C25" w:rsidP="002C6923">
      <w:r w:rsidRPr="007F530F">
        <w:t>This report contains material that may cause distress, including case studies based on real examples of sexual offending sentenced in Victorian courts.</w:t>
      </w:r>
    </w:p>
    <w:p w14:paraId="5BC5246B" w14:textId="77777777" w:rsidR="00EF5C25" w:rsidRPr="007F530F" w:rsidRDefault="00EF5C25" w:rsidP="002C6923">
      <w:r w:rsidRPr="007F530F">
        <w:t>If you have personal concerns about sexual assault, you can contact the National Sexual Assault, Domestic Family Violence Counselling Service, available 24 hours a day, seven days a week, on 1800RESPECT (1800 737 732) or on web chat at 1800respect.org.au.</w:t>
      </w:r>
    </w:p>
    <w:p w14:paraId="35130B04" w14:textId="77777777" w:rsidR="00EF5C25" w:rsidRPr="007F530F" w:rsidRDefault="00EF5C25" w:rsidP="006633AA">
      <w:pPr>
        <w:pStyle w:val="Heading1"/>
      </w:pPr>
      <w:bookmarkStart w:id="3" w:name="_Toc74903996"/>
      <w:r w:rsidRPr="007F530F">
        <w:t>A note on terminology</w:t>
      </w:r>
      <w:bookmarkEnd w:id="3"/>
    </w:p>
    <w:p w14:paraId="369A72BE" w14:textId="02E1C52D" w:rsidR="00EF5C25" w:rsidRPr="00A76B93" w:rsidRDefault="00EF5C25" w:rsidP="004C362C">
      <w:pPr>
        <w:rPr>
          <w:rStyle w:val="Superscript"/>
        </w:rPr>
      </w:pPr>
      <w:r w:rsidRPr="007F530F">
        <w:t xml:space="preserve">The descriptions of various sex offences in this report often characterise the relevant conduct (for example, incest) as being committed ‘with’ a specific complainant (for example, incest </w:t>
      </w:r>
      <w:r w:rsidRPr="00D62402">
        <w:rPr>
          <w:rStyle w:val="Emphasis"/>
        </w:rPr>
        <w:t xml:space="preserve">with </w:t>
      </w:r>
      <w:r w:rsidRPr="007F530F">
        <w:t>a child). This does not imply that the complainant consented to, or was a willing participant in, the conduct. Rather, this terminology is used to indicate that the conduct necessarily involved the physical presence and participation of the complainant, including in circumstances where the offender caused the complainant to sexually penetrate, touch or perform an indecent act with the offender or another person.</w:t>
      </w:r>
      <w:r w:rsidRPr="00A76B93">
        <w:rPr>
          <w:rStyle w:val="Superscript"/>
        </w:rPr>
        <w:t>*</w:t>
      </w:r>
    </w:p>
    <w:p w14:paraId="2A55F723" w14:textId="1EDBC773" w:rsidR="00E01636" w:rsidRPr="00E01636" w:rsidRDefault="00E01636" w:rsidP="00E01636">
      <w:pPr>
        <w:pStyle w:val="Footnote"/>
      </w:pPr>
      <w:r w:rsidRPr="00E01636">
        <w:t>*</w:t>
      </w:r>
      <w:r w:rsidRPr="002315F9">
        <w:rPr>
          <w:rStyle w:val="Emphasis"/>
        </w:rPr>
        <w:tab/>
        <w:t xml:space="preserve">SLJ v The Queen </w:t>
      </w:r>
      <w:r w:rsidRPr="00E01636">
        <w:t xml:space="preserve">[2013] VSCA 193 (31 July 2013) [14], recently cited with approval in </w:t>
      </w:r>
      <w:r w:rsidRPr="002315F9">
        <w:rPr>
          <w:rStyle w:val="Emphasis"/>
        </w:rPr>
        <w:t xml:space="preserve">Freedman (a pseudonym) v The Queen </w:t>
      </w:r>
      <w:r w:rsidRPr="00E01636">
        <w:t>[2020] VSCA 287 (18 November 2020) [4].</w:t>
      </w:r>
    </w:p>
    <w:p w14:paraId="5E30B824" w14:textId="77777777" w:rsidR="00EF5C25" w:rsidRPr="007F530F" w:rsidRDefault="00EF5C25" w:rsidP="00D779D1">
      <w:pPr>
        <w:pStyle w:val="Heading1"/>
        <w:pageBreakBefore/>
      </w:pPr>
      <w:bookmarkStart w:id="4" w:name="_Toc74903997"/>
      <w:r w:rsidRPr="007F530F">
        <w:lastRenderedPageBreak/>
        <w:t>Executive summary</w:t>
      </w:r>
      <w:bookmarkEnd w:id="4"/>
    </w:p>
    <w:p w14:paraId="0E15241C" w14:textId="77777777" w:rsidR="00EF5C25" w:rsidRPr="007F530F" w:rsidRDefault="00EF5C25" w:rsidP="002C6923">
      <w:r w:rsidRPr="007F530F">
        <w:t>Evidence over the last decade indicates a perception that sex offences are sentenced too leniently in Victoria. Past research suggests that the community views sentencing practices for sex offences as being too low. Judicial commentary indicates that those same sentencing practices are inadequate and do not reflect the seriousness of the offences. And multiple legislative reforms have aimed to make prison sentences longer and mandatory.</w:t>
      </w:r>
    </w:p>
    <w:p w14:paraId="5C16F048" w14:textId="77777777" w:rsidR="00EF5C25" w:rsidRPr="007F530F" w:rsidRDefault="00EF5C25" w:rsidP="00315A0D">
      <w:r w:rsidRPr="007F530F">
        <w:t>In that context, this research has two aims:</w:t>
      </w:r>
    </w:p>
    <w:p w14:paraId="770CD724" w14:textId="77777777" w:rsidR="00EF5C25" w:rsidRPr="00B20DD9" w:rsidRDefault="00EF5C25" w:rsidP="00B20DD9">
      <w:pPr>
        <w:pStyle w:val="ListParagraph"/>
        <w:numPr>
          <w:ilvl w:val="0"/>
          <w:numId w:val="20"/>
        </w:numPr>
      </w:pPr>
      <w:r w:rsidRPr="007F530F">
        <w:t xml:space="preserve">to determine whether there were any changes in how different types of sex offences were sentenced in Victoria in the decade from 2010 to 2019 (the reference period); and </w:t>
      </w:r>
    </w:p>
    <w:p w14:paraId="42A669E1" w14:textId="77777777" w:rsidR="00EF5C25" w:rsidRPr="00B20DD9" w:rsidRDefault="00EF5C25" w:rsidP="00B20DD9">
      <w:pPr>
        <w:pStyle w:val="ListParagraph"/>
        <w:numPr>
          <w:ilvl w:val="0"/>
          <w:numId w:val="20"/>
        </w:numPr>
      </w:pPr>
      <w:r w:rsidRPr="007F530F">
        <w:t>if there were any changes, to determine whether they were influenced by three sentencing reforms.</w:t>
      </w:r>
    </w:p>
    <w:p w14:paraId="0538A280" w14:textId="77777777" w:rsidR="00EF5C25" w:rsidRPr="007F530F" w:rsidRDefault="00EF5C25" w:rsidP="002C6923">
      <w:r w:rsidRPr="007F530F">
        <w:t>Overall, little has changed in the number of sex offences sentenced in Victoria each year or the sentence types imposed. However, some offences – particularly rape, incest, child sexual penetration and child sexual assault – received noticeably longer prison sentences by the end of the reference period, especially in 2019. The sentencing reforms, particularly standard sentences, seem to be at least partly responsible.</w:t>
      </w:r>
    </w:p>
    <w:p w14:paraId="68BEC018" w14:textId="77777777" w:rsidR="00EF5C25" w:rsidRPr="007F530F" w:rsidRDefault="00EF5C25" w:rsidP="006633AA">
      <w:pPr>
        <w:pStyle w:val="Heading2"/>
      </w:pPr>
      <w:r w:rsidRPr="007F530F">
        <w:t>The three sentencing reforms</w:t>
      </w:r>
    </w:p>
    <w:p w14:paraId="78DC5060" w14:textId="77777777" w:rsidR="00EF5C25" w:rsidRPr="007F530F" w:rsidRDefault="00EF5C25" w:rsidP="002C6923">
      <w:r w:rsidRPr="007F530F">
        <w:t xml:space="preserve">As at 20 March 2017, some serious sex offences were classified as </w:t>
      </w:r>
      <w:r w:rsidRPr="00D62402">
        <w:rPr>
          <w:rStyle w:val="Emphasis"/>
        </w:rPr>
        <w:t>Category 1 offences</w:t>
      </w:r>
      <w:r w:rsidRPr="007F530F">
        <w:t xml:space="preserve">. This classification requires courts to impose a term of imprisonment. </w:t>
      </w:r>
    </w:p>
    <w:p w14:paraId="37047626" w14:textId="77777777" w:rsidR="00EF5C25" w:rsidRPr="007F530F" w:rsidRDefault="00EF5C25" w:rsidP="002C6923">
      <w:r w:rsidRPr="007F530F">
        <w:t xml:space="preserve">As at 1 February 2018, some serious sex offences were classified as </w:t>
      </w:r>
      <w:r w:rsidRPr="00D62402">
        <w:rPr>
          <w:rStyle w:val="Emphasis"/>
        </w:rPr>
        <w:t>standard sentence offences</w:t>
      </w:r>
      <w:r w:rsidRPr="007F530F">
        <w:t xml:space="preserve">. This classification provides courts with numerical guidance about a sentence that reflects the mid-range of </w:t>
      </w:r>
      <w:r w:rsidRPr="007F530F">
        <w:lastRenderedPageBreak/>
        <w:t xml:space="preserve">objective seriousness, and prohibits courts from taking past sentencing practices into account. </w:t>
      </w:r>
    </w:p>
    <w:p w14:paraId="413572A3" w14:textId="77777777" w:rsidR="00EF5C25" w:rsidRPr="007F530F" w:rsidRDefault="00EF5C25" w:rsidP="002C6923">
      <w:r w:rsidRPr="007F530F">
        <w:t xml:space="preserve">Finally, the various </w:t>
      </w:r>
      <w:r w:rsidRPr="00D62402">
        <w:rPr>
          <w:rStyle w:val="Emphasis"/>
        </w:rPr>
        <w:t xml:space="preserve">Dalgliesh </w:t>
      </w:r>
      <w:r w:rsidRPr="007F530F">
        <w:t>decisions by the High Court and the Victorian Court of Appeal held that sentencing practices for incest were inappropriately low and required immediate rectification.</w:t>
      </w:r>
    </w:p>
    <w:p w14:paraId="3A7BA118" w14:textId="77777777" w:rsidR="00EF5C25" w:rsidRPr="007F530F" w:rsidRDefault="00EF5C25" w:rsidP="006633AA">
      <w:pPr>
        <w:pStyle w:val="Heading2"/>
      </w:pPr>
      <w:r w:rsidRPr="007F530F">
        <w:t>Changes in sentencing practices</w:t>
      </w:r>
    </w:p>
    <w:p w14:paraId="33DFF34E" w14:textId="77777777" w:rsidR="00EF5C25" w:rsidRPr="007F530F" w:rsidRDefault="00EF5C25" w:rsidP="002C6923">
      <w:r w:rsidRPr="007F530F">
        <w:t>In analysing the effect of these reforms, this report distinguishes between certain categories of sex offences. Below are the key findings in relation to each category.</w:t>
      </w:r>
    </w:p>
    <w:p w14:paraId="3185CC28" w14:textId="77777777" w:rsidR="00EF5C25" w:rsidRPr="007F530F" w:rsidRDefault="00EF5C25" w:rsidP="006633AA">
      <w:pPr>
        <w:pStyle w:val="Heading3"/>
      </w:pPr>
      <w:r w:rsidRPr="007F530F">
        <w:t>Rape offences</w:t>
      </w:r>
    </w:p>
    <w:p w14:paraId="74F5E5AE" w14:textId="77777777" w:rsidR="00EF5C25" w:rsidRPr="007F530F" w:rsidRDefault="00EF5C25" w:rsidP="004C362C">
      <w:r w:rsidRPr="007F530F">
        <w:t xml:space="preserve">The number of rape offences recorded by police each year almost doubled between 2010 and 2019 (from 1,577 to 2,935), but the number of charges sentenced each year did not change significantly (from 98 to 116). During the reference period, of the 491 offenders sentenced for rape contrary to section 38 of the </w:t>
      </w:r>
      <w:r w:rsidRPr="00D62402">
        <w:rPr>
          <w:rStyle w:val="Emphasis"/>
        </w:rPr>
        <w:t xml:space="preserve">Crimes Act 1958 </w:t>
      </w:r>
      <w:r w:rsidRPr="007F530F">
        <w:t xml:space="preserve">(Vic), 33 received a sentence other than adult or youth detention. The average prison sentence for rape increased from about 5 years to 6 years in 2017 and has remained stable since then. This was possibly a result of the Court of Appeal’s 2017 judgment in </w:t>
      </w:r>
      <w:r w:rsidRPr="00D62402">
        <w:rPr>
          <w:rStyle w:val="Emphasis"/>
        </w:rPr>
        <w:t xml:space="preserve">Shrestha v The Queen </w:t>
      </w:r>
      <w:r w:rsidRPr="007F530F">
        <w:t>calling for an increase in sentencing of digital rape offences. The average prison sentence for the 19 standard sentence offences of rape sentenced in 2019 (nearly 7 years) was longer than the average prison sentence for the 75 charges that were not standard sentence offences (5 years and 8 months).</w:t>
      </w:r>
    </w:p>
    <w:p w14:paraId="18794B89" w14:textId="77777777" w:rsidR="00EF5C25" w:rsidRPr="007F530F" w:rsidRDefault="00EF5C25" w:rsidP="006633AA">
      <w:pPr>
        <w:pStyle w:val="Heading3"/>
      </w:pPr>
      <w:r w:rsidRPr="007F530F">
        <w:t>Sexual assault offences</w:t>
      </w:r>
    </w:p>
    <w:p w14:paraId="00537C0C" w14:textId="77777777" w:rsidR="00EF5C25" w:rsidRPr="007F530F" w:rsidRDefault="00EF5C25" w:rsidP="002C6923">
      <w:r w:rsidRPr="007F530F">
        <w:t xml:space="preserve">Between 2010 and 2019, the number of sexual assault offences recorded by police each year more than doubled (from 1,310 to 3,049). The number of sentenced sexual assault offences also increased (in the Magistrates’ Court), but it was nowhere near that magnitude (from about </w:t>
      </w:r>
      <w:r w:rsidRPr="007F530F">
        <w:lastRenderedPageBreak/>
        <w:t>200 to 300). The rate of imprisonment was stable, but it varied by court level (80% in the higher courts and 22% in the Magistrates’ Court). By the end of the reference period, a greater proportion of charges in the higher courts were receiving community correction orders, with a corresponding decrease in the use of suspended sentences. There was a slight increase in the average lengths of prison sentences in the higher courts that cannot be explained by any of the three sentencing reforms because none of them applied to sexual assault offences against adults.</w:t>
      </w:r>
    </w:p>
    <w:p w14:paraId="1DCA9175" w14:textId="77777777" w:rsidR="00EF5C25" w:rsidRPr="007F530F" w:rsidRDefault="00EF5C25" w:rsidP="006633AA">
      <w:pPr>
        <w:pStyle w:val="Heading3"/>
      </w:pPr>
      <w:r w:rsidRPr="007F530F">
        <w:t>Incest offences</w:t>
      </w:r>
    </w:p>
    <w:p w14:paraId="7F3AF8B6" w14:textId="77777777" w:rsidR="00EF5C25" w:rsidRPr="007F530F" w:rsidRDefault="00EF5C25" w:rsidP="004C362C">
      <w:r w:rsidRPr="007F530F">
        <w:t xml:space="preserve">The number of incest offences recorded by police changed very little between 2010 and 2019 (about 500 each year). Neither did the number of charges sentenced change much (about 110 each year). The sentence types imposed for incest offences against children were very stable, with just one person receiving a sentence other than an immediate custodial sentence for incest with a child aged under 18. There were, though, significant changes to the </w:t>
      </w:r>
      <w:r w:rsidRPr="00D62402">
        <w:rPr>
          <w:rStyle w:val="Emphasis"/>
        </w:rPr>
        <w:t xml:space="preserve">lengths </w:t>
      </w:r>
      <w:r w:rsidRPr="007F530F">
        <w:t xml:space="preserve">of prison sentences imposed for incest offences against children. In 2016, the average charge-level prison sentence increased from about 4 years to 5 years, and it increased again to almost 7 years in 2019. The 2019 increase, in particular, seems to be attributable to a combination of factors, including an anomalous high-volume case of especial seriousness, the new-found ability to charge incest as a course of conduct offence, the introduction of standard sentence legislation, and the various </w:t>
      </w:r>
      <w:r w:rsidRPr="00D62402">
        <w:rPr>
          <w:rStyle w:val="Emphasis"/>
        </w:rPr>
        <w:t xml:space="preserve">Dalgliesh </w:t>
      </w:r>
      <w:r w:rsidRPr="007F530F">
        <w:t>decisions.</w:t>
      </w:r>
    </w:p>
    <w:p w14:paraId="14646A16" w14:textId="77777777" w:rsidR="00EF5C25" w:rsidRPr="007F530F" w:rsidRDefault="00EF5C25" w:rsidP="006633AA">
      <w:pPr>
        <w:pStyle w:val="Heading3"/>
      </w:pPr>
      <w:r w:rsidRPr="007F530F">
        <w:t>Child sexual penetration offences</w:t>
      </w:r>
    </w:p>
    <w:p w14:paraId="6B468D28" w14:textId="77777777" w:rsidR="00EF5C25" w:rsidRPr="007F530F" w:rsidRDefault="00EF5C25" w:rsidP="002C6923">
      <w:r w:rsidRPr="007F530F">
        <w:t xml:space="preserve">The number of sexual penetration offences against children aged under 16 recorded by police fluctuated between 2010 and 2019 (between 928 and 1,505 offences), as did the number of sentenced charges (between 124 and 321). Most of the sentenced offences (78%) involved children aged 10/12 to 15 years, while the remaining 22% involved children aged </w:t>
      </w:r>
      <w:r w:rsidRPr="007F530F">
        <w:lastRenderedPageBreak/>
        <w:t>under 10/12 years. All but 13 charges were sentenced in the higher courts. The rate of immediate custodial sentences remained stable for offences against children aged under 10/12 years (88%), but it increased significantly in 2019 for offences against children aged 10/12 to 15 years (from 65% to 82%). This could be due to the increase in the maximum penalty from 10 to 15 years’ imprisonment for the offence when committed against a child not under the offender’s care, supervision or authority. The average prison sentences for child sexual penetration offences increased significantly during the reference period, both for offences against children aged under 10/12 (from about 4 years to 5.5 years) and for offences against children aged 10/12 to 15 (from about 2 years to 3 years).</w:t>
      </w:r>
    </w:p>
    <w:p w14:paraId="0CA21618" w14:textId="77777777" w:rsidR="00EF5C25" w:rsidRPr="007F530F" w:rsidRDefault="00EF5C25" w:rsidP="006633AA">
      <w:pPr>
        <w:pStyle w:val="Heading3"/>
      </w:pPr>
      <w:r w:rsidRPr="007F530F">
        <w:t>Child sexual assault offences</w:t>
      </w:r>
    </w:p>
    <w:p w14:paraId="41365330" w14:textId="77777777" w:rsidR="00EF5C25" w:rsidRPr="007F530F" w:rsidRDefault="00EF5C25" w:rsidP="004C362C">
      <w:r w:rsidRPr="007F530F">
        <w:t>Between 2010 and 2019, 21,480 child sexual assault offences were recorded by police, with the yearly number doubling from 1,440 to 2,820 (by 2016) and then decreasing to 1,819 (by 2019). About 500 charges were sentenced each year, most of which (67%) were sentenced in the higher courts. The rate of immediate custodial sentences remained steady in the higher courts (about 85%), while the rate increased from 30% to 51% in the Magistrates’ Court. Stakeholders suggested that this could be due to jurisdiction selection, with an increase in serious cases prosecuted in the summary jurisdiction than previously. The average lengths of prison sentences showed no statistically significant trend, though there was a notable increase in the higher courts in 2019 (from 16 months to 20 months). That increase was partly, but not entirely, influenced by the new four-year standard sentence for this offence.</w:t>
      </w:r>
    </w:p>
    <w:p w14:paraId="5C222251" w14:textId="77777777" w:rsidR="00EF5C25" w:rsidRPr="007F530F" w:rsidRDefault="00EF5C25" w:rsidP="006633AA">
      <w:pPr>
        <w:pStyle w:val="Heading3"/>
      </w:pPr>
      <w:r w:rsidRPr="007F530F">
        <w:t>Persistent sexual abuse of a child offences</w:t>
      </w:r>
    </w:p>
    <w:p w14:paraId="248B5B03" w14:textId="77777777" w:rsidR="00EF5C25" w:rsidRPr="007F530F" w:rsidRDefault="00EF5C25" w:rsidP="002C6923">
      <w:r w:rsidRPr="007F530F">
        <w:t xml:space="preserve">During the reference period, 134 persistent sexual abuse of a child offences were recorded by police, and 143 charges were sentenced. Of </w:t>
      </w:r>
      <w:r w:rsidRPr="007F530F">
        <w:lastRenderedPageBreak/>
        <w:t xml:space="preserve">the 123 offenders sentenced for this offence, 10 received sentences other than adult or youth detention. In those cases, the offending tended to be less predatory instances of young offenders (aged 17 to 22) with children aged 13 to 15. No statistically significant change was shown in the length of prison sentences for this offence, nor were any charges sentenced as standard sentence offences. </w:t>
      </w:r>
    </w:p>
    <w:p w14:paraId="112F56E9" w14:textId="77777777" w:rsidR="00EF5C25" w:rsidRPr="007F530F" w:rsidRDefault="00EF5C25" w:rsidP="006633AA">
      <w:pPr>
        <w:pStyle w:val="Heading2"/>
      </w:pPr>
      <w:r w:rsidRPr="007F530F">
        <w:t>Key findings</w:t>
      </w:r>
    </w:p>
    <w:p w14:paraId="6025F3CC" w14:textId="77777777" w:rsidR="00EF5C25" w:rsidRPr="007F530F" w:rsidRDefault="00EF5C25" w:rsidP="00315A0D">
      <w:r w:rsidRPr="007F530F">
        <w:t xml:space="preserve">Based on the data, the following key findings are apparent: </w:t>
      </w:r>
    </w:p>
    <w:p w14:paraId="2B06BA11" w14:textId="77777777" w:rsidR="00EF5C25" w:rsidRPr="007F530F" w:rsidRDefault="00EF5C25" w:rsidP="007F3328">
      <w:pPr>
        <w:pStyle w:val="ListParagraph"/>
        <w:numPr>
          <w:ilvl w:val="0"/>
          <w:numId w:val="10"/>
        </w:numPr>
      </w:pPr>
      <w:r w:rsidRPr="007F530F">
        <w:t xml:space="preserve">while the number of police-recorded sex offences against </w:t>
      </w:r>
      <w:r w:rsidRPr="00D62402">
        <w:rPr>
          <w:rStyle w:val="Emphasis"/>
        </w:rPr>
        <w:t>children</w:t>
      </w:r>
      <w:r w:rsidRPr="007F530F">
        <w:t xml:space="preserve"> increased during the reference period (25%), the number of recorded sex offences against </w:t>
      </w:r>
      <w:r w:rsidRPr="00D62402">
        <w:rPr>
          <w:rStyle w:val="Emphasis"/>
        </w:rPr>
        <w:t>adults</w:t>
      </w:r>
      <w:r w:rsidRPr="007F530F">
        <w:t xml:space="preserve"> more than doubled (increasing by 107%);</w:t>
      </w:r>
    </w:p>
    <w:p w14:paraId="3C1CF9AA" w14:textId="77777777" w:rsidR="00EF5C25" w:rsidRPr="007F530F" w:rsidRDefault="00EF5C25" w:rsidP="007F3328">
      <w:pPr>
        <w:pStyle w:val="ListParagraph"/>
        <w:numPr>
          <w:ilvl w:val="0"/>
          <w:numId w:val="10"/>
        </w:numPr>
      </w:pPr>
      <w:r w:rsidRPr="007F530F">
        <w:t xml:space="preserve">despite this significant increase in </w:t>
      </w:r>
      <w:r w:rsidRPr="00D62402">
        <w:rPr>
          <w:rStyle w:val="Emphasis"/>
        </w:rPr>
        <w:t>recorded</w:t>
      </w:r>
      <w:r w:rsidRPr="007F530F">
        <w:t xml:space="preserve"> sex offences (63%), the number of </w:t>
      </w:r>
      <w:r w:rsidRPr="00D62402">
        <w:rPr>
          <w:rStyle w:val="Emphasis"/>
        </w:rPr>
        <w:t>sentenced</w:t>
      </w:r>
      <w:r w:rsidRPr="007F530F">
        <w:t xml:space="preserve"> sex offences actually decreased slightly (–8%), indicative of an increasing attrition rate between offences being recorded and offences being sentenced;</w:t>
      </w:r>
    </w:p>
    <w:p w14:paraId="3EA2C048" w14:textId="77777777" w:rsidR="00EF5C25" w:rsidRPr="007F530F" w:rsidRDefault="00EF5C25" w:rsidP="007F3328">
      <w:pPr>
        <w:pStyle w:val="ListParagraph"/>
        <w:numPr>
          <w:ilvl w:val="0"/>
          <w:numId w:val="10"/>
        </w:numPr>
      </w:pPr>
      <w:r w:rsidRPr="007F530F">
        <w:t xml:space="preserve">the majority of sentenced sex offences in Victoria were committed against children rather than against adults (at least 55% of offences, and probably closer to 64% given that most incest offending involves child victims); </w:t>
      </w:r>
    </w:p>
    <w:p w14:paraId="04B7559D" w14:textId="77777777" w:rsidR="00EF5C25" w:rsidRPr="007F530F" w:rsidRDefault="00EF5C25" w:rsidP="007F3328">
      <w:pPr>
        <w:pStyle w:val="ListParagraph"/>
        <w:numPr>
          <w:ilvl w:val="0"/>
          <w:numId w:val="10"/>
        </w:numPr>
      </w:pPr>
      <w:r w:rsidRPr="007F530F">
        <w:t xml:space="preserve">the sentence </w:t>
      </w:r>
      <w:r w:rsidRPr="00D62402">
        <w:rPr>
          <w:rStyle w:val="Emphasis"/>
        </w:rPr>
        <w:t>types</w:t>
      </w:r>
      <w:r w:rsidRPr="007F530F">
        <w:t xml:space="preserve"> imposed for sex offences changed very little, the main exception being a steady increase in the rate of immediate custodial sentences in the Magistrates’ Court for child sexual assaults (from 23% to 40%);</w:t>
      </w:r>
    </w:p>
    <w:p w14:paraId="085C1825" w14:textId="77777777" w:rsidR="00EF5C25" w:rsidRPr="007F530F" w:rsidRDefault="00EF5C25" w:rsidP="007F3328">
      <w:pPr>
        <w:pStyle w:val="ListParagraph"/>
        <w:numPr>
          <w:ilvl w:val="0"/>
          <w:numId w:val="10"/>
        </w:numPr>
      </w:pPr>
      <w:r w:rsidRPr="007F530F">
        <w:t>average prison sentences were longer for most standard sentence sex offences (rape, incest, child sexual penetration offences and child sexual assault) by the end of the reference period;</w:t>
      </w:r>
    </w:p>
    <w:p w14:paraId="5016E815" w14:textId="77777777" w:rsidR="00EF5C25" w:rsidRPr="007F530F" w:rsidRDefault="00EF5C25" w:rsidP="007F3328">
      <w:pPr>
        <w:pStyle w:val="ListParagraph"/>
        <w:numPr>
          <w:ilvl w:val="0"/>
          <w:numId w:val="10"/>
        </w:numPr>
      </w:pPr>
      <w:r w:rsidRPr="007F530F">
        <w:lastRenderedPageBreak/>
        <w:t>the average prison sentence for adult sexual assault offences, though not standard sentence offences, also has increased (in the higher courts) since 2016; and</w:t>
      </w:r>
    </w:p>
    <w:p w14:paraId="19D240A7" w14:textId="77777777" w:rsidR="00EF5C25" w:rsidRPr="007F530F" w:rsidRDefault="00EF5C25" w:rsidP="007F3328">
      <w:pPr>
        <w:pStyle w:val="ListParagraph"/>
        <w:numPr>
          <w:ilvl w:val="0"/>
          <w:numId w:val="10"/>
        </w:numPr>
      </w:pPr>
      <w:r w:rsidRPr="007F530F">
        <w:t xml:space="preserve">the offence type with the greatest shift in sentence lengths (incest) was also the offence type subject to the most reform: the combination of its classification as a standard sentence offence, the various </w:t>
      </w:r>
      <w:r w:rsidRPr="00D62402">
        <w:rPr>
          <w:rStyle w:val="Emphasis"/>
        </w:rPr>
        <w:t xml:space="preserve">Dalgliesh </w:t>
      </w:r>
      <w:r w:rsidRPr="007F530F">
        <w:t>decisions, and the ability to charge incest as a course of conduct offence together resulted in notably longer prison sentences, particularly in 2019.</w:t>
      </w:r>
    </w:p>
    <w:p w14:paraId="32070409" w14:textId="77777777" w:rsidR="00EF5C25" w:rsidRPr="007F530F" w:rsidRDefault="00EF5C25" w:rsidP="006633AA">
      <w:pPr>
        <w:pStyle w:val="Heading2"/>
      </w:pPr>
      <w:r w:rsidRPr="007F530F">
        <w:t>The effect of the three sentencing reforms</w:t>
      </w:r>
    </w:p>
    <w:p w14:paraId="52329E0B" w14:textId="77777777" w:rsidR="00EF5C25" w:rsidRPr="007F530F" w:rsidRDefault="00EF5C25" w:rsidP="002C6923">
      <w:r w:rsidRPr="007F530F">
        <w:t>Because Category 1 offence classification is a mandatory sentencing scheme, it will invariably achieve its intended effect of increasing the rate of imprisonment for relevant offences, particularly as more sentenced offences will have been committed post 20 March 2017. A review of cases receiving non-custodial sentences for offending prior to that date, though, raises genuine questions about whether a reform designed to prevent undue leniency in the sentencing of serious sex offenders might also result in the detention of people who may have otherwise warranted a more merciful sentence.</w:t>
      </w:r>
    </w:p>
    <w:p w14:paraId="7AE5DE7D" w14:textId="77777777" w:rsidR="00EF5C25" w:rsidRPr="007F530F" w:rsidRDefault="00EF5C25" w:rsidP="002C6923">
      <w:r w:rsidRPr="007F530F">
        <w:t>The introduction of standard sentence offence classification appears to have had a tangible effect on the length of prison sentences imposed, as intended. The average prison sentence for relevant offences was uniformly longer when that classification did apply than when it did not.</w:t>
      </w:r>
    </w:p>
    <w:p w14:paraId="5F956116" w14:textId="77777777" w:rsidR="00EF5C25" w:rsidRPr="007F530F" w:rsidRDefault="00EF5C25" w:rsidP="002C6923">
      <w:r w:rsidRPr="007F530F">
        <w:t xml:space="preserve">Finally, while it is difficult to disentangle the role of the various </w:t>
      </w:r>
      <w:r w:rsidRPr="00D62402">
        <w:rPr>
          <w:rStyle w:val="Emphasis"/>
        </w:rPr>
        <w:t xml:space="preserve">Dalgliesh </w:t>
      </w:r>
      <w:r w:rsidRPr="007F530F">
        <w:t>decisions in increasing sentence lengths for incest with a child, stepchild or lineal descendant, sentences for these offences were longer in 2019, even excluding standard sentence offences and an anomalous case. Judicial commentary also shows that courts are very much alive to the implications of those decisions.</w:t>
      </w:r>
    </w:p>
    <w:p w14:paraId="00BA769E" w14:textId="77777777" w:rsidR="00EF5C25" w:rsidRPr="007F530F" w:rsidRDefault="00EF5C25" w:rsidP="002C6923">
      <w:r w:rsidRPr="007F530F">
        <w:lastRenderedPageBreak/>
        <w:t>In sum, each of the three sentencing reforms appears to have influenced sentencing practices for sex offences. There does, though, also seem to be a more general increase in the severity of sentences for sex offences, particularly against children. This could be attributable not to law reform, but to changing community expectations about, and judicial understandings of, the effect of sex offending on victims.</w:t>
      </w:r>
    </w:p>
    <w:p w14:paraId="0C6534EA" w14:textId="594E45A9" w:rsidR="00EF5C25" w:rsidRPr="007F530F" w:rsidRDefault="00EF5C25" w:rsidP="007A6BFC">
      <w:pPr>
        <w:pStyle w:val="Heading1Numbered"/>
      </w:pPr>
      <w:bookmarkStart w:id="5" w:name="_Toc74903998"/>
      <w:r w:rsidRPr="007F530F">
        <w:lastRenderedPageBreak/>
        <w:t>Introduction</w:t>
      </w:r>
      <w:bookmarkEnd w:id="5"/>
    </w:p>
    <w:p w14:paraId="21AB9A40" w14:textId="77777777" w:rsidR="00EF5C25" w:rsidRPr="007F530F" w:rsidRDefault="00EF5C25" w:rsidP="002C6923">
      <w:pPr>
        <w:pStyle w:val="Numbered"/>
      </w:pPr>
      <w:r w:rsidRPr="007F530F">
        <w:t>Laws related to sex offences in Victoria have undergone significant reform in recent decades. Much of this reform has been driven by an increasing awareness of the prevalence and seriousness of child sexual abuse, family violence and gendered violence outside the home. This report focuses on three sentencing reforms that have tried to alter sentencing practices, in particular, increasing the use and duration of prison sentences, for certain sex offences in Victoria.</w:t>
      </w:r>
    </w:p>
    <w:p w14:paraId="4F4952CB" w14:textId="77777777" w:rsidR="00EF5C25" w:rsidRPr="007F530F" w:rsidRDefault="00EF5C25" w:rsidP="006633AA">
      <w:pPr>
        <w:pStyle w:val="Heading2"/>
      </w:pPr>
      <w:r w:rsidRPr="007F530F">
        <w:t>Aims of this report</w:t>
      </w:r>
    </w:p>
    <w:p w14:paraId="4AFA0728" w14:textId="77777777" w:rsidR="00EF5C25" w:rsidRPr="007F530F" w:rsidRDefault="00EF5C25" w:rsidP="002C6923">
      <w:pPr>
        <w:pStyle w:val="Numbered"/>
      </w:pPr>
      <w:r w:rsidRPr="007F530F">
        <w:t xml:space="preserve">This report has two aims. The first is to identify whether there was any change in how certain sex offences were sentenced in Victoria in the 10 years to 2019. The second is to determine, if there were changes in sentencing practices, whether those changes might have been influenced by reforms designed to increase both the rate and the length of prison sentences for certain offences. This involves two legislative reforms (Category 1 offence classification and standard sentence offence classification) and one common law reform (the various </w:t>
      </w:r>
      <w:r w:rsidRPr="00D62402">
        <w:rPr>
          <w:rStyle w:val="Emphasis"/>
        </w:rPr>
        <w:t xml:space="preserve">Dalgliesh </w:t>
      </w:r>
      <w:r w:rsidRPr="007F530F">
        <w:t>decisions).</w:t>
      </w:r>
    </w:p>
    <w:p w14:paraId="74F15DBF" w14:textId="77777777" w:rsidR="00EF5C25" w:rsidRPr="007F530F" w:rsidRDefault="00EF5C25" w:rsidP="006633AA">
      <w:pPr>
        <w:pStyle w:val="Heading2"/>
      </w:pPr>
      <w:r w:rsidRPr="007F530F">
        <w:t>Which sex offences are analysed?</w:t>
      </w:r>
    </w:p>
    <w:p w14:paraId="6AA66EE1" w14:textId="77777777" w:rsidR="00EF5C25" w:rsidRPr="007F530F" w:rsidRDefault="00EF5C25" w:rsidP="002C6923">
      <w:pPr>
        <w:pStyle w:val="Numbered"/>
      </w:pPr>
      <w:r w:rsidRPr="007F530F">
        <w:t xml:space="preserve">This report analyses </w:t>
      </w:r>
      <w:r w:rsidRPr="00D62402">
        <w:rPr>
          <w:rStyle w:val="Emphasis"/>
        </w:rPr>
        <w:t>contact</w:t>
      </w:r>
      <w:r w:rsidRPr="007F530F">
        <w:t xml:space="preserve"> sex offences (or </w:t>
      </w:r>
      <w:r w:rsidRPr="00D62402">
        <w:rPr>
          <w:rStyle w:val="Emphasis"/>
        </w:rPr>
        <w:t xml:space="preserve">assaultive </w:t>
      </w:r>
      <w:r w:rsidRPr="007F530F">
        <w:t>sex offences</w:t>
      </w:r>
      <w:r w:rsidRPr="007F530F">
        <w:rPr>
          <w:rStyle w:val="Superscript"/>
        </w:rPr>
        <w:footnoteReference w:id="1"/>
      </w:r>
      <w:r w:rsidRPr="007F530F">
        <w:t xml:space="preserve">), which involve ‘actual physical contact between the victim and offender for the purpose of achieving sexual </w:t>
      </w:r>
      <w:r w:rsidRPr="007F530F">
        <w:lastRenderedPageBreak/>
        <w:t>gratification [including] penetrative … and non-penetrative acts’.</w:t>
      </w:r>
      <w:r w:rsidRPr="007F530F">
        <w:rPr>
          <w:rStyle w:val="Superscript"/>
        </w:rPr>
        <w:footnoteReference w:id="2"/>
      </w:r>
      <w:r w:rsidRPr="007F530F">
        <w:t xml:space="preserve"> None of the three sentencing reforms analysed in this report apply to non-contact sex offences. The report also includes historical (repealed) versions of those offences,</w:t>
      </w:r>
      <w:r w:rsidRPr="007F530F">
        <w:rPr>
          <w:rStyle w:val="Superscript"/>
        </w:rPr>
        <w:footnoteReference w:id="3"/>
      </w:r>
      <w:r w:rsidRPr="007F530F">
        <w:t xml:space="preserve"> but not their inchoate equivalents.</w:t>
      </w:r>
      <w:r w:rsidRPr="007F530F">
        <w:rPr>
          <w:rStyle w:val="Superscript"/>
        </w:rPr>
        <w:footnoteReference w:id="4"/>
      </w:r>
      <w:r w:rsidRPr="007F530F">
        <w:t xml:space="preserve"> It is also primarily concerned with </w:t>
      </w:r>
      <w:r w:rsidRPr="00D62402">
        <w:rPr>
          <w:rStyle w:val="Emphasis"/>
        </w:rPr>
        <w:t xml:space="preserve">sentenced </w:t>
      </w:r>
      <w:r w:rsidRPr="007F530F">
        <w:t xml:space="preserve">sex offences: there is a known high attrition rate between actual sex offences, sex offences that are reported to police, sex offences that are prosecuted, and sex offences that are </w:t>
      </w:r>
      <w:r w:rsidRPr="00D62402">
        <w:rPr>
          <w:rStyle w:val="Emphasis"/>
        </w:rPr>
        <w:t xml:space="preserve">successfully </w:t>
      </w:r>
      <w:r w:rsidRPr="007F530F">
        <w:t>prosecuted and sentenced.</w:t>
      </w:r>
      <w:r w:rsidRPr="007F530F">
        <w:rPr>
          <w:rStyle w:val="Superscript"/>
        </w:rPr>
        <w:footnoteReference w:id="5"/>
      </w:r>
      <w:r w:rsidRPr="007F530F">
        <w:t xml:space="preserve"> In Victoria, courts are required to have regard to the significant under-reporting of sex offences, their high </w:t>
      </w:r>
      <w:r w:rsidRPr="007F530F">
        <w:lastRenderedPageBreak/>
        <w:t>incidence, and the over-representation of female and child victims and victims with cognitive impairments.</w:t>
      </w:r>
      <w:r w:rsidRPr="007F530F">
        <w:rPr>
          <w:rStyle w:val="Superscript"/>
        </w:rPr>
        <w:footnoteReference w:id="6"/>
      </w:r>
    </w:p>
    <w:p w14:paraId="0DF8AFBE" w14:textId="77777777" w:rsidR="00EF5C25" w:rsidRPr="007F530F" w:rsidRDefault="00EF5C25" w:rsidP="004C362C">
      <w:pPr>
        <w:pStyle w:val="Numbered"/>
      </w:pPr>
      <w:r w:rsidRPr="007F530F">
        <w:t>This report discusses six categories of contact sex offences:</w:t>
      </w:r>
      <w:r w:rsidRPr="007F530F">
        <w:rPr>
          <w:rStyle w:val="Superscript"/>
        </w:rPr>
        <w:footnoteReference w:id="7"/>
      </w:r>
    </w:p>
    <w:p w14:paraId="187AC51F" w14:textId="77777777" w:rsidR="00EF5C25" w:rsidRPr="00B20DD9" w:rsidRDefault="00EF5C25" w:rsidP="00B20DD9">
      <w:pPr>
        <w:pStyle w:val="ListParagraph"/>
        <w:numPr>
          <w:ilvl w:val="0"/>
          <w:numId w:val="21"/>
        </w:numPr>
      </w:pPr>
      <w:r w:rsidRPr="007F530F">
        <w:t>rape offences;</w:t>
      </w:r>
      <w:r w:rsidRPr="007F530F">
        <w:rPr>
          <w:rStyle w:val="Superscript"/>
        </w:rPr>
        <w:footnoteReference w:id="8"/>
      </w:r>
    </w:p>
    <w:p w14:paraId="38E8F979" w14:textId="77777777" w:rsidR="00EF5C25" w:rsidRPr="00B20DD9" w:rsidRDefault="00EF5C25" w:rsidP="00B20DD9">
      <w:pPr>
        <w:pStyle w:val="ListParagraph"/>
        <w:numPr>
          <w:ilvl w:val="0"/>
          <w:numId w:val="21"/>
        </w:numPr>
      </w:pPr>
      <w:r w:rsidRPr="007F530F">
        <w:t>sexual assault offences;</w:t>
      </w:r>
      <w:r w:rsidRPr="007F530F">
        <w:rPr>
          <w:rStyle w:val="Superscript"/>
        </w:rPr>
        <w:footnoteReference w:id="9"/>
      </w:r>
    </w:p>
    <w:p w14:paraId="5CB76E2C" w14:textId="77777777" w:rsidR="00EF5C25" w:rsidRPr="00B20DD9" w:rsidRDefault="00EF5C25" w:rsidP="00B20DD9">
      <w:pPr>
        <w:pStyle w:val="ListParagraph"/>
        <w:numPr>
          <w:ilvl w:val="0"/>
          <w:numId w:val="21"/>
        </w:numPr>
      </w:pPr>
      <w:r w:rsidRPr="007F530F">
        <w:t>incest offences (against both adults and children);</w:t>
      </w:r>
    </w:p>
    <w:p w14:paraId="040A7850" w14:textId="77777777" w:rsidR="00EF5C25" w:rsidRPr="00B20DD9" w:rsidRDefault="00EF5C25" w:rsidP="00B20DD9">
      <w:pPr>
        <w:pStyle w:val="ListParagraph"/>
        <w:numPr>
          <w:ilvl w:val="0"/>
          <w:numId w:val="21"/>
        </w:numPr>
      </w:pPr>
      <w:r w:rsidRPr="007F530F">
        <w:t xml:space="preserve">child sexual penetration offences; </w:t>
      </w:r>
    </w:p>
    <w:p w14:paraId="20B63EE0" w14:textId="77777777" w:rsidR="00EF5C25" w:rsidRPr="00B20DD9" w:rsidRDefault="00EF5C25" w:rsidP="00B20DD9">
      <w:pPr>
        <w:pStyle w:val="ListParagraph"/>
        <w:numPr>
          <w:ilvl w:val="0"/>
          <w:numId w:val="21"/>
        </w:numPr>
      </w:pPr>
      <w:r w:rsidRPr="007F530F">
        <w:t>child sexual assault offences; and</w:t>
      </w:r>
    </w:p>
    <w:p w14:paraId="0A96D87E" w14:textId="77777777" w:rsidR="00EF5C25" w:rsidRPr="00B20DD9" w:rsidRDefault="00EF5C25" w:rsidP="00B20DD9">
      <w:pPr>
        <w:pStyle w:val="ListParagraph"/>
        <w:numPr>
          <w:ilvl w:val="0"/>
          <w:numId w:val="21"/>
        </w:numPr>
      </w:pPr>
      <w:r w:rsidRPr="007F530F">
        <w:t>persistent sexual abuse of a child offences.</w:t>
      </w:r>
    </w:p>
    <w:p w14:paraId="57FC0754" w14:textId="77777777" w:rsidR="00EF5C25" w:rsidRPr="007F530F" w:rsidRDefault="00EF5C25" w:rsidP="002C6923">
      <w:pPr>
        <w:pStyle w:val="Numbered"/>
      </w:pPr>
      <w:r w:rsidRPr="007F530F">
        <w:t>Factually, these offence types overlap in some circumstances (for instance, incest usually involves sexual penetration with a child), but allocating specific offences into these categories helps frame the analysis in this report.</w:t>
      </w:r>
    </w:p>
    <w:p w14:paraId="7AB20C23" w14:textId="77777777" w:rsidR="00EF5C25" w:rsidRPr="007F530F" w:rsidRDefault="00EF5C25" w:rsidP="006633AA">
      <w:pPr>
        <w:pStyle w:val="Heading2"/>
      </w:pPr>
      <w:r w:rsidRPr="007F530F">
        <w:t>Prior research on sentencing of sex offences</w:t>
      </w:r>
    </w:p>
    <w:p w14:paraId="1B8886C4" w14:textId="77777777" w:rsidR="00EF5C25" w:rsidRPr="007F530F" w:rsidRDefault="00EF5C25" w:rsidP="004C362C">
      <w:pPr>
        <w:pStyle w:val="Numbered"/>
      </w:pPr>
      <w:r w:rsidRPr="007F530F">
        <w:t>The Council has previously undertaken extensive research on the sentencing of sex offences:</w:t>
      </w:r>
    </w:p>
    <w:p w14:paraId="5FA6BDFB" w14:textId="77777777" w:rsidR="00EF5C25" w:rsidRPr="007F530F" w:rsidRDefault="00EF5C25" w:rsidP="00315A0D">
      <w:pPr>
        <w:pStyle w:val="Bullets"/>
      </w:pPr>
      <w:r w:rsidRPr="007F530F">
        <w:lastRenderedPageBreak/>
        <w:t>in 2009, the Council published multiple reports on sentencing for sexual penetration with a child aged under 16.</w:t>
      </w:r>
      <w:r w:rsidRPr="007F530F">
        <w:rPr>
          <w:rStyle w:val="Superscript"/>
        </w:rPr>
        <w:footnoteReference w:id="10"/>
      </w:r>
      <w:r w:rsidRPr="007F530F">
        <w:t xml:space="preserve"> To address the perceived inadequacy of sentencing practices for that offence, the Council recommended against increasing the maximum penalty and instead recommended utilising the guideline judgment provisions of the </w:t>
      </w:r>
      <w:r w:rsidRPr="00D62402">
        <w:rPr>
          <w:rStyle w:val="Emphasis"/>
        </w:rPr>
        <w:t>Sentencing Act 1991</w:t>
      </w:r>
      <w:r w:rsidRPr="007F530F">
        <w:t xml:space="preserve"> (Vic);</w:t>
      </w:r>
      <w:r w:rsidRPr="007F530F">
        <w:rPr>
          <w:rStyle w:val="Superscript"/>
        </w:rPr>
        <w:footnoteReference w:id="11"/>
      </w:r>
    </w:p>
    <w:p w14:paraId="1AD3298B" w14:textId="77777777" w:rsidR="00EF5C25" w:rsidRPr="007F530F" w:rsidRDefault="00EF5C25" w:rsidP="00315A0D">
      <w:pPr>
        <w:pStyle w:val="Bullets"/>
      </w:pPr>
      <w:r w:rsidRPr="007F530F">
        <w:t xml:space="preserve">in 2012, the Council found that the community was ‘united’ in their view that two of the most serious offence types were </w:t>
      </w:r>
      <w:r w:rsidRPr="00D62402">
        <w:rPr>
          <w:rStyle w:val="Emphasis"/>
        </w:rPr>
        <w:t xml:space="preserve">rape </w:t>
      </w:r>
      <w:r w:rsidRPr="007F530F">
        <w:t xml:space="preserve">and </w:t>
      </w:r>
      <w:r w:rsidRPr="00D62402">
        <w:rPr>
          <w:rStyle w:val="Emphasis"/>
        </w:rPr>
        <w:t>child sex offences</w:t>
      </w:r>
      <w:r w:rsidRPr="007F530F">
        <w:t>, especially those involving younger children; and</w:t>
      </w:r>
      <w:r w:rsidRPr="007F530F">
        <w:rPr>
          <w:rStyle w:val="Superscript"/>
        </w:rPr>
        <w:footnoteReference w:id="12"/>
      </w:r>
      <w:r w:rsidRPr="007F530F">
        <w:t xml:space="preserve"> </w:t>
      </w:r>
    </w:p>
    <w:p w14:paraId="31ED676E" w14:textId="77777777" w:rsidR="00EF5C25" w:rsidRPr="007F530F" w:rsidRDefault="00EF5C25" w:rsidP="00315A0D">
      <w:pPr>
        <w:pStyle w:val="Bullets"/>
      </w:pPr>
      <w:r w:rsidRPr="007F530F">
        <w:t>in 2016, the Council published a report on sentencing for sexual penetration with a child aged under 12.</w:t>
      </w:r>
      <w:r w:rsidRPr="007F530F">
        <w:rPr>
          <w:rStyle w:val="Superscript"/>
        </w:rPr>
        <w:footnoteReference w:id="13"/>
      </w:r>
      <w:r w:rsidRPr="007F530F">
        <w:t xml:space="preserve"> The Council concluded that sentencing practices for this offence were too constrained and would benefit from formal guidance, particularly through a guideline judgment about sex offences against children.</w:t>
      </w:r>
      <w:r w:rsidRPr="007F530F">
        <w:rPr>
          <w:rStyle w:val="Superscript"/>
        </w:rPr>
        <w:footnoteReference w:id="14"/>
      </w:r>
    </w:p>
    <w:p w14:paraId="7BA5A7B2" w14:textId="6FC57CB9" w:rsidR="00EF5C25" w:rsidRPr="007F530F" w:rsidRDefault="00EF5C25" w:rsidP="002C6923">
      <w:pPr>
        <w:pStyle w:val="Numbered"/>
      </w:pPr>
      <w:r w:rsidRPr="007F530F">
        <w:t>The Council also publishes biennial Sentencing Snapshots of outcomes for certain sex offences sentenced in the higher courts over a five-year period.</w:t>
      </w:r>
      <w:r w:rsidRPr="007F530F">
        <w:rPr>
          <w:rStyle w:val="Superscript"/>
        </w:rPr>
        <w:footnoteReference w:id="15"/>
      </w:r>
    </w:p>
    <w:p w14:paraId="1D1F5579" w14:textId="77777777" w:rsidR="00EF5C25" w:rsidRPr="007F530F" w:rsidRDefault="00EF5C25" w:rsidP="002C6923">
      <w:pPr>
        <w:pStyle w:val="Numbered"/>
      </w:pPr>
      <w:r w:rsidRPr="007F530F">
        <w:lastRenderedPageBreak/>
        <w:t>In 2015, the Tasmanian Sentencing Advisory Council found that sentencing practices for serious sex offences did not accord with public expectations and recommended exploring the use of guideline judgments as a way of providing for a ‘measured increase in sentencing for sex offences in appropriate cases’.</w:t>
      </w:r>
      <w:r w:rsidRPr="007F530F">
        <w:rPr>
          <w:rStyle w:val="Superscript"/>
        </w:rPr>
        <w:footnoteReference w:id="16"/>
      </w:r>
      <w:r w:rsidRPr="007F530F">
        <w:t xml:space="preserve"> In 2018, the Tasmanian Sentencing Advisory Council found that ‘sentencing for sexual offences involving children in the Supreme Court has clearly increased,’ and noted that ‘there is scope to impose longer sentences’ within their legal frameworks.</w:t>
      </w:r>
      <w:r w:rsidRPr="007F530F">
        <w:rPr>
          <w:rStyle w:val="Superscript"/>
        </w:rPr>
        <w:footnoteReference w:id="17"/>
      </w:r>
    </w:p>
    <w:p w14:paraId="561EB588" w14:textId="77777777" w:rsidR="00EF5C25" w:rsidRPr="007F530F" w:rsidRDefault="00EF5C25" w:rsidP="002C6923">
      <w:pPr>
        <w:pStyle w:val="Numbered"/>
      </w:pPr>
      <w:r w:rsidRPr="007F530F">
        <w:t>Over the last decade, researchers investigating public attitudes to sentencing in Tasmania and Victoria</w:t>
      </w:r>
      <w:r w:rsidRPr="007F530F">
        <w:rPr>
          <w:rStyle w:val="Superscript"/>
        </w:rPr>
        <w:footnoteReference w:id="18"/>
      </w:r>
      <w:r w:rsidRPr="007F530F">
        <w:t xml:space="preserve"> have found that the offence type for which the community is most likely to impose a more severe sentence than the judge was sex offences (45%),</w:t>
      </w:r>
      <w:r w:rsidRPr="007F530F">
        <w:rPr>
          <w:rStyle w:val="Superscript"/>
        </w:rPr>
        <w:footnoteReference w:id="19"/>
      </w:r>
      <w:r w:rsidRPr="007F530F">
        <w:t xml:space="preserve"> especially against children aged under 12 (63%).</w:t>
      </w:r>
      <w:r w:rsidRPr="007F530F">
        <w:rPr>
          <w:rStyle w:val="Superscript"/>
        </w:rPr>
        <w:footnoteReference w:id="20"/>
      </w:r>
      <w:r w:rsidRPr="007F530F">
        <w:t xml:space="preserve"> Further, even after participating in the research, between 70% (Tasmania) and 78% (Victoria) of participants considered sentencing for sex offences to be too lenient.</w:t>
      </w:r>
      <w:r w:rsidRPr="007F530F">
        <w:rPr>
          <w:rStyle w:val="Superscript"/>
        </w:rPr>
        <w:footnoteReference w:id="21"/>
      </w:r>
    </w:p>
    <w:p w14:paraId="7327138C" w14:textId="77777777" w:rsidR="00EF5C25" w:rsidRPr="007F530F" w:rsidRDefault="00EF5C25" w:rsidP="002C6923">
      <w:pPr>
        <w:pStyle w:val="Numbered"/>
      </w:pPr>
      <w:r w:rsidRPr="007F530F">
        <w:lastRenderedPageBreak/>
        <w:t>In summary, research has consistently suggested a need to increase sentence lengths for sex offences, particularly child sex offences, and to expand the range of sentences imposed to better distinguish and account for especially serious offending. It has also suggested that formal guidance through a guideline judgment or similar mechanism could be a useful means of doing so.</w:t>
      </w:r>
    </w:p>
    <w:p w14:paraId="3D25C657" w14:textId="77777777" w:rsidR="00EF5C25" w:rsidRPr="007F530F" w:rsidRDefault="00EF5C25" w:rsidP="006633AA">
      <w:pPr>
        <w:pStyle w:val="Heading2"/>
      </w:pPr>
      <w:r w:rsidRPr="007F530F">
        <w:t>Report structure</w:t>
      </w:r>
    </w:p>
    <w:p w14:paraId="6D36C168" w14:textId="77777777" w:rsidR="00EF5C25" w:rsidRPr="007F530F" w:rsidRDefault="00EF5C25" w:rsidP="002C6923">
      <w:pPr>
        <w:pStyle w:val="Numbered"/>
      </w:pPr>
      <w:r w:rsidRPr="007F530F">
        <w:t>Chapter 2 of this report provides an overview of the three sentencing reforms, including some general guidance provided by the courts as to how the reforms should apply. Chapters 3 to 8 then each focus on a category of sex offence, summarising how many offences were recorded and sentenced during the reference period, the sentence types imposed for those offences and the duration of prison sentences at both the charge level and the case level for the most prevalent offences within each category. Chapter 9, the final chapter of this report, provides some concluding remarks arising out of that analysis.</w:t>
      </w:r>
    </w:p>
    <w:p w14:paraId="68A6AFC2" w14:textId="77777777" w:rsidR="00EF5C25" w:rsidRPr="007F530F" w:rsidRDefault="00EF5C25" w:rsidP="006633AA">
      <w:pPr>
        <w:pStyle w:val="Heading2"/>
      </w:pPr>
      <w:r w:rsidRPr="007F530F">
        <w:t>A high-level overview</w:t>
      </w:r>
    </w:p>
    <w:p w14:paraId="5DB1A4C7" w14:textId="77777777" w:rsidR="00EF5C25" w:rsidRPr="007F530F" w:rsidRDefault="00EF5C25" w:rsidP="002C6923">
      <w:pPr>
        <w:pStyle w:val="Numbered"/>
      </w:pPr>
      <w:r w:rsidRPr="007F530F">
        <w:t>Between 2010 and 2019, 14,886 contact sex offences were sentenced in 5,527 cases in Victoria (approximately 1,500 charges per year). Almost all of the 5,225 offenders sentenced were male (97%);</w:t>
      </w:r>
      <w:r w:rsidRPr="007F530F">
        <w:rPr>
          <w:rStyle w:val="Superscript"/>
        </w:rPr>
        <w:footnoteReference w:id="22"/>
      </w:r>
      <w:r w:rsidRPr="007F530F">
        <w:t xml:space="preserve"> only 132 were female. Many sentenced offences were the </w:t>
      </w:r>
      <w:r w:rsidRPr="007F530F">
        <w:lastRenderedPageBreak/>
        <w:t>historical offence of indecent assault in effect prior to 1991. That offence (and therefore its associated data) did not distinguish between adult and child victims.</w:t>
      </w:r>
      <w:r w:rsidRPr="007F530F">
        <w:rPr>
          <w:rStyle w:val="Superscript"/>
        </w:rPr>
        <w:footnoteReference w:id="23"/>
      </w:r>
      <w:r w:rsidRPr="007F530F">
        <w:t xml:space="preserve"> Because this report analyses offences against adults and children separately, 1,888 sentenced charges of that offence are excluded from the analysis in this report. Of the remaining 12,998 charges, more than half (55%) were child sex offences (Figure 1). That figure is probably closer to 64% given that almost all incest offences are committed against child victims.</w:t>
      </w:r>
    </w:p>
    <w:p w14:paraId="030B5770" w14:textId="77777777" w:rsidR="00EF5C25" w:rsidRPr="007F530F" w:rsidRDefault="00EF5C25" w:rsidP="00D00197">
      <w:pPr>
        <w:pStyle w:val="Caption"/>
      </w:pPr>
      <w:r w:rsidRPr="00D00197">
        <w:t xml:space="preserve">Figure 1: </w:t>
      </w:r>
      <w:r w:rsidRPr="007F530F">
        <w:t>Number of contact sex offence charges sentenced in Victoria, by year (12,998 charges)</w:t>
      </w:r>
      <w:r w:rsidRPr="007F530F">
        <w:rPr>
          <w:rStyle w:val="Superscript"/>
        </w:rPr>
        <w:footnoteReference w:id="24"/>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9E6687" w:rsidRPr="00BB0BCE" w14:paraId="742A6577" w14:textId="77777777" w:rsidTr="000A0CF7">
        <w:trPr>
          <w:trHeight w:val="290"/>
        </w:trPr>
        <w:tc>
          <w:tcPr>
            <w:tcW w:w="1000" w:type="pct"/>
            <w:noWrap/>
            <w:hideMark/>
          </w:tcPr>
          <w:p w14:paraId="589B24EF" w14:textId="434D7155" w:rsidR="00BB0BCE" w:rsidRPr="009E6687" w:rsidRDefault="00BB0BCE" w:rsidP="009E6687">
            <w:pPr>
              <w:pStyle w:val="TableHeading"/>
            </w:pPr>
            <w:r w:rsidRPr="009E6687">
              <w:t>Year</w:t>
            </w:r>
          </w:p>
        </w:tc>
        <w:tc>
          <w:tcPr>
            <w:tcW w:w="1000" w:type="pct"/>
            <w:noWrap/>
            <w:hideMark/>
          </w:tcPr>
          <w:p w14:paraId="52E4BBD1" w14:textId="77777777" w:rsidR="00BB0BCE" w:rsidRPr="009E6687" w:rsidRDefault="00BB0BCE" w:rsidP="009E6687">
            <w:pPr>
              <w:pStyle w:val="TableHeading"/>
            </w:pPr>
            <w:r w:rsidRPr="009E6687">
              <w:t>Child sex offences</w:t>
            </w:r>
          </w:p>
        </w:tc>
        <w:tc>
          <w:tcPr>
            <w:tcW w:w="1000" w:type="pct"/>
            <w:noWrap/>
            <w:hideMark/>
          </w:tcPr>
          <w:p w14:paraId="2C061658" w14:textId="77777777" w:rsidR="00BB0BCE" w:rsidRPr="009E6687" w:rsidRDefault="00BB0BCE" w:rsidP="009E6687">
            <w:pPr>
              <w:pStyle w:val="TableHeading"/>
            </w:pPr>
            <w:r w:rsidRPr="009E6687">
              <w:t>Sexual assault offences</w:t>
            </w:r>
          </w:p>
        </w:tc>
        <w:tc>
          <w:tcPr>
            <w:tcW w:w="1000" w:type="pct"/>
            <w:noWrap/>
            <w:hideMark/>
          </w:tcPr>
          <w:p w14:paraId="00940A82" w14:textId="77777777" w:rsidR="00BB0BCE" w:rsidRPr="009E6687" w:rsidRDefault="00BB0BCE" w:rsidP="009E6687">
            <w:pPr>
              <w:pStyle w:val="TableHeading"/>
            </w:pPr>
            <w:r w:rsidRPr="009E6687">
              <w:t>Incest offences</w:t>
            </w:r>
          </w:p>
        </w:tc>
        <w:tc>
          <w:tcPr>
            <w:tcW w:w="1000" w:type="pct"/>
            <w:noWrap/>
            <w:hideMark/>
          </w:tcPr>
          <w:p w14:paraId="4A63DD37" w14:textId="77777777" w:rsidR="00BB0BCE" w:rsidRPr="009E6687" w:rsidRDefault="00BB0BCE" w:rsidP="009E6687">
            <w:pPr>
              <w:pStyle w:val="TableHeading"/>
            </w:pPr>
            <w:r w:rsidRPr="009E6687">
              <w:t>Rape offences</w:t>
            </w:r>
          </w:p>
        </w:tc>
      </w:tr>
      <w:tr w:rsidR="009E6687" w:rsidRPr="00BB0BCE" w14:paraId="32807A63" w14:textId="77777777" w:rsidTr="000A0CF7">
        <w:trPr>
          <w:trHeight w:val="290"/>
        </w:trPr>
        <w:tc>
          <w:tcPr>
            <w:tcW w:w="1000" w:type="pct"/>
            <w:noWrap/>
            <w:hideMark/>
          </w:tcPr>
          <w:p w14:paraId="19836D69" w14:textId="77777777" w:rsidR="00BB0BCE" w:rsidRPr="009E6687" w:rsidRDefault="00BB0BCE" w:rsidP="009E6687">
            <w:pPr>
              <w:pStyle w:val="TableBody"/>
            </w:pPr>
            <w:r w:rsidRPr="009E6687">
              <w:t>2010</w:t>
            </w:r>
          </w:p>
        </w:tc>
        <w:tc>
          <w:tcPr>
            <w:tcW w:w="1000" w:type="pct"/>
            <w:noWrap/>
            <w:hideMark/>
          </w:tcPr>
          <w:p w14:paraId="62090D44" w14:textId="77777777" w:rsidR="00BB0BCE" w:rsidRPr="009E6687" w:rsidRDefault="00BB0BCE" w:rsidP="009E6687">
            <w:pPr>
              <w:pStyle w:val="TableBody"/>
            </w:pPr>
            <w:r w:rsidRPr="009E6687">
              <w:t>681</w:t>
            </w:r>
          </w:p>
        </w:tc>
        <w:tc>
          <w:tcPr>
            <w:tcW w:w="1000" w:type="pct"/>
            <w:noWrap/>
            <w:hideMark/>
          </w:tcPr>
          <w:p w14:paraId="104EC56B" w14:textId="77777777" w:rsidR="00BB0BCE" w:rsidRPr="009E6687" w:rsidRDefault="00BB0BCE" w:rsidP="009E6687">
            <w:pPr>
              <w:pStyle w:val="TableBody"/>
            </w:pPr>
            <w:r w:rsidRPr="009E6687">
              <w:t>436</w:t>
            </w:r>
          </w:p>
        </w:tc>
        <w:tc>
          <w:tcPr>
            <w:tcW w:w="1000" w:type="pct"/>
            <w:noWrap/>
            <w:hideMark/>
          </w:tcPr>
          <w:p w14:paraId="38F859EF" w14:textId="77777777" w:rsidR="00BB0BCE" w:rsidRPr="009E6687" w:rsidRDefault="00BB0BCE" w:rsidP="009E6687">
            <w:pPr>
              <w:pStyle w:val="TableBody"/>
            </w:pPr>
            <w:r w:rsidRPr="009E6687">
              <w:t>183</w:t>
            </w:r>
          </w:p>
        </w:tc>
        <w:tc>
          <w:tcPr>
            <w:tcW w:w="1000" w:type="pct"/>
            <w:noWrap/>
            <w:hideMark/>
          </w:tcPr>
          <w:p w14:paraId="2A9F0B47" w14:textId="77777777" w:rsidR="00BB0BCE" w:rsidRPr="009E6687" w:rsidRDefault="00BB0BCE" w:rsidP="009E6687">
            <w:pPr>
              <w:pStyle w:val="TableBody"/>
            </w:pPr>
            <w:r w:rsidRPr="009E6687">
              <w:t>98</w:t>
            </w:r>
          </w:p>
        </w:tc>
      </w:tr>
      <w:tr w:rsidR="009E6687" w:rsidRPr="00BB0BCE" w14:paraId="6B5E4F6E" w14:textId="77777777" w:rsidTr="000A0CF7">
        <w:trPr>
          <w:trHeight w:val="290"/>
        </w:trPr>
        <w:tc>
          <w:tcPr>
            <w:tcW w:w="1000" w:type="pct"/>
            <w:noWrap/>
            <w:hideMark/>
          </w:tcPr>
          <w:p w14:paraId="05E3E868" w14:textId="77777777" w:rsidR="00BB0BCE" w:rsidRPr="009E6687" w:rsidRDefault="00BB0BCE" w:rsidP="009E6687">
            <w:pPr>
              <w:pStyle w:val="TableBody"/>
            </w:pPr>
            <w:r w:rsidRPr="009E6687">
              <w:t>2011</w:t>
            </w:r>
          </w:p>
        </w:tc>
        <w:tc>
          <w:tcPr>
            <w:tcW w:w="1000" w:type="pct"/>
            <w:noWrap/>
            <w:hideMark/>
          </w:tcPr>
          <w:p w14:paraId="1357995A" w14:textId="77777777" w:rsidR="00BB0BCE" w:rsidRPr="009E6687" w:rsidRDefault="00BB0BCE" w:rsidP="009E6687">
            <w:pPr>
              <w:pStyle w:val="TableBody"/>
            </w:pPr>
            <w:r w:rsidRPr="009E6687">
              <w:t>864</w:t>
            </w:r>
          </w:p>
        </w:tc>
        <w:tc>
          <w:tcPr>
            <w:tcW w:w="1000" w:type="pct"/>
            <w:noWrap/>
            <w:hideMark/>
          </w:tcPr>
          <w:p w14:paraId="22A2D4AF" w14:textId="77777777" w:rsidR="00BB0BCE" w:rsidRPr="009E6687" w:rsidRDefault="00BB0BCE" w:rsidP="009E6687">
            <w:pPr>
              <w:pStyle w:val="TableBody"/>
            </w:pPr>
            <w:r w:rsidRPr="009E6687">
              <w:t>318</w:t>
            </w:r>
          </w:p>
        </w:tc>
        <w:tc>
          <w:tcPr>
            <w:tcW w:w="1000" w:type="pct"/>
            <w:noWrap/>
            <w:hideMark/>
          </w:tcPr>
          <w:p w14:paraId="5BC5FFE2" w14:textId="77777777" w:rsidR="00BB0BCE" w:rsidRPr="009E6687" w:rsidRDefault="00BB0BCE" w:rsidP="009E6687">
            <w:pPr>
              <w:pStyle w:val="TableBody"/>
            </w:pPr>
            <w:r w:rsidRPr="009E6687">
              <w:t>100</w:t>
            </w:r>
          </w:p>
        </w:tc>
        <w:tc>
          <w:tcPr>
            <w:tcW w:w="1000" w:type="pct"/>
            <w:noWrap/>
            <w:hideMark/>
          </w:tcPr>
          <w:p w14:paraId="55F677C9" w14:textId="77777777" w:rsidR="00BB0BCE" w:rsidRPr="009E6687" w:rsidRDefault="00BB0BCE" w:rsidP="009E6687">
            <w:pPr>
              <w:pStyle w:val="TableBody"/>
            </w:pPr>
            <w:r w:rsidRPr="009E6687">
              <w:t>117</w:t>
            </w:r>
          </w:p>
        </w:tc>
      </w:tr>
      <w:tr w:rsidR="009E6687" w:rsidRPr="00BB0BCE" w14:paraId="6E8AC04E" w14:textId="77777777" w:rsidTr="000A0CF7">
        <w:trPr>
          <w:trHeight w:val="290"/>
        </w:trPr>
        <w:tc>
          <w:tcPr>
            <w:tcW w:w="1000" w:type="pct"/>
            <w:noWrap/>
            <w:hideMark/>
          </w:tcPr>
          <w:p w14:paraId="1C1A2101" w14:textId="77777777" w:rsidR="00BB0BCE" w:rsidRPr="009E6687" w:rsidRDefault="00BB0BCE" w:rsidP="009E6687">
            <w:pPr>
              <w:pStyle w:val="TableBody"/>
            </w:pPr>
            <w:r w:rsidRPr="009E6687">
              <w:t>2012</w:t>
            </w:r>
          </w:p>
        </w:tc>
        <w:tc>
          <w:tcPr>
            <w:tcW w:w="1000" w:type="pct"/>
            <w:noWrap/>
            <w:hideMark/>
          </w:tcPr>
          <w:p w14:paraId="3170E886" w14:textId="77777777" w:rsidR="00BB0BCE" w:rsidRPr="009E6687" w:rsidRDefault="00BB0BCE" w:rsidP="009E6687">
            <w:pPr>
              <w:pStyle w:val="TableBody"/>
            </w:pPr>
            <w:r w:rsidRPr="009E6687">
              <w:t>816</w:t>
            </w:r>
          </w:p>
        </w:tc>
        <w:tc>
          <w:tcPr>
            <w:tcW w:w="1000" w:type="pct"/>
            <w:noWrap/>
            <w:hideMark/>
          </w:tcPr>
          <w:p w14:paraId="53952941" w14:textId="77777777" w:rsidR="00BB0BCE" w:rsidRPr="009E6687" w:rsidRDefault="00BB0BCE" w:rsidP="009E6687">
            <w:pPr>
              <w:pStyle w:val="TableBody"/>
            </w:pPr>
            <w:r w:rsidRPr="009E6687">
              <w:t>333</w:t>
            </w:r>
          </w:p>
        </w:tc>
        <w:tc>
          <w:tcPr>
            <w:tcW w:w="1000" w:type="pct"/>
            <w:noWrap/>
            <w:hideMark/>
          </w:tcPr>
          <w:p w14:paraId="1C5C94E2" w14:textId="77777777" w:rsidR="00BB0BCE" w:rsidRPr="009E6687" w:rsidRDefault="00BB0BCE" w:rsidP="009E6687">
            <w:pPr>
              <w:pStyle w:val="TableBody"/>
            </w:pPr>
            <w:r w:rsidRPr="009E6687">
              <w:t>84</w:t>
            </w:r>
          </w:p>
        </w:tc>
        <w:tc>
          <w:tcPr>
            <w:tcW w:w="1000" w:type="pct"/>
            <w:noWrap/>
            <w:hideMark/>
          </w:tcPr>
          <w:p w14:paraId="26C855A7" w14:textId="77777777" w:rsidR="00BB0BCE" w:rsidRPr="009E6687" w:rsidRDefault="00BB0BCE" w:rsidP="009E6687">
            <w:pPr>
              <w:pStyle w:val="TableBody"/>
            </w:pPr>
            <w:r w:rsidRPr="009E6687">
              <w:t>73</w:t>
            </w:r>
          </w:p>
        </w:tc>
      </w:tr>
      <w:tr w:rsidR="009E6687" w:rsidRPr="00BB0BCE" w14:paraId="31193A35" w14:textId="77777777" w:rsidTr="000A0CF7">
        <w:trPr>
          <w:trHeight w:val="290"/>
        </w:trPr>
        <w:tc>
          <w:tcPr>
            <w:tcW w:w="1000" w:type="pct"/>
            <w:noWrap/>
            <w:hideMark/>
          </w:tcPr>
          <w:p w14:paraId="5C006BF7" w14:textId="77777777" w:rsidR="00BB0BCE" w:rsidRPr="009E6687" w:rsidRDefault="00BB0BCE" w:rsidP="009E6687">
            <w:pPr>
              <w:pStyle w:val="TableBody"/>
            </w:pPr>
            <w:r w:rsidRPr="009E6687">
              <w:t>2013</w:t>
            </w:r>
          </w:p>
        </w:tc>
        <w:tc>
          <w:tcPr>
            <w:tcW w:w="1000" w:type="pct"/>
            <w:noWrap/>
            <w:hideMark/>
          </w:tcPr>
          <w:p w14:paraId="173AD7D9" w14:textId="77777777" w:rsidR="00BB0BCE" w:rsidRPr="009E6687" w:rsidRDefault="00BB0BCE" w:rsidP="009E6687">
            <w:pPr>
              <w:pStyle w:val="TableBody"/>
            </w:pPr>
            <w:r w:rsidRPr="009E6687">
              <w:t>624</w:t>
            </w:r>
          </w:p>
        </w:tc>
        <w:tc>
          <w:tcPr>
            <w:tcW w:w="1000" w:type="pct"/>
            <w:noWrap/>
            <w:hideMark/>
          </w:tcPr>
          <w:p w14:paraId="47774FA3" w14:textId="77777777" w:rsidR="00BB0BCE" w:rsidRPr="009E6687" w:rsidRDefault="00BB0BCE" w:rsidP="009E6687">
            <w:pPr>
              <w:pStyle w:val="TableBody"/>
            </w:pPr>
            <w:r w:rsidRPr="009E6687">
              <w:t>361</w:t>
            </w:r>
          </w:p>
        </w:tc>
        <w:tc>
          <w:tcPr>
            <w:tcW w:w="1000" w:type="pct"/>
            <w:noWrap/>
            <w:hideMark/>
          </w:tcPr>
          <w:p w14:paraId="4736F5B5" w14:textId="77777777" w:rsidR="00BB0BCE" w:rsidRPr="009E6687" w:rsidRDefault="00BB0BCE" w:rsidP="009E6687">
            <w:pPr>
              <w:pStyle w:val="TableBody"/>
            </w:pPr>
            <w:r w:rsidRPr="009E6687">
              <w:t>105</w:t>
            </w:r>
          </w:p>
        </w:tc>
        <w:tc>
          <w:tcPr>
            <w:tcW w:w="1000" w:type="pct"/>
            <w:noWrap/>
            <w:hideMark/>
          </w:tcPr>
          <w:p w14:paraId="227D0443" w14:textId="77777777" w:rsidR="00BB0BCE" w:rsidRPr="009E6687" w:rsidRDefault="00BB0BCE" w:rsidP="009E6687">
            <w:pPr>
              <w:pStyle w:val="TableBody"/>
            </w:pPr>
            <w:r w:rsidRPr="009E6687">
              <w:t>86</w:t>
            </w:r>
          </w:p>
        </w:tc>
      </w:tr>
      <w:tr w:rsidR="009E6687" w:rsidRPr="00BB0BCE" w14:paraId="366BC71B" w14:textId="77777777" w:rsidTr="000A0CF7">
        <w:trPr>
          <w:trHeight w:val="290"/>
        </w:trPr>
        <w:tc>
          <w:tcPr>
            <w:tcW w:w="1000" w:type="pct"/>
            <w:noWrap/>
            <w:hideMark/>
          </w:tcPr>
          <w:p w14:paraId="2FDAE21D" w14:textId="77777777" w:rsidR="00BB0BCE" w:rsidRPr="009E6687" w:rsidRDefault="00BB0BCE" w:rsidP="009E6687">
            <w:pPr>
              <w:pStyle w:val="TableBody"/>
            </w:pPr>
            <w:r w:rsidRPr="009E6687">
              <w:t>2014</w:t>
            </w:r>
          </w:p>
        </w:tc>
        <w:tc>
          <w:tcPr>
            <w:tcW w:w="1000" w:type="pct"/>
            <w:noWrap/>
            <w:hideMark/>
          </w:tcPr>
          <w:p w14:paraId="7B214AB9" w14:textId="77777777" w:rsidR="00BB0BCE" w:rsidRPr="009E6687" w:rsidRDefault="00BB0BCE" w:rsidP="009E6687">
            <w:pPr>
              <w:pStyle w:val="TableBody"/>
            </w:pPr>
            <w:r w:rsidRPr="009E6687">
              <w:t>796</w:t>
            </w:r>
          </w:p>
        </w:tc>
        <w:tc>
          <w:tcPr>
            <w:tcW w:w="1000" w:type="pct"/>
            <w:noWrap/>
            <w:hideMark/>
          </w:tcPr>
          <w:p w14:paraId="473C9364" w14:textId="77777777" w:rsidR="00BB0BCE" w:rsidRPr="009E6687" w:rsidRDefault="00BB0BCE" w:rsidP="009E6687">
            <w:pPr>
              <w:pStyle w:val="TableBody"/>
            </w:pPr>
            <w:r w:rsidRPr="009E6687">
              <w:t>356</w:t>
            </w:r>
          </w:p>
        </w:tc>
        <w:tc>
          <w:tcPr>
            <w:tcW w:w="1000" w:type="pct"/>
            <w:noWrap/>
            <w:hideMark/>
          </w:tcPr>
          <w:p w14:paraId="79EF4AA7" w14:textId="77777777" w:rsidR="00BB0BCE" w:rsidRPr="009E6687" w:rsidRDefault="00BB0BCE" w:rsidP="009E6687">
            <w:pPr>
              <w:pStyle w:val="TableBody"/>
            </w:pPr>
            <w:r w:rsidRPr="009E6687">
              <w:t>131</w:t>
            </w:r>
          </w:p>
        </w:tc>
        <w:tc>
          <w:tcPr>
            <w:tcW w:w="1000" w:type="pct"/>
            <w:noWrap/>
            <w:hideMark/>
          </w:tcPr>
          <w:p w14:paraId="6C0FD503" w14:textId="77777777" w:rsidR="00BB0BCE" w:rsidRPr="009E6687" w:rsidRDefault="00BB0BCE" w:rsidP="009E6687">
            <w:pPr>
              <w:pStyle w:val="TableBody"/>
            </w:pPr>
            <w:r w:rsidRPr="009E6687">
              <w:t>114</w:t>
            </w:r>
          </w:p>
        </w:tc>
      </w:tr>
      <w:tr w:rsidR="009E6687" w:rsidRPr="00BB0BCE" w14:paraId="51F0DB4A" w14:textId="77777777" w:rsidTr="000A0CF7">
        <w:trPr>
          <w:trHeight w:val="290"/>
        </w:trPr>
        <w:tc>
          <w:tcPr>
            <w:tcW w:w="1000" w:type="pct"/>
            <w:noWrap/>
            <w:hideMark/>
          </w:tcPr>
          <w:p w14:paraId="5FC229C1" w14:textId="77777777" w:rsidR="00BB0BCE" w:rsidRPr="009E6687" w:rsidRDefault="00BB0BCE" w:rsidP="009E6687">
            <w:pPr>
              <w:pStyle w:val="TableBody"/>
            </w:pPr>
            <w:r w:rsidRPr="009E6687">
              <w:t>2015</w:t>
            </w:r>
          </w:p>
        </w:tc>
        <w:tc>
          <w:tcPr>
            <w:tcW w:w="1000" w:type="pct"/>
            <w:noWrap/>
            <w:hideMark/>
          </w:tcPr>
          <w:p w14:paraId="36C8ADE0" w14:textId="77777777" w:rsidR="00BB0BCE" w:rsidRPr="009E6687" w:rsidRDefault="00BB0BCE" w:rsidP="009E6687">
            <w:pPr>
              <w:pStyle w:val="TableBody"/>
            </w:pPr>
            <w:r w:rsidRPr="009E6687">
              <w:t>754</w:t>
            </w:r>
          </w:p>
        </w:tc>
        <w:tc>
          <w:tcPr>
            <w:tcW w:w="1000" w:type="pct"/>
            <w:noWrap/>
            <w:hideMark/>
          </w:tcPr>
          <w:p w14:paraId="4BC33F45" w14:textId="77777777" w:rsidR="00BB0BCE" w:rsidRPr="009E6687" w:rsidRDefault="00BB0BCE" w:rsidP="009E6687">
            <w:pPr>
              <w:pStyle w:val="TableBody"/>
            </w:pPr>
            <w:r w:rsidRPr="009E6687">
              <w:t>365</w:t>
            </w:r>
          </w:p>
        </w:tc>
        <w:tc>
          <w:tcPr>
            <w:tcW w:w="1000" w:type="pct"/>
            <w:noWrap/>
            <w:hideMark/>
          </w:tcPr>
          <w:p w14:paraId="1C5F0C31" w14:textId="77777777" w:rsidR="00BB0BCE" w:rsidRPr="009E6687" w:rsidRDefault="00BB0BCE" w:rsidP="009E6687">
            <w:pPr>
              <w:pStyle w:val="TableBody"/>
            </w:pPr>
            <w:r w:rsidRPr="009E6687">
              <w:t>123</w:t>
            </w:r>
          </w:p>
        </w:tc>
        <w:tc>
          <w:tcPr>
            <w:tcW w:w="1000" w:type="pct"/>
            <w:noWrap/>
            <w:hideMark/>
          </w:tcPr>
          <w:p w14:paraId="05636A47" w14:textId="77777777" w:rsidR="00BB0BCE" w:rsidRPr="009E6687" w:rsidRDefault="00BB0BCE" w:rsidP="009E6687">
            <w:pPr>
              <w:pStyle w:val="TableBody"/>
            </w:pPr>
            <w:r w:rsidRPr="009E6687">
              <w:t>112</w:t>
            </w:r>
          </w:p>
        </w:tc>
      </w:tr>
      <w:tr w:rsidR="009E6687" w:rsidRPr="00BB0BCE" w14:paraId="34E99428" w14:textId="77777777" w:rsidTr="000A0CF7">
        <w:trPr>
          <w:trHeight w:val="290"/>
        </w:trPr>
        <w:tc>
          <w:tcPr>
            <w:tcW w:w="1000" w:type="pct"/>
            <w:noWrap/>
            <w:hideMark/>
          </w:tcPr>
          <w:p w14:paraId="20199A40" w14:textId="77777777" w:rsidR="00BB0BCE" w:rsidRPr="009E6687" w:rsidRDefault="00BB0BCE" w:rsidP="009E6687">
            <w:pPr>
              <w:pStyle w:val="TableBody"/>
            </w:pPr>
            <w:r w:rsidRPr="009E6687">
              <w:t>2016</w:t>
            </w:r>
          </w:p>
        </w:tc>
        <w:tc>
          <w:tcPr>
            <w:tcW w:w="1000" w:type="pct"/>
            <w:noWrap/>
            <w:hideMark/>
          </w:tcPr>
          <w:p w14:paraId="113F401A" w14:textId="77777777" w:rsidR="00BB0BCE" w:rsidRPr="009E6687" w:rsidRDefault="00BB0BCE" w:rsidP="009E6687">
            <w:pPr>
              <w:pStyle w:val="TableBody"/>
            </w:pPr>
            <w:r w:rsidRPr="009E6687">
              <w:t>760</w:t>
            </w:r>
          </w:p>
        </w:tc>
        <w:tc>
          <w:tcPr>
            <w:tcW w:w="1000" w:type="pct"/>
            <w:noWrap/>
            <w:hideMark/>
          </w:tcPr>
          <w:p w14:paraId="428AD76C" w14:textId="77777777" w:rsidR="00BB0BCE" w:rsidRPr="009E6687" w:rsidRDefault="00BB0BCE" w:rsidP="009E6687">
            <w:pPr>
              <w:pStyle w:val="TableBody"/>
            </w:pPr>
            <w:r w:rsidRPr="009E6687">
              <w:t>309</w:t>
            </w:r>
          </w:p>
        </w:tc>
        <w:tc>
          <w:tcPr>
            <w:tcW w:w="1000" w:type="pct"/>
            <w:noWrap/>
            <w:hideMark/>
          </w:tcPr>
          <w:p w14:paraId="637729FE" w14:textId="77777777" w:rsidR="00BB0BCE" w:rsidRPr="009E6687" w:rsidRDefault="00BB0BCE" w:rsidP="009E6687">
            <w:pPr>
              <w:pStyle w:val="TableBody"/>
            </w:pPr>
            <w:r w:rsidRPr="009E6687">
              <w:t>123</w:t>
            </w:r>
          </w:p>
        </w:tc>
        <w:tc>
          <w:tcPr>
            <w:tcW w:w="1000" w:type="pct"/>
            <w:noWrap/>
            <w:hideMark/>
          </w:tcPr>
          <w:p w14:paraId="6D92D45B" w14:textId="77777777" w:rsidR="00BB0BCE" w:rsidRPr="009E6687" w:rsidRDefault="00BB0BCE" w:rsidP="009E6687">
            <w:pPr>
              <w:pStyle w:val="TableBody"/>
            </w:pPr>
            <w:r w:rsidRPr="009E6687">
              <w:t>90</w:t>
            </w:r>
          </w:p>
        </w:tc>
      </w:tr>
      <w:tr w:rsidR="009E6687" w:rsidRPr="00BB0BCE" w14:paraId="654706CE" w14:textId="77777777" w:rsidTr="000A0CF7">
        <w:trPr>
          <w:trHeight w:val="290"/>
        </w:trPr>
        <w:tc>
          <w:tcPr>
            <w:tcW w:w="1000" w:type="pct"/>
            <w:noWrap/>
            <w:hideMark/>
          </w:tcPr>
          <w:p w14:paraId="7FE587FC" w14:textId="77777777" w:rsidR="00BB0BCE" w:rsidRPr="009E6687" w:rsidRDefault="00BB0BCE" w:rsidP="009E6687">
            <w:pPr>
              <w:pStyle w:val="TableBody"/>
            </w:pPr>
            <w:r w:rsidRPr="009E6687">
              <w:t>2017</w:t>
            </w:r>
          </w:p>
        </w:tc>
        <w:tc>
          <w:tcPr>
            <w:tcW w:w="1000" w:type="pct"/>
            <w:noWrap/>
            <w:hideMark/>
          </w:tcPr>
          <w:p w14:paraId="239EDD5D" w14:textId="77777777" w:rsidR="00BB0BCE" w:rsidRPr="009E6687" w:rsidRDefault="00BB0BCE" w:rsidP="009E6687">
            <w:pPr>
              <w:pStyle w:val="TableBody"/>
            </w:pPr>
            <w:r w:rsidRPr="009E6687">
              <w:t>592</w:t>
            </w:r>
          </w:p>
        </w:tc>
        <w:tc>
          <w:tcPr>
            <w:tcW w:w="1000" w:type="pct"/>
            <w:noWrap/>
            <w:hideMark/>
          </w:tcPr>
          <w:p w14:paraId="209EF45B" w14:textId="77777777" w:rsidR="00BB0BCE" w:rsidRPr="009E6687" w:rsidRDefault="00BB0BCE" w:rsidP="009E6687">
            <w:pPr>
              <w:pStyle w:val="TableBody"/>
            </w:pPr>
            <w:r w:rsidRPr="009E6687">
              <w:t>377</w:t>
            </w:r>
          </w:p>
        </w:tc>
        <w:tc>
          <w:tcPr>
            <w:tcW w:w="1000" w:type="pct"/>
            <w:noWrap/>
            <w:hideMark/>
          </w:tcPr>
          <w:p w14:paraId="0D110A0C" w14:textId="77777777" w:rsidR="00BB0BCE" w:rsidRPr="009E6687" w:rsidRDefault="00BB0BCE" w:rsidP="009E6687">
            <w:pPr>
              <w:pStyle w:val="TableBody"/>
            </w:pPr>
            <w:r w:rsidRPr="009E6687">
              <w:t>69</w:t>
            </w:r>
          </w:p>
        </w:tc>
        <w:tc>
          <w:tcPr>
            <w:tcW w:w="1000" w:type="pct"/>
            <w:noWrap/>
            <w:hideMark/>
          </w:tcPr>
          <w:p w14:paraId="61BB30AB" w14:textId="77777777" w:rsidR="00BB0BCE" w:rsidRPr="009E6687" w:rsidRDefault="00BB0BCE" w:rsidP="009E6687">
            <w:pPr>
              <w:pStyle w:val="TableBody"/>
            </w:pPr>
            <w:r w:rsidRPr="009E6687">
              <w:t>96</w:t>
            </w:r>
          </w:p>
        </w:tc>
      </w:tr>
      <w:tr w:rsidR="009E6687" w:rsidRPr="00BB0BCE" w14:paraId="63735D24" w14:textId="77777777" w:rsidTr="000A0CF7">
        <w:trPr>
          <w:trHeight w:val="290"/>
        </w:trPr>
        <w:tc>
          <w:tcPr>
            <w:tcW w:w="1000" w:type="pct"/>
            <w:noWrap/>
            <w:hideMark/>
          </w:tcPr>
          <w:p w14:paraId="70DD023F" w14:textId="77777777" w:rsidR="00BB0BCE" w:rsidRPr="009E6687" w:rsidRDefault="00BB0BCE" w:rsidP="009E6687">
            <w:pPr>
              <w:pStyle w:val="TableBody"/>
            </w:pPr>
            <w:r w:rsidRPr="009E6687">
              <w:t>2018</w:t>
            </w:r>
          </w:p>
        </w:tc>
        <w:tc>
          <w:tcPr>
            <w:tcW w:w="1000" w:type="pct"/>
            <w:noWrap/>
            <w:hideMark/>
          </w:tcPr>
          <w:p w14:paraId="69AC1CED" w14:textId="77777777" w:rsidR="00BB0BCE" w:rsidRPr="009E6687" w:rsidRDefault="00BB0BCE" w:rsidP="009E6687">
            <w:pPr>
              <w:pStyle w:val="TableBody"/>
            </w:pPr>
            <w:r w:rsidRPr="009E6687">
              <w:t>648</w:t>
            </w:r>
          </w:p>
        </w:tc>
        <w:tc>
          <w:tcPr>
            <w:tcW w:w="1000" w:type="pct"/>
            <w:noWrap/>
            <w:hideMark/>
          </w:tcPr>
          <w:p w14:paraId="0ADE9BA0" w14:textId="77777777" w:rsidR="00BB0BCE" w:rsidRPr="009E6687" w:rsidRDefault="00BB0BCE" w:rsidP="009E6687">
            <w:pPr>
              <w:pStyle w:val="TableBody"/>
            </w:pPr>
            <w:r w:rsidRPr="009E6687">
              <w:t>400</w:t>
            </w:r>
          </w:p>
        </w:tc>
        <w:tc>
          <w:tcPr>
            <w:tcW w:w="1000" w:type="pct"/>
            <w:noWrap/>
            <w:hideMark/>
          </w:tcPr>
          <w:p w14:paraId="1904EF57" w14:textId="77777777" w:rsidR="00BB0BCE" w:rsidRPr="009E6687" w:rsidRDefault="00BB0BCE" w:rsidP="009E6687">
            <w:pPr>
              <w:pStyle w:val="TableBody"/>
            </w:pPr>
            <w:r w:rsidRPr="009E6687">
              <w:t>77</w:t>
            </w:r>
          </w:p>
        </w:tc>
        <w:tc>
          <w:tcPr>
            <w:tcW w:w="1000" w:type="pct"/>
            <w:noWrap/>
            <w:hideMark/>
          </w:tcPr>
          <w:p w14:paraId="6D5EA881" w14:textId="77777777" w:rsidR="00BB0BCE" w:rsidRPr="009E6687" w:rsidRDefault="00BB0BCE" w:rsidP="009E6687">
            <w:pPr>
              <w:pStyle w:val="TableBody"/>
            </w:pPr>
            <w:r w:rsidRPr="009E6687">
              <w:t>101</w:t>
            </w:r>
          </w:p>
        </w:tc>
      </w:tr>
      <w:tr w:rsidR="009E6687" w:rsidRPr="00BB0BCE" w14:paraId="7E9EAF0F" w14:textId="77777777" w:rsidTr="000A0CF7">
        <w:trPr>
          <w:trHeight w:val="290"/>
        </w:trPr>
        <w:tc>
          <w:tcPr>
            <w:tcW w:w="1000" w:type="pct"/>
            <w:noWrap/>
            <w:hideMark/>
          </w:tcPr>
          <w:p w14:paraId="5BC906B8" w14:textId="77777777" w:rsidR="00BB0BCE" w:rsidRPr="009E6687" w:rsidRDefault="00BB0BCE" w:rsidP="009E6687">
            <w:pPr>
              <w:pStyle w:val="TableBody"/>
            </w:pPr>
            <w:r w:rsidRPr="009E6687">
              <w:t>2019</w:t>
            </w:r>
          </w:p>
        </w:tc>
        <w:tc>
          <w:tcPr>
            <w:tcW w:w="1000" w:type="pct"/>
            <w:noWrap/>
            <w:hideMark/>
          </w:tcPr>
          <w:p w14:paraId="4A13961D" w14:textId="77777777" w:rsidR="00BB0BCE" w:rsidRPr="009E6687" w:rsidRDefault="00BB0BCE" w:rsidP="009E6687">
            <w:pPr>
              <w:pStyle w:val="TableBody"/>
            </w:pPr>
            <w:r w:rsidRPr="009E6687">
              <w:t>657</w:t>
            </w:r>
          </w:p>
        </w:tc>
        <w:tc>
          <w:tcPr>
            <w:tcW w:w="1000" w:type="pct"/>
            <w:noWrap/>
            <w:hideMark/>
          </w:tcPr>
          <w:p w14:paraId="6C72A522" w14:textId="77777777" w:rsidR="00BB0BCE" w:rsidRPr="009E6687" w:rsidRDefault="00BB0BCE" w:rsidP="009E6687">
            <w:pPr>
              <w:pStyle w:val="TableBody"/>
            </w:pPr>
            <w:r w:rsidRPr="009E6687">
              <w:t>389</w:t>
            </w:r>
          </w:p>
        </w:tc>
        <w:tc>
          <w:tcPr>
            <w:tcW w:w="1000" w:type="pct"/>
            <w:noWrap/>
            <w:hideMark/>
          </w:tcPr>
          <w:p w14:paraId="0535F7F3" w14:textId="77777777" w:rsidR="00BB0BCE" w:rsidRPr="009E6687" w:rsidRDefault="00BB0BCE" w:rsidP="009E6687">
            <w:pPr>
              <w:pStyle w:val="TableBody"/>
            </w:pPr>
            <w:r w:rsidRPr="009E6687">
              <w:t>115</w:t>
            </w:r>
          </w:p>
        </w:tc>
        <w:tc>
          <w:tcPr>
            <w:tcW w:w="1000" w:type="pct"/>
            <w:noWrap/>
            <w:hideMark/>
          </w:tcPr>
          <w:p w14:paraId="0275DCA7" w14:textId="77777777" w:rsidR="00BB0BCE" w:rsidRPr="009E6687" w:rsidRDefault="00BB0BCE" w:rsidP="009E6687">
            <w:pPr>
              <w:pStyle w:val="TableBody"/>
            </w:pPr>
            <w:r w:rsidRPr="009E6687">
              <w:t>116</w:t>
            </w:r>
          </w:p>
        </w:tc>
      </w:tr>
    </w:tbl>
    <w:p w14:paraId="02EBA592" w14:textId="656F8197" w:rsidR="00EF5C25" w:rsidRPr="007F530F" w:rsidRDefault="00EF5C25" w:rsidP="006633AA">
      <w:pPr>
        <w:pStyle w:val="Heading3"/>
      </w:pPr>
      <w:r w:rsidRPr="007F530F">
        <w:t xml:space="preserve">How many sex offences received immediate custodial sentences? </w:t>
      </w:r>
    </w:p>
    <w:p w14:paraId="253B9254" w14:textId="77777777" w:rsidR="00EF5C25" w:rsidRPr="007F530F" w:rsidRDefault="00EF5C25" w:rsidP="002C6923">
      <w:pPr>
        <w:pStyle w:val="Numbered"/>
      </w:pPr>
      <w:r w:rsidRPr="007F530F">
        <w:t>Figure 2 shows the rate at which sex offence charges received immediate custodial sentences by offence type.</w:t>
      </w:r>
      <w:r w:rsidRPr="007F530F">
        <w:rPr>
          <w:rStyle w:val="Superscript"/>
        </w:rPr>
        <w:footnoteReference w:id="25"/>
      </w:r>
      <w:r w:rsidRPr="007F530F">
        <w:t xml:space="preserve"> The offence types most likely to receive an immediate custodial sentence were </w:t>
      </w:r>
      <w:r w:rsidRPr="007F530F">
        <w:lastRenderedPageBreak/>
        <w:t>rape offences, incest offences, persistent sexual abuse of a child offences and sexual penetration with a child aged under 10/12 offences. Note, though, that the category of incest offences includes incest with a parent or sibling, which carry much lower maximum penalties than incest with a child, stepchild or lineal descendant. In total, the 6% of incest charges receiving sentences other than an immediate custodial sentence involved (with one exception) incest with a parent or sibling, or a handful of charges of incest with a child aged over 18.</w:t>
      </w:r>
    </w:p>
    <w:p w14:paraId="79697482" w14:textId="77777777" w:rsidR="00EF5C25" w:rsidRPr="007F530F" w:rsidRDefault="00EF5C25" w:rsidP="00D00197">
      <w:pPr>
        <w:pStyle w:val="Caption"/>
      </w:pPr>
      <w:r w:rsidRPr="00D00197">
        <w:t xml:space="preserve">Figure 2: </w:t>
      </w:r>
      <w:r w:rsidRPr="007F530F">
        <w:t>Rate of immediate custodial sentences imposed on charges of certain types of sex offences in Victoria, 2010 to 2019</w:t>
      </w:r>
    </w:p>
    <w:tbl>
      <w:tblPr>
        <w:tblStyle w:val="Table"/>
        <w:tblW w:w="5000" w:type="pct"/>
        <w:tblLook w:val="04A0" w:firstRow="1" w:lastRow="0" w:firstColumn="1" w:lastColumn="0" w:noHBand="0" w:noVBand="1"/>
      </w:tblPr>
      <w:tblGrid>
        <w:gridCol w:w="6748"/>
        <w:gridCol w:w="2268"/>
      </w:tblGrid>
      <w:tr w:rsidR="00BB747E" w:rsidRPr="00BB747E" w14:paraId="0F09AA8F" w14:textId="77777777" w:rsidTr="000A0CF7">
        <w:trPr>
          <w:trHeight w:val="290"/>
        </w:trPr>
        <w:tc>
          <w:tcPr>
            <w:tcW w:w="3742" w:type="pct"/>
            <w:noWrap/>
          </w:tcPr>
          <w:p w14:paraId="06DB496F" w14:textId="0CED1CA6" w:rsidR="00BB747E" w:rsidRPr="00BB747E" w:rsidRDefault="00BB747E" w:rsidP="00AC1A26">
            <w:pPr>
              <w:pStyle w:val="TableHeading"/>
            </w:pPr>
            <w:r>
              <w:t>Offence type</w:t>
            </w:r>
          </w:p>
        </w:tc>
        <w:tc>
          <w:tcPr>
            <w:tcW w:w="1258" w:type="pct"/>
            <w:noWrap/>
          </w:tcPr>
          <w:p w14:paraId="259CE4FE" w14:textId="76216744" w:rsidR="00BB747E" w:rsidRPr="00BB747E" w:rsidRDefault="00BB747E" w:rsidP="00AC1A26">
            <w:pPr>
              <w:pStyle w:val="TableHeading"/>
            </w:pPr>
            <w:r>
              <w:t>Percentage</w:t>
            </w:r>
          </w:p>
        </w:tc>
      </w:tr>
      <w:tr w:rsidR="00BB747E" w:rsidRPr="00BB747E" w14:paraId="1422DF29" w14:textId="77777777" w:rsidTr="000A0CF7">
        <w:trPr>
          <w:trHeight w:val="290"/>
        </w:trPr>
        <w:tc>
          <w:tcPr>
            <w:tcW w:w="3742" w:type="pct"/>
            <w:noWrap/>
            <w:hideMark/>
          </w:tcPr>
          <w:p w14:paraId="27BC6826" w14:textId="77777777" w:rsidR="00BB747E" w:rsidRPr="00BB747E" w:rsidRDefault="00BB747E" w:rsidP="00BB747E">
            <w:pPr>
              <w:pStyle w:val="TableBody"/>
            </w:pPr>
            <w:r w:rsidRPr="00BB747E">
              <w:t>Rape offences</w:t>
            </w:r>
          </w:p>
        </w:tc>
        <w:tc>
          <w:tcPr>
            <w:tcW w:w="1258" w:type="pct"/>
            <w:noWrap/>
            <w:hideMark/>
          </w:tcPr>
          <w:p w14:paraId="01F44C61" w14:textId="77777777" w:rsidR="00BB747E" w:rsidRPr="00BB747E" w:rsidRDefault="00BB747E" w:rsidP="00BB747E">
            <w:pPr>
              <w:pStyle w:val="TableBody"/>
            </w:pPr>
            <w:r w:rsidRPr="00BB747E">
              <w:t>96%</w:t>
            </w:r>
          </w:p>
        </w:tc>
      </w:tr>
      <w:tr w:rsidR="00BB747E" w:rsidRPr="00BB747E" w14:paraId="4614D8E9" w14:textId="77777777" w:rsidTr="000A0CF7">
        <w:trPr>
          <w:trHeight w:val="290"/>
        </w:trPr>
        <w:tc>
          <w:tcPr>
            <w:tcW w:w="3742" w:type="pct"/>
            <w:noWrap/>
            <w:hideMark/>
          </w:tcPr>
          <w:p w14:paraId="18D7EB09" w14:textId="77777777" w:rsidR="00BB747E" w:rsidRPr="00BB747E" w:rsidRDefault="00BB747E" w:rsidP="00BB747E">
            <w:pPr>
              <w:pStyle w:val="TableBody"/>
            </w:pPr>
            <w:r w:rsidRPr="00BB747E">
              <w:t>Incest offences</w:t>
            </w:r>
          </w:p>
        </w:tc>
        <w:tc>
          <w:tcPr>
            <w:tcW w:w="1258" w:type="pct"/>
            <w:noWrap/>
            <w:hideMark/>
          </w:tcPr>
          <w:p w14:paraId="2E607929" w14:textId="77777777" w:rsidR="00BB747E" w:rsidRPr="00BB747E" w:rsidRDefault="00BB747E" w:rsidP="00BB747E">
            <w:pPr>
              <w:pStyle w:val="TableBody"/>
            </w:pPr>
            <w:r w:rsidRPr="00BB747E">
              <w:t>94%</w:t>
            </w:r>
          </w:p>
        </w:tc>
      </w:tr>
      <w:tr w:rsidR="00BB747E" w:rsidRPr="00BB747E" w14:paraId="2A3CB5AF" w14:textId="77777777" w:rsidTr="000A0CF7">
        <w:trPr>
          <w:trHeight w:val="290"/>
        </w:trPr>
        <w:tc>
          <w:tcPr>
            <w:tcW w:w="3742" w:type="pct"/>
            <w:noWrap/>
            <w:hideMark/>
          </w:tcPr>
          <w:p w14:paraId="28D23345" w14:textId="77777777" w:rsidR="00BB747E" w:rsidRPr="00BB747E" w:rsidRDefault="00BB747E" w:rsidP="00BB747E">
            <w:pPr>
              <w:pStyle w:val="TableBody"/>
            </w:pPr>
            <w:r w:rsidRPr="00BB747E">
              <w:t>Persistent sexual abuse of a child offences</w:t>
            </w:r>
          </w:p>
        </w:tc>
        <w:tc>
          <w:tcPr>
            <w:tcW w:w="1258" w:type="pct"/>
            <w:noWrap/>
            <w:hideMark/>
          </w:tcPr>
          <w:p w14:paraId="2305A2A1" w14:textId="77777777" w:rsidR="00BB747E" w:rsidRPr="00BB747E" w:rsidRDefault="00BB747E" w:rsidP="00BB747E">
            <w:pPr>
              <w:pStyle w:val="TableBody"/>
            </w:pPr>
            <w:r w:rsidRPr="00BB747E">
              <w:t>92%</w:t>
            </w:r>
          </w:p>
        </w:tc>
      </w:tr>
      <w:tr w:rsidR="00BB747E" w:rsidRPr="00BB747E" w14:paraId="5B8EDE4F" w14:textId="77777777" w:rsidTr="000A0CF7">
        <w:trPr>
          <w:trHeight w:val="290"/>
        </w:trPr>
        <w:tc>
          <w:tcPr>
            <w:tcW w:w="3742" w:type="pct"/>
            <w:noWrap/>
            <w:hideMark/>
          </w:tcPr>
          <w:p w14:paraId="7612C114" w14:textId="77777777" w:rsidR="00BB747E" w:rsidRPr="00BB747E" w:rsidRDefault="00BB747E" w:rsidP="00BB747E">
            <w:pPr>
              <w:pStyle w:val="TableBody"/>
            </w:pPr>
            <w:r w:rsidRPr="00BB747E">
              <w:t>Sexual penetration child under 10 or 12</w:t>
            </w:r>
          </w:p>
        </w:tc>
        <w:tc>
          <w:tcPr>
            <w:tcW w:w="1258" w:type="pct"/>
            <w:noWrap/>
            <w:hideMark/>
          </w:tcPr>
          <w:p w14:paraId="4886198C" w14:textId="77777777" w:rsidR="00BB747E" w:rsidRPr="00BB747E" w:rsidRDefault="00BB747E" w:rsidP="00BB747E">
            <w:pPr>
              <w:pStyle w:val="TableBody"/>
            </w:pPr>
            <w:r w:rsidRPr="00BB747E">
              <w:t>89%</w:t>
            </w:r>
          </w:p>
        </w:tc>
      </w:tr>
      <w:tr w:rsidR="00BB747E" w:rsidRPr="00BB747E" w14:paraId="53C50546" w14:textId="77777777" w:rsidTr="000A0CF7">
        <w:trPr>
          <w:trHeight w:val="290"/>
        </w:trPr>
        <w:tc>
          <w:tcPr>
            <w:tcW w:w="3742" w:type="pct"/>
            <w:noWrap/>
            <w:hideMark/>
          </w:tcPr>
          <w:p w14:paraId="12F35D5C" w14:textId="77777777" w:rsidR="00BB747E" w:rsidRPr="00BB747E" w:rsidRDefault="00BB747E" w:rsidP="00BB747E">
            <w:pPr>
              <w:pStyle w:val="TableBody"/>
            </w:pPr>
            <w:r w:rsidRPr="00BB747E">
              <w:t>Child sexual assault offences</w:t>
            </w:r>
          </w:p>
        </w:tc>
        <w:tc>
          <w:tcPr>
            <w:tcW w:w="1258" w:type="pct"/>
            <w:noWrap/>
            <w:hideMark/>
          </w:tcPr>
          <w:p w14:paraId="1D51520A" w14:textId="77777777" w:rsidR="00BB747E" w:rsidRPr="00BB747E" w:rsidRDefault="00BB747E" w:rsidP="00BB747E">
            <w:pPr>
              <w:pStyle w:val="TableBody"/>
            </w:pPr>
            <w:r w:rsidRPr="00BB747E">
              <w:t>69%</w:t>
            </w:r>
          </w:p>
        </w:tc>
      </w:tr>
      <w:tr w:rsidR="00BB747E" w:rsidRPr="00BB747E" w14:paraId="34563340" w14:textId="77777777" w:rsidTr="000A0CF7">
        <w:trPr>
          <w:trHeight w:val="290"/>
        </w:trPr>
        <w:tc>
          <w:tcPr>
            <w:tcW w:w="3742" w:type="pct"/>
            <w:noWrap/>
            <w:hideMark/>
          </w:tcPr>
          <w:p w14:paraId="48683EBF" w14:textId="77777777" w:rsidR="00BB747E" w:rsidRPr="00BB747E" w:rsidRDefault="00BB747E" w:rsidP="00BB747E">
            <w:pPr>
              <w:pStyle w:val="TableBody"/>
            </w:pPr>
            <w:r w:rsidRPr="00BB747E">
              <w:t>Sexual penetration child aged 10 or 12 to 15</w:t>
            </w:r>
          </w:p>
        </w:tc>
        <w:tc>
          <w:tcPr>
            <w:tcW w:w="1258" w:type="pct"/>
            <w:noWrap/>
            <w:hideMark/>
          </w:tcPr>
          <w:p w14:paraId="623C09F0" w14:textId="77777777" w:rsidR="00BB747E" w:rsidRPr="00BB747E" w:rsidRDefault="00BB747E" w:rsidP="00BB747E">
            <w:pPr>
              <w:pStyle w:val="TableBody"/>
            </w:pPr>
            <w:r w:rsidRPr="00BB747E">
              <w:t>67%</w:t>
            </w:r>
          </w:p>
        </w:tc>
      </w:tr>
      <w:tr w:rsidR="00BB747E" w:rsidRPr="00BB747E" w14:paraId="1F1850D1" w14:textId="77777777" w:rsidTr="000A0CF7">
        <w:trPr>
          <w:trHeight w:val="290"/>
        </w:trPr>
        <w:tc>
          <w:tcPr>
            <w:tcW w:w="3742" w:type="pct"/>
            <w:noWrap/>
            <w:hideMark/>
          </w:tcPr>
          <w:p w14:paraId="69F8E9C7" w14:textId="77777777" w:rsidR="00BB747E" w:rsidRPr="00BB747E" w:rsidRDefault="00BB747E" w:rsidP="00BB747E">
            <w:pPr>
              <w:pStyle w:val="TableBody"/>
            </w:pPr>
            <w:r w:rsidRPr="00BB747E">
              <w:t>Sexual assault offences</w:t>
            </w:r>
          </w:p>
        </w:tc>
        <w:tc>
          <w:tcPr>
            <w:tcW w:w="1258" w:type="pct"/>
            <w:noWrap/>
            <w:hideMark/>
          </w:tcPr>
          <w:p w14:paraId="0D2D54BB" w14:textId="77777777" w:rsidR="00BB747E" w:rsidRPr="00BB747E" w:rsidRDefault="00BB747E" w:rsidP="00BB747E">
            <w:pPr>
              <w:pStyle w:val="TableBody"/>
            </w:pPr>
            <w:r w:rsidRPr="00BB747E">
              <w:t>39%</w:t>
            </w:r>
          </w:p>
        </w:tc>
      </w:tr>
    </w:tbl>
    <w:p w14:paraId="03DE023A" w14:textId="77777777" w:rsidR="00EF5C25" w:rsidRPr="007F530F" w:rsidRDefault="00EF5C25" w:rsidP="006633AA">
      <w:pPr>
        <w:pStyle w:val="Heading3"/>
      </w:pPr>
      <w:r w:rsidRPr="007F530F">
        <w:t xml:space="preserve">How long were prison sentences for sex offences? </w:t>
      </w:r>
    </w:p>
    <w:p w14:paraId="770823DD" w14:textId="4CC44CC6" w:rsidR="00EF5C25" w:rsidRPr="007F530F" w:rsidRDefault="00EF5C25" w:rsidP="002C6923">
      <w:pPr>
        <w:pStyle w:val="Numbered"/>
      </w:pPr>
      <w:r w:rsidRPr="007F530F">
        <w:t xml:space="preserve">Figure 3 shows the average lengths of prison sentences imposed between 2010 and 2019 in the higher courts for sex offences, but only for the most common (and contemporary) versions of offences in each category (for example, rape contrary to section 38 of the </w:t>
      </w:r>
      <w:r w:rsidRPr="00D62402">
        <w:rPr>
          <w:rStyle w:val="Emphasis"/>
        </w:rPr>
        <w:t xml:space="preserve">Crimes Act 1958 </w:t>
      </w:r>
      <w:r w:rsidRPr="007F530F">
        <w:t xml:space="preserve">(Vic)). It does not include historical versions of offences in each category. Historical offences almost always carry lower maximum penalties, making the lengths of prison sentences imposed for those offences much less comparable to their contemporary counterparts. Average charge-level prison sentence lengths are based on all non-aggregate sentences of imprisonment imposed for relevant offences, while average case-level prison sentence lengths are based on cases in which the relevant offence was the principal proven offence in the case. </w:t>
      </w:r>
      <w:r w:rsidRPr="007F530F">
        <w:lastRenderedPageBreak/>
        <w:t xml:space="preserve">Persistent sexual abuse of a child was the offence type receiving the longest average charge-level prison sentence and second-longest average case-level prison sentence. This is likely a product of the offending being inherently a course of conduct committed against children that is typically penetrative in nature. Non-penetrative sex offences against both children and adults had the lowest average prison sentences. </w:t>
      </w:r>
    </w:p>
    <w:p w14:paraId="0E54C95A" w14:textId="77777777" w:rsidR="00EF5C25" w:rsidRPr="007F530F" w:rsidRDefault="00EF5C25" w:rsidP="00D00197">
      <w:pPr>
        <w:pStyle w:val="Caption"/>
      </w:pPr>
      <w:r w:rsidRPr="00D00197">
        <w:t>Figure 3:</w:t>
      </w:r>
      <w:r w:rsidRPr="007F530F">
        <w:t xml:space="preserve"> Average prison sentences (in years and months) imposed on charges and cases for certain types of sex offences in the higher courts in Victoria, by year</w:t>
      </w:r>
    </w:p>
    <w:tbl>
      <w:tblPr>
        <w:tblStyle w:val="Table"/>
        <w:tblW w:w="9059" w:type="dxa"/>
        <w:tblLook w:val="04A0" w:firstRow="1" w:lastRow="0" w:firstColumn="1" w:lastColumn="0" w:noHBand="0" w:noVBand="1"/>
      </w:tblPr>
      <w:tblGrid>
        <w:gridCol w:w="1644"/>
        <w:gridCol w:w="1167"/>
        <w:gridCol w:w="1128"/>
        <w:gridCol w:w="865"/>
        <w:gridCol w:w="2181"/>
        <w:gridCol w:w="2181"/>
      </w:tblGrid>
      <w:tr w:rsidR="00A951A2" w:rsidRPr="004D7CFD" w14:paraId="4A62ADA7" w14:textId="77777777" w:rsidTr="000A0CF7">
        <w:trPr>
          <w:trHeight w:val="20"/>
        </w:trPr>
        <w:tc>
          <w:tcPr>
            <w:tcW w:w="0" w:type="auto"/>
            <w:noWrap/>
            <w:hideMark/>
          </w:tcPr>
          <w:p w14:paraId="133D740E" w14:textId="0E027A40" w:rsidR="00EF29F7" w:rsidRPr="0091168D" w:rsidRDefault="00562402" w:rsidP="0091168D">
            <w:pPr>
              <w:pStyle w:val="TableHeading"/>
            </w:pPr>
            <w:r w:rsidRPr="0091168D">
              <w:t>Offence type</w:t>
            </w:r>
          </w:p>
        </w:tc>
        <w:tc>
          <w:tcPr>
            <w:tcW w:w="1191" w:type="dxa"/>
          </w:tcPr>
          <w:p w14:paraId="2A0301D9" w14:textId="548D80E1" w:rsidR="00EF29F7" w:rsidRPr="0091168D" w:rsidRDefault="00EF29F7" w:rsidP="0091168D">
            <w:pPr>
              <w:pStyle w:val="TableHeading"/>
            </w:pPr>
            <w:r w:rsidRPr="0091168D">
              <w:t>Sections</w:t>
            </w:r>
          </w:p>
        </w:tc>
        <w:tc>
          <w:tcPr>
            <w:tcW w:w="0" w:type="auto"/>
          </w:tcPr>
          <w:p w14:paraId="7FEF0F4D" w14:textId="256E258A" w:rsidR="00EF29F7" w:rsidRPr="0091168D" w:rsidRDefault="00EF29F7" w:rsidP="0091168D">
            <w:pPr>
              <w:pStyle w:val="TableHeading"/>
            </w:pPr>
            <w:r w:rsidRPr="0091168D">
              <w:t>Charges</w:t>
            </w:r>
          </w:p>
        </w:tc>
        <w:tc>
          <w:tcPr>
            <w:tcW w:w="0" w:type="auto"/>
          </w:tcPr>
          <w:p w14:paraId="20D14EAB" w14:textId="21E3F857" w:rsidR="00EF29F7" w:rsidRPr="0091168D" w:rsidRDefault="00EF29F7" w:rsidP="0091168D">
            <w:pPr>
              <w:pStyle w:val="TableHeading"/>
            </w:pPr>
            <w:r w:rsidRPr="0091168D">
              <w:t>Cases</w:t>
            </w:r>
          </w:p>
        </w:tc>
        <w:tc>
          <w:tcPr>
            <w:tcW w:w="0" w:type="auto"/>
            <w:hideMark/>
          </w:tcPr>
          <w:p w14:paraId="3799EE04" w14:textId="194901A8" w:rsidR="00EF29F7" w:rsidRPr="0091168D" w:rsidRDefault="00EF29F7" w:rsidP="0091168D">
            <w:pPr>
              <w:pStyle w:val="TableHeading"/>
            </w:pPr>
            <w:r w:rsidRPr="0091168D">
              <w:t>Average imprisonment sentence (charge-level)</w:t>
            </w:r>
          </w:p>
        </w:tc>
        <w:tc>
          <w:tcPr>
            <w:tcW w:w="0" w:type="auto"/>
            <w:hideMark/>
          </w:tcPr>
          <w:p w14:paraId="274CDA62" w14:textId="77777777" w:rsidR="00EF29F7" w:rsidRPr="0091168D" w:rsidRDefault="00EF29F7" w:rsidP="0091168D">
            <w:pPr>
              <w:pStyle w:val="TableHeading"/>
            </w:pPr>
            <w:r w:rsidRPr="0091168D">
              <w:t>Average total effective sentence (case-level)</w:t>
            </w:r>
          </w:p>
        </w:tc>
      </w:tr>
      <w:tr w:rsidR="00A951A2" w:rsidRPr="004D7CFD" w14:paraId="0F5F010F" w14:textId="77777777" w:rsidTr="000A0CF7">
        <w:trPr>
          <w:trHeight w:val="20"/>
        </w:trPr>
        <w:tc>
          <w:tcPr>
            <w:tcW w:w="0" w:type="auto"/>
            <w:hideMark/>
          </w:tcPr>
          <w:p w14:paraId="46ACC785" w14:textId="7EF39273" w:rsidR="00EF29F7" w:rsidRPr="004D7CFD" w:rsidRDefault="00EF29F7" w:rsidP="002F1559">
            <w:pPr>
              <w:pStyle w:val="TableBody"/>
            </w:pPr>
            <w:r w:rsidRPr="004D7CFD">
              <w:t>Persistent sexual abuse of a child</w:t>
            </w:r>
          </w:p>
        </w:tc>
        <w:tc>
          <w:tcPr>
            <w:tcW w:w="1191" w:type="dxa"/>
          </w:tcPr>
          <w:p w14:paraId="2932ECB8" w14:textId="57CA4957" w:rsidR="00EF29F7" w:rsidRPr="004D7CFD" w:rsidRDefault="007B282F" w:rsidP="002F1559">
            <w:pPr>
              <w:pStyle w:val="TableBody"/>
            </w:pPr>
            <w:r w:rsidRPr="004D7CFD">
              <w:t>47A and 49J</w:t>
            </w:r>
          </w:p>
        </w:tc>
        <w:tc>
          <w:tcPr>
            <w:tcW w:w="0" w:type="auto"/>
          </w:tcPr>
          <w:p w14:paraId="371A71B9" w14:textId="1BA785AA" w:rsidR="00EF29F7" w:rsidRPr="004D7CFD" w:rsidRDefault="007B282F" w:rsidP="002F1559">
            <w:pPr>
              <w:pStyle w:val="TableBody"/>
            </w:pPr>
            <w:r w:rsidRPr="004D7CFD">
              <w:t>131</w:t>
            </w:r>
          </w:p>
        </w:tc>
        <w:tc>
          <w:tcPr>
            <w:tcW w:w="0" w:type="auto"/>
          </w:tcPr>
          <w:p w14:paraId="27818AE8" w14:textId="58ACF9AF" w:rsidR="00EF29F7" w:rsidRPr="004D7CFD" w:rsidRDefault="007B282F" w:rsidP="002F1559">
            <w:pPr>
              <w:pStyle w:val="TableBody"/>
            </w:pPr>
            <w:r w:rsidRPr="004D7CFD">
              <w:t>108</w:t>
            </w:r>
          </w:p>
        </w:tc>
        <w:tc>
          <w:tcPr>
            <w:tcW w:w="0" w:type="auto"/>
            <w:noWrap/>
            <w:hideMark/>
          </w:tcPr>
          <w:p w14:paraId="6D6F09B6" w14:textId="75110FB2" w:rsidR="00EF29F7" w:rsidRPr="004D7CFD" w:rsidRDefault="00EF29F7" w:rsidP="002F1559">
            <w:pPr>
              <w:pStyle w:val="TableBody"/>
            </w:pPr>
            <w:r w:rsidRPr="004D7CFD">
              <w:t>6</w:t>
            </w:r>
            <w:r w:rsidR="00A951A2">
              <w:t xml:space="preserve"> </w:t>
            </w:r>
            <w:r w:rsidRPr="004D7CFD">
              <w:t>y</w:t>
            </w:r>
            <w:r w:rsidR="00A951A2">
              <w:t>ears</w:t>
            </w:r>
            <w:r w:rsidRPr="004D7CFD">
              <w:t>, 6</w:t>
            </w:r>
            <w:r w:rsidR="00A951A2">
              <w:t xml:space="preserve"> </w:t>
            </w:r>
            <w:r w:rsidRPr="004D7CFD">
              <w:t>m</w:t>
            </w:r>
            <w:r w:rsidR="00A951A2">
              <w:t>onths</w:t>
            </w:r>
          </w:p>
        </w:tc>
        <w:tc>
          <w:tcPr>
            <w:tcW w:w="0" w:type="auto"/>
            <w:noWrap/>
            <w:hideMark/>
          </w:tcPr>
          <w:p w14:paraId="57D4877F" w14:textId="78F919AF" w:rsidR="00EF29F7" w:rsidRPr="004D7CFD" w:rsidRDefault="00EF29F7" w:rsidP="002F1559">
            <w:pPr>
              <w:pStyle w:val="TableBody"/>
            </w:pPr>
            <w:r w:rsidRPr="004D7CFD">
              <w:t>8</w:t>
            </w:r>
            <w:r w:rsidR="00A951A2">
              <w:t xml:space="preserve"> </w:t>
            </w:r>
            <w:r w:rsidRPr="004D7CFD">
              <w:t>y</w:t>
            </w:r>
            <w:r w:rsidR="00A951A2">
              <w:t>ears</w:t>
            </w:r>
          </w:p>
        </w:tc>
      </w:tr>
      <w:tr w:rsidR="00A951A2" w:rsidRPr="004D7CFD" w14:paraId="5ACDD3B0" w14:textId="77777777" w:rsidTr="000A0CF7">
        <w:trPr>
          <w:trHeight w:val="20"/>
        </w:trPr>
        <w:tc>
          <w:tcPr>
            <w:tcW w:w="0" w:type="auto"/>
            <w:hideMark/>
          </w:tcPr>
          <w:p w14:paraId="4AB861D5" w14:textId="5DEAADA3" w:rsidR="00EF29F7" w:rsidRPr="004D7CFD" w:rsidRDefault="00EF29F7" w:rsidP="002F1559">
            <w:pPr>
              <w:pStyle w:val="TableBody"/>
            </w:pPr>
            <w:r w:rsidRPr="004D7CFD">
              <w:t>Rape</w:t>
            </w:r>
          </w:p>
        </w:tc>
        <w:tc>
          <w:tcPr>
            <w:tcW w:w="1191" w:type="dxa"/>
          </w:tcPr>
          <w:p w14:paraId="7BD3CD3D" w14:textId="6B7A0EAE" w:rsidR="00EF29F7" w:rsidRPr="004D7CFD" w:rsidRDefault="007B282F" w:rsidP="002F1559">
            <w:pPr>
              <w:pStyle w:val="TableBody"/>
            </w:pPr>
            <w:r w:rsidRPr="004D7CFD">
              <w:t>38</w:t>
            </w:r>
          </w:p>
        </w:tc>
        <w:tc>
          <w:tcPr>
            <w:tcW w:w="0" w:type="auto"/>
          </w:tcPr>
          <w:p w14:paraId="13F67EC1" w14:textId="43C747FF" w:rsidR="00EF29F7" w:rsidRPr="004D7CFD" w:rsidRDefault="007B282F" w:rsidP="002F1559">
            <w:pPr>
              <w:pStyle w:val="TableBody"/>
            </w:pPr>
            <w:r w:rsidRPr="004D7CFD">
              <w:t>875</w:t>
            </w:r>
          </w:p>
        </w:tc>
        <w:tc>
          <w:tcPr>
            <w:tcW w:w="0" w:type="auto"/>
          </w:tcPr>
          <w:p w14:paraId="2A077B55" w14:textId="203CC741" w:rsidR="00EF29F7" w:rsidRPr="004D7CFD" w:rsidRDefault="007B282F" w:rsidP="002F1559">
            <w:pPr>
              <w:pStyle w:val="TableBody"/>
            </w:pPr>
            <w:r w:rsidRPr="004D7CFD">
              <w:t>395</w:t>
            </w:r>
          </w:p>
        </w:tc>
        <w:tc>
          <w:tcPr>
            <w:tcW w:w="0" w:type="auto"/>
            <w:noWrap/>
            <w:hideMark/>
          </w:tcPr>
          <w:p w14:paraId="1E8E09DD" w14:textId="6000AEE6" w:rsidR="00EF29F7" w:rsidRPr="004D7CFD" w:rsidRDefault="00EF29F7" w:rsidP="002F1559">
            <w:pPr>
              <w:pStyle w:val="TableBody"/>
            </w:pPr>
            <w:r w:rsidRPr="004D7CFD">
              <w:t>5</w:t>
            </w:r>
            <w:r w:rsidR="00A951A2">
              <w:t xml:space="preserve"> </w:t>
            </w:r>
            <w:r w:rsidRPr="004D7CFD">
              <w:t>y</w:t>
            </w:r>
            <w:r w:rsidR="00A951A2">
              <w:t>ears</w:t>
            </w:r>
            <w:r w:rsidRPr="004D7CFD">
              <w:t>, 4</w:t>
            </w:r>
            <w:r w:rsidR="00A951A2">
              <w:t xml:space="preserve"> months</w:t>
            </w:r>
          </w:p>
        </w:tc>
        <w:tc>
          <w:tcPr>
            <w:tcW w:w="0" w:type="auto"/>
            <w:noWrap/>
            <w:hideMark/>
          </w:tcPr>
          <w:p w14:paraId="4A1D22D3" w14:textId="58794785" w:rsidR="00EF29F7" w:rsidRPr="004D7CFD" w:rsidRDefault="00EF29F7" w:rsidP="002F1559">
            <w:pPr>
              <w:pStyle w:val="TableBody"/>
            </w:pPr>
            <w:r w:rsidRPr="004D7CFD">
              <w:t>7</w:t>
            </w:r>
            <w:r w:rsidR="00A951A2">
              <w:t xml:space="preserve"> </w:t>
            </w:r>
            <w:r w:rsidRPr="004D7CFD">
              <w:t>y</w:t>
            </w:r>
            <w:r w:rsidR="00A951A2">
              <w:t>ears</w:t>
            </w:r>
            <w:r w:rsidRPr="004D7CFD">
              <w:t>, 2</w:t>
            </w:r>
            <w:r w:rsidR="00A951A2">
              <w:t xml:space="preserve"> </w:t>
            </w:r>
            <w:r w:rsidRPr="004D7CFD">
              <w:t>m</w:t>
            </w:r>
            <w:r w:rsidR="00A951A2">
              <w:t>onths</w:t>
            </w:r>
          </w:p>
        </w:tc>
      </w:tr>
      <w:tr w:rsidR="00A951A2" w:rsidRPr="004D7CFD" w14:paraId="5ADB4F78" w14:textId="77777777" w:rsidTr="000A0CF7">
        <w:trPr>
          <w:trHeight w:val="20"/>
        </w:trPr>
        <w:tc>
          <w:tcPr>
            <w:tcW w:w="0" w:type="auto"/>
            <w:hideMark/>
          </w:tcPr>
          <w:p w14:paraId="253EFB61" w14:textId="0F44F32F" w:rsidR="00EF29F7" w:rsidRPr="004D7CFD" w:rsidRDefault="00EF29F7" w:rsidP="002F1559">
            <w:pPr>
              <w:pStyle w:val="TableBody"/>
            </w:pPr>
            <w:r w:rsidRPr="004D7CFD">
              <w:t>Incest</w:t>
            </w:r>
          </w:p>
        </w:tc>
        <w:tc>
          <w:tcPr>
            <w:tcW w:w="1191" w:type="dxa"/>
          </w:tcPr>
          <w:p w14:paraId="43B8C643" w14:textId="1906DE83" w:rsidR="00EF29F7" w:rsidRPr="004D7CFD" w:rsidRDefault="007B282F" w:rsidP="002F1559">
            <w:pPr>
              <w:pStyle w:val="TableBody"/>
            </w:pPr>
            <w:r w:rsidRPr="004D7CFD">
              <w:t>44, 50C and 50D</w:t>
            </w:r>
          </w:p>
        </w:tc>
        <w:tc>
          <w:tcPr>
            <w:tcW w:w="0" w:type="auto"/>
          </w:tcPr>
          <w:p w14:paraId="515F7889" w14:textId="6146E88E" w:rsidR="00EF29F7" w:rsidRPr="004D7CFD" w:rsidRDefault="007B282F" w:rsidP="002F1559">
            <w:pPr>
              <w:pStyle w:val="TableBody"/>
            </w:pPr>
            <w:r w:rsidRPr="004D7CFD">
              <w:t>928</w:t>
            </w:r>
          </w:p>
        </w:tc>
        <w:tc>
          <w:tcPr>
            <w:tcW w:w="0" w:type="auto"/>
          </w:tcPr>
          <w:p w14:paraId="08558D51" w14:textId="7EC2E05E" w:rsidR="00EF29F7" w:rsidRPr="004D7CFD" w:rsidRDefault="007B282F" w:rsidP="002F1559">
            <w:pPr>
              <w:pStyle w:val="TableBody"/>
            </w:pPr>
            <w:r w:rsidRPr="004D7CFD">
              <w:t>254</w:t>
            </w:r>
          </w:p>
        </w:tc>
        <w:tc>
          <w:tcPr>
            <w:tcW w:w="0" w:type="auto"/>
            <w:noWrap/>
            <w:hideMark/>
          </w:tcPr>
          <w:p w14:paraId="7C3E760D" w14:textId="7B62A4ED" w:rsidR="00EF29F7" w:rsidRPr="004D7CFD" w:rsidRDefault="00EF29F7" w:rsidP="002F1559">
            <w:pPr>
              <w:pStyle w:val="TableBody"/>
            </w:pPr>
            <w:r w:rsidRPr="004D7CFD">
              <w:t>4</w:t>
            </w:r>
            <w:r w:rsidR="00A951A2">
              <w:t xml:space="preserve"> </w:t>
            </w:r>
            <w:r w:rsidRPr="004D7CFD">
              <w:t>y</w:t>
            </w:r>
            <w:r w:rsidR="00A951A2">
              <w:t>ears</w:t>
            </w:r>
            <w:r w:rsidRPr="004D7CFD">
              <w:t>, 10</w:t>
            </w:r>
            <w:r w:rsidR="00A951A2">
              <w:t xml:space="preserve"> </w:t>
            </w:r>
            <w:r w:rsidRPr="004D7CFD">
              <w:t>m</w:t>
            </w:r>
            <w:r w:rsidR="00A951A2">
              <w:t>onths</w:t>
            </w:r>
          </w:p>
        </w:tc>
        <w:tc>
          <w:tcPr>
            <w:tcW w:w="0" w:type="auto"/>
            <w:noWrap/>
            <w:hideMark/>
          </w:tcPr>
          <w:p w14:paraId="0343CB4F" w14:textId="32450545" w:rsidR="00EF29F7" w:rsidRPr="004D7CFD" w:rsidRDefault="00EF29F7" w:rsidP="002F1559">
            <w:pPr>
              <w:pStyle w:val="TableBody"/>
            </w:pPr>
            <w:r w:rsidRPr="004D7CFD">
              <w:t>8</w:t>
            </w:r>
            <w:r w:rsidR="00A951A2">
              <w:t xml:space="preserve"> </w:t>
            </w:r>
            <w:r w:rsidRPr="004D7CFD">
              <w:t>y</w:t>
            </w:r>
            <w:r w:rsidR="00A951A2">
              <w:t>ears</w:t>
            </w:r>
            <w:r w:rsidRPr="004D7CFD">
              <w:t>, 3</w:t>
            </w:r>
            <w:r w:rsidR="00A951A2">
              <w:t xml:space="preserve"> </w:t>
            </w:r>
            <w:r w:rsidRPr="004D7CFD">
              <w:t>m</w:t>
            </w:r>
            <w:r w:rsidR="00A951A2">
              <w:t>onths</w:t>
            </w:r>
          </w:p>
        </w:tc>
      </w:tr>
      <w:tr w:rsidR="00A951A2" w:rsidRPr="004D7CFD" w14:paraId="6723CEDD" w14:textId="77777777" w:rsidTr="000A0CF7">
        <w:trPr>
          <w:trHeight w:val="20"/>
        </w:trPr>
        <w:tc>
          <w:tcPr>
            <w:tcW w:w="0" w:type="auto"/>
            <w:hideMark/>
          </w:tcPr>
          <w:p w14:paraId="2A848A29" w14:textId="3BCFF92F" w:rsidR="00EF29F7" w:rsidRPr="004D7CFD" w:rsidRDefault="00EF29F7" w:rsidP="002F1559">
            <w:pPr>
              <w:pStyle w:val="TableBody"/>
            </w:pPr>
            <w:r w:rsidRPr="004D7CFD">
              <w:t xml:space="preserve">Sexual penetration with </w:t>
            </w:r>
            <w:r w:rsidR="007B282F">
              <w:t xml:space="preserve">a </w:t>
            </w:r>
            <w:r w:rsidRPr="004D7CFD">
              <w:t>child under 10/12</w:t>
            </w:r>
          </w:p>
        </w:tc>
        <w:tc>
          <w:tcPr>
            <w:tcW w:w="1191" w:type="dxa"/>
          </w:tcPr>
          <w:p w14:paraId="28F99AD3" w14:textId="3E798299" w:rsidR="00EF29F7" w:rsidRPr="004D7CFD" w:rsidRDefault="007B282F" w:rsidP="002F1559">
            <w:pPr>
              <w:pStyle w:val="TableBody"/>
            </w:pPr>
            <w:r w:rsidRPr="004D7CFD">
              <w:t>45 and 49A</w:t>
            </w:r>
          </w:p>
        </w:tc>
        <w:tc>
          <w:tcPr>
            <w:tcW w:w="0" w:type="auto"/>
          </w:tcPr>
          <w:p w14:paraId="5168B0A8" w14:textId="793BF3BD" w:rsidR="00EF29F7" w:rsidRPr="004D7CFD" w:rsidRDefault="007B282F" w:rsidP="002F1559">
            <w:pPr>
              <w:pStyle w:val="TableBody"/>
            </w:pPr>
            <w:r w:rsidRPr="004D7CFD">
              <w:t>231</w:t>
            </w:r>
          </w:p>
        </w:tc>
        <w:tc>
          <w:tcPr>
            <w:tcW w:w="0" w:type="auto"/>
          </w:tcPr>
          <w:p w14:paraId="08D972A1" w14:textId="31EFC6B3" w:rsidR="00EF29F7" w:rsidRPr="004D7CFD" w:rsidRDefault="007B282F" w:rsidP="002F1559">
            <w:pPr>
              <w:pStyle w:val="TableBody"/>
            </w:pPr>
            <w:r w:rsidRPr="004D7CFD">
              <w:t>103</w:t>
            </w:r>
          </w:p>
        </w:tc>
        <w:tc>
          <w:tcPr>
            <w:tcW w:w="0" w:type="auto"/>
            <w:noWrap/>
            <w:hideMark/>
          </w:tcPr>
          <w:p w14:paraId="39B51006" w14:textId="2CC47E12" w:rsidR="00EF29F7" w:rsidRPr="004D7CFD" w:rsidRDefault="00EF29F7" w:rsidP="002F1559">
            <w:pPr>
              <w:pStyle w:val="TableBody"/>
            </w:pPr>
            <w:r w:rsidRPr="004D7CFD">
              <w:t>4</w:t>
            </w:r>
            <w:r w:rsidR="00A951A2">
              <w:t xml:space="preserve"> </w:t>
            </w:r>
            <w:r w:rsidRPr="004D7CFD">
              <w:t>y</w:t>
            </w:r>
            <w:r w:rsidR="00A951A2">
              <w:t>ears</w:t>
            </w:r>
          </w:p>
        </w:tc>
        <w:tc>
          <w:tcPr>
            <w:tcW w:w="0" w:type="auto"/>
            <w:noWrap/>
            <w:hideMark/>
          </w:tcPr>
          <w:p w14:paraId="72349ACE" w14:textId="2C4200C4" w:rsidR="00EF29F7" w:rsidRPr="004D7CFD" w:rsidRDefault="00EF29F7" w:rsidP="002F1559">
            <w:pPr>
              <w:pStyle w:val="TableBody"/>
            </w:pPr>
            <w:r w:rsidRPr="004D7CFD">
              <w:t>6</w:t>
            </w:r>
            <w:r w:rsidR="00A951A2">
              <w:t xml:space="preserve"> </w:t>
            </w:r>
            <w:r w:rsidRPr="004D7CFD">
              <w:t>y</w:t>
            </w:r>
            <w:r w:rsidR="00A951A2">
              <w:t>ears</w:t>
            </w:r>
            <w:r w:rsidRPr="004D7CFD">
              <w:t>, 9</w:t>
            </w:r>
            <w:r w:rsidR="00A951A2">
              <w:t xml:space="preserve"> </w:t>
            </w:r>
            <w:r w:rsidRPr="004D7CFD">
              <w:t>m</w:t>
            </w:r>
            <w:r w:rsidR="00A951A2">
              <w:t>onth</w:t>
            </w:r>
          </w:p>
        </w:tc>
      </w:tr>
      <w:tr w:rsidR="00A951A2" w:rsidRPr="004D7CFD" w14:paraId="1A4D38A5" w14:textId="77777777" w:rsidTr="000A0CF7">
        <w:trPr>
          <w:trHeight w:val="20"/>
        </w:trPr>
        <w:tc>
          <w:tcPr>
            <w:tcW w:w="0" w:type="auto"/>
            <w:hideMark/>
          </w:tcPr>
          <w:p w14:paraId="63C3E234" w14:textId="66C6C38B" w:rsidR="00EF29F7" w:rsidRPr="004D7CFD" w:rsidRDefault="00EF29F7" w:rsidP="002F1559">
            <w:pPr>
              <w:pStyle w:val="TableBody"/>
            </w:pPr>
            <w:r w:rsidRPr="004D7CFD">
              <w:t xml:space="preserve">Sexual penetration with </w:t>
            </w:r>
            <w:r w:rsidR="00EB3EB1">
              <w:t xml:space="preserve">a </w:t>
            </w:r>
            <w:r w:rsidRPr="004D7CFD">
              <w:t>child 10/12 to 15</w:t>
            </w:r>
          </w:p>
        </w:tc>
        <w:tc>
          <w:tcPr>
            <w:tcW w:w="1191" w:type="dxa"/>
          </w:tcPr>
          <w:p w14:paraId="6922BF37" w14:textId="11DF17C3" w:rsidR="00EF29F7" w:rsidRPr="004D7CFD" w:rsidRDefault="005910F8" w:rsidP="002F1559">
            <w:pPr>
              <w:pStyle w:val="TableBody"/>
            </w:pPr>
            <w:r w:rsidRPr="004D7CFD">
              <w:t>45 and 49B</w:t>
            </w:r>
          </w:p>
        </w:tc>
        <w:tc>
          <w:tcPr>
            <w:tcW w:w="0" w:type="auto"/>
          </w:tcPr>
          <w:p w14:paraId="206C6D0D" w14:textId="51CD0F0A" w:rsidR="00EF29F7" w:rsidRPr="004D7CFD" w:rsidRDefault="005910F8" w:rsidP="002F1559">
            <w:pPr>
              <w:pStyle w:val="TableBody"/>
            </w:pPr>
            <w:r w:rsidRPr="004D7CFD">
              <w:t>960</w:t>
            </w:r>
          </w:p>
        </w:tc>
        <w:tc>
          <w:tcPr>
            <w:tcW w:w="0" w:type="auto"/>
          </w:tcPr>
          <w:p w14:paraId="7A8F29F7" w14:textId="41EB4396" w:rsidR="00EF29F7" w:rsidRPr="004D7CFD" w:rsidRDefault="005910F8" w:rsidP="002F1559">
            <w:pPr>
              <w:pStyle w:val="TableBody"/>
            </w:pPr>
            <w:r w:rsidRPr="004D7CFD">
              <w:t>335</w:t>
            </w:r>
          </w:p>
        </w:tc>
        <w:tc>
          <w:tcPr>
            <w:tcW w:w="0" w:type="auto"/>
            <w:noWrap/>
            <w:hideMark/>
          </w:tcPr>
          <w:p w14:paraId="6CC9D0A3" w14:textId="6D0AA8EC" w:rsidR="00EF29F7" w:rsidRPr="004D7CFD" w:rsidRDefault="00EF29F7" w:rsidP="002F1559">
            <w:pPr>
              <w:pStyle w:val="TableBody"/>
            </w:pPr>
            <w:r w:rsidRPr="004D7CFD">
              <w:t>2</w:t>
            </w:r>
            <w:r w:rsidR="00A951A2">
              <w:t xml:space="preserve"> </w:t>
            </w:r>
            <w:r w:rsidRPr="004D7CFD">
              <w:t>y</w:t>
            </w:r>
            <w:r w:rsidR="00A951A2">
              <w:t>ears</w:t>
            </w:r>
            <w:r w:rsidRPr="004D7CFD">
              <w:t>, 8</w:t>
            </w:r>
            <w:r w:rsidR="00A951A2">
              <w:t xml:space="preserve"> </w:t>
            </w:r>
            <w:r w:rsidRPr="004D7CFD">
              <w:t>m</w:t>
            </w:r>
            <w:r w:rsidR="00A951A2">
              <w:t>onths</w:t>
            </w:r>
          </w:p>
        </w:tc>
        <w:tc>
          <w:tcPr>
            <w:tcW w:w="0" w:type="auto"/>
            <w:noWrap/>
            <w:hideMark/>
          </w:tcPr>
          <w:p w14:paraId="1555DEB3" w14:textId="7E10E4A6" w:rsidR="00EF29F7" w:rsidRPr="004D7CFD" w:rsidRDefault="00EF29F7" w:rsidP="002F1559">
            <w:pPr>
              <w:pStyle w:val="TableBody"/>
            </w:pPr>
            <w:r w:rsidRPr="004D7CFD">
              <w:t>4</w:t>
            </w:r>
            <w:r w:rsidR="00A951A2">
              <w:t xml:space="preserve"> </w:t>
            </w:r>
            <w:r w:rsidRPr="004D7CFD">
              <w:t>y</w:t>
            </w:r>
            <w:r w:rsidR="00A951A2">
              <w:t>ears</w:t>
            </w:r>
            <w:r w:rsidRPr="004D7CFD">
              <w:t>, 1</w:t>
            </w:r>
            <w:r w:rsidR="00A951A2">
              <w:t xml:space="preserve"> </w:t>
            </w:r>
            <w:r w:rsidRPr="004D7CFD">
              <w:t>m</w:t>
            </w:r>
            <w:r w:rsidR="00A951A2">
              <w:t>onth</w:t>
            </w:r>
          </w:p>
        </w:tc>
      </w:tr>
      <w:tr w:rsidR="00A951A2" w:rsidRPr="004D7CFD" w14:paraId="40A5D4F1" w14:textId="77777777" w:rsidTr="000A0CF7">
        <w:trPr>
          <w:trHeight w:val="20"/>
        </w:trPr>
        <w:tc>
          <w:tcPr>
            <w:tcW w:w="0" w:type="auto"/>
            <w:hideMark/>
          </w:tcPr>
          <w:p w14:paraId="1F82CD96" w14:textId="786A7285" w:rsidR="00EF29F7" w:rsidRPr="004D7CFD" w:rsidRDefault="000B5AB5" w:rsidP="002F1559">
            <w:pPr>
              <w:pStyle w:val="TableBody"/>
            </w:pPr>
            <w:r>
              <w:t>Child sexual</w:t>
            </w:r>
            <w:r w:rsidR="00EF29F7" w:rsidRPr="004D7CFD">
              <w:t xml:space="preserve"> assault</w:t>
            </w:r>
          </w:p>
        </w:tc>
        <w:tc>
          <w:tcPr>
            <w:tcW w:w="1191" w:type="dxa"/>
          </w:tcPr>
          <w:p w14:paraId="4B7B8E91" w14:textId="3914AAD3" w:rsidR="00EF29F7" w:rsidRPr="004D7CFD" w:rsidRDefault="005910F8" w:rsidP="002F1559">
            <w:pPr>
              <w:pStyle w:val="TableBody"/>
            </w:pPr>
            <w:r w:rsidRPr="004D7CFD">
              <w:t>47 and 49D</w:t>
            </w:r>
          </w:p>
        </w:tc>
        <w:tc>
          <w:tcPr>
            <w:tcW w:w="0" w:type="auto"/>
          </w:tcPr>
          <w:p w14:paraId="7209C929" w14:textId="7A95E873" w:rsidR="00EF29F7" w:rsidRPr="004D7CFD" w:rsidRDefault="005910F8" w:rsidP="002F1559">
            <w:pPr>
              <w:pStyle w:val="TableBody"/>
            </w:pPr>
            <w:r w:rsidRPr="004D7CFD">
              <w:t>2,226</w:t>
            </w:r>
          </w:p>
        </w:tc>
        <w:tc>
          <w:tcPr>
            <w:tcW w:w="0" w:type="auto"/>
          </w:tcPr>
          <w:p w14:paraId="6B90E989" w14:textId="0FA2C5ED" w:rsidR="00EF29F7" w:rsidRPr="004D7CFD" w:rsidRDefault="005910F8" w:rsidP="002F1559">
            <w:pPr>
              <w:pStyle w:val="TableBody"/>
            </w:pPr>
            <w:r w:rsidRPr="004D7CFD">
              <w:t>153</w:t>
            </w:r>
          </w:p>
        </w:tc>
        <w:tc>
          <w:tcPr>
            <w:tcW w:w="0" w:type="auto"/>
            <w:noWrap/>
            <w:hideMark/>
          </w:tcPr>
          <w:p w14:paraId="7815BD71" w14:textId="3EEBE062" w:rsidR="00EF29F7" w:rsidRPr="004D7CFD" w:rsidRDefault="00EF29F7" w:rsidP="002F1559">
            <w:pPr>
              <w:pStyle w:val="TableBody"/>
            </w:pPr>
            <w:r w:rsidRPr="004D7CFD">
              <w:t>1</w:t>
            </w:r>
            <w:r w:rsidR="00A951A2">
              <w:t xml:space="preserve"> </w:t>
            </w:r>
            <w:r w:rsidRPr="004D7CFD">
              <w:t>y</w:t>
            </w:r>
            <w:r w:rsidR="00A951A2">
              <w:t>ear</w:t>
            </w:r>
            <w:r w:rsidRPr="004D7CFD">
              <w:t>, 3</w:t>
            </w:r>
            <w:r w:rsidR="00A951A2">
              <w:t xml:space="preserve"> </w:t>
            </w:r>
            <w:r w:rsidRPr="004D7CFD">
              <w:t>m</w:t>
            </w:r>
            <w:r w:rsidR="00A951A2">
              <w:t>onths</w:t>
            </w:r>
          </w:p>
        </w:tc>
        <w:tc>
          <w:tcPr>
            <w:tcW w:w="0" w:type="auto"/>
            <w:noWrap/>
            <w:hideMark/>
          </w:tcPr>
          <w:p w14:paraId="7511A2F7" w14:textId="6AF35CFA" w:rsidR="00EF29F7" w:rsidRPr="004D7CFD" w:rsidRDefault="00EF29F7" w:rsidP="002F1559">
            <w:pPr>
              <w:pStyle w:val="TableBody"/>
            </w:pPr>
            <w:r w:rsidRPr="004D7CFD">
              <w:t>2</w:t>
            </w:r>
            <w:r w:rsidR="00A951A2">
              <w:t xml:space="preserve"> </w:t>
            </w:r>
            <w:r w:rsidRPr="004D7CFD">
              <w:t>y</w:t>
            </w:r>
            <w:r w:rsidR="00A951A2">
              <w:t>ears</w:t>
            </w:r>
            <w:r w:rsidRPr="004D7CFD">
              <w:t>, 11</w:t>
            </w:r>
            <w:r w:rsidR="00A951A2">
              <w:t xml:space="preserve"> </w:t>
            </w:r>
            <w:r w:rsidRPr="004D7CFD">
              <w:t>m</w:t>
            </w:r>
            <w:r w:rsidR="00A951A2">
              <w:t>onths</w:t>
            </w:r>
          </w:p>
        </w:tc>
      </w:tr>
      <w:tr w:rsidR="00A951A2" w:rsidRPr="004D7CFD" w14:paraId="295103BE" w14:textId="77777777" w:rsidTr="000A0CF7">
        <w:trPr>
          <w:trHeight w:val="20"/>
        </w:trPr>
        <w:tc>
          <w:tcPr>
            <w:tcW w:w="0" w:type="auto"/>
            <w:hideMark/>
          </w:tcPr>
          <w:p w14:paraId="34E6FB17" w14:textId="0299BA43" w:rsidR="00EF29F7" w:rsidRPr="004D7CFD" w:rsidRDefault="00EF29F7" w:rsidP="002F1559">
            <w:pPr>
              <w:pStyle w:val="TableBody"/>
            </w:pPr>
            <w:r w:rsidRPr="004D7CFD">
              <w:t>Sexual assault</w:t>
            </w:r>
          </w:p>
        </w:tc>
        <w:tc>
          <w:tcPr>
            <w:tcW w:w="1191" w:type="dxa"/>
          </w:tcPr>
          <w:p w14:paraId="082488BF" w14:textId="6685D5EC" w:rsidR="00EF29F7" w:rsidRPr="004D7CFD" w:rsidRDefault="005910F8" w:rsidP="002F1559">
            <w:pPr>
              <w:pStyle w:val="TableBody"/>
            </w:pPr>
            <w:r w:rsidRPr="004D7CFD">
              <w:t>39 and 40</w:t>
            </w:r>
          </w:p>
        </w:tc>
        <w:tc>
          <w:tcPr>
            <w:tcW w:w="0" w:type="auto"/>
          </w:tcPr>
          <w:p w14:paraId="00B3E88F" w14:textId="1C6D11B8" w:rsidR="00EF29F7" w:rsidRPr="004D7CFD" w:rsidRDefault="005910F8" w:rsidP="002F1559">
            <w:pPr>
              <w:pStyle w:val="TableBody"/>
            </w:pPr>
            <w:r w:rsidRPr="004D7CFD">
              <w:t>800</w:t>
            </w:r>
          </w:p>
        </w:tc>
        <w:tc>
          <w:tcPr>
            <w:tcW w:w="0" w:type="auto"/>
          </w:tcPr>
          <w:p w14:paraId="343F6BEF" w14:textId="6E68DD4E" w:rsidR="00EF29F7" w:rsidRPr="004D7CFD" w:rsidRDefault="005910F8" w:rsidP="002F1559">
            <w:pPr>
              <w:pStyle w:val="TableBody"/>
            </w:pPr>
            <w:r w:rsidRPr="004D7CFD">
              <w:t>87</w:t>
            </w:r>
          </w:p>
        </w:tc>
        <w:tc>
          <w:tcPr>
            <w:tcW w:w="0" w:type="auto"/>
            <w:noWrap/>
            <w:hideMark/>
          </w:tcPr>
          <w:p w14:paraId="1C3B7D85" w14:textId="7573D7D8" w:rsidR="00EF29F7" w:rsidRPr="004D7CFD" w:rsidRDefault="00EF29F7" w:rsidP="002F1559">
            <w:pPr>
              <w:pStyle w:val="TableBody"/>
            </w:pPr>
            <w:r w:rsidRPr="004D7CFD">
              <w:t>1</w:t>
            </w:r>
            <w:r w:rsidR="00A951A2">
              <w:t xml:space="preserve"> </w:t>
            </w:r>
            <w:r w:rsidRPr="004D7CFD">
              <w:t>y</w:t>
            </w:r>
            <w:r w:rsidR="00A951A2">
              <w:t>ear</w:t>
            </w:r>
            <w:r w:rsidRPr="004D7CFD">
              <w:t>, 2</w:t>
            </w:r>
            <w:r w:rsidR="00A951A2">
              <w:t xml:space="preserve"> </w:t>
            </w:r>
            <w:r w:rsidRPr="004D7CFD">
              <w:t>m</w:t>
            </w:r>
            <w:r w:rsidR="00A951A2">
              <w:t>onths</w:t>
            </w:r>
          </w:p>
        </w:tc>
        <w:tc>
          <w:tcPr>
            <w:tcW w:w="0" w:type="auto"/>
            <w:noWrap/>
            <w:hideMark/>
          </w:tcPr>
          <w:p w14:paraId="314B1AD4" w14:textId="1542C953" w:rsidR="00EF29F7" w:rsidRPr="004D7CFD" w:rsidRDefault="00EF29F7" w:rsidP="002F1559">
            <w:pPr>
              <w:pStyle w:val="TableBody"/>
            </w:pPr>
            <w:r w:rsidRPr="004D7CFD">
              <w:t>2</w:t>
            </w:r>
            <w:r w:rsidR="00A951A2">
              <w:t xml:space="preserve"> </w:t>
            </w:r>
            <w:r w:rsidRPr="004D7CFD">
              <w:t>y</w:t>
            </w:r>
            <w:r w:rsidR="00A951A2">
              <w:t>ears</w:t>
            </w:r>
            <w:r w:rsidRPr="004D7CFD">
              <w:t>, 3</w:t>
            </w:r>
            <w:r w:rsidR="00A951A2">
              <w:t xml:space="preserve"> </w:t>
            </w:r>
            <w:r w:rsidRPr="004D7CFD">
              <w:t>m</w:t>
            </w:r>
            <w:r w:rsidR="00A951A2">
              <w:t>onths</w:t>
            </w:r>
          </w:p>
        </w:tc>
      </w:tr>
    </w:tbl>
    <w:p w14:paraId="28C4529A" w14:textId="17F191DB" w:rsidR="00EF5C25" w:rsidRPr="007F530F" w:rsidRDefault="00EF5C25" w:rsidP="004C362C">
      <w:pPr>
        <w:pStyle w:val="Heading1Numbered"/>
      </w:pPr>
      <w:bookmarkStart w:id="6" w:name="_Toc74903999"/>
      <w:r w:rsidRPr="007F530F">
        <w:lastRenderedPageBreak/>
        <w:t>The three sentencing reforms</w:t>
      </w:r>
      <w:bookmarkEnd w:id="6"/>
    </w:p>
    <w:p w14:paraId="0EA1B816" w14:textId="77777777" w:rsidR="00EF5C25" w:rsidRPr="007F530F" w:rsidRDefault="00EF5C25" w:rsidP="004C362C">
      <w:pPr>
        <w:pStyle w:val="Numbered"/>
      </w:pPr>
      <w:r w:rsidRPr="007F530F">
        <w:t xml:space="preserve">The three sentencing reforms analysed in this report came into effect at different times in 2017 and 2018. First, certain offences were classified as Category 1 offences if they were committed and sentenced on or after 20 March 2017. Second, the High Court delivered its landmark judgment in </w:t>
      </w:r>
      <w:r w:rsidRPr="00D62402">
        <w:rPr>
          <w:rStyle w:val="Emphasis"/>
        </w:rPr>
        <w:t>Dalgliesh</w:t>
      </w:r>
      <w:r w:rsidRPr="007F530F">
        <w:rPr>
          <w:rStyle w:val="Superscript"/>
        </w:rPr>
        <w:footnoteReference w:id="26"/>
      </w:r>
      <w:r w:rsidRPr="007F530F">
        <w:t xml:space="preserve"> in October 2017 (and the Court of Appeal delivered its affiliated judgments in June 2016 and December 2017). And third, certain offences were classified as standard sentence offences if they were committed and sentenced on or after 1 February 2018. </w:t>
      </w:r>
    </w:p>
    <w:p w14:paraId="6D1FEB2C" w14:textId="77777777" w:rsidR="00EF5C25" w:rsidRPr="007F530F" w:rsidRDefault="00EF5C25" w:rsidP="00D00197">
      <w:pPr>
        <w:pStyle w:val="Caption"/>
      </w:pPr>
      <w:r w:rsidRPr="00D00197">
        <w:t xml:space="preserve">Figure 4: </w:t>
      </w:r>
      <w:r w:rsidRPr="007F530F">
        <w:t>The three sentencing reforms that are the focus of this report, and their applicable commencement dates</w:t>
      </w:r>
    </w:p>
    <w:tbl>
      <w:tblPr>
        <w:tblStyle w:val="Table"/>
        <w:tblW w:w="5000" w:type="pct"/>
        <w:tblLook w:val="04A0" w:firstRow="1" w:lastRow="0" w:firstColumn="1" w:lastColumn="0" w:noHBand="0" w:noVBand="1"/>
      </w:tblPr>
      <w:tblGrid>
        <w:gridCol w:w="4508"/>
        <w:gridCol w:w="4508"/>
      </w:tblGrid>
      <w:tr w:rsidR="0096143A" w14:paraId="2F5FA02E" w14:textId="77777777" w:rsidTr="000A0CF7">
        <w:tc>
          <w:tcPr>
            <w:tcW w:w="2500" w:type="pct"/>
          </w:tcPr>
          <w:p w14:paraId="05EAF8CE" w14:textId="73CA621F" w:rsidR="0096143A" w:rsidRDefault="0096143A" w:rsidP="007A7075">
            <w:pPr>
              <w:pStyle w:val="TableHeading"/>
            </w:pPr>
            <w:r>
              <w:t>Reform</w:t>
            </w:r>
          </w:p>
        </w:tc>
        <w:tc>
          <w:tcPr>
            <w:tcW w:w="2500" w:type="pct"/>
          </w:tcPr>
          <w:p w14:paraId="2257AAB0" w14:textId="64BF1448" w:rsidR="0096143A" w:rsidRDefault="0096143A" w:rsidP="007A7075">
            <w:pPr>
              <w:pStyle w:val="TableHeading"/>
            </w:pPr>
            <w:r>
              <w:t>Commencement</w:t>
            </w:r>
            <w:r w:rsidR="00D0038A">
              <w:t xml:space="preserve"> date</w:t>
            </w:r>
          </w:p>
        </w:tc>
      </w:tr>
      <w:tr w:rsidR="0096143A" w14:paraId="61F2FA02" w14:textId="77777777" w:rsidTr="000A0CF7">
        <w:tc>
          <w:tcPr>
            <w:tcW w:w="2500" w:type="pct"/>
          </w:tcPr>
          <w:p w14:paraId="0290BEDC" w14:textId="4E18F51E" w:rsidR="0096143A" w:rsidRDefault="0096143A" w:rsidP="0096143A">
            <w:pPr>
              <w:pStyle w:val="TableBody"/>
            </w:pPr>
            <w:r>
              <w:t>Standard sentences</w:t>
            </w:r>
          </w:p>
        </w:tc>
        <w:tc>
          <w:tcPr>
            <w:tcW w:w="2500" w:type="pct"/>
          </w:tcPr>
          <w:p w14:paraId="05F6AF9A" w14:textId="31AA445B" w:rsidR="0096143A" w:rsidRDefault="0096143A" w:rsidP="0096143A">
            <w:pPr>
              <w:pStyle w:val="TableBody"/>
            </w:pPr>
            <w:r>
              <w:t>Offences committed after February 201</w:t>
            </w:r>
            <w:r w:rsidR="00AB6CE2">
              <w:t>8</w:t>
            </w:r>
          </w:p>
        </w:tc>
      </w:tr>
      <w:tr w:rsidR="0096143A" w14:paraId="60F858BB" w14:textId="77777777" w:rsidTr="000A0CF7">
        <w:tc>
          <w:tcPr>
            <w:tcW w:w="2500" w:type="pct"/>
          </w:tcPr>
          <w:p w14:paraId="416E175D" w14:textId="6D22044B" w:rsidR="0096143A" w:rsidRDefault="0096143A" w:rsidP="0096143A">
            <w:pPr>
              <w:pStyle w:val="TableBody"/>
            </w:pPr>
            <w:r w:rsidRPr="00D62402">
              <w:rPr>
                <w:rStyle w:val="Emphasis"/>
              </w:rPr>
              <w:t>Dalgliesh</w:t>
            </w:r>
          </w:p>
        </w:tc>
        <w:tc>
          <w:tcPr>
            <w:tcW w:w="2500" w:type="pct"/>
          </w:tcPr>
          <w:p w14:paraId="37830F32" w14:textId="0BBF5B0A" w:rsidR="0096143A" w:rsidRDefault="0096143A" w:rsidP="0096143A">
            <w:pPr>
              <w:pStyle w:val="TableBody"/>
            </w:pPr>
            <w:r>
              <w:t>Offences sentenced after October 2017</w:t>
            </w:r>
          </w:p>
        </w:tc>
      </w:tr>
      <w:tr w:rsidR="0096143A" w14:paraId="6F84C19B" w14:textId="77777777" w:rsidTr="000A0CF7">
        <w:tc>
          <w:tcPr>
            <w:tcW w:w="2500" w:type="pct"/>
          </w:tcPr>
          <w:p w14:paraId="3270F9F1" w14:textId="05F1FB07" w:rsidR="0096143A" w:rsidRDefault="0096143A" w:rsidP="0096143A">
            <w:pPr>
              <w:pStyle w:val="TableBody"/>
            </w:pPr>
            <w:r>
              <w:t>Category 1 and 2 offences</w:t>
            </w:r>
          </w:p>
        </w:tc>
        <w:tc>
          <w:tcPr>
            <w:tcW w:w="2500" w:type="pct"/>
          </w:tcPr>
          <w:p w14:paraId="33315DA1" w14:textId="5F2B91DA" w:rsidR="0096143A" w:rsidRDefault="0096143A" w:rsidP="0096143A">
            <w:pPr>
              <w:pStyle w:val="TableBody"/>
            </w:pPr>
            <w:r>
              <w:t>Offences committed after March 2017</w:t>
            </w:r>
          </w:p>
        </w:tc>
      </w:tr>
    </w:tbl>
    <w:p w14:paraId="6AC71B69" w14:textId="77777777" w:rsidR="00EF5C25" w:rsidRPr="007F530F" w:rsidRDefault="00EF5C25" w:rsidP="006633AA">
      <w:pPr>
        <w:pStyle w:val="Heading2"/>
      </w:pPr>
      <w:r w:rsidRPr="007F530F">
        <w:t>Category 1 offences (March 2017)</w:t>
      </w:r>
    </w:p>
    <w:p w14:paraId="73737637" w14:textId="77777777" w:rsidR="00EF5C25" w:rsidRPr="007F530F" w:rsidRDefault="00EF5C25" w:rsidP="00CB18EF">
      <w:pPr>
        <w:pStyle w:val="Numbered"/>
      </w:pPr>
      <w:r w:rsidRPr="007F530F">
        <w:t>A court sentencing a Category 1 offence must impose a term of imprisonment</w:t>
      </w:r>
      <w:r w:rsidRPr="007F530F">
        <w:rPr>
          <w:rStyle w:val="Superscript"/>
        </w:rPr>
        <w:footnoteReference w:id="27"/>
      </w:r>
      <w:r w:rsidRPr="007F530F">
        <w:t xml:space="preserve"> except in a very narrow set of circumstances where the court finds a ‘special reason’ exists; even then, the court must impose a mandatory treatment and monitoring order, a residential treatment order or a court secure treatment order.</w:t>
      </w:r>
      <w:r w:rsidRPr="007F530F">
        <w:rPr>
          <w:rStyle w:val="Superscript"/>
        </w:rPr>
        <w:footnoteReference w:id="28"/>
      </w:r>
      <w:r w:rsidRPr="007F530F">
        <w:t xml:space="preserve"> None of the sex offences classified as Category 1 offences analysed in this report are specified offences;</w:t>
      </w:r>
      <w:r w:rsidRPr="007F530F">
        <w:rPr>
          <w:rStyle w:val="Superscript"/>
        </w:rPr>
        <w:footnoteReference w:id="29"/>
      </w:r>
      <w:r w:rsidRPr="007F530F">
        <w:t xml:space="preserve"> they must therefore always </w:t>
      </w:r>
      <w:r w:rsidRPr="007F530F">
        <w:lastRenderedPageBreak/>
        <w:t>receive a sentence of adult or (if relevant) youth detention if the offence was committed and sentenced while it was a Category 1 offence. The legislation does not, though, specify a minimum period of imprisonment. It is therefore possible for a very short prison sentence, which may even be a time served prison sentence,</w:t>
      </w:r>
      <w:r w:rsidRPr="007F530F">
        <w:rPr>
          <w:rStyle w:val="Superscript"/>
        </w:rPr>
        <w:footnoteReference w:id="30"/>
      </w:r>
      <w:r w:rsidRPr="007F530F">
        <w:t xml:space="preserve"> to meet the requirement of Category 1 offence classification.</w:t>
      </w:r>
    </w:p>
    <w:p w14:paraId="2F8B0B8D" w14:textId="77777777" w:rsidR="00EF5C25" w:rsidRPr="007F530F" w:rsidRDefault="00EF5C25" w:rsidP="00CB18EF">
      <w:pPr>
        <w:pStyle w:val="Numbered"/>
      </w:pPr>
      <w:r w:rsidRPr="007F530F">
        <w:t xml:space="preserve">This reform was partly a consequence of a number of decisions following the Court of Appeal’s decision in </w:t>
      </w:r>
      <w:r w:rsidRPr="00D62402">
        <w:rPr>
          <w:rStyle w:val="Emphasis"/>
        </w:rPr>
        <w:t>Boulton,</w:t>
      </w:r>
      <w:r w:rsidRPr="007F530F">
        <w:rPr>
          <w:rStyle w:val="Superscript"/>
        </w:rPr>
        <w:footnoteReference w:id="31"/>
      </w:r>
      <w:r w:rsidRPr="00D62402">
        <w:rPr>
          <w:rStyle w:val="Emphasis"/>
        </w:rPr>
        <w:t xml:space="preserve"> </w:t>
      </w:r>
      <w:r w:rsidRPr="007F530F">
        <w:t>in which the court handed down its first guideline judgment, focusing on the newly introduced community correction order (CCO). After that judgment, the use of CCOs (including combined orders of imprisonment and a CCO) increased substantially.</w:t>
      </w:r>
      <w:r w:rsidRPr="007F530F">
        <w:rPr>
          <w:rStyle w:val="Superscript"/>
        </w:rPr>
        <w:footnoteReference w:id="32"/>
      </w:r>
      <w:r w:rsidRPr="007F530F">
        <w:t xml:space="preserve"> In some cases, though, courts cited </w:t>
      </w:r>
      <w:r w:rsidRPr="00D62402">
        <w:rPr>
          <w:rStyle w:val="Emphasis"/>
        </w:rPr>
        <w:t xml:space="preserve">Boulton </w:t>
      </w:r>
      <w:r w:rsidRPr="007F530F">
        <w:t>as the reason for imposing a CCO, rather than a term of imprisonment, for rape or other violent offences</w:t>
      </w:r>
      <w:r w:rsidRPr="00D62402">
        <w:rPr>
          <w:rStyle w:val="Emphasis"/>
        </w:rPr>
        <w:t>.</w:t>
      </w:r>
      <w:r w:rsidRPr="007F530F">
        <w:rPr>
          <w:rStyle w:val="Superscript"/>
        </w:rPr>
        <w:footnoteReference w:id="33"/>
      </w:r>
    </w:p>
    <w:p w14:paraId="0446E589" w14:textId="77777777" w:rsidR="00EF5C25" w:rsidRPr="007F530F" w:rsidRDefault="00EF5C25" w:rsidP="00CB18EF">
      <w:pPr>
        <w:pStyle w:val="Numbered"/>
      </w:pPr>
      <w:r w:rsidRPr="007F530F">
        <w:lastRenderedPageBreak/>
        <w:t>It was in response to cases such as these that the Victorian Government introduced legislation concerned with addressing what it perceived to be an overexpansion of the use of CCOs in cases involving serious offences.</w:t>
      </w:r>
      <w:r w:rsidRPr="007F530F">
        <w:rPr>
          <w:rStyle w:val="Superscript"/>
        </w:rPr>
        <w:footnoteReference w:id="34"/>
      </w:r>
      <w:r w:rsidRPr="007F530F">
        <w:t xml:space="preserve"> Accordingly, in March 2017 a number of offences were classified as either Category 1 or Category 2 offences when committed by an offender aged 18 years or over;</w:t>
      </w:r>
      <w:r w:rsidRPr="007F530F">
        <w:rPr>
          <w:rStyle w:val="Superscript"/>
        </w:rPr>
        <w:footnoteReference w:id="35"/>
      </w:r>
      <w:r w:rsidRPr="007F530F">
        <w:t xml:space="preserve"> a small number of other offences have been so classified since then.</w:t>
      </w:r>
      <w:r w:rsidRPr="007F530F">
        <w:rPr>
          <w:rStyle w:val="Superscript"/>
        </w:rPr>
        <w:footnoteReference w:id="36"/>
      </w:r>
      <w:r w:rsidRPr="007F530F">
        <w:t xml:space="preserve"> There are currently 23 Category 1 offences and 19 Category 2 offences in Victoria.</w:t>
      </w:r>
      <w:r w:rsidRPr="007F530F">
        <w:rPr>
          <w:rStyle w:val="Superscript"/>
        </w:rPr>
        <w:footnoteReference w:id="37"/>
      </w:r>
      <w:r w:rsidRPr="007F530F">
        <w:t xml:space="preserve"> (Some Category 1 offences overlap because they account for previous and current versions of the same offence.) A number of contact sex offences are classified as Category 1 offences (none are classified as Category 2 offences). </w:t>
      </w:r>
    </w:p>
    <w:p w14:paraId="2EE06CEC" w14:textId="77777777" w:rsidR="00EF5C25" w:rsidRPr="007F530F" w:rsidRDefault="00EF5C25" w:rsidP="00CB18EF">
      <w:pPr>
        <w:pStyle w:val="Numbered"/>
      </w:pPr>
      <w:r w:rsidRPr="007F530F">
        <w:t>Currently, 10 contact sex offences are classified as Category 1 offences in Victoria, including 6 offences in force today and 4 repealed offences:</w:t>
      </w:r>
    </w:p>
    <w:p w14:paraId="72BF5D64" w14:textId="77777777" w:rsidR="00EF5C25" w:rsidRPr="007F530F" w:rsidRDefault="00EF5C25" w:rsidP="00315A0D">
      <w:pPr>
        <w:pStyle w:val="Bullets"/>
      </w:pPr>
      <w:r w:rsidRPr="007F530F">
        <w:t xml:space="preserve">rape (section 38 of </w:t>
      </w:r>
      <w:r w:rsidRPr="00D62402">
        <w:rPr>
          <w:rStyle w:val="Emphasis"/>
        </w:rPr>
        <w:t xml:space="preserve">Crimes Act 1958 </w:t>
      </w:r>
      <w:r w:rsidRPr="007F530F">
        <w:t>(Vic));</w:t>
      </w:r>
    </w:p>
    <w:p w14:paraId="326EC65B" w14:textId="77777777" w:rsidR="00EF5C25" w:rsidRPr="007F530F" w:rsidRDefault="00EF5C25" w:rsidP="00315A0D">
      <w:pPr>
        <w:pStyle w:val="Bullets"/>
      </w:pPr>
      <w:r w:rsidRPr="007F530F">
        <w:lastRenderedPageBreak/>
        <w:t>rape by compelling sexual penetration (section 39);</w:t>
      </w:r>
    </w:p>
    <w:p w14:paraId="5EBC62CE" w14:textId="77777777" w:rsidR="00EF5C25" w:rsidRPr="007F530F" w:rsidRDefault="00EF5C25" w:rsidP="00315A0D">
      <w:pPr>
        <w:pStyle w:val="Bullets"/>
      </w:pPr>
      <w:r w:rsidRPr="007F530F">
        <w:t>sexual penetration with a child aged under 12 (section 49A);</w:t>
      </w:r>
    </w:p>
    <w:p w14:paraId="7C275931" w14:textId="77777777" w:rsidR="00EF5C25" w:rsidRPr="007F530F" w:rsidRDefault="00EF5C25" w:rsidP="00315A0D">
      <w:pPr>
        <w:pStyle w:val="Bullets"/>
      </w:pPr>
      <w:r w:rsidRPr="007F530F">
        <w:t>persistent sexual abuse of a child aged under 16 (section 49J);</w:t>
      </w:r>
    </w:p>
    <w:p w14:paraId="0C959D46" w14:textId="77777777" w:rsidR="00EF5C25" w:rsidRPr="007F530F" w:rsidRDefault="00EF5C25" w:rsidP="00315A0D">
      <w:pPr>
        <w:pStyle w:val="Bullets"/>
      </w:pPr>
      <w:r w:rsidRPr="007F530F">
        <w:t>sexual penetration with a child or lineal descendant if the victim was aged under 18 at the time of the offence (section 50C);</w:t>
      </w:r>
    </w:p>
    <w:p w14:paraId="62BF2C44" w14:textId="77777777" w:rsidR="00EF5C25" w:rsidRPr="007F530F" w:rsidRDefault="00EF5C25" w:rsidP="00315A0D">
      <w:pPr>
        <w:pStyle w:val="Bullets"/>
      </w:pPr>
      <w:r w:rsidRPr="007F530F">
        <w:t>sexual penetration with a de facto spouse or domestic partner’s child or lineal descendant if the victim was aged under 18 at the time of the offence (section 50D);</w:t>
      </w:r>
    </w:p>
    <w:p w14:paraId="5B12227D" w14:textId="77777777" w:rsidR="00EF5C25" w:rsidRPr="007F530F" w:rsidRDefault="00EF5C25" w:rsidP="00315A0D">
      <w:pPr>
        <w:pStyle w:val="Bullets"/>
      </w:pPr>
      <w:r w:rsidRPr="007F530F">
        <w:t>incest with a child, stepchild or lineal descendant if the victim was aged under 18 (section 44(1), repealed as at 1 July 2017);</w:t>
      </w:r>
    </w:p>
    <w:p w14:paraId="61C203ED" w14:textId="77777777" w:rsidR="00EF5C25" w:rsidRPr="007F530F" w:rsidRDefault="00EF5C25" w:rsidP="00315A0D">
      <w:pPr>
        <w:pStyle w:val="Bullets"/>
      </w:pPr>
      <w:r w:rsidRPr="007F530F">
        <w:t>incest with a de facto spouse’s child, stepchild or lineal descendant if the victim was aged under 18 (section 44(2), repealed as at 1 July 2017);</w:t>
      </w:r>
    </w:p>
    <w:p w14:paraId="6B1D983A" w14:textId="77777777" w:rsidR="00EF5C25" w:rsidRPr="007F530F" w:rsidRDefault="00EF5C25" w:rsidP="00315A0D">
      <w:pPr>
        <w:pStyle w:val="Bullets"/>
      </w:pPr>
      <w:r w:rsidRPr="007F530F">
        <w:t>sexual penetration with a child aged under 12 (sections 45(1)–(2)(a), repealed as at 1 July 2017); and</w:t>
      </w:r>
    </w:p>
    <w:p w14:paraId="6965CFF2" w14:textId="77777777" w:rsidR="00EF5C25" w:rsidRPr="007F530F" w:rsidRDefault="00EF5C25" w:rsidP="00315A0D">
      <w:pPr>
        <w:pStyle w:val="Bullets"/>
      </w:pPr>
      <w:r w:rsidRPr="007F530F">
        <w:t>persistent sexual abuse of a child aged under 16 (section 47A, repealed as at 1 July 2017).</w:t>
      </w:r>
      <w:r w:rsidRPr="007F530F">
        <w:rPr>
          <w:rStyle w:val="Superscript"/>
        </w:rPr>
        <w:footnoteReference w:id="38"/>
      </w:r>
    </w:p>
    <w:p w14:paraId="01E75FE5" w14:textId="77777777" w:rsidR="00EF5C25" w:rsidRPr="007F530F" w:rsidRDefault="00EF5C25" w:rsidP="006633AA">
      <w:pPr>
        <w:pStyle w:val="Heading2"/>
      </w:pPr>
      <w:r w:rsidRPr="007F530F">
        <w:lastRenderedPageBreak/>
        <w:t xml:space="preserve">The High Court’s decision in </w:t>
      </w:r>
      <w:r w:rsidRPr="00D931C5">
        <w:rPr>
          <w:rStyle w:val="Emphasis"/>
        </w:rPr>
        <w:t>Dalgliesh</w:t>
      </w:r>
      <w:r w:rsidRPr="007F530F">
        <w:t xml:space="preserve"> (October 2017)</w:t>
      </w:r>
    </w:p>
    <w:p w14:paraId="245673AA" w14:textId="77777777" w:rsidR="00EF5C25" w:rsidRPr="007F530F" w:rsidRDefault="00EF5C25" w:rsidP="00CB18EF">
      <w:pPr>
        <w:pStyle w:val="Numbered"/>
      </w:pPr>
      <w:r w:rsidRPr="007F530F">
        <w:t xml:space="preserve">In June 2016, the Court of Appeal delivered its judgment in </w:t>
      </w:r>
      <w:r w:rsidRPr="00D62402">
        <w:rPr>
          <w:rStyle w:val="Emphasis"/>
        </w:rPr>
        <w:t>Dalgliesh</w:t>
      </w:r>
      <w:r w:rsidRPr="007F530F">
        <w:t>.</w:t>
      </w:r>
      <w:r w:rsidRPr="007F530F">
        <w:rPr>
          <w:rStyle w:val="Superscript"/>
        </w:rPr>
        <w:footnoteReference w:id="39"/>
      </w:r>
      <w:r w:rsidRPr="007F530F">
        <w:t xml:space="preserve"> In that case, the Director of Public Prosecutions had appealed against a sentence of 5.5 years’ imprisonment for multiple sex offences, including 3.5 years’ imprisonment for a charge of incest against the offender’s stepdaughter, which resulted in the victim becoming pregnant.</w:t>
      </w:r>
    </w:p>
    <w:p w14:paraId="239FFF54" w14:textId="77777777" w:rsidR="00EF5C25" w:rsidRPr="007F530F" w:rsidRDefault="00EF5C25" w:rsidP="005E5687">
      <w:pPr>
        <w:pStyle w:val="Quote"/>
      </w:pPr>
      <w:r w:rsidRPr="007F530F">
        <w:t>The Director submitted that, if the Court concluded that the sentence of three years and six months on the charge of incest resulting in pregnancy was within the permissible range, that would be strongly indicative of the fact that existing sentencing standards were inadequate. He submitted that sentencing practice did not reflect the objective gravity of the offence of incest, at least for offences of mid-range seriousness, and invited the Court to state that current sentencing practice for this category should gradually be uplifted.</w:t>
      </w:r>
      <w:r w:rsidRPr="007F530F">
        <w:rPr>
          <w:rStyle w:val="Superscript"/>
        </w:rPr>
        <w:footnoteReference w:id="40"/>
      </w:r>
    </w:p>
    <w:p w14:paraId="4C12F755" w14:textId="77777777" w:rsidR="00EF5C25" w:rsidRPr="007F530F" w:rsidRDefault="00EF5C25" w:rsidP="00CB18EF">
      <w:pPr>
        <w:pStyle w:val="Numbered"/>
      </w:pPr>
      <w:r w:rsidRPr="007F530F">
        <w:t>The Court of Appeal agreed with the Director of Public Prosecutions and called for an uplift in the length of prison sentences for incest offences in Victoria:</w:t>
      </w:r>
    </w:p>
    <w:p w14:paraId="0EA74C1A" w14:textId="77777777" w:rsidR="00EF5C25" w:rsidRPr="007F530F" w:rsidRDefault="00EF5C25" w:rsidP="005E5687">
      <w:pPr>
        <w:pStyle w:val="Quote"/>
      </w:pPr>
      <w:r w:rsidRPr="007F530F">
        <w:t xml:space="preserve">That current sentencing practices are at such low levels clearly demonstrates that the principles of sentencing are not being consistently and appropriately applied. Put simply, current sentencing does not reflect the objective gravity of such offending or the moral culpability of the offender. There is a lack of differentiation between the different categories of seriousness, and that has resulted in an unworkably narrow band within which judges are able to sentence for offending of this nature … [W]e have concluded that sentencing courts must, by increments, increase the sentences for mid-range </w:t>
      </w:r>
      <w:r w:rsidRPr="007F530F">
        <w:lastRenderedPageBreak/>
        <w:t>incest offences, so that the range of sentences is uplifted and substantially expanded.</w:t>
      </w:r>
      <w:r w:rsidRPr="007F530F">
        <w:rPr>
          <w:rStyle w:val="Superscript"/>
        </w:rPr>
        <w:footnoteReference w:id="41"/>
      </w:r>
    </w:p>
    <w:p w14:paraId="431F3B37" w14:textId="77777777" w:rsidR="00EF5C25" w:rsidRPr="007F530F" w:rsidRDefault="00EF5C25" w:rsidP="00CB18EF">
      <w:pPr>
        <w:pStyle w:val="Numbered"/>
      </w:pPr>
      <w:r w:rsidRPr="007F530F">
        <w:t>The Court of Appeal did not, however, increase the sentence imposed on the particular offender in this case because it considered itself constrained by ‘current sentencing practices’, a mandatory consideration for sentencing courts in Victoria.</w:t>
      </w:r>
      <w:r w:rsidRPr="007F530F">
        <w:rPr>
          <w:rStyle w:val="Superscript"/>
        </w:rPr>
        <w:footnoteReference w:id="42"/>
      </w:r>
    </w:p>
    <w:p w14:paraId="202F888C" w14:textId="77777777" w:rsidR="00EF5C25" w:rsidRPr="007F530F" w:rsidRDefault="00EF5C25" w:rsidP="00CB18EF">
      <w:pPr>
        <w:pStyle w:val="Numbered"/>
      </w:pPr>
      <w:r w:rsidRPr="007F530F">
        <w:t>The Director of Public Prosecutions further appealed to the High Court, arguing that ‘the Court of Appeal erred in elevating the significance of current sentencing practices so that they were determinative of the issue’.</w:t>
      </w:r>
      <w:r w:rsidRPr="007F530F">
        <w:rPr>
          <w:rStyle w:val="Superscript"/>
        </w:rPr>
        <w:footnoteReference w:id="43"/>
      </w:r>
      <w:r w:rsidRPr="007F530F">
        <w:t xml:space="preserve"> The High Court agreed with the Court of Appeal in relation to its finding that ‘current sentencing practices [for incest] did not reflect the objective gravity of the offending’.</w:t>
      </w:r>
      <w:r w:rsidRPr="007F530F">
        <w:rPr>
          <w:rStyle w:val="Superscript"/>
        </w:rPr>
        <w:footnoteReference w:id="44"/>
      </w:r>
      <w:r w:rsidRPr="007F530F">
        <w:t xml:space="preserve"> However, the High Court also said that given the Court of Appeal had recognised that sentencing practices for incest in Victoria were ‘affected by an error of legal principle … there was no good reason for the Court of Appeal not to correct the effect of the error of principle which it recognised’.</w:t>
      </w:r>
      <w:r w:rsidRPr="007F530F">
        <w:rPr>
          <w:rStyle w:val="Superscript"/>
        </w:rPr>
        <w:footnoteReference w:id="45"/>
      </w:r>
      <w:r w:rsidRPr="007F530F">
        <w:t xml:space="preserve"> The High Court stated that the Court of Appeal should have increased the offender’s sentence in this case because ‘current sentencing practices must be taken into account, but only as one factor, and not the controlling factor, in the fixing of a just sentence’.</w:t>
      </w:r>
      <w:r w:rsidRPr="007F530F">
        <w:rPr>
          <w:rStyle w:val="Superscript"/>
        </w:rPr>
        <w:footnoteReference w:id="46"/>
      </w:r>
    </w:p>
    <w:p w14:paraId="5A9614FC" w14:textId="77777777" w:rsidR="00EF5C25" w:rsidRPr="007F530F" w:rsidRDefault="00EF5C25" w:rsidP="00CB18EF">
      <w:pPr>
        <w:pStyle w:val="Numbered"/>
      </w:pPr>
      <w:r w:rsidRPr="007F530F">
        <w:t xml:space="preserve">In effect, the Court of Appeal’s and High Court’s decisions in these proceedings collectively meant that sentences for incest in Victoria not only should increase to better acknowledge the seriousness of </w:t>
      </w:r>
      <w:r w:rsidRPr="007F530F">
        <w:lastRenderedPageBreak/>
        <w:t>this type of offending and better accord with community expectations, but also should do so immediately, not incrementally.</w:t>
      </w:r>
      <w:r w:rsidRPr="007F530F">
        <w:rPr>
          <w:rStyle w:val="Superscript"/>
        </w:rPr>
        <w:footnoteReference w:id="47"/>
      </w:r>
      <w:r w:rsidRPr="007F530F">
        <w:t xml:space="preserve"> On remittal, the Court of Appeal subsequently resentenced the offender to 7.5 years for the offence of incest (an increase of 4 years) and imposed a new total effective sentence of 9.5 years’ imprisonment (also an increase of 4 years).</w:t>
      </w:r>
      <w:r w:rsidRPr="007F530F">
        <w:rPr>
          <w:rStyle w:val="Superscript"/>
        </w:rPr>
        <w:footnoteReference w:id="48"/>
      </w:r>
    </w:p>
    <w:p w14:paraId="4AAFF53E" w14:textId="77777777" w:rsidR="00EF5C25" w:rsidRPr="007F530F" w:rsidRDefault="00EF5C25" w:rsidP="00CB18EF">
      <w:pPr>
        <w:pStyle w:val="Numbered"/>
      </w:pPr>
      <w:r w:rsidRPr="007F530F">
        <w:t xml:space="preserve">The various </w:t>
      </w:r>
      <w:r w:rsidRPr="00D62402">
        <w:rPr>
          <w:rStyle w:val="Emphasis"/>
        </w:rPr>
        <w:t xml:space="preserve">Dalgliesh </w:t>
      </w:r>
      <w:r w:rsidRPr="007F530F">
        <w:t>decisions have subsequently been subjected to considerable analysis. Perhaps most importantly, the Court of Appeal has held that the call to uplift sentencing practices was limited to incest offences (of a child, stepchild or lineal descendant) and did not extend to other child sex offences, such as persistent sexual abuse of a child aged under 16 (</w:t>
      </w:r>
      <w:r w:rsidRPr="00D62402">
        <w:rPr>
          <w:rStyle w:val="Emphasis"/>
        </w:rPr>
        <w:t xml:space="preserve">even if </w:t>
      </w:r>
      <w:r w:rsidRPr="007F530F">
        <w:t>such offending occurred in incestuous circumstances),</w:t>
      </w:r>
      <w:r w:rsidRPr="007F530F">
        <w:rPr>
          <w:rStyle w:val="Superscript"/>
        </w:rPr>
        <w:footnoteReference w:id="49"/>
      </w:r>
      <w:r w:rsidRPr="007F530F">
        <w:t xml:space="preserve"> nor to other sex offences such as rape</w:t>
      </w:r>
      <w:r w:rsidRPr="007F530F">
        <w:rPr>
          <w:rStyle w:val="Superscript"/>
        </w:rPr>
        <w:footnoteReference w:id="50"/>
      </w:r>
      <w:r w:rsidRPr="007F530F">
        <w:t xml:space="preserve"> (note, though, that there has been a specific and separate call to uplift sentencing practices for </w:t>
      </w:r>
      <w:r w:rsidRPr="00D62402">
        <w:rPr>
          <w:rStyle w:val="Emphasis"/>
        </w:rPr>
        <w:t xml:space="preserve">digital </w:t>
      </w:r>
      <w:r w:rsidRPr="007F530F">
        <w:t>rape).</w:t>
      </w:r>
      <w:r w:rsidRPr="007F530F">
        <w:rPr>
          <w:rStyle w:val="Superscript"/>
        </w:rPr>
        <w:footnoteReference w:id="51"/>
      </w:r>
      <w:r w:rsidRPr="007F530F">
        <w:t xml:space="preserve"> Therefore, while the Court of Appeal has opined on a number of occasions that sentencing practices for other sex offences against children may be inadequate,</w:t>
      </w:r>
      <w:r w:rsidRPr="007F530F">
        <w:rPr>
          <w:rStyle w:val="Superscript"/>
        </w:rPr>
        <w:footnoteReference w:id="52"/>
      </w:r>
      <w:r w:rsidRPr="007F530F">
        <w:t xml:space="preserve"> there has not yet been a case in which the Director of Public Prosecutions has sought, and the Court of Appeal has issued, a formal call to uplift </w:t>
      </w:r>
      <w:r w:rsidRPr="007F530F">
        <w:lastRenderedPageBreak/>
        <w:t xml:space="preserve">those sentences. It has, though, been suggested that the implications of the various </w:t>
      </w:r>
      <w:r w:rsidRPr="00D62402">
        <w:rPr>
          <w:rStyle w:val="Emphasis"/>
        </w:rPr>
        <w:t xml:space="preserve">Dalgliesh </w:t>
      </w:r>
      <w:r w:rsidRPr="007F530F">
        <w:t>decisions – particularly the commentary around the seriousness of child sex offences – have indirectly affected sentencing practices for child sex offences other than incest.</w:t>
      </w:r>
      <w:r w:rsidRPr="007F530F">
        <w:rPr>
          <w:rStyle w:val="Superscript"/>
        </w:rPr>
        <w:footnoteReference w:id="53"/>
      </w:r>
      <w:r w:rsidRPr="007F530F">
        <w:t xml:space="preserve"> </w:t>
      </w:r>
    </w:p>
    <w:p w14:paraId="5B60225D" w14:textId="77777777" w:rsidR="00EF5C25" w:rsidRPr="007F530F" w:rsidRDefault="00EF5C25" w:rsidP="006633AA">
      <w:pPr>
        <w:pStyle w:val="Heading2"/>
      </w:pPr>
      <w:r w:rsidRPr="007F530F">
        <w:t>Standard sentence offences (February 2018)</w:t>
      </w:r>
    </w:p>
    <w:p w14:paraId="121337A2" w14:textId="77777777" w:rsidR="00EF5C25" w:rsidRPr="007F530F" w:rsidRDefault="00EF5C25" w:rsidP="00CB18EF">
      <w:pPr>
        <w:pStyle w:val="Numbered"/>
      </w:pPr>
      <w:r w:rsidRPr="007F530F">
        <w:t xml:space="preserve">In 2015, the Court of Appeal found the baseline sentencing scheme to be unworkable. </w:t>
      </w:r>
      <w:r w:rsidRPr="007F530F">
        <w:rPr>
          <w:rStyle w:val="Superscript"/>
        </w:rPr>
        <w:footnoteReference w:id="54"/>
      </w:r>
      <w:r w:rsidRPr="007F530F">
        <w:t xml:space="preserve"> In response, the Victorian Government repealed the scheme, which had been introduced in 2014 to set median prison sentence lengths for certain serious offences. It subsequently replaced it with the standard sentence scheme. </w:t>
      </w:r>
    </w:p>
    <w:p w14:paraId="064A0045" w14:textId="77777777" w:rsidR="00EF5C25" w:rsidRPr="007F530F" w:rsidRDefault="00EF5C25" w:rsidP="00CB18EF">
      <w:pPr>
        <w:pStyle w:val="Numbered"/>
      </w:pPr>
      <w:r w:rsidRPr="007F530F">
        <w:t>On 1 February 2018, certain offences were classified as standard sentence offences.</w:t>
      </w:r>
      <w:r w:rsidRPr="007F530F">
        <w:rPr>
          <w:rStyle w:val="Superscript"/>
        </w:rPr>
        <w:footnoteReference w:id="55"/>
      </w:r>
      <w:r w:rsidRPr="007F530F">
        <w:t xml:space="preserve"> Under the new legislation, if a relevant offence is committed on or after that date,</w:t>
      </w:r>
      <w:r w:rsidRPr="007F530F">
        <w:rPr>
          <w:rStyle w:val="Superscript"/>
        </w:rPr>
        <w:footnoteReference w:id="56"/>
      </w:r>
      <w:r w:rsidRPr="007F530F">
        <w:t xml:space="preserve"> a sentencing court is required to take into account the numerical legislative guidance as to what parliament considers to be ‘the middle of the range of seriousness’ when looking only at objective factors relevant to the offending.</w:t>
      </w:r>
      <w:r w:rsidRPr="007F530F">
        <w:rPr>
          <w:rStyle w:val="Superscript"/>
        </w:rPr>
        <w:footnoteReference w:id="57"/>
      </w:r>
      <w:r w:rsidRPr="007F530F">
        <w:t xml:space="preserve"> The court must also disregard any sentencing practices for that offence in cases in which it was not sentenced as </w:t>
      </w:r>
      <w:r w:rsidRPr="007F530F">
        <w:lastRenderedPageBreak/>
        <w:t>a standard sentence offence.</w:t>
      </w:r>
      <w:r w:rsidRPr="007F530F">
        <w:rPr>
          <w:rStyle w:val="Superscript"/>
        </w:rPr>
        <w:footnoteReference w:id="58"/>
      </w:r>
      <w:r w:rsidRPr="007F530F">
        <w:t xml:space="preserve"> Any non-parole period must also be at least 60% of the total effective sentence.</w:t>
      </w:r>
      <w:r w:rsidRPr="007F530F">
        <w:rPr>
          <w:rStyle w:val="Superscript"/>
        </w:rPr>
        <w:footnoteReference w:id="59"/>
      </w:r>
      <w:r w:rsidRPr="007F530F">
        <w:t xml:space="preserve"> And aggregate sentences of imprisonment are no longer available for a combination of offences that includes one or more standard sentence offences.</w:t>
      </w:r>
      <w:r w:rsidRPr="007F530F">
        <w:rPr>
          <w:rStyle w:val="Superscript"/>
        </w:rPr>
        <w:footnoteReference w:id="60"/>
      </w:r>
      <w:r w:rsidRPr="007F530F">
        <w:t xml:space="preserve"> Standard sentences are only applicable if an offence is sentenced in the higher courts and the offender was aged 18 or over at the time of the offence.</w:t>
      </w:r>
      <w:r w:rsidRPr="007F530F">
        <w:rPr>
          <w:rStyle w:val="Superscript"/>
        </w:rPr>
        <w:footnoteReference w:id="61"/>
      </w:r>
      <w:r w:rsidRPr="007F530F">
        <w:t xml:space="preserve"> </w:t>
      </w:r>
    </w:p>
    <w:p w14:paraId="5FF9164E" w14:textId="77777777" w:rsidR="00EF5C25" w:rsidRPr="007F530F" w:rsidRDefault="00EF5C25" w:rsidP="00CB18EF">
      <w:pPr>
        <w:pStyle w:val="Numbered"/>
      </w:pPr>
      <w:r w:rsidRPr="007F530F">
        <w:t>Of the 13 offences that have been classified as standard sentence offences in Victoria, 10 have a standard sentence that is precisely 40% of the maximum penalty.</w:t>
      </w:r>
      <w:r w:rsidRPr="007F530F">
        <w:rPr>
          <w:rStyle w:val="Superscript"/>
        </w:rPr>
        <w:footnoteReference w:id="62"/>
      </w:r>
      <w:r w:rsidRPr="007F530F">
        <w:t xml:space="preserve"> The only exceptions are the recently introduced offence of homicide by firearm,</w:t>
      </w:r>
      <w:r w:rsidRPr="007F530F">
        <w:rPr>
          <w:rStyle w:val="Superscript"/>
        </w:rPr>
        <w:footnoteReference w:id="63"/>
      </w:r>
      <w:r w:rsidRPr="007F530F">
        <w:t xml:space="preserve"> and two offences with a maximum penalty of life imprisonment.</w:t>
      </w:r>
      <w:r w:rsidRPr="007F530F">
        <w:rPr>
          <w:rStyle w:val="Superscript"/>
        </w:rPr>
        <w:footnoteReference w:id="64"/>
      </w:r>
      <w:r w:rsidRPr="007F530F">
        <w:t xml:space="preserve"> The standard sentences for the relevant sex offences in this report (and their respective sections of the </w:t>
      </w:r>
      <w:r w:rsidRPr="00D62402">
        <w:rPr>
          <w:rStyle w:val="Emphasis"/>
        </w:rPr>
        <w:t xml:space="preserve">Crimes Act 1958 </w:t>
      </w:r>
      <w:r w:rsidRPr="007F530F">
        <w:t xml:space="preserve">(Vic)) are outlined in Table 1. Relevantly, compared to the baseline sentencing scheme, the standard sentence scheme applies to a </w:t>
      </w:r>
      <w:r w:rsidRPr="007F530F">
        <w:lastRenderedPageBreak/>
        <w:t>broader range of sex offences, including rape, sexual penetration with a child aged 12 to 15 and child sexual assault.</w:t>
      </w:r>
    </w:p>
    <w:p w14:paraId="71D993DC" w14:textId="77777777" w:rsidR="00EF5C25" w:rsidRPr="007F530F" w:rsidRDefault="00EF5C25" w:rsidP="00D00197">
      <w:pPr>
        <w:pStyle w:val="Caption"/>
      </w:pPr>
      <w:r w:rsidRPr="00D00197">
        <w:t xml:space="preserve">Table 1: </w:t>
      </w:r>
      <w:r w:rsidRPr="007F530F">
        <w:t xml:space="preserve">The standard sentence for relevant sex offences and their associated sections of the </w:t>
      </w:r>
      <w:r w:rsidRPr="00D931C5">
        <w:rPr>
          <w:rStyle w:val="Emphasis"/>
        </w:rPr>
        <w:t xml:space="preserve">Crimes Act 1958 </w:t>
      </w:r>
      <w:r w:rsidRPr="007F530F">
        <w:t>(Vic)</w:t>
      </w:r>
    </w:p>
    <w:tbl>
      <w:tblPr>
        <w:tblStyle w:val="Table"/>
        <w:tblW w:w="0" w:type="auto"/>
        <w:tblLook w:val="0020" w:firstRow="1" w:lastRow="0" w:firstColumn="0" w:lastColumn="0" w:noHBand="0" w:noVBand="0"/>
      </w:tblPr>
      <w:tblGrid>
        <w:gridCol w:w="3650"/>
        <w:gridCol w:w="3482"/>
        <w:gridCol w:w="1884"/>
      </w:tblGrid>
      <w:tr w:rsidR="00EF5C25" w:rsidRPr="007F530F" w14:paraId="5366A7C8" w14:textId="77777777" w:rsidTr="000A0CF7">
        <w:trPr>
          <w:trHeight w:val="60"/>
          <w:tblHeader/>
        </w:trPr>
        <w:tc>
          <w:tcPr>
            <w:tcW w:w="0" w:type="auto"/>
          </w:tcPr>
          <w:p w14:paraId="430A63D8" w14:textId="77777777" w:rsidR="00EF5C25" w:rsidRPr="007F530F" w:rsidRDefault="00EF5C25" w:rsidP="000A0CF7">
            <w:pPr>
              <w:pStyle w:val="TableHeading"/>
            </w:pPr>
            <w:r w:rsidRPr="007F530F">
              <w:t>Offence</w:t>
            </w:r>
          </w:p>
        </w:tc>
        <w:tc>
          <w:tcPr>
            <w:tcW w:w="0" w:type="auto"/>
          </w:tcPr>
          <w:p w14:paraId="00A5384E" w14:textId="77777777" w:rsidR="00EF5C25" w:rsidRPr="007F530F" w:rsidRDefault="00EF5C25" w:rsidP="000A0CF7">
            <w:pPr>
              <w:pStyle w:val="TableHeading"/>
            </w:pPr>
            <w:r w:rsidRPr="007F530F">
              <w:t xml:space="preserve">Statutory reference </w:t>
            </w:r>
            <w:r w:rsidRPr="00D00197">
              <w:rPr>
                <w:rStyle w:val="Emphasis"/>
              </w:rPr>
              <w:t>Crimes Act 1958</w:t>
            </w:r>
            <w:r w:rsidRPr="007F530F">
              <w:t xml:space="preserve"> (Vic)</w:t>
            </w:r>
          </w:p>
        </w:tc>
        <w:tc>
          <w:tcPr>
            <w:tcW w:w="0" w:type="auto"/>
          </w:tcPr>
          <w:p w14:paraId="5D6DABDA" w14:textId="77777777" w:rsidR="00EF5C25" w:rsidRPr="007F530F" w:rsidRDefault="00EF5C25" w:rsidP="000A0CF7">
            <w:pPr>
              <w:pStyle w:val="TableHeading"/>
            </w:pPr>
            <w:r w:rsidRPr="007F530F">
              <w:t>Standard sentence</w:t>
            </w:r>
          </w:p>
        </w:tc>
      </w:tr>
      <w:tr w:rsidR="00EF5C25" w:rsidRPr="007F530F" w14:paraId="24C5D885" w14:textId="77777777" w:rsidTr="000A0CF7">
        <w:trPr>
          <w:trHeight w:val="60"/>
        </w:trPr>
        <w:tc>
          <w:tcPr>
            <w:tcW w:w="0" w:type="auto"/>
          </w:tcPr>
          <w:p w14:paraId="243F83F1" w14:textId="77777777" w:rsidR="00EF5C25" w:rsidRPr="007F530F" w:rsidRDefault="00EF5C25" w:rsidP="000A0CF7">
            <w:pPr>
              <w:pStyle w:val="TableBody"/>
            </w:pPr>
            <w:r w:rsidRPr="007F530F">
              <w:t>Rape</w:t>
            </w:r>
          </w:p>
        </w:tc>
        <w:tc>
          <w:tcPr>
            <w:tcW w:w="0" w:type="auto"/>
          </w:tcPr>
          <w:p w14:paraId="33B577B0" w14:textId="77777777" w:rsidR="00EF5C25" w:rsidRPr="007F530F" w:rsidRDefault="00EF5C25" w:rsidP="000A0CF7">
            <w:pPr>
              <w:pStyle w:val="TableBody"/>
            </w:pPr>
            <w:r w:rsidRPr="007F530F">
              <w:t>Section 38</w:t>
            </w:r>
          </w:p>
        </w:tc>
        <w:tc>
          <w:tcPr>
            <w:tcW w:w="0" w:type="auto"/>
          </w:tcPr>
          <w:p w14:paraId="53BD6B2F" w14:textId="77777777" w:rsidR="00EF5C25" w:rsidRPr="007F530F" w:rsidRDefault="00EF5C25" w:rsidP="000A0CF7">
            <w:pPr>
              <w:pStyle w:val="TableBody"/>
            </w:pPr>
            <w:r w:rsidRPr="007F530F">
              <w:t>10 years</w:t>
            </w:r>
          </w:p>
        </w:tc>
      </w:tr>
      <w:tr w:rsidR="00EF5C25" w:rsidRPr="007F530F" w14:paraId="38A3C136" w14:textId="77777777" w:rsidTr="000A0CF7">
        <w:trPr>
          <w:trHeight w:val="60"/>
        </w:trPr>
        <w:tc>
          <w:tcPr>
            <w:tcW w:w="0" w:type="auto"/>
          </w:tcPr>
          <w:p w14:paraId="5510361D" w14:textId="77777777" w:rsidR="00EF5C25" w:rsidRPr="007F530F" w:rsidRDefault="00EF5C25" w:rsidP="000A0CF7">
            <w:pPr>
              <w:pStyle w:val="TableBody"/>
            </w:pPr>
            <w:r w:rsidRPr="007F530F">
              <w:t>Incest with a child, stepchild or lineal descendant</w:t>
            </w:r>
          </w:p>
        </w:tc>
        <w:tc>
          <w:tcPr>
            <w:tcW w:w="0" w:type="auto"/>
          </w:tcPr>
          <w:p w14:paraId="69F8E188" w14:textId="77777777" w:rsidR="00EF5C25" w:rsidRPr="007F530F" w:rsidRDefault="00EF5C25" w:rsidP="000A0CF7">
            <w:pPr>
              <w:pStyle w:val="TableBody"/>
            </w:pPr>
            <w:r w:rsidRPr="007F530F">
              <w:t>Sections 50C and 50D</w:t>
            </w:r>
          </w:p>
        </w:tc>
        <w:tc>
          <w:tcPr>
            <w:tcW w:w="0" w:type="auto"/>
          </w:tcPr>
          <w:p w14:paraId="0BF106EF" w14:textId="77777777" w:rsidR="00EF5C25" w:rsidRPr="007F530F" w:rsidRDefault="00EF5C25" w:rsidP="000A0CF7">
            <w:pPr>
              <w:pStyle w:val="TableBody"/>
            </w:pPr>
            <w:r w:rsidRPr="007F530F">
              <w:t>10 years</w:t>
            </w:r>
          </w:p>
        </w:tc>
      </w:tr>
      <w:tr w:rsidR="00EF5C25" w:rsidRPr="007F530F" w14:paraId="09DD44FF" w14:textId="77777777" w:rsidTr="000A0CF7">
        <w:trPr>
          <w:trHeight w:val="60"/>
        </w:trPr>
        <w:tc>
          <w:tcPr>
            <w:tcW w:w="0" w:type="auto"/>
          </w:tcPr>
          <w:p w14:paraId="7D380BE8" w14:textId="77777777" w:rsidR="00EF5C25" w:rsidRPr="007F530F" w:rsidRDefault="00EF5C25" w:rsidP="000A0CF7">
            <w:pPr>
              <w:pStyle w:val="TableBody"/>
            </w:pPr>
            <w:r w:rsidRPr="007F530F">
              <w:t>Sexual penetration with a child aged 12 to 15</w:t>
            </w:r>
          </w:p>
        </w:tc>
        <w:tc>
          <w:tcPr>
            <w:tcW w:w="0" w:type="auto"/>
          </w:tcPr>
          <w:p w14:paraId="6A2DB492" w14:textId="77777777" w:rsidR="00EF5C25" w:rsidRPr="007F530F" w:rsidRDefault="00EF5C25" w:rsidP="000A0CF7">
            <w:pPr>
              <w:pStyle w:val="TableBody"/>
            </w:pPr>
            <w:r w:rsidRPr="007F530F">
              <w:t>Section 49B</w:t>
            </w:r>
          </w:p>
        </w:tc>
        <w:tc>
          <w:tcPr>
            <w:tcW w:w="0" w:type="auto"/>
          </w:tcPr>
          <w:p w14:paraId="76753774" w14:textId="77777777" w:rsidR="00EF5C25" w:rsidRPr="007F530F" w:rsidRDefault="00EF5C25" w:rsidP="000A0CF7">
            <w:pPr>
              <w:pStyle w:val="TableBody"/>
            </w:pPr>
            <w:r w:rsidRPr="007F530F">
              <w:t>6 years</w:t>
            </w:r>
          </w:p>
        </w:tc>
      </w:tr>
      <w:tr w:rsidR="00EF5C25" w:rsidRPr="007F530F" w14:paraId="72032105" w14:textId="77777777" w:rsidTr="000A0CF7">
        <w:trPr>
          <w:trHeight w:val="60"/>
        </w:trPr>
        <w:tc>
          <w:tcPr>
            <w:tcW w:w="0" w:type="auto"/>
          </w:tcPr>
          <w:p w14:paraId="08AC94D3" w14:textId="77777777" w:rsidR="00EF5C25" w:rsidRPr="007F530F" w:rsidRDefault="00EF5C25" w:rsidP="000A0CF7">
            <w:pPr>
              <w:pStyle w:val="TableBody"/>
            </w:pPr>
            <w:r w:rsidRPr="007F530F">
              <w:t>Sexual penetration with a child aged under 12</w:t>
            </w:r>
          </w:p>
        </w:tc>
        <w:tc>
          <w:tcPr>
            <w:tcW w:w="0" w:type="auto"/>
          </w:tcPr>
          <w:p w14:paraId="5FD6203E" w14:textId="77777777" w:rsidR="00EF5C25" w:rsidRPr="007F530F" w:rsidRDefault="00EF5C25" w:rsidP="000A0CF7">
            <w:pPr>
              <w:pStyle w:val="TableBody"/>
            </w:pPr>
            <w:r w:rsidRPr="007F530F">
              <w:t>Section 49A</w:t>
            </w:r>
          </w:p>
        </w:tc>
        <w:tc>
          <w:tcPr>
            <w:tcW w:w="0" w:type="auto"/>
          </w:tcPr>
          <w:p w14:paraId="349FD034" w14:textId="77777777" w:rsidR="00EF5C25" w:rsidRPr="007F530F" w:rsidRDefault="00EF5C25" w:rsidP="000A0CF7">
            <w:pPr>
              <w:pStyle w:val="TableBody"/>
            </w:pPr>
            <w:r w:rsidRPr="007F530F">
              <w:t>10 years</w:t>
            </w:r>
          </w:p>
        </w:tc>
      </w:tr>
      <w:tr w:rsidR="00EF5C25" w:rsidRPr="007F530F" w14:paraId="1B15A029" w14:textId="77777777" w:rsidTr="000A0CF7">
        <w:trPr>
          <w:trHeight w:val="60"/>
        </w:trPr>
        <w:tc>
          <w:tcPr>
            <w:tcW w:w="0" w:type="auto"/>
          </w:tcPr>
          <w:p w14:paraId="7D16BD9D" w14:textId="77777777" w:rsidR="00EF5C25" w:rsidRPr="007F530F" w:rsidRDefault="00EF5C25" w:rsidP="000A0CF7">
            <w:pPr>
              <w:pStyle w:val="TableBody"/>
            </w:pPr>
            <w:r w:rsidRPr="007F530F">
              <w:t>Sexual assault of a child aged under 16</w:t>
            </w:r>
          </w:p>
        </w:tc>
        <w:tc>
          <w:tcPr>
            <w:tcW w:w="0" w:type="auto"/>
          </w:tcPr>
          <w:p w14:paraId="6C753987" w14:textId="77777777" w:rsidR="00EF5C25" w:rsidRPr="007F530F" w:rsidRDefault="00EF5C25" w:rsidP="000A0CF7">
            <w:pPr>
              <w:pStyle w:val="TableBody"/>
            </w:pPr>
            <w:r w:rsidRPr="007F530F">
              <w:t>Section 49D</w:t>
            </w:r>
          </w:p>
        </w:tc>
        <w:tc>
          <w:tcPr>
            <w:tcW w:w="0" w:type="auto"/>
          </w:tcPr>
          <w:p w14:paraId="682CD5DE" w14:textId="77777777" w:rsidR="00EF5C25" w:rsidRPr="007F530F" w:rsidRDefault="00EF5C25" w:rsidP="000A0CF7">
            <w:pPr>
              <w:pStyle w:val="TableBody"/>
            </w:pPr>
            <w:r w:rsidRPr="007F530F">
              <w:t>4 years</w:t>
            </w:r>
          </w:p>
        </w:tc>
      </w:tr>
      <w:tr w:rsidR="00EF5C25" w:rsidRPr="007F530F" w14:paraId="133B7BA2" w14:textId="77777777" w:rsidTr="000A0CF7">
        <w:trPr>
          <w:trHeight w:val="60"/>
        </w:trPr>
        <w:tc>
          <w:tcPr>
            <w:tcW w:w="0" w:type="auto"/>
          </w:tcPr>
          <w:p w14:paraId="27ADF7B3" w14:textId="77777777" w:rsidR="00EF5C25" w:rsidRPr="007F530F" w:rsidRDefault="00EF5C25" w:rsidP="000A0CF7">
            <w:pPr>
              <w:pStyle w:val="TableBody"/>
            </w:pPr>
            <w:r w:rsidRPr="007F530F">
              <w:t>Persistent sexual abuse of a child aged under 16</w:t>
            </w:r>
          </w:p>
        </w:tc>
        <w:tc>
          <w:tcPr>
            <w:tcW w:w="0" w:type="auto"/>
          </w:tcPr>
          <w:p w14:paraId="58044759" w14:textId="77777777" w:rsidR="00EF5C25" w:rsidRPr="007F530F" w:rsidRDefault="00EF5C25" w:rsidP="000A0CF7">
            <w:pPr>
              <w:pStyle w:val="TableBody"/>
            </w:pPr>
            <w:r w:rsidRPr="007F530F">
              <w:t>Section 49J</w:t>
            </w:r>
          </w:p>
        </w:tc>
        <w:tc>
          <w:tcPr>
            <w:tcW w:w="0" w:type="auto"/>
          </w:tcPr>
          <w:p w14:paraId="3731F973" w14:textId="77777777" w:rsidR="00EF5C25" w:rsidRPr="007F530F" w:rsidRDefault="00EF5C25" w:rsidP="000A0CF7">
            <w:pPr>
              <w:pStyle w:val="TableBody"/>
            </w:pPr>
            <w:r w:rsidRPr="007F530F">
              <w:t>10 years</w:t>
            </w:r>
          </w:p>
        </w:tc>
      </w:tr>
    </w:tbl>
    <w:p w14:paraId="3FCA4ECC" w14:textId="77777777" w:rsidR="00EF5C25" w:rsidRPr="007F530F" w:rsidRDefault="00EF5C25" w:rsidP="00CB18EF">
      <w:pPr>
        <w:pStyle w:val="Numbered"/>
      </w:pPr>
      <w:r w:rsidRPr="007F530F">
        <w:t>The standard sentence scheme shares the broad policy intention of its predecessor – of increasing sentencing practices for certain serious offences to bring sentencing more in line with community expectations.</w:t>
      </w:r>
      <w:r w:rsidRPr="007F530F">
        <w:rPr>
          <w:rStyle w:val="Superscript"/>
        </w:rPr>
        <w:footnoteReference w:id="65"/>
      </w:r>
      <w:r w:rsidRPr="007F530F">
        <w:t xml:space="preserve"> However, the practical implications of both schemes are notably distinct. While a baseline sentence represented a median prison sentence length for an offence, with half of sentences required to fall below and half above that level,</w:t>
      </w:r>
      <w:r w:rsidRPr="007F530F">
        <w:rPr>
          <w:rStyle w:val="Superscript"/>
        </w:rPr>
        <w:footnoteReference w:id="66"/>
      </w:r>
      <w:r w:rsidRPr="007F530F">
        <w:t xml:space="preserve"> the standard sentence does not prescribe a statistical outcome:</w:t>
      </w:r>
    </w:p>
    <w:p w14:paraId="4F3DB835" w14:textId="77777777" w:rsidR="00EF5C25" w:rsidRPr="007F530F" w:rsidRDefault="00EF5C25" w:rsidP="005E5687">
      <w:pPr>
        <w:pStyle w:val="Quote"/>
      </w:pPr>
      <w:r w:rsidRPr="007F530F">
        <w:t>[T]he middle of the range of objective offence seriousness does not necessarily bear any relationship to the median sentence.</w:t>
      </w:r>
      <w:r w:rsidRPr="007F530F">
        <w:rPr>
          <w:rStyle w:val="Superscript"/>
        </w:rPr>
        <w:footnoteReference w:id="67"/>
      </w:r>
    </w:p>
    <w:p w14:paraId="0DD0A9C4" w14:textId="77777777" w:rsidR="00EF5C25" w:rsidRPr="007F530F" w:rsidRDefault="00EF5C25" w:rsidP="00CB18EF">
      <w:pPr>
        <w:pStyle w:val="Numbered"/>
      </w:pPr>
      <w:r w:rsidRPr="007F530F">
        <w:lastRenderedPageBreak/>
        <w:t xml:space="preserve">Rather, the standard sentence scheme aims to increase sentence lengths by providing courts with an additional legislative guidepost, like the maximum penalty, while also prohibiting courts from considering past sentencing practices for the offence. </w:t>
      </w:r>
    </w:p>
    <w:p w14:paraId="190D75E2" w14:textId="77777777" w:rsidR="00EF5C25" w:rsidRPr="007F530F" w:rsidRDefault="00EF5C25" w:rsidP="00CB18EF">
      <w:pPr>
        <w:pStyle w:val="Numbered"/>
      </w:pPr>
      <w:r w:rsidRPr="007F530F">
        <w:t xml:space="preserve">It is possible for standard sentence offences to receive non-custodial outcomes or, if relevant, youth detention (which has an upper limit that falls beneath the standard sentence). In those instances, the numerical guidance of the standard sentence nevertheless remains a relevant guidepost of objective seriousness, similar to the maximum penalty. Section 5B(2)(a) of the </w:t>
      </w:r>
      <w:r w:rsidRPr="00D62402">
        <w:rPr>
          <w:rStyle w:val="Emphasis"/>
        </w:rPr>
        <w:t xml:space="preserve">Sentencing Act 1991 </w:t>
      </w:r>
      <w:r w:rsidRPr="007F530F">
        <w:t>(Vic)</w:t>
      </w:r>
      <w:r w:rsidRPr="00D62402">
        <w:rPr>
          <w:rStyle w:val="Emphasis"/>
        </w:rPr>
        <w:t xml:space="preserve"> </w:t>
      </w:r>
      <w:r w:rsidRPr="007F530F">
        <w:t xml:space="preserve">requires any court sentencing an offender for a standard sentence offence to ‘take the standard sentence into account as one of the factors relevant to sentencing’. There is no qualification that the standard sentence only be taken into account when sentencing a standard sentence offence </w:t>
      </w:r>
      <w:r w:rsidRPr="00D62402">
        <w:rPr>
          <w:rStyle w:val="Emphasis"/>
        </w:rPr>
        <w:t>to a term of imprisonment</w:t>
      </w:r>
      <w:r w:rsidRPr="007F530F">
        <w:t>. For instance, one court said:</w:t>
      </w:r>
    </w:p>
    <w:p w14:paraId="347022FD" w14:textId="77777777" w:rsidR="00EF5C25" w:rsidRPr="007F530F" w:rsidRDefault="00EF5C25" w:rsidP="005E5687">
      <w:pPr>
        <w:pStyle w:val="Quote"/>
      </w:pPr>
      <w:r w:rsidRPr="007F530F">
        <w:t>[p]arliament has chosen to leave open the possibility of a sentence of youth detention in respect of the standard sentence offence of rape, though it may be expected that such Orders will now be made less frequently. Nevertheless, youth detention will be appropriate in some cases and ultimately I have determined that this is such a case.</w:t>
      </w:r>
      <w:r w:rsidRPr="007F530F">
        <w:rPr>
          <w:rStyle w:val="Superscript"/>
        </w:rPr>
        <w:footnoteReference w:id="68"/>
      </w:r>
    </w:p>
    <w:p w14:paraId="4CFB0D1D" w14:textId="77777777" w:rsidR="00EF5C25" w:rsidRPr="007F530F" w:rsidRDefault="00EF5C25" w:rsidP="00CB18EF">
      <w:pPr>
        <w:pStyle w:val="Numbered"/>
      </w:pPr>
      <w:r w:rsidRPr="007F530F">
        <w:t>Courts have also consistently recognised and emphasised that the standard sentence is just one factor to take into account in sentencing and is neither the primary nor the controlling factor.</w:t>
      </w:r>
    </w:p>
    <w:p w14:paraId="5632FD22" w14:textId="77777777" w:rsidR="00EF5C25" w:rsidRPr="007F530F" w:rsidRDefault="00EF5C25" w:rsidP="005E5687">
      <w:pPr>
        <w:pStyle w:val="Quote"/>
      </w:pPr>
      <w:r w:rsidRPr="007F530F">
        <w:t xml:space="preserve">[T]he standard sentence is simply another factor to be taken into account in the overall assessment of the appropriate sentence. It is </w:t>
      </w:r>
      <w:r w:rsidRPr="007F530F">
        <w:lastRenderedPageBreak/>
        <w:t>not to be treated as a determinative figure and should not interrupt the operation of the instinctive synthesis principle.</w:t>
      </w:r>
      <w:r w:rsidRPr="007F530F">
        <w:rPr>
          <w:rStyle w:val="Superscript"/>
        </w:rPr>
        <w:footnoteReference w:id="69"/>
      </w:r>
    </w:p>
    <w:p w14:paraId="7D25D4E5" w14:textId="77777777" w:rsidR="00EF5C25" w:rsidRPr="007F530F" w:rsidRDefault="00EF5C25" w:rsidP="00D527F2">
      <w:pPr>
        <w:ind w:left="720"/>
      </w:pPr>
      <w:r w:rsidRPr="007F530F">
        <w:t>Further:</w:t>
      </w:r>
    </w:p>
    <w:p w14:paraId="2F654356" w14:textId="77777777" w:rsidR="00EF5C25" w:rsidRPr="007F530F" w:rsidRDefault="00EF5C25" w:rsidP="005E5687">
      <w:pPr>
        <w:pStyle w:val="Quote"/>
      </w:pPr>
      <w:r w:rsidRPr="007F530F">
        <w:t>[a] standard sentence is not the same thing as a mandatory sentence. Nor is a standard sentence the primary sentencing consideration, or the starting point from which to add or subtract time. It is just one of the many matters to be taken into account by a court in performing the instinctive synthesis method of sentencing.</w:t>
      </w:r>
      <w:r w:rsidRPr="007F530F">
        <w:rPr>
          <w:rStyle w:val="Superscript"/>
        </w:rPr>
        <w:footnoteReference w:id="70"/>
      </w:r>
    </w:p>
    <w:p w14:paraId="5AD514AE" w14:textId="77777777" w:rsidR="00EF5C25" w:rsidRPr="007F530F" w:rsidRDefault="00EF5C25" w:rsidP="00CB18EF">
      <w:pPr>
        <w:pStyle w:val="Numbered"/>
      </w:pPr>
      <w:r w:rsidRPr="007F530F">
        <w:t>The first standard sentence offence was sentenced in November 2018 (murder),</w:t>
      </w:r>
      <w:r w:rsidRPr="007F530F">
        <w:rPr>
          <w:rStyle w:val="Superscript"/>
        </w:rPr>
        <w:footnoteReference w:id="71"/>
      </w:r>
      <w:r w:rsidRPr="007F530F">
        <w:t xml:space="preserve"> another was sentenced in December 2018 (culpable driving causing death),</w:t>
      </w:r>
      <w:r w:rsidRPr="007F530F">
        <w:rPr>
          <w:rStyle w:val="Superscript"/>
        </w:rPr>
        <w:footnoteReference w:id="72"/>
      </w:r>
      <w:r w:rsidRPr="007F530F">
        <w:t xml:space="preserve"> and the next was sentenced in February 2019 (rape).</w:t>
      </w:r>
      <w:r w:rsidRPr="007F530F">
        <w:rPr>
          <w:rStyle w:val="Superscript"/>
        </w:rPr>
        <w:footnoteReference w:id="73"/>
      </w:r>
      <w:r w:rsidRPr="007F530F">
        <w:t xml:space="preserve"> Given that the first standard sentence </w:t>
      </w:r>
      <w:r w:rsidRPr="00D62402">
        <w:rPr>
          <w:rStyle w:val="Emphasis"/>
        </w:rPr>
        <w:t>sex</w:t>
      </w:r>
      <w:r w:rsidRPr="007F530F">
        <w:t xml:space="preserve"> offence was not sentenced until 2019, this report compares how relevant sex offences were sentenced in 2019, when they either were or were not standard sentence offences.</w:t>
      </w:r>
    </w:p>
    <w:p w14:paraId="3B873A44" w14:textId="77777777" w:rsidR="00EF5C25" w:rsidRPr="007F530F" w:rsidRDefault="00EF5C25" w:rsidP="00CB18EF">
      <w:pPr>
        <w:pStyle w:val="Numbered"/>
      </w:pPr>
      <w:r w:rsidRPr="007F530F">
        <w:t xml:space="preserve">While the legislation does not itself specify that courts should increase sentencing practices for the various offences as a result of </w:t>
      </w:r>
      <w:r w:rsidRPr="007F530F">
        <w:lastRenderedPageBreak/>
        <w:t>their classification as standard sentences, three factors point to that being the intention of the reforms:</w:t>
      </w:r>
    </w:p>
    <w:p w14:paraId="4DD3217D" w14:textId="77777777" w:rsidR="00EF5C25" w:rsidRPr="002315F9" w:rsidRDefault="00EF5C25" w:rsidP="002315F9">
      <w:pPr>
        <w:pStyle w:val="ListParagraph"/>
        <w:numPr>
          <w:ilvl w:val="0"/>
          <w:numId w:val="18"/>
        </w:numPr>
      </w:pPr>
      <w:r w:rsidRPr="007F530F">
        <w:t>an express statement to that effect by the then Attorney-General;</w:t>
      </w:r>
      <w:r w:rsidRPr="007F530F">
        <w:rPr>
          <w:rStyle w:val="Superscript"/>
        </w:rPr>
        <w:footnoteReference w:id="74"/>
      </w:r>
    </w:p>
    <w:p w14:paraId="37B889A2" w14:textId="77777777" w:rsidR="00EF5C25" w:rsidRPr="002315F9" w:rsidRDefault="00EF5C25" w:rsidP="002315F9">
      <w:pPr>
        <w:pStyle w:val="ListParagraph"/>
        <w:numPr>
          <w:ilvl w:val="0"/>
          <w:numId w:val="18"/>
        </w:numPr>
      </w:pPr>
      <w:r w:rsidRPr="007F530F">
        <w:t>the fact that the standard sentences for these offences are uniformly higher than their previous median/average sentences; and</w:t>
      </w:r>
    </w:p>
    <w:p w14:paraId="3D84E1CB" w14:textId="77777777" w:rsidR="00EF5C25" w:rsidRPr="002315F9" w:rsidRDefault="00EF5C25" w:rsidP="002315F9">
      <w:pPr>
        <w:pStyle w:val="ListParagraph"/>
        <w:numPr>
          <w:ilvl w:val="0"/>
          <w:numId w:val="18"/>
        </w:numPr>
      </w:pPr>
      <w:r w:rsidRPr="007F530F">
        <w:t>in turn, the fact that when courts consider current sentencing practices for a standard sentence offence, they are required to consider only those sentences that were imposed under the standard sentence scheme (disregarding sentencing practices from when the offence was a non-standard sentence offence).</w:t>
      </w:r>
      <w:r w:rsidRPr="007F530F">
        <w:rPr>
          <w:rStyle w:val="Superscript"/>
        </w:rPr>
        <w:footnoteReference w:id="75"/>
      </w:r>
      <w:r w:rsidRPr="007F530F">
        <w:t xml:space="preserve"> </w:t>
      </w:r>
    </w:p>
    <w:p w14:paraId="2DD70FB3" w14:textId="2F6AC4CE" w:rsidR="00EF5C25" w:rsidRDefault="00EF5C25" w:rsidP="00CB18EF">
      <w:pPr>
        <w:pStyle w:val="Numbered"/>
      </w:pPr>
      <w:r w:rsidRPr="007F530F">
        <w:t xml:space="preserve">A further issue is which current sentencing practices courts should consider. While courts sentencing standard sentence offences must only take into account how the offence has been sentenced as a standard sentence offence, the reverse is not true. Courts sentencing </w:t>
      </w:r>
      <w:r w:rsidRPr="00D62402">
        <w:rPr>
          <w:rStyle w:val="Emphasis"/>
        </w:rPr>
        <w:t>non</w:t>
      </w:r>
      <w:r w:rsidRPr="007F530F">
        <w:t xml:space="preserve">-standard sentence versions of relevant offences must take into account </w:t>
      </w:r>
      <w:r w:rsidRPr="00D62402">
        <w:rPr>
          <w:rStyle w:val="Emphasis"/>
        </w:rPr>
        <w:t xml:space="preserve">both </w:t>
      </w:r>
      <w:r w:rsidRPr="007F530F">
        <w:t>how the offence has been sentenced as a standard sentence offence and how the offence has been sentenced as a non-standard sentence offence.</w:t>
      </w:r>
      <w:r w:rsidRPr="007F530F">
        <w:rPr>
          <w:rStyle w:val="Superscript"/>
        </w:rPr>
        <w:footnoteReference w:id="76"/>
      </w:r>
      <w:r w:rsidRPr="007F530F">
        <w:t xml:space="preserve"> As an increasing </w:t>
      </w:r>
      <w:r w:rsidRPr="007F530F">
        <w:lastRenderedPageBreak/>
        <w:t>number of standard sentence offences are sentenced, the overall length of prison sentences will therefore increase not just for offences that attract standard sentence offence classification but also for those that do not.</w:t>
      </w:r>
    </w:p>
    <w:p w14:paraId="05057B5A" w14:textId="77777777" w:rsidR="00DA4AF9" w:rsidRPr="007F530F" w:rsidRDefault="00DA4AF9" w:rsidP="0062246A">
      <w:pPr>
        <w:pStyle w:val="Caption"/>
      </w:pPr>
      <w:r w:rsidRPr="007F530F">
        <w:t>Which current sentencing practices should courts consider?</w:t>
      </w:r>
    </w:p>
    <w:tbl>
      <w:tblPr>
        <w:tblStyle w:val="Table"/>
        <w:tblW w:w="5000" w:type="pct"/>
        <w:tblLook w:val="0020" w:firstRow="1" w:lastRow="0" w:firstColumn="0" w:lastColumn="0" w:noHBand="0" w:noVBand="0"/>
      </w:tblPr>
      <w:tblGrid>
        <w:gridCol w:w="3448"/>
        <w:gridCol w:w="1060"/>
        <w:gridCol w:w="3448"/>
        <w:gridCol w:w="1060"/>
      </w:tblGrid>
      <w:tr w:rsidR="00DA4AF9" w:rsidRPr="007F530F" w14:paraId="1A35EBD8" w14:textId="77777777" w:rsidTr="00511CCD">
        <w:trPr>
          <w:trHeight w:val="647"/>
        </w:trPr>
        <w:tc>
          <w:tcPr>
            <w:tcW w:w="1912" w:type="pct"/>
          </w:tcPr>
          <w:p w14:paraId="3E59D308" w14:textId="77777777" w:rsidR="00DA4AF9" w:rsidRPr="00E839C1" w:rsidRDefault="00DA4AF9" w:rsidP="00511CCD">
            <w:pPr>
              <w:pStyle w:val="TableHeading"/>
            </w:pPr>
            <w:r w:rsidRPr="00E839C1">
              <w:t>Standard sentence offence</w:t>
            </w:r>
          </w:p>
        </w:tc>
        <w:tc>
          <w:tcPr>
            <w:tcW w:w="588" w:type="pct"/>
          </w:tcPr>
          <w:p w14:paraId="1701C19C" w14:textId="1E30B375" w:rsidR="00DA4AF9" w:rsidRPr="00E839C1" w:rsidRDefault="00E04C0F" w:rsidP="00511CCD">
            <w:pPr>
              <w:pStyle w:val="TableHeading"/>
            </w:pPr>
            <w:r w:rsidRPr="00E839C1">
              <w:t>Yes/No</w:t>
            </w:r>
          </w:p>
        </w:tc>
        <w:tc>
          <w:tcPr>
            <w:tcW w:w="1912" w:type="pct"/>
          </w:tcPr>
          <w:p w14:paraId="396D4022" w14:textId="77777777" w:rsidR="00DA4AF9" w:rsidRPr="00E839C1" w:rsidRDefault="00DA4AF9" w:rsidP="00511CCD">
            <w:pPr>
              <w:pStyle w:val="TableHeading"/>
            </w:pPr>
            <w:r w:rsidRPr="00E839C1">
              <w:t>Non-standard sentence offence</w:t>
            </w:r>
          </w:p>
        </w:tc>
        <w:tc>
          <w:tcPr>
            <w:tcW w:w="588" w:type="pct"/>
          </w:tcPr>
          <w:p w14:paraId="2F42369D" w14:textId="5C365338" w:rsidR="00DA4AF9" w:rsidRPr="00E839C1" w:rsidRDefault="00E04C0F" w:rsidP="00511CCD">
            <w:pPr>
              <w:pStyle w:val="TableHeading"/>
            </w:pPr>
            <w:r w:rsidRPr="00E839C1">
              <w:t>Yes/No</w:t>
            </w:r>
          </w:p>
        </w:tc>
      </w:tr>
      <w:tr w:rsidR="002967C3" w:rsidRPr="007F530F" w14:paraId="551E07E9" w14:textId="77777777" w:rsidTr="00511CCD">
        <w:trPr>
          <w:trHeight w:val="647"/>
        </w:trPr>
        <w:tc>
          <w:tcPr>
            <w:tcW w:w="1912" w:type="pct"/>
          </w:tcPr>
          <w:p w14:paraId="645B58DE" w14:textId="6E3E21C8" w:rsidR="002967C3" w:rsidRPr="00E839C1" w:rsidRDefault="002967C3" w:rsidP="00511CCD">
            <w:pPr>
              <w:pStyle w:val="TableBody"/>
              <w:rPr>
                <w:rStyle w:val="DemiColour"/>
                <w:rFonts w:ascii="Verdana" w:hAnsi="Verdana" w:cs="ITC Franklin Gothic Book"/>
                <w:color w:val="000000"/>
              </w:rPr>
            </w:pPr>
            <w:r w:rsidRPr="00E839C1">
              <w:t>Current sentencing practices as a standard sentence offence</w:t>
            </w:r>
          </w:p>
        </w:tc>
        <w:tc>
          <w:tcPr>
            <w:tcW w:w="588" w:type="pct"/>
          </w:tcPr>
          <w:p w14:paraId="1F6D1DD5" w14:textId="60A2F27C" w:rsidR="002967C3" w:rsidRPr="00497214" w:rsidRDefault="002967C3" w:rsidP="00511CCD">
            <w:pPr>
              <w:pStyle w:val="TableBody"/>
            </w:pPr>
            <w:r w:rsidRPr="00497214">
              <w:t>Yes</w:t>
            </w:r>
          </w:p>
        </w:tc>
        <w:tc>
          <w:tcPr>
            <w:tcW w:w="1912" w:type="pct"/>
          </w:tcPr>
          <w:p w14:paraId="381E3E69" w14:textId="67E8D0F9" w:rsidR="002967C3" w:rsidRPr="00E839C1" w:rsidRDefault="002967C3" w:rsidP="00511CCD">
            <w:pPr>
              <w:pStyle w:val="TableBody"/>
              <w:rPr>
                <w:rStyle w:val="DemiColour"/>
                <w:rFonts w:ascii="Verdana" w:hAnsi="Verdana" w:cs="ITC Franklin Gothic Book"/>
                <w:color w:val="000000"/>
              </w:rPr>
            </w:pPr>
            <w:r w:rsidRPr="00E839C1">
              <w:t>All current sentencing practices (regardless of standard sentence offence status)</w:t>
            </w:r>
          </w:p>
        </w:tc>
        <w:tc>
          <w:tcPr>
            <w:tcW w:w="588" w:type="pct"/>
          </w:tcPr>
          <w:p w14:paraId="7B4D074D" w14:textId="0F8B71ED" w:rsidR="002967C3" w:rsidRPr="00497214" w:rsidRDefault="002967C3" w:rsidP="00511CCD">
            <w:pPr>
              <w:pStyle w:val="TableBody"/>
            </w:pPr>
            <w:r w:rsidRPr="00497214">
              <w:t>Yes</w:t>
            </w:r>
          </w:p>
        </w:tc>
      </w:tr>
      <w:tr w:rsidR="002967C3" w:rsidRPr="007F530F" w14:paraId="45FB4F68" w14:textId="77777777" w:rsidTr="00511CCD">
        <w:trPr>
          <w:trHeight w:val="647"/>
        </w:trPr>
        <w:tc>
          <w:tcPr>
            <w:tcW w:w="1912" w:type="pct"/>
          </w:tcPr>
          <w:p w14:paraId="6E72DBBE" w14:textId="663D7090" w:rsidR="002967C3" w:rsidRPr="00E839C1" w:rsidRDefault="002967C3" w:rsidP="00511CCD">
            <w:pPr>
              <w:pStyle w:val="TableBody"/>
              <w:rPr>
                <w:rStyle w:val="DemiColour"/>
                <w:rFonts w:ascii="Verdana" w:hAnsi="Verdana" w:cs="ITC Franklin Gothic Book"/>
                <w:color w:val="000000"/>
              </w:rPr>
            </w:pPr>
            <w:r w:rsidRPr="00E839C1">
              <w:t xml:space="preserve">Current sentencing practices </w:t>
            </w:r>
            <w:r w:rsidRPr="002315F9">
              <w:rPr>
                <w:rStyle w:val="Emphasis"/>
              </w:rPr>
              <w:t>not</w:t>
            </w:r>
            <w:r w:rsidRPr="00E839C1">
              <w:t xml:space="preserve"> as a standard sentence offence</w:t>
            </w:r>
          </w:p>
        </w:tc>
        <w:tc>
          <w:tcPr>
            <w:tcW w:w="588" w:type="pct"/>
          </w:tcPr>
          <w:p w14:paraId="4764F485" w14:textId="5E142545" w:rsidR="002967C3" w:rsidRPr="00497214" w:rsidRDefault="002967C3" w:rsidP="00511CCD">
            <w:pPr>
              <w:pStyle w:val="TableBody"/>
            </w:pPr>
            <w:r w:rsidRPr="00497214">
              <w:t>No</w:t>
            </w:r>
          </w:p>
        </w:tc>
        <w:tc>
          <w:tcPr>
            <w:tcW w:w="1912" w:type="pct"/>
          </w:tcPr>
          <w:p w14:paraId="07056CC2" w14:textId="4C2FB8AB" w:rsidR="002967C3" w:rsidRPr="00E839C1" w:rsidRDefault="00056311" w:rsidP="00511CCD">
            <w:pPr>
              <w:pStyle w:val="TableBody"/>
            </w:pPr>
            <w:r w:rsidRPr="00E839C1">
              <w:t>–</w:t>
            </w:r>
          </w:p>
        </w:tc>
        <w:tc>
          <w:tcPr>
            <w:tcW w:w="588" w:type="pct"/>
          </w:tcPr>
          <w:p w14:paraId="762A0B2A" w14:textId="30F3A607" w:rsidR="002967C3" w:rsidRPr="00E839C1" w:rsidRDefault="00D73064" w:rsidP="00511CCD">
            <w:pPr>
              <w:pStyle w:val="TableBody"/>
            </w:pPr>
            <w:r w:rsidRPr="00E839C1">
              <w:t>–</w:t>
            </w:r>
          </w:p>
        </w:tc>
      </w:tr>
    </w:tbl>
    <w:p w14:paraId="2E820F89" w14:textId="5D0234F2" w:rsidR="00EF5C25" w:rsidRDefault="00EF5C25" w:rsidP="00CB18EF">
      <w:pPr>
        <w:pStyle w:val="Numbered"/>
      </w:pPr>
      <w:r w:rsidRPr="007F530F">
        <w:t>In sum, there have been three significant reforms to the sentencing of sex offences in Victoria over the period of just a few years. The overlapping and complex nature of the reforms may present distinct challenges, not only for judges in sentencing cases in which these and other sentencing schemes apply but also for those trying to understand how and why a certain sentence was imposed.</w:t>
      </w:r>
    </w:p>
    <w:p w14:paraId="4E9AB583" w14:textId="01634895" w:rsidR="00EF5C25" w:rsidRPr="007F530F" w:rsidRDefault="00EF5C25" w:rsidP="00CB18EF">
      <w:pPr>
        <w:pStyle w:val="Heading1Numbered"/>
      </w:pPr>
      <w:bookmarkStart w:id="7" w:name="_Toc74904000"/>
      <w:r w:rsidRPr="007F530F">
        <w:lastRenderedPageBreak/>
        <w:t>Rape offences</w:t>
      </w:r>
      <w:bookmarkEnd w:id="7"/>
    </w:p>
    <w:p w14:paraId="20324C04" w14:textId="77777777" w:rsidR="00EF5C25" w:rsidRPr="007F530F" w:rsidRDefault="00EF5C25" w:rsidP="00CB18EF">
      <w:pPr>
        <w:pStyle w:val="Numbered"/>
      </w:pPr>
      <w:r w:rsidRPr="007F530F">
        <w:t>This chapter discusses the number and types of rape offences</w:t>
      </w:r>
      <w:r w:rsidRPr="007F530F">
        <w:rPr>
          <w:rStyle w:val="Superscript"/>
        </w:rPr>
        <w:footnoteReference w:id="77"/>
      </w:r>
      <w:r w:rsidRPr="007F530F">
        <w:t xml:space="preserve"> recorded and sentenced in the 10 years from 2010 to 2019 and the sentences imposed for proven rape offences, including the duration of charge-level and case-level prison sentences.</w:t>
      </w:r>
    </w:p>
    <w:p w14:paraId="449AFEBC" w14:textId="77777777" w:rsidR="00EF5C25" w:rsidRPr="007F530F" w:rsidRDefault="00EF5C25" w:rsidP="00CB18EF">
      <w:pPr>
        <w:pStyle w:val="Numbered"/>
      </w:pPr>
      <w:r w:rsidRPr="007F530F">
        <w:t xml:space="preserve">The offence of rape contrary to section 38 of the </w:t>
      </w:r>
      <w:r w:rsidRPr="00D62402">
        <w:rPr>
          <w:rStyle w:val="Emphasis"/>
        </w:rPr>
        <w:t xml:space="preserve">Crimes Act 1958 </w:t>
      </w:r>
      <w:r w:rsidRPr="007F530F">
        <w:t>(Vic) is the most common rape offence in Victoria. With some notable exceptions, the offence has existed in its current form since 1992. Prior to that, there had been multiple offences of either rape and rape with mitigating circumstances (1959 to 1981) or rape and rape with aggravating circumstances (1981 to 1992), which had maximum penalties of 10 years’ or 20 years’ imprisonment. Digital rape was excluded as a form of rape until 1991.</w:t>
      </w:r>
      <w:r w:rsidRPr="007F530F">
        <w:rPr>
          <w:rStyle w:val="Superscript"/>
        </w:rPr>
        <w:footnoteReference w:id="78"/>
      </w:r>
      <w:r w:rsidRPr="007F530F">
        <w:t xml:space="preserve"> Since 1992, rape has had a maximum penalty of 25 years’ imprisonment. In 1993, it was designated a serious offence that could result in disproportionately long prison sentences;</w:t>
      </w:r>
      <w:r w:rsidRPr="007F530F">
        <w:rPr>
          <w:rStyle w:val="Superscript"/>
        </w:rPr>
        <w:footnoteReference w:id="79"/>
      </w:r>
      <w:r w:rsidRPr="007F530F">
        <w:t xml:space="preserve"> it had its mental element amended in 2008 and 2015;</w:t>
      </w:r>
      <w:r w:rsidRPr="007F530F">
        <w:rPr>
          <w:rStyle w:val="Superscript"/>
        </w:rPr>
        <w:footnoteReference w:id="80"/>
      </w:r>
      <w:r w:rsidRPr="007F530F">
        <w:t xml:space="preserve"> in 2015, it became </w:t>
      </w:r>
      <w:r w:rsidRPr="007F530F">
        <w:lastRenderedPageBreak/>
        <w:t>capable of being charged as a course of conduct offence;</w:t>
      </w:r>
      <w:r w:rsidRPr="007F530F">
        <w:rPr>
          <w:rStyle w:val="Superscript"/>
        </w:rPr>
        <w:footnoteReference w:id="81"/>
      </w:r>
      <w:r w:rsidRPr="007F530F">
        <w:t xml:space="preserve"> in 2016, it received judicial guidance about a non-exhaustive list of factors typically relevant to its sentencing;</w:t>
      </w:r>
      <w:r w:rsidRPr="007F530F">
        <w:rPr>
          <w:rStyle w:val="Superscript"/>
        </w:rPr>
        <w:footnoteReference w:id="82"/>
      </w:r>
      <w:r w:rsidRPr="007F530F">
        <w:t xml:space="preserve"> it was designated a Category 1 offence if committed on or after 20 March 2017; and it was designated a standard sentence offence if committed on or after 1 February 2018.</w:t>
      </w:r>
    </w:p>
    <w:p w14:paraId="092B3E81" w14:textId="77777777" w:rsidR="00EF5C25" w:rsidRPr="007F530F" w:rsidRDefault="00EF5C25" w:rsidP="006633AA">
      <w:pPr>
        <w:pStyle w:val="Heading2"/>
      </w:pPr>
      <w:r w:rsidRPr="007F530F">
        <w:t>Number of recorded and sentenced rape offences</w:t>
      </w:r>
    </w:p>
    <w:p w14:paraId="5B0983EC" w14:textId="77777777" w:rsidR="00EF5C25" w:rsidRPr="007F530F" w:rsidRDefault="00EF5C25" w:rsidP="00CB18EF">
      <w:pPr>
        <w:pStyle w:val="Numbered"/>
      </w:pPr>
      <w:r w:rsidRPr="007F530F">
        <w:t>Between 2010 and 2019, 22,954 rape offences were recorded by police in Victoria, with the yearly number almost doubling over that period (Figure 5).</w:t>
      </w:r>
    </w:p>
    <w:p w14:paraId="1716E342" w14:textId="77777777" w:rsidR="00EF5C25" w:rsidRPr="007F530F" w:rsidRDefault="00EF5C25" w:rsidP="00D00197">
      <w:pPr>
        <w:pStyle w:val="Caption"/>
      </w:pPr>
      <w:r w:rsidRPr="00D00197">
        <w:t xml:space="preserve">Figure 5: </w:t>
      </w:r>
      <w:r w:rsidRPr="007F530F">
        <w:t>Number of rape offences recorded by police in Victoria, by year (22,954 offences)</w:t>
      </w:r>
    </w:p>
    <w:tbl>
      <w:tblPr>
        <w:tblStyle w:val="Table"/>
        <w:tblW w:w="5000" w:type="pct"/>
        <w:tblLook w:val="04A0" w:firstRow="1" w:lastRow="0" w:firstColumn="1" w:lastColumn="0" w:noHBand="0" w:noVBand="1"/>
      </w:tblPr>
      <w:tblGrid>
        <w:gridCol w:w="3882"/>
        <w:gridCol w:w="5134"/>
      </w:tblGrid>
      <w:tr w:rsidR="00252103" w:rsidRPr="00252103" w14:paraId="785F838B" w14:textId="77777777" w:rsidTr="00511CCD">
        <w:trPr>
          <w:trHeight w:val="290"/>
        </w:trPr>
        <w:tc>
          <w:tcPr>
            <w:tcW w:w="2330" w:type="pct"/>
            <w:noWrap/>
            <w:hideMark/>
          </w:tcPr>
          <w:p w14:paraId="5CC575D2" w14:textId="77777777" w:rsidR="00252103" w:rsidRPr="00252103" w:rsidRDefault="00252103" w:rsidP="00511CCD">
            <w:pPr>
              <w:pStyle w:val="TableHeading"/>
            </w:pPr>
            <w:r w:rsidRPr="00252103">
              <w:t>Year</w:t>
            </w:r>
          </w:p>
        </w:tc>
        <w:tc>
          <w:tcPr>
            <w:tcW w:w="2670" w:type="pct"/>
            <w:noWrap/>
            <w:hideMark/>
          </w:tcPr>
          <w:p w14:paraId="1E45D740" w14:textId="77777777" w:rsidR="00252103" w:rsidRPr="00252103" w:rsidRDefault="00252103" w:rsidP="00511CCD">
            <w:pPr>
              <w:pStyle w:val="TableHeading"/>
            </w:pPr>
            <w:r w:rsidRPr="00252103">
              <w:t>Number of rape offences recorded by police</w:t>
            </w:r>
          </w:p>
        </w:tc>
      </w:tr>
      <w:tr w:rsidR="00252103" w:rsidRPr="00252103" w14:paraId="687638EF" w14:textId="77777777" w:rsidTr="00511CCD">
        <w:trPr>
          <w:trHeight w:val="290"/>
        </w:trPr>
        <w:tc>
          <w:tcPr>
            <w:tcW w:w="2330" w:type="pct"/>
            <w:noWrap/>
            <w:hideMark/>
          </w:tcPr>
          <w:p w14:paraId="03466EC6" w14:textId="77777777" w:rsidR="00252103" w:rsidRPr="00252103" w:rsidRDefault="00252103" w:rsidP="00511CCD">
            <w:pPr>
              <w:pStyle w:val="TableBody"/>
            </w:pPr>
            <w:r w:rsidRPr="00252103">
              <w:t>2010</w:t>
            </w:r>
          </w:p>
        </w:tc>
        <w:tc>
          <w:tcPr>
            <w:tcW w:w="2670" w:type="pct"/>
            <w:noWrap/>
            <w:hideMark/>
          </w:tcPr>
          <w:p w14:paraId="40145E66" w14:textId="32613D23" w:rsidR="00252103" w:rsidRPr="00252103" w:rsidRDefault="00252103" w:rsidP="00511CCD">
            <w:pPr>
              <w:pStyle w:val="TableBody"/>
            </w:pPr>
            <w:r w:rsidRPr="00252103">
              <w:t>1</w:t>
            </w:r>
            <w:r w:rsidR="00F4441C">
              <w:t>,</w:t>
            </w:r>
            <w:r w:rsidRPr="00252103">
              <w:t>577</w:t>
            </w:r>
          </w:p>
        </w:tc>
      </w:tr>
      <w:tr w:rsidR="00252103" w:rsidRPr="00252103" w14:paraId="1A20D152" w14:textId="77777777" w:rsidTr="00511CCD">
        <w:trPr>
          <w:trHeight w:val="290"/>
        </w:trPr>
        <w:tc>
          <w:tcPr>
            <w:tcW w:w="2330" w:type="pct"/>
            <w:noWrap/>
            <w:hideMark/>
          </w:tcPr>
          <w:p w14:paraId="1A731D6A" w14:textId="77777777" w:rsidR="00252103" w:rsidRPr="00252103" w:rsidRDefault="00252103" w:rsidP="00511CCD">
            <w:pPr>
              <w:pStyle w:val="TableBody"/>
            </w:pPr>
            <w:r w:rsidRPr="00252103">
              <w:t>2011</w:t>
            </w:r>
          </w:p>
        </w:tc>
        <w:tc>
          <w:tcPr>
            <w:tcW w:w="2670" w:type="pct"/>
            <w:noWrap/>
            <w:hideMark/>
          </w:tcPr>
          <w:p w14:paraId="4D3C3743" w14:textId="57734693" w:rsidR="00252103" w:rsidRPr="00252103" w:rsidRDefault="00252103" w:rsidP="00511CCD">
            <w:pPr>
              <w:pStyle w:val="TableBody"/>
            </w:pPr>
            <w:r w:rsidRPr="00252103">
              <w:t>1</w:t>
            </w:r>
            <w:r w:rsidR="00F4441C">
              <w:t>,</w:t>
            </w:r>
            <w:r w:rsidRPr="00252103">
              <w:t>911</w:t>
            </w:r>
          </w:p>
        </w:tc>
      </w:tr>
      <w:tr w:rsidR="00252103" w:rsidRPr="00252103" w14:paraId="3FF191FD" w14:textId="77777777" w:rsidTr="00511CCD">
        <w:trPr>
          <w:trHeight w:val="290"/>
        </w:trPr>
        <w:tc>
          <w:tcPr>
            <w:tcW w:w="2330" w:type="pct"/>
            <w:noWrap/>
            <w:hideMark/>
          </w:tcPr>
          <w:p w14:paraId="780AF14E" w14:textId="77777777" w:rsidR="00252103" w:rsidRPr="00252103" w:rsidRDefault="00252103" w:rsidP="00511CCD">
            <w:pPr>
              <w:pStyle w:val="TableBody"/>
            </w:pPr>
            <w:r w:rsidRPr="00252103">
              <w:t>2012</w:t>
            </w:r>
          </w:p>
        </w:tc>
        <w:tc>
          <w:tcPr>
            <w:tcW w:w="2670" w:type="pct"/>
            <w:noWrap/>
            <w:hideMark/>
          </w:tcPr>
          <w:p w14:paraId="56D83838" w14:textId="7C674D97" w:rsidR="00252103" w:rsidRPr="00252103" w:rsidRDefault="00252103" w:rsidP="00511CCD">
            <w:pPr>
              <w:pStyle w:val="TableBody"/>
            </w:pPr>
            <w:r w:rsidRPr="00252103">
              <w:t>1</w:t>
            </w:r>
            <w:r w:rsidR="00F4441C">
              <w:t>,</w:t>
            </w:r>
            <w:r w:rsidRPr="00252103">
              <w:t>884</w:t>
            </w:r>
          </w:p>
        </w:tc>
      </w:tr>
      <w:tr w:rsidR="00252103" w:rsidRPr="00252103" w14:paraId="1745572A" w14:textId="77777777" w:rsidTr="00511CCD">
        <w:trPr>
          <w:trHeight w:val="290"/>
        </w:trPr>
        <w:tc>
          <w:tcPr>
            <w:tcW w:w="2330" w:type="pct"/>
            <w:noWrap/>
            <w:hideMark/>
          </w:tcPr>
          <w:p w14:paraId="317A61FD" w14:textId="77777777" w:rsidR="00252103" w:rsidRPr="00252103" w:rsidRDefault="00252103" w:rsidP="00511CCD">
            <w:pPr>
              <w:pStyle w:val="TableBody"/>
            </w:pPr>
            <w:r w:rsidRPr="00252103">
              <w:t>2013</w:t>
            </w:r>
          </w:p>
        </w:tc>
        <w:tc>
          <w:tcPr>
            <w:tcW w:w="2670" w:type="pct"/>
            <w:noWrap/>
            <w:hideMark/>
          </w:tcPr>
          <w:p w14:paraId="3F0E00E6" w14:textId="2218920B" w:rsidR="00252103" w:rsidRPr="00252103" w:rsidRDefault="00252103" w:rsidP="00511CCD">
            <w:pPr>
              <w:pStyle w:val="TableBody"/>
            </w:pPr>
            <w:r w:rsidRPr="00252103">
              <w:t>2</w:t>
            </w:r>
            <w:r w:rsidR="00F4441C">
              <w:t>,</w:t>
            </w:r>
            <w:r w:rsidRPr="00252103">
              <w:t>157</w:t>
            </w:r>
          </w:p>
        </w:tc>
      </w:tr>
      <w:tr w:rsidR="00252103" w:rsidRPr="00252103" w14:paraId="4251DA30" w14:textId="77777777" w:rsidTr="00511CCD">
        <w:trPr>
          <w:trHeight w:val="290"/>
        </w:trPr>
        <w:tc>
          <w:tcPr>
            <w:tcW w:w="2330" w:type="pct"/>
            <w:noWrap/>
            <w:hideMark/>
          </w:tcPr>
          <w:p w14:paraId="5A2DB767" w14:textId="77777777" w:rsidR="00252103" w:rsidRPr="00252103" w:rsidRDefault="00252103" w:rsidP="00511CCD">
            <w:pPr>
              <w:pStyle w:val="TableBody"/>
            </w:pPr>
            <w:r w:rsidRPr="00252103">
              <w:t>2014</w:t>
            </w:r>
          </w:p>
        </w:tc>
        <w:tc>
          <w:tcPr>
            <w:tcW w:w="2670" w:type="pct"/>
            <w:noWrap/>
            <w:hideMark/>
          </w:tcPr>
          <w:p w14:paraId="26E1DFC2" w14:textId="23A770F6" w:rsidR="00252103" w:rsidRPr="00252103" w:rsidRDefault="00252103" w:rsidP="00511CCD">
            <w:pPr>
              <w:pStyle w:val="TableBody"/>
            </w:pPr>
            <w:r w:rsidRPr="00252103">
              <w:t>2</w:t>
            </w:r>
            <w:r w:rsidR="00F4441C">
              <w:t>,</w:t>
            </w:r>
            <w:r w:rsidRPr="00252103">
              <w:t>032</w:t>
            </w:r>
          </w:p>
        </w:tc>
      </w:tr>
      <w:tr w:rsidR="00252103" w:rsidRPr="00252103" w14:paraId="0E70D701" w14:textId="77777777" w:rsidTr="00511CCD">
        <w:trPr>
          <w:trHeight w:val="290"/>
        </w:trPr>
        <w:tc>
          <w:tcPr>
            <w:tcW w:w="2330" w:type="pct"/>
            <w:noWrap/>
            <w:hideMark/>
          </w:tcPr>
          <w:p w14:paraId="592C2C91" w14:textId="77777777" w:rsidR="00252103" w:rsidRPr="00252103" w:rsidRDefault="00252103" w:rsidP="00511CCD">
            <w:pPr>
              <w:pStyle w:val="TableBody"/>
            </w:pPr>
            <w:r w:rsidRPr="00252103">
              <w:t>2015</w:t>
            </w:r>
          </w:p>
        </w:tc>
        <w:tc>
          <w:tcPr>
            <w:tcW w:w="2670" w:type="pct"/>
            <w:noWrap/>
            <w:hideMark/>
          </w:tcPr>
          <w:p w14:paraId="0EB69B4F" w14:textId="69A55359" w:rsidR="00252103" w:rsidRPr="00252103" w:rsidRDefault="00252103" w:rsidP="00511CCD">
            <w:pPr>
              <w:pStyle w:val="TableBody"/>
            </w:pPr>
            <w:r w:rsidRPr="00252103">
              <w:t>2</w:t>
            </w:r>
            <w:r w:rsidR="00F4441C">
              <w:t>,</w:t>
            </w:r>
            <w:r w:rsidRPr="00252103">
              <w:t>289</w:t>
            </w:r>
          </w:p>
        </w:tc>
      </w:tr>
      <w:tr w:rsidR="00252103" w:rsidRPr="00252103" w14:paraId="047E8B9A" w14:textId="77777777" w:rsidTr="00511CCD">
        <w:trPr>
          <w:trHeight w:val="290"/>
        </w:trPr>
        <w:tc>
          <w:tcPr>
            <w:tcW w:w="2330" w:type="pct"/>
            <w:noWrap/>
            <w:hideMark/>
          </w:tcPr>
          <w:p w14:paraId="19F508C6" w14:textId="77777777" w:rsidR="00252103" w:rsidRPr="00252103" w:rsidRDefault="00252103" w:rsidP="00511CCD">
            <w:pPr>
              <w:pStyle w:val="TableBody"/>
            </w:pPr>
            <w:r w:rsidRPr="00252103">
              <w:t>2016</w:t>
            </w:r>
          </w:p>
        </w:tc>
        <w:tc>
          <w:tcPr>
            <w:tcW w:w="2670" w:type="pct"/>
            <w:noWrap/>
            <w:hideMark/>
          </w:tcPr>
          <w:p w14:paraId="685E4B60" w14:textId="067B7033" w:rsidR="00252103" w:rsidRPr="00252103" w:rsidRDefault="00252103" w:rsidP="00511CCD">
            <w:pPr>
              <w:pStyle w:val="TableBody"/>
            </w:pPr>
            <w:r w:rsidRPr="00252103">
              <w:t>2</w:t>
            </w:r>
            <w:r w:rsidR="00F4441C">
              <w:t>,</w:t>
            </w:r>
            <w:r w:rsidRPr="00252103">
              <w:t>571</w:t>
            </w:r>
          </w:p>
        </w:tc>
      </w:tr>
      <w:tr w:rsidR="00252103" w:rsidRPr="00252103" w14:paraId="0454092A" w14:textId="77777777" w:rsidTr="00511CCD">
        <w:trPr>
          <w:trHeight w:val="290"/>
        </w:trPr>
        <w:tc>
          <w:tcPr>
            <w:tcW w:w="2330" w:type="pct"/>
            <w:noWrap/>
            <w:hideMark/>
          </w:tcPr>
          <w:p w14:paraId="05BE51BD" w14:textId="77777777" w:rsidR="00252103" w:rsidRPr="00252103" w:rsidRDefault="00252103" w:rsidP="00511CCD">
            <w:pPr>
              <w:pStyle w:val="TableBody"/>
            </w:pPr>
            <w:r w:rsidRPr="00252103">
              <w:t>2017</w:t>
            </w:r>
          </w:p>
        </w:tc>
        <w:tc>
          <w:tcPr>
            <w:tcW w:w="2670" w:type="pct"/>
            <w:noWrap/>
            <w:hideMark/>
          </w:tcPr>
          <w:p w14:paraId="71527B60" w14:textId="488C1976" w:rsidR="00252103" w:rsidRPr="00252103" w:rsidRDefault="00252103" w:rsidP="00511CCD">
            <w:pPr>
              <w:pStyle w:val="TableBody"/>
            </w:pPr>
            <w:r w:rsidRPr="00252103">
              <w:t>2</w:t>
            </w:r>
            <w:r w:rsidR="00F4441C">
              <w:t>,</w:t>
            </w:r>
            <w:r w:rsidRPr="00252103">
              <w:t>788</w:t>
            </w:r>
          </w:p>
        </w:tc>
      </w:tr>
      <w:tr w:rsidR="00252103" w:rsidRPr="00252103" w14:paraId="67F3EDDC" w14:textId="77777777" w:rsidTr="00511CCD">
        <w:trPr>
          <w:trHeight w:val="290"/>
        </w:trPr>
        <w:tc>
          <w:tcPr>
            <w:tcW w:w="2330" w:type="pct"/>
            <w:noWrap/>
            <w:hideMark/>
          </w:tcPr>
          <w:p w14:paraId="26F04A54" w14:textId="77777777" w:rsidR="00252103" w:rsidRPr="00252103" w:rsidRDefault="00252103" w:rsidP="00511CCD">
            <w:pPr>
              <w:pStyle w:val="TableBody"/>
            </w:pPr>
            <w:r w:rsidRPr="00252103">
              <w:t>2018</w:t>
            </w:r>
          </w:p>
        </w:tc>
        <w:tc>
          <w:tcPr>
            <w:tcW w:w="2670" w:type="pct"/>
            <w:noWrap/>
            <w:hideMark/>
          </w:tcPr>
          <w:p w14:paraId="6B604996" w14:textId="41B9A1E7" w:rsidR="00252103" w:rsidRPr="00252103" w:rsidRDefault="00252103" w:rsidP="00511CCD">
            <w:pPr>
              <w:pStyle w:val="TableBody"/>
            </w:pPr>
            <w:r w:rsidRPr="00252103">
              <w:t>2</w:t>
            </w:r>
            <w:r w:rsidR="00F4441C">
              <w:t>,</w:t>
            </w:r>
            <w:r w:rsidRPr="00252103">
              <w:t>810</w:t>
            </w:r>
          </w:p>
        </w:tc>
      </w:tr>
      <w:tr w:rsidR="00252103" w:rsidRPr="00252103" w14:paraId="72BE23B5" w14:textId="77777777" w:rsidTr="00511CCD">
        <w:trPr>
          <w:trHeight w:val="290"/>
        </w:trPr>
        <w:tc>
          <w:tcPr>
            <w:tcW w:w="2330" w:type="pct"/>
            <w:noWrap/>
            <w:hideMark/>
          </w:tcPr>
          <w:p w14:paraId="13F90032" w14:textId="77777777" w:rsidR="00252103" w:rsidRPr="00252103" w:rsidRDefault="00252103" w:rsidP="00511CCD">
            <w:pPr>
              <w:pStyle w:val="TableBody"/>
            </w:pPr>
            <w:r w:rsidRPr="00252103">
              <w:t>2019</w:t>
            </w:r>
          </w:p>
        </w:tc>
        <w:tc>
          <w:tcPr>
            <w:tcW w:w="2670" w:type="pct"/>
            <w:noWrap/>
            <w:hideMark/>
          </w:tcPr>
          <w:p w14:paraId="52892786" w14:textId="0984F330" w:rsidR="00252103" w:rsidRPr="00252103" w:rsidRDefault="00252103" w:rsidP="00511CCD">
            <w:pPr>
              <w:pStyle w:val="TableBody"/>
            </w:pPr>
            <w:r w:rsidRPr="00252103">
              <w:t>2</w:t>
            </w:r>
            <w:r w:rsidR="00F4441C">
              <w:t>,</w:t>
            </w:r>
            <w:r w:rsidRPr="00252103">
              <w:t>935</w:t>
            </w:r>
          </w:p>
        </w:tc>
      </w:tr>
    </w:tbl>
    <w:p w14:paraId="2FD66F1E" w14:textId="77777777" w:rsidR="00EF5C25" w:rsidRPr="00D00197" w:rsidRDefault="00EF5C25" w:rsidP="00792ED3">
      <w:pPr>
        <w:pStyle w:val="Numbered"/>
      </w:pPr>
      <w:r w:rsidRPr="007F530F">
        <w:t>At the same time, 1,003 rape charges were sentenced in 491 cases involving 479 offenders, all in the higher courts (Figure 6); only two of those offenders were female.</w:t>
      </w:r>
      <w:r w:rsidRPr="007F530F">
        <w:rPr>
          <w:rStyle w:val="Superscript"/>
        </w:rPr>
        <w:footnoteReference w:id="83"/>
      </w:r>
      <w:r w:rsidRPr="007F530F">
        <w:t xml:space="preserve"> While the number of </w:t>
      </w:r>
      <w:r w:rsidRPr="007F530F">
        <w:lastRenderedPageBreak/>
        <w:t>recorded rape offences almost doubled, there was no corresponding increase in the number of sentenced rape offences, an evident disparity.</w:t>
      </w:r>
    </w:p>
    <w:p w14:paraId="5071946F" w14:textId="77777777" w:rsidR="00EF5C25" w:rsidRPr="007F530F" w:rsidRDefault="00EF5C25" w:rsidP="00D00197">
      <w:pPr>
        <w:pStyle w:val="Caption"/>
      </w:pPr>
      <w:r w:rsidRPr="00D00197">
        <w:t xml:space="preserve">Figure 6: </w:t>
      </w:r>
      <w:r w:rsidRPr="007F530F">
        <w:t>Number of charges and cases of rape offences sentenced in Victoria, by year (1,003 charges and 491 cases)</w:t>
      </w:r>
    </w:p>
    <w:tbl>
      <w:tblPr>
        <w:tblStyle w:val="Table"/>
        <w:tblW w:w="5000" w:type="pct"/>
        <w:tblLook w:val="04A0" w:firstRow="1" w:lastRow="0" w:firstColumn="1" w:lastColumn="0" w:noHBand="0" w:noVBand="1"/>
      </w:tblPr>
      <w:tblGrid>
        <w:gridCol w:w="2840"/>
        <w:gridCol w:w="3336"/>
        <w:gridCol w:w="2840"/>
      </w:tblGrid>
      <w:tr w:rsidR="00196F62" w:rsidRPr="00196F62" w14:paraId="6E2F7C80" w14:textId="77777777" w:rsidTr="00511CCD">
        <w:trPr>
          <w:trHeight w:val="290"/>
        </w:trPr>
        <w:tc>
          <w:tcPr>
            <w:tcW w:w="1575" w:type="pct"/>
            <w:noWrap/>
            <w:hideMark/>
          </w:tcPr>
          <w:p w14:paraId="000C9999" w14:textId="38DC9DAA" w:rsidR="00196F62" w:rsidRPr="00196F62" w:rsidRDefault="00196F62" w:rsidP="00511CCD">
            <w:pPr>
              <w:pStyle w:val="TableHeading"/>
            </w:pPr>
            <w:r w:rsidRPr="00196F62">
              <w:t>Year</w:t>
            </w:r>
          </w:p>
        </w:tc>
        <w:tc>
          <w:tcPr>
            <w:tcW w:w="1850" w:type="pct"/>
            <w:noWrap/>
            <w:hideMark/>
          </w:tcPr>
          <w:p w14:paraId="7E6D3D8C" w14:textId="77777777" w:rsidR="00196F62" w:rsidRPr="00196F62" w:rsidRDefault="00196F62" w:rsidP="00511CCD">
            <w:pPr>
              <w:pStyle w:val="TableHeading"/>
            </w:pPr>
            <w:r w:rsidRPr="00196F62">
              <w:t>Charges</w:t>
            </w:r>
          </w:p>
        </w:tc>
        <w:tc>
          <w:tcPr>
            <w:tcW w:w="1575" w:type="pct"/>
            <w:noWrap/>
            <w:hideMark/>
          </w:tcPr>
          <w:p w14:paraId="3FDF2231" w14:textId="77777777" w:rsidR="00196F62" w:rsidRPr="00196F62" w:rsidRDefault="00196F62" w:rsidP="00511CCD">
            <w:pPr>
              <w:pStyle w:val="TableHeading"/>
            </w:pPr>
            <w:r w:rsidRPr="00196F62">
              <w:t>Cases</w:t>
            </w:r>
          </w:p>
        </w:tc>
      </w:tr>
      <w:tr w:rsidR="00196F62" w:rsidRPr="00196F62" w14:paraId="21EA5B0E" w14:textId="77777777" w:rsidTr="00511CCD">
        <w:trPr>
          <w:trHeight w:val="290"/>
        </w:trPr>
        <w:tc>
          <w:tcPr>
            <w:tcW w:w="1575" w:type="pct"/>
            <w:noWrap/>
            <w:hideMark/>
          </w:tcPr>
          <w:p w14:paraId="2EC83E60" w14:textId="77777777" w:rsidR="00196F62" w:rsidRPr="00196F62" w:rsidRDefault="00196F62" w:rsidP="00511CCD">
            <w:pPr>
              <w:pStyle w:val="TableBody"/>
            </w:pPr>
            <w:r w:rsidRPr="00196F62">
              <w:t>2010</w:t>
            </w:r>
          </w:p>
        </w:tc>
        <w:tc>
          <w:tcPr>
            <w:tcW w:w="1850" w:type="pct"/>
            <w:noWrap/>
            <w:hideMark/>
          </w:tcPr>
          <w:p w14:paraId="530DB6BA" w14:textId="77777777" w:rsidR="00196F62" w:rsidRPr="00196F62" w:rsidRDefault="00196F62" w:rsidP="00511CCD">
            <w:pPr>
              <w:pStyle w:val="TableBody"/>
            </w:pPr>
            <w:r w:rsidRPr="00196F62">
              <w:t>98</w:t>
            </w:r>
          </w:p>
        </w:tc>
        <w:tc>
          <w:tcPr>
            <w:tcW w:w="1575" w:type="pct"/>
            <w:noWrap/>
            <w:hideMark/>
          </w:tcPr>
          <w:p w14:paraId="5027CCD8" w14:textId="77777777" w:rsidR="00196F62" w:rsidRPr="00196F62" w:rsidRDefault="00196F62" w:rsidP="00511CCD">
            <w:pPr>
              <w:pStyle w:val="TableBody"/>
            </w:pPr>
            <w:r w:rsidRPr="00196F62">
              <w:t>48</w:t>
            </w:r>
          </w:p>
        </w:tc>
      </w:tr>
      <w:tr w:rsidR="00196F62" w:rsidRPr="00196F62" w14:paraId="067AA368" w14:textId="77777777" w:rsidTr="00511CCD">
        <w:trPr>
          <w:trHeight w:val="290"/>
        </w:trPr>
        <w:tc>
          <w:tcPr>
            <w:tcW w:w="1575" w:type="pct"/>
            <w:noWrap/>
            <w:hideMark/>
          </w:tcPr>
          <w:p w14:paraId="36B3E0BC" w14:textId="77777777" w:rsidR="00196F62" w:rsidRPr="00196F62" w:rsidRDefault="00196F62" w:rsidP="00511CCD">
            <w:pPr>
              <w:pStyle w:val="TableBody"/>
            </w:pPr>
            <w:r w:rsidRPr="00196F62">
              <w:t>2011</w:t>
            </w:r>
          </w:p>
        </w:tc>
        <w:tc>
          <w:tcPr>
            <w:tcW w:w="1850" w:type="pct"/>
            <w:noWrap/>
            <w:hideMark/>
          </w:tcPr>
          <w:p w14:paraId="2DC14C10" w14:textId="77777777" w:rsidR="00196F62" w:rsidRPr="00196F62" w:rsidRDefault="00196F62" w:rsidP="00511CCD">
            <w:pPr>
              <w:pStyle w:val="TableBody"/>
            </w:pPr>
            <w:r w:rsidRPr="00196F62">
              <w:t>117</w:t>
            </w:r>
          </w:p>
        </w:tc>
        <w:tc>
          <w:tcPr>
            <w:tcW w:w="1575" w:type="pct"/>
            <w:noWrap/>
            <w:hideMark/>
          </w:tcPr>
          <w:p w14:paraId="6B8FCB64" w14:textId="77777777" w:rsidR="00196F62" w:rsidRPr="00196F62" w:rsidRDefault="00196F62" w:rsidP="00511CCD">
            <w:pPr>
              <w:pStyle w:val="TableBody"/>
            </w:pPr>
            <w:r w:rsidRPr="00196F62">
              <w:t>58</w:t>
            </w:r>
          </w:p>
        </w:tc>
      </w:tr>
      <w:tr w:rsidR="00196F62" w:rsidRPr="00196F62" w14:paraId="6DF88C1D" w14:textId="77777777" w:rsidTr="00511CCD">
        <w:trPr>
          <w:trHeight w:val="290"/>
        </w:trPr>
        <w:tc>
          <w:tcPr>
            <w:tcW w:w="1575" w:type="pct"/>
            <w:noWrap/>
            <w:hideMark/>
          </w:tcPr>
          <w:p w14:paraId="29DB8BCC" w14:textId="77777777" w:rsidR="00196F62" w:rsidRPr="00196F62" w:rsidRDefault="00196F62" w:rsidP="00511CCD">
            <w:pPr>
              <w:pStyle w:val="TableBody"/>
            </w:pPr>
            <w:r w:rsidRPr="00196F62">
              <w:t>2012</w:t>
            </w:r>
          </w:p>
        </w:tc>
        <w:tc>
          <w:tcPr>
            <w:tcW w:w="1850" w:type="pct"/>
            <w:noWrap/>
            <w:hideMark/>
          </w:tcPr>
          <w:p w14:paraId="668EE1BB" w14:textId="77777777" w:rsidR="00196F62" w:rsidRPr="00196F62" w:rsidRDefault="00196F62" w:rsidP="00511CCD">
            <w:pPr>
              <w:pStyle w:val="TableBody"/>
            </w:pPr>
            <w:r w:rsidRPr="00196F62">
              <w:t>73</w:t>
            </w:r>
          </w:p>
        </w:tc>
        <w:tc>
          <w:tcPr>
            <w:tcW w:w="1575" w:type="pct"/>
            <w:noWrap/>
            <w:hideMark/>
          </w:tcPr>
          <w:p w14:paraId="1276ADDC" w14:textId="77777777" w:rsidR="00196F62" w:rsidRPr="00196F62" w:rsidRDefault="00196F62" w:rsidP="00511CCD">
            <w:pPr>
              <w:pStyle w:val="TableBody"/>
            </w:pPr>
            <w:r w:rsidRPr="00196F62">
              <w:t>38</w:t>
            </w:r>
          </w:p>
        </w:tc>
      </w:tr>
      <w:tr w:rsidR="00196F62" w:rsidRPr="00196F62" w14:paraId="4E3D60BD" w14:textId="77777777" w:rsidTr="00511CCD">
        <w:trPr>
          <w:trHeight w:val="290"/>
        </w:trPr>
        <w:tc>
          <w:tcPr>
            <w:tcW w:w="1575" w:type="pct"/>
            <w:noWrap/>
            <w:hideMark/>
          </w:tcPr>
          <w:p w14:paraId="73242167" w14:textId="77777777" w:rsidR="00196F62" w:rsidRPr="00196F62" w:rsidRDefault="00196F62" w:rsidP="00511CCD">
            <w:pPr>
              <w:pStyle w:val="TableBody"/>
            </w:pPr>
            <w:r w:rsidRPr="00196F62">
              <w:t>2013</w:t>
            </w:r>
          </w:p>
        </w:tc>
        <w:tc>
          <w:tcPr>
            <w:tcW w:w="1850" w:type="pct"/>
            <w:noWrap/>
            <w:hideMark/>
          </w:tcPr>
          <w:p w14:paraId="4C2269C6" w14:textId="77777777" w:rsidR="00196F62" w:rsidRPr="00196F62" w:rsidRDefault="00196F62" w:rsidP="00511CCD">
            <w:pPr>
              <w:pStyle w:val="TableBody"/>
            </w:pPr>
            <w:r w:rsidRPr="00196F62">
              <w:t>86</w:t>
            </w:r>
          </w:p>
        </w:tc>
        <w:tc>
          <w:tcPr>
            <w:tcW w:w="1575" w:type="pct"/>
            <w:noWrap/>
            <w:hideMark/>
          </w:tcPr>
          <w:p w14:paraId="5F40A66C" w14:textId="77777777" w:rsidR="00196F62" w:rsidRPr="00196F62" w:rsidRDefault="00196F62" w:rsidP="00511CCD">
            <w:pPr>
              <w:pStyle w:val="TableBody"/>
            </w:pPr>
            <w:r w:rsidRPr="00196F62">
              <w:t>42</w:t>
            </w:r>
          </w:p>
        </w:tc>
      </w:tr>
      <w:tr w:rsidR="00196F62" w:rsidRPr="00196F62" w14:paraId="395D90E3" w14:textId="77777777" w:rsidTr="00511CCD">
        <w:trPr>
          <w:trHeight w:val="290"/>
        </w:trPr>
        <w:tc>
          <w:tcPr>
            <w:tcW w:w="1575" w:type="pct"/>
            <w:noWrap/>
            <w:hideMark/>
          </w:tcPr>
          <w:p w14:paraId="23B514E5" w14:textId="77777777" w:rsidR="00196F62" w:rsidRPr="00196F62" w:rsidRDefault="00196F62" w:rsidP="00511CCD">
            <w:pPr>
              <w:pStyle w:val="TableBody"/>
            </w:pPr>
            <w:r w:rsidRPr="00196F62">
              <w:t>2014</w:t>
            </w:r>
          </w:p>
        </w:tc>
        <w:tc>
          <w:tcPr>
            <w:tcW w:w="1850" w:type="pct"/>
            <w:noWrap/>
            <w:hideMark/>
          </w:tcPr>
          <w:p w14:paraId="74EF4DAF" w14:textId="77777777" w:rsidR="00196F62" w:rsidRPr="00196F62" w:rsidRDefault="00196F62" w:rsidP="00511CCD">
            <w:pPr>
              <w:pStyle w:val="TableBody"/>
            </w:pPr>
            <w:r w:rsidRPr="00196F62">
              <w:t>114</w:t>
            </w:r>
          </w:p>
        </w:tc>
        <w:tc>
          <w:tcPr>
            <w:tcW w:w="1575" w:type="pct"/>
            <w:noWrap/>
            <w:hideMark/>
          </w:tcPr>
          <w:p w14:paraId="1B843121" w14:textId="77777777" w:rsidR="00196F62" w:rsidRPr="00196F62" w:rsidRDefault="00196F62" w:rsidP="00511CCD">
            <w:pPr>
              <w:pStyle w:val="TableBody"/>
            </w:pPr>
            <w:r w:rsidRPr="00196F62">
              <w:t>51</w:t>
            </w:r>
          </w:p>
        </w:tc>
      </w:tr>
      <w:tr w:rsidR="00196F62" w:rsidRPr="00196F62" w14:paraId="442232D0" w14:textId="77777777" w:rsidTr="00511CCD">
        <w:trPr>
          <w:trHeight w:val="290"/>
        </w:trPr>
        <w:tc>
          <w:tcPr>
            <w:tcW w:w="1575" w:type="pct"/>
            <w:noWrap/>
            <w:hideMark/>
          </w:tcPr>
          <w:p w14:paraId="558C1C65" w14:textId="77777777" w:rsidR="00196F62" w:rsidRPr="00196F62" w:rsidRDefault="00196F62" w:rsidP="00511CCD">
            <w:pPr>
              <w:pStyle w:val="TableBody"/>
            </w:pPr>
            <w:r w:rsidRPr="00196F62">
              <w:t>2015</w:t>
            </w:r>
          </w:p>
        </w:tc>
        <w:tc>
          <w:tcPr>
            <w:tcW w:w="1850" w:type="pct"/>
            <w:noWrap/>
            <w:hideMark/>
          </w:tcPr>
          <w:p w14:paraId="7B2A36EA" w14:textId="77777777" w:rsidR="00196F62" w:rsidRPr="00196F62" w:rsidRDefault="00196F62" w:rsidP="00511CCD">
            <w:pPr>
              <w:pStyle w:val="TableBody"/>
            </w:pPr>
            <w:r w:rsidRPr="00196F62">
              <w:t>112</w:t>
            </w:r>
          </w:p>
        </w:tc>
        <w:tc>
          <w:tcPr>
            <w:tcW w:w="1575" w:type="pct"/>
            <w:noWrap/>
            <w:hideMark/>
          </w:tcPr>
          <w:p w14:paraId="1D89A240" w14:textId="77777777" w:rsidR="00196F62" w:rsidRPr="00196F62" w:rsidRDefault="00196F62" w:rsidP="00511CCD">
            <w:pPr>
              <w:pStyle w:val="TableBody"/>
            </w:pPr>
            <w:r w:rsidRPr="00196F62">
              <w:t>50</w:t>
            </w:r>
          </w:p>
        </w:tc>
      </w:tr>
      <w:tr w:rsidR="00196F62" w:rsidRPr="00196F62" w14:paraId="3F5C29CB" w14:textId="77777777" w:rsidTr="00511CCD">
        <w:trPr>
          <w:trHeight w:val="290"/>
        </w:trPr>
        <w:tc>
          <w:tcPr>
            <w:tcW w:w="1575" w:type="pct"/>
            <w:noWrap/>
            <w:hideMark/>
          </w:tcPr>
          <w:p w14:paraId="6F042CED" w14:textId="77777777" w:rsidR="00196F62" w:rsidRPr="00196F62" w:rsidRDefault="00196F62" w:rsidP="00511CCD">
            <w:pPr>
              <w:pStyle w:val="TableBody"/>
            </w:pPr>
            <w:r w:rsidRPr="00196F62">
              <w:t>2016</w:t>
            </w:r>
          </w:p>
        </w:tc>
        <w:tc>
          <w:tcPr>
            <w:tcW w:w="1850" w:type="pct"/>
            <w:noWrap/>
            <w:hideMark/>
          </w:tcPr>
          <w:p w14:paraId="0E3C785C" w14:textId="77777777" w:rsidR="00196F62" w:rsidRPr="00196F62" w:rsidRDefault="00196F62" w:rsidP="00511CCD">
            <w:pPr>
              <w:pStyle w:val="TableBody"/>
            </w:pPr>
            <w:r w:rsidRPr="00196F62">
              <w:t>90</w:t>
            </w:r>
          </w:p>
        </w:tc>
        <w:tc>
          <w:tcPr>
            <w:tcW w:w="1575" w:type="pct"/>
            <w:noWrap/>
            <w:hideMark/>
          </w:tcPr>
          <w:p w14:paraId="40E2296E" w14:textId="77777777" w:rsidR="00196F62" w:rsidRPr="00196F62" w:rsidRDefault="00196F62" w:rsidP="00511CCD">
            <w:pPr>
              <w:pStyle w:val="TableBody"/>
            </w:pPr>
            <w:r w:rsidRPr="00196F62">
              <w:t>55</w:t>
            </w:r>
          </w:p>
        </w:tc>
      </w:tr>
      <w:tr w:rsidR="00196F62" w:rsidRPr="00196F62" w14:paraId="0DC9D24D" w14:textId="77777777" w:rsidTr="00511CCD">
        <w:trPr>
          <w:trHeight w:val="290"/>
        </w:trPr>
        <w:tc>
          <w:tcPr>
            <w:tcW w:w="1575" w:type="pct"/>
            <w:noWrap/>
            <w:hideMark/>
          </w:tcPr>
          <w:p w14:paraId="4DBC1980" w14:textId="77777777" w:rsidR="00196F62" w:rsidRPr="00196F62" w:rsidRDefault="00196F62" w:rsidP="00511CCD">
            <w:pPr>
              <w:pStyle w:val="TableBody"/>
            </w:pPr>
            <w:r w:rsidRPr="00196F62">
              <w:t>2017</w:t>
            </w:r>
          </w:p>
        </w:tc>
        <w:tc>
          <w:tcPr>
            <w:tcW w:w="1850" w:type="pct"/>
            <w:noWrap/>
            <w:hideMark/>
          </w:tcPr>
          <w:p w14:paraId="442B2BA7" w14:textId="77777777" w:rsidR="00196F62" w:rsidRPr="00196F62" w:rsidRDefault="00196F62" w:rsidP="00511CCD">
            <w:pPr>
              <w:pStyle w:val="TableBody"/>
            </w:pPr>
            <w:r w:rsidRPr="00196F62">
              <w:t>96</w:t>
            </w:r>
          </w:p>
        </w:tc>
        <w:tc>
          <w:tcPr>
            <w:tcW w:w="1575" w:type="pct"/>
            <w:noWrap/>
            <w:hideMark/>
          </w:tcPr>
          <w:p w14:paraId="47366B93" w14:textId="77777777" w:rsidR="00196F62" w:rsidRPr="00196F62" w:rsidRDefault="00196F62" w:rsidP="00511CCD">
            <w:pPr>
              <w:pStyle w:val="TableBody"/>
            </w:pPr>
            <w:r w:rsidRPr="00196F62">
              <w:t>42</w:t>
            </w:r>
          </w:p>
        </w:tc>
      </w:tr>
      <w:tr w:rsidR="00196F62" w:rsidRPr="00196F62" w14:paraId="428DF33E" w14:textId="77777777" w:rsidTr="00511CCD">
        <w:trPr>
          <w:trHeight w:val="290"/>
        </w:trPr>
        <w:tc>
          <w:tcPr>
            <w:tcW w:w="1575" w:type="pct"/>
            <w:noWrap/>
            <w:hideMark/>
          </w:tcPr>
          <w:p w14:paraId="12959D08" w14:textId="77777777" w:rsidR="00196F62" w:rsidRPr="00196F62" w:rsidRDefault="00196F62" w:rsidP="00511CCD">
            <w:pPr>
              <w:pStyle w:val="TableBody"/>
            </w:pPr>
            <w:r w:rsidRPr="00196F62">
              <w:t>2018</w:t>
            </w:r>
          </w:p>
        </w:tc>
        <w:tc>
          <w:tcPr>
            <w:tcW w:w="1850" w:type="pct"/>
            <w:noWrap/>
            <w:hideMark/>
          </w:tcPr>
          <w:p w14:paraId="10B5F335" w14:textId="77777777" w:rsidR="00196F62" w:rsidRPr="00196F62" w:rsidRDefault="00196F62" w:rsidP="00511CCD">
            <w:pPr>
              <w:pStyle w:val="TableBody"/>
            </w:pPr>
            <w:r w:rsidRPr="00196F62">
              <w:t>101</w:t>
            </w:r>
          </w:p>
        </w:tc>
        <w:tc>
          <w:tcPr>
            <w:tcW w:w="1575" w:type="pct"/>
            <w:noWrap/>
            <w:hideMark/>
          </w:tcPr>
          <w:p w14:paraId="2F3FEDAE" w14:textId="77777777" w:rsidR="00196F62" w:rsidRPr="00196F62" w:rsidRDefault="00196F62" w:rsidP="00511CCD">
            <w:pPr>
              <w:pStyle w:val="TableBody"/>
            </w:pPr>
            <w:r w:rsidRPr="00196F62">
              <w:t>53</w:t>
            </w:r>
          </w:p>
        </w:tc>
      </w:tr>
      <w:tr w:rsidR="00196F62" w:rsidRPr="00196F62" w14:paraId="1B2350B2" w14:textId="77777777" w:rsidTr="00511CCD">
        <w:trPr>
          <w:trHeight w:val="290"/>
        </w:trPr>
        <w:tc>
          <w:tcPr>
            <w:tcW w:w="1575" w:type="pct"/>
            <w:noWrap/>
            <w:hideMark/>
          </w:tcPr>
          <w:p w14:paraId="5AB972DB" w14:textId="77777777" w:rsidR="00196F62" w:rsidRPr="00196F62" w:rsidRDefault="00196F62" w:rsidP="00511CCD">
            <w:pPr>
              <w:pStyle w:val="TableBody"/>
            </w:pPr>
            <w:r w:rsidRPr="00196F62">
              <w:t>2019</w:t>
            </w:r>
          </w:p>
        </w:tc>
        <w:tc>
          <w:tcPr>
            <w:tcW w:w="1850" w:type="pct"/>
            <w:noWrap/>
            <w:hideMark/>
          </w:tcPr>
          <w:p w14:paraId="17781387" w14:textId="77777777" w:rsidR="00196F62" w:rsidRPr="00196F62" w:rsidRDefault="00196F62" w:rsidP="00511CCD">
            <w:pPr>
              <w:pStyle w:val="TableBody"/>
            </w:pPr>
            <w:r w:rsidRPr="00196F62">
              <w:t>116</w:t>
            </w:r>
          </w:p>
        </w:tc>
        <w:tc>
          <w:tcPr>
            <w:tcW w:w="1575" w:type="pct"/>
            <w:noWrap/>
            <w:hideMark/>
          </w:tcPr>
          <w:p w14:paraId="7491DEF5" w14:textId="77777777" w:rsidR="00196F62" w:rsidRPr="00196F62" w:rsidRDefault="00196F62" w:rsidP="00511CCD">
            <w:pPr>
              <w:pStyle w:val="TableBody"/>
            </w:pPr>
            <w:r w:rsidRPr="00196F62">
              <w:t>54</w:t>
            </w:r>
          </w:p>
        </w:tc>
      </w:tr>
    </w:tbl>
    <w:p w14:paraId="46574946" w14:textId="77777777" w:rsidR="00EF5C25" w:rsidRPr="007F530F" w:rsidRDefault="00EF5C25" w:rsidP="00CB18EF">
      <w:pPr>
        <w:pStyle w:val="Numbered"/>
      </w:pPr>
      <w:r w:rsidRPr="007F530F">
        <w:t>The specific rape offences sentenced during the reference period are outlined in Table 2. The highest numbers of rape charges sentenced in any one case were 14, 12, 11 and 10.</w:t>
      </w:r>
    </w:p>
    <w:p w14:paraId="1DA2CF3C" w14:textId="77777777" w:rsidR="00EF5C25" w:rsidRPr="007F530F" w:rsidRDefault="00EF5C25" w:rsidP="00D00197">
      <w:pPr>
        <w:pStyle w:val="Caption"/>
      </w:pPr>
      <w:r w:rsidRPr="00D00197">
        <w:t xml:space="preserve">Table 2: </w:t>
      </w:r>
      <w:r w:rsidRPr="007F530F">
        <w:t>Number of rape charges and cases sentenced in Victoria, 2010 to 2019, by operational period and statutory reference (1,003 charges and 491 cases)</w:t>
      </w:r>
    </w:p>
    <w:tbl>
      <w:tblPr>
        <w:tblStyle w:val="Table"/>
        <w:tblW w:w="5000" w:type="pct"/>
        <w:tblLook w:val="0020" w:firstRow="1" w:lastRow="0" w:firstColumn="0" w:lastColumn="0" w:noHBand="0" w:noVBand="0"/>
      </w:tblPr>
      <w:tblGrid>
        <w:gridCol w:w="1741"/>
        <w:gridCol w:w="1440"/>
        <w:gridCol w:w="2103"/>
        <w:gridCol w:w="1643"/>
        <w:gridCol w:w="1128"/>
        <w:gridCol w:w="961"/>
      </w:tblGrid>
      <w:tr w:rsidR="00EF5C25" w:rsidRPr="007F530F" w14:paraId="351E0186" w14:textId="77777777" w:rsidTr="00511CCD">
        <w:trPr>
          <w:trHeight w:val="60"/>
          <w:tblHeader/>
        </w:trPr>
        <w:tc>
          <w:tcPr>
            <w:tcW w:w="1000" w:type="pct"/>
          </w:tcPr>
          <w:p w14:paraId="09F4EB3F" w14:textId="77777777" w:rsidR="00EF5C25" w:rsidRPr="007F530F" w:rsidRDefault="00EF5C25" w:rsidP="00511CCD">
            <w:pPr>
              <w:pStyle w:val="TableHeading"/>
            </w:pPr>
            <w:r w:rsidRPr="007F530F">
              <w:t>Offence</w:t>
            </w:r>
          </w:p>
        </w:tc>
        <w:tc>
          <w:tcPr>
            <w:tcW w:w="833" w:type="pct"/>
          </w:tcPr>
          <w:p w14:paraId="13F17714" w14:textId="77777777" w:rsidR="00EF5C25" w:rsidRPr="007F530F" w:rsidRDefault="00EF5C25" w:rsidP="00511CCD">
            <w:pPr>
              <w:pStyle w:val="TableHeading"/>
            </w:pPr>
            <w:r w:rsidRPr="007F530F">
              <w:t>Statutory reference</w:t>
            </w:r>
            <w:r w:rsidRPr="007F530F">
              <w:br/>
            </w:r>
            <w:r w:rsidRPr="00D00197">
              <w:rPr>
                <w:rStyle w:val="Emphasis"/>
              </w:rPr>
              <w:t>Crimes Act 1958</w:t>
            </w:r>
            <w:r w:rsidRPr="007F530F">
              <w:t xml:space="preserve"> (Vic)</w:t>
            </w:r>
          </w:p>
        </w:tc>
        <w:tc>
          <w:tcPr>
            <w:tcW w:w="1200" w:type="pct"/>
          </w:tcPr>
          <w:p w14:paraId="3171EDAB" w14:textId="77777777" w:rsidR="00EF5C25" w:rsidRPr="007F530F" w:rsidRDefault="00EF5C25" w:rsidP="00511CCD">
            <w:pPr>
              <w:pStyle w:val="TableHeading"/>
            </w:pPr>
            <w:r w:rsidRPr="007F530F">
              <w:t>Operational period</w:t>
            </w:r>
          </w:p>
        </w:tc>
        <w:tc>
          <w:tcPr>
            <w:tcW w:w="833" w:type="pct"/>
          </w:tcPr>
          <w:p w14:paraId="7AB783D2" w14:textId="77777777" w:rsidR="00EF5C25" w:rsidRPr="007F530F" w:rsidRDefault="00EF5C25" w:rsidP="00511CCD">
            <w:pPr>
              <w:pStyle w:val="TableHeading"/>
            </w:pPr>
            <w:r w:rsidRPr="007F530F">
              <w:t>Maximum penalty</w:t>
            </w:r>
          </w:p>
        </w:tc>
        <w:tc>
          <w:tcPr>
            <w:tcW w:w="567" w:type="pct"/>
          </w:tcPr>
          <w:p w14:paraId="6D491329" w14:textId="77777777" w:rsidR="00EF5C25" w:rsidRPr="007F530F" w:rsidRDefault="00EF5C25" w:rsidP="00511CCD">
            <w:pPr>
              <w:pStyle w:val="TableHeading"/>
            </w:pPr>
            <w:r w:rsidRPr="007F530F">
              <w:t>Charges</w:t>
            </w:r>
          </w:p>
        </w:tc>
        <w:tc>
          <w:tcPr>
            <w:tcW w:w="567" w:type="pct"/>
          </w:tcPr>
          <w:p w14:paraId="2771001C" w14:textId="77777777" w:rsidR="00EF5C25" w:rsidRPr="007F530F" w:rsidRDefault="00EF5C25" w:rsidP="00511CCD">
            <w:pPr>
              <w:pStyle w:val="TableHeading"/>
            </w:pPr>
            <w:r w:rsidRPr="007F530F">
              <w:t>Cases</w:t>
            </w:r>
          </w:p>
        </w:tc>
      </w:tr>
      <w:tr w:rsidR="00EF5C25" w:rsidRPr="007F530F" w14:paraId="6B09857D" w14:textId="77777777" w:rsidTr="00511CCD">
        <w:trPr>
          <w:trHeight w:val="60"/>
        </w:trPr>
        <w:tc>
          <w:tcPr>
            <w:tcW w:w="1000" w:type="pct"/>
          </w:tcPr>
          <w:p w14:paraId="5B2D32DE" w14:textId="77777777" w:rsidR="00EF5C25" w:rsidRPr="007F530F" w:rsidRDefault="00EF5C25" w:rsidP="00511CCD">
            <w:pPr>
              <w:pStyle w:val="TableBody"/>
            </w:pPr>
            <w:r w:rsidRPr="007F530F">
              <w:t>Rape</w:t>
            </w:r>
          </w:p>
        </w:tc>
        <w:tc>
          <w:tcPr>
            <w:tcW w:w="833" w:type="pct"/>
          </w:tcPr>
          <w:p w14:paraId="70054989" w14:textId="77777777" w:rsidR="00EF5C25" w:rsidRPr="007F530F" w:rsidRDefault="00EF5C25" w:rsidP="00511CCD">
            <w:pPr>
              <w:pStyle w:val="TableBody"/>
            </w:pPr>
            <w:r w:rsidRPr="007F530F">
              <w:t>Section 44</w:t>
            </w:r>
          </w:p>
        </w:tc>
        <w:tc>
          <w:tcPr>
            <w:tcW w:w="1200" w:type="pct"/>
          </w:tcPr>
          <w:p w14:paraId="15E2F346" w14:textId="77777777" w:rsidR="00EF5C25" w:rsidRPr="007F530F" w:rsidRDefault="00EF5C25" w:rsidP="00511CCD">
            <w:pPr>
              <w:pStyle w:val="TableBody"/>
            </w:pPr>
            <w:r w:rsidRPr="00D00197">
              <w:rPr>
                <w:rStyle w:val="Strong"/>
              </w:rPr>
              <w:t>From</w:t>
            </w:r>
            <w:r w:rsidRPr="007F530F">
              <w:t xml:space="preserve"> 1 April 1959</w:t>
            </w:r>
            <w:r w:rsidRPr="007F530F">
              <w:br/>
            </w:r>
            <w:r w:rsidRPr="00D00197">
              <w:rPr>
                <w:rStyle w:val="Strong"/>
              </w:rPr>
              <w:t>To</w:t>
            </w:r>
            <w:r w:rsidRPr="007F530F">
              <w:t xml:space="preserve"> 28 February 1981</w:t>
            </w:r>
          </w:p>
        </w:tc>
        <w:tc>
          <w:tcPr>
            <w:tcW w:w="833" w:type="pct"/>
          </w:tcPr>
          <w:p w14:paraId="3E9B8A7D" w14:textId="77777777" w:rsidR="00EF5C25" w:rsidRPr="007F530F" w:rsidRDefault="00EF5C25" w:rsidP="00511CCD">
            <w:pPr>
              <w:pStyle w:val="TableBody"/>
            </w:pPr>
            <w:r w:rsidRPr="007F530F">
              <w:t>20 years</w:t>
            </w:r>
            <w:r w:rsidRPr="007F530F">
              <w:br/>
              <w:t>(10 years if mitigating circumstances exist)</w:t>
            </w:r>
          </w:p>
        </w:tc>
        <w:tc>
          <w:tcPr>
            <w:tcW w:w="567" w:type="pct"/>
          </w:tcPr>
          <w:p w14:paraId="701CB0E1" w14:textId="77777777" w:rsidR="00EF5C25" w:rsidRPr="007F530F" w:rsidRDefault="00EF5C25" w:rsidP="00511CCD">
            <w:pPr>
              <w:pStyle w:val="TableBody"/>
            </w:pPr>
            <w:r w:rsidRPr="007F530F">
              <w:t>13</w:t>
            </w:r>
          </w:p>
        </w:tc>
        <w:tc>
          <w:tcPr>
            <w:tcW w:w="567" w:type="pct"/>
          </w:tcPr>
          <w:p w14:paraId="17BA8EEB" w14:textId="77777777" w:rsidR="00EF5C25" w:rsidRPr="007F530F" w:rsidRDefault="00EF5C25" w:rsidP="00511CCD">
            <w:pPr>
              <w:pStyle w:val="TableBody"/>
            </w:pPr>
            <w:r w:rsidRPr="007F530F">
              <w:t>9</w:t>
            </w:r>
          </w:p>
        </w:tc>
      </w:tr>
      <w:tr w:rsidR="00EF5C25" w:rsidRPr="007F530F" w14:paraId="725F37D8" w14:textId="77777777" w:rsidTr="00511CCD">
        <w:trPr>
          <w:trHeight w:val="60"/>
        </w:trPr>
        <w:tc>
          <w:tcPr>
            <w:tcW w:w="1000" w:type="pct"/>
          </w:tcPr>
          <w:p w14:paraId="67530E7C" w14:textId="77777777" w:rsidR="00EF5C25" w:rsidRPr="007F530F" w:rsidRDefault="00EF5C25" w:rsidP="00511CCD">
            <w:pPr>
              <w:pStyle w:val="TableBody"/>
            </w:pPr>
            <w:r w:rsidRPr="007F530F">
              <w:t>Rape</w:t>
            </w:r>
          </w:p>
        </w:tc>
        <w:tc>
          <w:tcPr>
            <w:tcW w:w="833" w:type="pct"/>
          </w:tcPr>
          <w:p w14:paraId="785F9179" w14:textId="77777777" w:rsidR="00EF5C25" w:rsidRPr="007F530F" w:rsidRDefault="00EF5C25" w:rsidP="00511CCD">
            <w:pPr>
              <w:pStyle w:val="TableBody"/>
            </w:pPr>
            <w:r w:rsidRPr="007F530F">
              <w:t>Section 45(1)</w:t>
            </w:r>
          </w:p>
        </w:tc>
        <w:tc>
          <w:tcPr>
            <w:tcW w:w="1200" w:type="pct"/>
          </w:tcPr>
          <w:p w14:paraId="055CB46A" w14:textId="77777777" w:rsidR="00EF5C25" w:rsidRPr="007F530F" w:rsidRDefault="00EF5C25" w:rsidP="00511CCD">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833" w:type="pct"/>
          </w:tcPr>
          <w:p w14:paraId="5081F7E3" w14:textId="77777777" w:rsidR="00EF5C25" w:rsidRPr="007F530F" w:rsidRDefault="00EF5C25" w:rsidP="00511CCD">
            <w:pPr>
              <w:pStyle w:val="TableBody"/>
            </w:pPr>
            <w:r w:rsidRPr="007F530F">
              <w:t>10 years</w:t>
            </w:r>
          </w:p>
        </w:tc>
        <w:tc>
          <w:tcPr>
            <w:tcW w:w="567" w:type="pct"/>
          </w:tcPr>
          <w:p w14:paraId="250F8DD8" w14:textId="77777777" w:rsidR="00EF5C25" w:rsidRPr="007F530F" w:rsidRDefault="00EF5C25" w:rsidP="00511CCD">
            <w:pPr>
              <w:pStyle w:val="TableBody"/>
            </w:pPr>
            <w:r w:rsidRPr="007F530F">
              <w:t>26</w:t>
            </w:r>
          </w:p>
        </w:tc>
        <w:tc>
          <w:tcPr>
            <w:tcW w:w="567" w:type="pct"/>
          </w:tcPr>
          <w:p w14:paraId="60C14ACB" w14:textId="77777777" w:rsidR="00EF5C25" w:rsidRPr="007F530F" w:rsidRDefault="00EF5C25" w:rsidP="00511CCD">
            <w:pPr>
              <w:pStyle w:val="TableBody"/>
            </w:pPr>
            <w:r w:rsidRPr="007F530F">
              <w:t>11</w:t>
            </w:r>
          </w:p>
        </w:tc>
      </w:tr>
      <w:tr w:rsidR="00EF5C25" w:rsidRPr="007F530F" w14:paraId="52A58DEE" w14:textId="77777777" w:rsidTr="00511CCD">
        <w:trPr>
          <w:trHeight w:val="60"/>
        </w:trPr>
        <w:tc>
          <w:tcPr>
            <w:tcW w:w="1000" w:type="pct"/>
          </w:tcPr>
          <w:p w14:paraId="49EE3B1A" w14:textId="77777777" w:rsidR="00EF5C25" w:rsidRPr="007F530F" w:rsidRDefault="00EF5C25" w:rsidP="00511CCD">
            <w:pPr>
              <w:pStyle w:val="TableBody"/>
            </w:pPr>
            <w:r w:rsidRPr="007F530F">
              <w:t>Aggravated rape</w:t>
            </w:r>
          </w:p>
        </w:tc>
        <w:tc>
          <w:tcPr>
            <w:tcW w:w="833" w:type="pct"/>
          </w:tcPr>
          <w:p w14:paraId="535E21FF" w14:textId="77777777" w:rsidR="00EF5C25" w:rsidRPr="007F530F" w:rsidRDefault="00EF5C25" w:rsidP="00511CCD">
            <w:pPr>
              <w:pStyle w:val="TableBody"/>
            </w:pPr>
            <w:r w:rsidRPr="007F530F">
              <w:t>Section 45(3)</w:t>
            </w:r>
          </w:p>
        </w:tc>
        <w:tc>
          <w:tcPr>
            <w:tcW w:w="1200" w:type="pct"/>
          </w:tcPr>
          <w:p w14:paraId="5D4B0D66" w14:textId="77777777" w:rsidR="00EF5C25" w:rsidRPr="007F530F" w:rsidRDefault="00EF5C25" w:rsidP="00511CCD">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833" w:type="pct"/>
          </w:tcPr>
          <w:p w14:paraId="234DF320" w14:textId="77777777" w:rsidR="00EF5C25" w:rsidRPr="007F530F" w:rsidRDefault="00EF5C25" w:rsidP="00511CCD">
            <w:pPr>
              <w:pStyle w:val="TableBody"/>
            </w:pPr>
            <w:r w:rsidRPr="007F530F">
              <w:t>20 years</w:t>
            </w:r>
          </w:p>
        </w:tc>
        <w:tc>
          <w:tcPr>
            <w:tcW w:w="567" w:type="pct"/>
          </w:tcPr>
          <w:p w14:paraId="0074C9C7" w14:textId="77777777" w:rsidR="00EF5C25" w:rsidRPr="007F530F" w:rsidRDefault="00EF5C25" w:rsidP="00511CCD">
            <w:pPr>
              <w:pStyle w:val="TableBody"/>
            </w:pPr>
            <w:r w:rsidRPr="007F530F">
              <w:t>13</w:t>
            </w:r>
          </w:p>
        </w:tc>
        <w:tc>
          <w:tcPr>
            <w:tcW w:w="567" w:type="pct"/>
          </w:tcPr>
          <w:p w14:paraId="1B6D7EC8" w14:textId="77777777" w:rsidR="00EF5C25" w:rsidRPr="007F530F" w:rsidRDefault="00EF5C25" w:rsidP="00511CCD">
            <w:pPr>
              <w:pStyle w:val="TableBody"/>
            </w:pPr>
            <w:r w:rsidRPr="007F530F">
              <w:t>7</w:t>
            </w:r>
          </w:p>
        </w:tc>
      </w:tr>
      <w:tr w:rsidR="00EF5C25" w:rsidRPr="007F530F" w14:paraId="2A07F844" w14:textId="77777777" w:rsidTr="00511CCD">
        <w:trPr>
          <w:trHeight w:val="60"/>
        </w:trPr>
        <w:tc>
          <w:tcPr>
            <w:tcW w:w="1000" w:type="pct"/>
          </w:tcPr>
          <w:p w14:paraId="3442CF8C" w14:textId="77777777" w:rsidR="00EF5C25" w:rsidRPr="007F530F" w:rsidRDefault="00EF5C25" w:rsidP="00511CCD">
            <w:pPr>
              <w:pStyle w:val="TableBody"/>
            </w:pPr>
            <w:r w:rsidRPr="007F530F">
              <w:t>Rape</w:t>
            </w:r>
          </w:p>
        </w:tc>
        <w:tc>
          <w:tcPr>
            <w:tcW w:w="833" w:type="pct"/>
          </w:tcPr>
          <w:p w14:paraId="0220F532" w14:textId="77777777" w:rsidR="00EF5C25" w:rsidRPr="007F530F" w:rsidRDefault="00EF5C25" w:rsidP="00511CCD">
            <w:pPr>
              <w:pStyle w:val="TableBody"/>
            </w:pPr>
            <w:r w:rsidRPr="007F530F">
              <w:t>Section 40</w:t>
            </w:r>
          </w:p>
        </w:tc>
        <w:tc>
          <w:tcPr>
            <w:tcW w:w="1200" w:type="pct"/>
          </w:tcPr>
          <w:p w14:paraId="456B2FA5" w14:textId="77777777" w:rsidR="00EF5C25" w:rsidRPr="007F530F" w:rsidRDefault="00EF5C25" w:rsidP="00511CCD">
            <w:pPr>
              <w:pStyle w:val="TableBody"/>
            </w:pPr>
            <w:r w:rsidRPr="00D00197">
              <w:rPr>
                <w:rStyle w:val="Strong"/>
              </w:rPr>
              <w:t>From</w:t>
            </w:r>
            <w:r w:rsidRPr="007F530F">
              <w:t xml:space="preserve"> 5 August 1991</w:t>
            </w:r>
            <w:r w:rsidRPr="007F530F">
              <w:br/>
            </w:r>
            <w:r w:rsidRPr="00D00197">
              <w:rPr>
                <w:rStyle w:val="Strong"/>
              </w:rPr>
              <w:t>To</w:t>
            </w:r>
            <w:r w:rsidRPr="007F530F">
              <w:t xml:space="preserve"> 31 December 1991</w:t>
            </w:r>
          </w:p>
        </w:tc>
        <w:tc>
          <w:tcPr>
            <w:tcW w:w="833" w:type="pct"/>
          </w:tcPr>
          <w:p w14:paraId="3C0F946D" w14:textId="77777777" w:rsidR="00EF5C25" w:rsidRPr="007F530F" w:rsidRDefault="00EF5C25" w:rsidP="00511CCD">
            <w:pPr>
              <w:pStyle w:val="TableBody"/>
            </w:pPr>
            <w:r w:rsidRPr="007F530F">
              <w:t>10 years</w:t>
            </w:r>
          </w:p>
        </w:tc>
        <w:tc>
          <w:tcPr>
            <w:tcW w:w="567" w:type="pct"/>
          </w:tcPr>
          <w:p w14:paraId="3CBDEF04" w14:textId="77777777" w:rsidR="00EF5C25" w:rsidRPr="007F530F" w:rsidRDefault="00EF5C25" w:rsidP="00511CCD">
            <w:pPr>
              <w:pStyle w:val="TableBody"/>
            </w:pPr>
            <w:r w:rsidRPr="007F530F">
              <w:t>–</w:t>
            </w:r>
          </w:p>
        </w:tc>
        <w:tc>
          <w:tcPr>
            <w:tcW w:w="567" w:type="pct"/>
          </w:tcPr>
          <w:p w14:paraId="5D8748FD" w14:textId="77777777" w:rsidR="00EF5C25" w:rsidRPr="007F530F" w:rsidRDefault="00EF5C25" w:rsidP="00511CCD">
            <w:pPr>
              <w:pStyle w:val="TableBody"/>
            </w:pPr>
            <w:r w:rsidRPr="007F530F">
              <w:t>–</w:t>
            </w:r>
          </w:p>
        </w:tc>
      </w:tr>
      <w:tr w:rsidR="00EF5C25" w:rsidRPr="007F530F" w14:paraId="55909250" w14:textId="77777777" w:rsidTr="00511CCD">
        <w:trPr>
          <w:trHeight w:val="60"/>
        </w:trPr>
        <w:tc>
          <w:tcPr>
            <w:tcW w:w="1000" w:type="pct"/>
          </w:tcPr>
          <w:p w14:paraId="0ECC00D4" w14:textId="77777777" w:rsidR="00EF5C25" w:rsidRPr="007F530F" w:rsidRDefault="00EF5C25" w:rsidP="00511CCD">
            <w:pPr>
              <w:pStyle w:val="TableBody"/>
            </w:pPr>
            <w:r w:rsidRPr="007F530F">
              <w:lastRenderedPageBreak/>
              <w:t>Aggravated rape</w:t>
            </w:r>
          </w:p>
        </w:tc>
        <w:tc>
          <w:tcPr>
            <w:tcW w:w="833" w:type="pct"/>
          </w:tcPr>
          <w:p w14:paraId="43487A5D" w14:textId="77777777" w:rsidR="00EF5C25" w:rsidRPr="007F530F" w:rsidRDefault="00EF5C25" w:rsidP="00511CCD">
            <w:pPr>
              <w:pStyle w:val="TableBody"/>
            </w:pPr>
            <w:r w:rsidRPr="007F530F">
              <w:t>Section 41</w:t>
            </w:r>
          </w:p>
        </w:tc>
        <w:tc>
          <w:tcPr>
            <w:tcW w:w="1200" w:type="pct"/>
          </w:tcPr>
          <w:p w14:paraId="4E8B2836" w14:textId="77777777" w:rsidR="00EF5C25" w:rsidRPr="007F530F" w:rsidRDefault="00EF5C25" w:rsidP="00511CCD">
            <w:pPr>
              <w:pStyle w:val="TableBody"/>
            </w:pPr>
            <w:r w:rsidRPr="00D00197">
              <w:rPr>
                <w:rStyle w:val="Strong"/>
              </w:rPr>
              <w:t>From</w:t>
            </w:r>
            <w:r w:rsidRPr="007F530F">
              <w:t xml:space="preserve"> 5 August 1991</w:t>
            </w:r>
            <w:r w:rsidRPr="007F530F">
              <w:br/>
            </w:r>
            <w:r w:rsidRPr="00D00197">
              <w:rPr>
                <w:rStyle w:val="Strong"/>
              </w:rPr>
              <w:t>To</w:t>
            </w:r>
            <w:r w:rsidRPr="007F530F">
              <w:t xml:space="preserve"> 31 December 1991</w:t>
            </w:r>
          </w:p>
        </w:tc>
        <w:tc>
          <w:tcPr>
            <w:tcW w:w="833" w:type="pct"/>
          </w:tcPr>
          <w:p w14:paraId="4B928512" w14:textId="77777777" w:rsidR="00EF5C25" w:rsidRPr="007F530F" w:rsidRDefault="00EF5C25" w:rsidP="00511CCD">
            <w:pPr>
              <w:pStyle w:val="TableBody"/>
            </w:pPr>
            <w:r w:rsidRPr="007F530F">
              <w:t>20 years</w:t>
            </w:r>
          </w:p>
        </w:tc>
        <w:tc>
          <w:tcPr>
            <w:tcW w:w="567" w:type="pct"/>
          </w:tcPr>
          <w:p w14:paraId="4F07DB21" w14:textId="77777777" w:rsidR="00EF5C25" w:rsidRPr="007F530F" w:rsidRDefault="00EF5C25" w:rsidP="00511CCD">
            <w:pPr>
              <w:pStyle w:val="TableBody"/>
            </w:pPr>
            <w:r w:rsidRPr="007F530F">
              <w:t>10</w:t>
            </w:r>
          </w:p>
        </w:tc>
        <w:tc>
          <w:tcPr>
            <w:tcW w:w="567" w:type="pct"/>
          </w:tcPr>
          <w:p w14:paraId="7B6E67C9" w14:textId="77777777" w:rsidR="00EF5C25" w:rsidRPr="007F530F" w:rsidRDefault="00EF5C25" w:rsidP="00511CCD">
            <w:pPr>
              <w:pStyle w:val="TableBody"/>
            </w:pPr>
            <w:r w:rsidRPr="007F530F">
              <w:t>6</w:t>
            </w:r>
          </w:p>
        </w:tc>
      </w:tr>
      <w:tr w:rsidR="00EF5C25" w:rsidRPr="007F530F" w14:paraId="5FF11F22" w14:textId="77777777" w:rsidTr="00511CCD">
        <w:trPr>
          <w:trHeight w:val="60"/>
        </w:trPr>
        <w:tc>
          <w:tcPr>
            <w:tcW w:w="1000" w:type="pct"/>
          </w:tcPr>
          <w:p w14:paraId="2649F07D" w14:textId="77777777" w:rsidR="00EF5C25" w:rsidRPr="007F530F" w:rsidRDefault="00EF5C25" w:rsidP="00511CCD">
            <w:pPr>
              <w:pStyle w:val="TableBody"/>
            </w:pPr>
            <w:r w:rsidRPr="007F530F">
              <w:t>Rape</w:t>
            </w:r>
          </w:p>
        </w:tc>
        <w:tc>
          <w:tcPr>
            <w:tcW w:w="833" w:type="pct"/>
          </w:tcPr>
          <w:p w14:paraId="7D9BB4B0" w14:textId="77777777" w:rsidR="00EF5C25" w:rsidRPr="007F530F" w:rsidRDefault="00EF5C25" w:rsidP="00511CCD">
            <w:pPr>
              <w:pStyle w:val="TableBody"/>
            </w:pPr>
            <w:r w:rsidRPr="007F530F">
              <w:t>Section 38</w:t>
            </w:r>
          </w:p>
        </w:tc>
        <w:tc>
          <w:tcPr>
            <w:tcW w:w="1200" w:type="pct"/>
          </w:tcPr>
          <w:p w14:paraId="596FB680" w14:textId="77777777" w:rsidR="00EF5C25" w:rsidRPr="007F530F" w:rsidRDefault="00EF5C25" w:rsidP="00511CCD">
            <w:pPr>
              <w:pStyle w:val="TableBody"/>
            </w:pPr>
            <w:r w:rsidRPr="00D00197">
              <w:rPr>
                <w:rStyle w:val="Strong"/>
              </w:rPr>
              <w:t>From</w:t>
            </w:r>
            <w:r w:rsidRPr="007F530F">
              <w:t xml:space="preserve"> 1 January 1992</w:t>
            </w:r>
            <w:r w:rsidRPr="007F530F">
              <w:br/>
            </w:r>
            <w:r w:rsidRPr="00D00197">
              <w:rPr>
                <w:rStyle w:val="Strong"/>
              </w:rPr>
              <w:t>To</w:t>
            </w:r>
            <w:r w:rsidRPr="007F530F">
              <w:t xml:space="preserve"> present</w:t>
            </w:r>
          </w:p>
        </w:tc>
        <w:tc>
          <w:tcPr>
            <w:tcW w:w="833" w:type="pct"/>
          </w:tcPr>
          <w:p w14:paraId="2DB9425D" w14:textId="77777777" w:rsidR="00EF5C25" w:rsidRPr="007F530F" w:rsidRDefault="00EF5C25" w:rsidP="00511CCD">
            <w:pPr>
              <w:pStyle w:val="TableBody"/>
            </w:pPr>
            <w:r w:rsidRPr="007F530F">
              <w:t>25 years</w:t>
            </w:r>
          </w:p>
        </w:tc>
        <w:tc>
          <w:tcPr>
            <w:tcW w:w="567" w:type="pct"/>
          </w:tcPr>
          <w:p w14:paraId="3733B8E9" w14:textId="77777777" w:rsidR="00EF5C25" w:rsidRPr="007F530F" w:rsidRDefault="00EF5C25" w:rsidP="00511CCD">
            <w:pPr>
              <w:pStyle w:val="TableBody"/>
            </w:pPr>
            <w:r w:rsidRPr="007F530F">
              <w:t>930</w:t>
            </w:r>
          </w:p>
        </w:tc>
        <w:tc>
          <w:tcPr>
            <w:tcW w:w="567" w:type="pct"/>
          </w:tcPr>
          <w:p w14:paraId="5649954A" w14:textId="77777777" w:rsidR="00EF5C25" w:rsidRPr="007F530F" w:rsidRDefault="00EF5C25" w:rsidP="00511CCD">
            <w:pPr>
              <w:pStyle w:val="TableBody"/>
            </w:pPr>
            <w:r w:rsidRPr="007F530F">
              <w:t>463</w:t>
            </w:r>
          </w:p>
        </w:tc>
      </w:tr>
      <w:tr w:rsidR="00EF5C25" w:rsidRPr="007F530F" w14:paraId="16A4B035" w14:textId="77777777" w:rsidTr="00511CCD">
        <w:trPr>
          <w:trHeight w:val="60"/>
        </w:trPr>
        <w:tc>
          <w:tcPr>
            <w:tcW w:w="1000" w:type="pct"/>
          </w:tcPr>
          <w:p w14:paraId="404440BB" w14:textId="77777777" w:rsidR="00EF5C25" w:rsidRPr="007F530F" w:rsidRDefault="00EF5C25" w:rsidP="00511CCD">
            <w:pPr>
              <w:pStyle w:val="TableBody"/>
            </w:pPr>
            <w:r w:rsidRPr="007F530F">
              <w:t>Rape by compelling sexual penetration</w:t>
            </w:r>
          </w:p>
        </w:tc>
        <w:tc>
          <w:tcPr>
            <w:tcW w:w="833" w:type="pct"/>
          </w:tcPr>
          <w:p w14:paraId="1574168F" w14:textId="77777777" w:rsidR="00EF5C25" w:rsidRPr="007F530F" w:rsidRDefault="00EF5C25" w:rsidP="00511CCD">
            <w:pPr>
              <w:pStyle w:val="TableBody"/>
            </w:pPr>
            <w:r w:rsidRPr="007F530F">
              <w:t>Section 38A</w:t>
            </w:r>
          </w:p>
        </w:tc>
        <w:tc>
          <w:tcPr>
            <w:tcW w:w="1200" w:type="pct"/>
          </w:tcPr>
          <w:p w14:paraId="21923083" w14:textId="77777777" w:rsidR="00EF5C25" w:rsidRPr="007F530F" w:rsidRDefault="00EF5C25" w:rsidP="00511CCD">
            <w:pPr>
              <w:pStyle w:val="TableBody"/>
            </w:pPr>
            <w:r w:rsidRPr="00D00197">
              <w:rPr>
                <w:rStyle w:val="Strong"/>
              </w:rPr>
              <w:t>From</w:t>
            </w:r>
            <w:r w:rsidRPr="007F530F">
              <w:t xml:space="preserve"> 1 December 2006</w:t>
            </w:r>
            <w:r w:rsidRPr="007F530F">
              <w:br/>
            </w:r>
            <w:r w:rsidRPr="00D00197">
              <w:rPr>
                <w:rStyle w:val="Strong"/>
              </w:rPr>
              <w:t>To</w:t>
            </w:r>
            <w:r w:rsidRPr="007F530F">
              <w:t xml:space="preserve"> 30 June 2015</w:t>
            </w:r>
          </w:p>
        </w:tc>
        <w:tc>
          <w:tcPr>
            <w:tcW w:w="833" w:type="pct"/>
          </w:tcPr>
          <w:p w14:paraId="005BCCCA" w14:textId="77777777" w:rsidR="00EF5C25" w:rsidRPr="007F530F" w:rsidRDefault="00EF5C25" w:rsidP="00511CCD">
            <w:pPr>
              <w:pStyle w:val="TableBody"/>
            </w:pPr>
            <w:r w:rsidRPr="007F530F">
              <w:t>25 years</w:t>
            </w:r>
          </w:p>
        </w:tc>
        <w:tc>
          <w:tcPr>
            <w:tcW w:w="567" w:type="pct"/>
          </w:tcPr>
          <w:p w14:paraId="5CCC0187" w14:textId="77777777" w:rsidR="00EF5C25" w:rsidRPr="007F530F" w:rsidRDefault="00EF5C25" w:rsidP="00511CCD">
            <w:pPr>
              <w:pStyle w:val="TableBody"/>
            </w:pPr>
            <w:r w:rsidRPr="007F530F">
              <w:t>7</w:t>
            </w:r>
          </w:p>
        </w:tc>
        <w:tc>
          <w:tcPr>
            <w:tcW w:w="567" w:type="pct"/>
          </w:tcPr>
          <w:p w14:paraId="19636EF7" w14:textId="77777777" w:rsidR="00EF5C25" w:rsidRPr="007F530F" w:rsidRDefault="00EF5C25" w:rsidP="00511CCD">
            <w:pPr>
              <w:pStyle w:val="TableBody"/>
            </w:pPr>
            <w:r w:rsidRPr="007F530F">
              <w:t>2</w:t>
            </w:r>
          </w:p>
        </w:tc>
      </w:tr>
      <w:tr w:rsidR="00EF5C25" w:rsidRPr="007F530F" w14:paraId="58D8C2AD" w14:textId="77777777" w:rsidTr="00511CCD">
        <w:trPr>
          <w:trHeight w:val="60"/>
        </w:trPr>
        <w:tc>
          <w:tcPr>
            <w:tcW w:w="1000" w:type="pct"/>
          </w:tcPr>
          <w:p w14:paraId="470896C1" w14:textId="77777777" w:rsidR="00EF5C25" w:rsidRPr="007F530F" w:rsidRDefault="00EF5C25" w:rsidP="00511CCD">
            <w:pPr>
              <w:pStyle w:val="TableBody"/>
            </w:pPr>
            <w:r w:rsidRPr="007F530F">
              <w:t>Rape by compelling sexual penetration</w:t>
            </w:r>
          </w:p>
        </w:tc>
        <w:tc>
          <w:tcPr>
            <w:tcW w:w="833" w:type="pct"/>
          </w:tcPr>
          <w:p w14:paraId="2F8C381D" w14:textId="77777777" w:rsidR="00EF5C25" w:rsidRPr="007F530F" w:rsidRDefault="00EF5C25" w:rsidP="00511CCD">
            <w:pPr>
              <w:pStyle w:val="TableBody"/>
            </w:pPr>
            <w:r w:rsidRPr="007F530F">
              <w:t>Section 39</w:t>
            </w:r>
          </w:p>
        </w:tc>
        <w:tc>
          <w:tcPr>
            <w:tcW w:w="1200" w:type="pct"/>
          </w:tcPr>
          <w:p w14:paraId="31518DBF" w14:textId="77777777" w:rsidR="00EF5C25" w:rsidRPr="007F530F" w:rsidRDefault="00EF5C25" w:rsidP="00511CCD">
            <w:pPr>
              <w:pStyle w:val="TableBody"/>
            </w:pPr>
            <w:r w:rsidRPr="00D00197">
              <w:rPr>
                <w:rStyle w:val="Strong"/>
              </w:rPr>
              <w:t>From</w:t>
            </w:r>
            <w:r w:rsidRPr="007F530F">
              <w:t xml:space="preserve"> 1 July 2015</w:t>
            </w:r>
            <w:r w:rsidRPr="007F530F">
              <w:br/>
            </w:r>
            <w:r w:rsidRPr="00D00197">
              <w:rPr>
                <w:rStyle w:val="Strong"/>
              </w:rPr>
              <w:t>To</w:t>
            </w:r>
            <w:r w:rsidRPr="007F530F">
              <w:t xml:space="preserve"> present</w:t>
            </w:r>
          </w:p>
        </w:tc>
        <w:tc>
          <w:tcPr>
            <w:tcW w:w="833" w:type="pct"/>
          </w:tcPr>
          <w:p w14:paraId="20B7B0BB" w14:textId="77777777" w:rsidR="00EF5C25" w:rsidRPr="007F530F" w:rsidRDefault="00EF5C25" w:rsidP="00511CCD">
            <w:pPr>
              <w:pStyle w:val="TableBody"/>
            </w:pPr>
            <w:r w:rsidRPr="007F530F">
              <w:t>25 years</w:t>
            </w:r>
          </w:p>
        </w:tc>
        <w:tc>
          <w:tcPr>
            <w:tcW w:w="567" w:type="pct"/>
          </w:tcPr>
          <w:p w14:paraId="4203AF54" w14:textId="77777777" w:rsidR="00EF5C25" w:rsidRPr="007F530F" w:rsidRDefault="00EF5C25" w:rsidP="00511CCD">
            <w:pPr>
              <w:pStyle w:val="TableBody"/>
            </w:pPr>
            <w:r w:rsidRPr="007F530F">
              <w:t>4</w:t>
            </w:r>
          </w:p>
        </w:tc>
        <w:tc>
          <w:tcPr>
            <w:tcW w:w="567" w:type="pct"/>
          </w:tcPr>
          <w:p w14:paraId="226A089A" w14:textId="77777777" w:rsidR="00EF5C25" w:rsidRPr="007F530F" w:rsidRDefault="00EF5C25" w:rsidP="00511CCD">
            <w:pPr>
              <w:pStyle w:val="TableBody"/>
            </w:pPr>
            <w:r w:rsidRPr="007F530F">
              <w:t>4</w:t>
            </w:r>
          </w:p>
        </w:tc>
      </w:tr>
      <w:tr w:rsidR="00EF5C25" w:rsidRPr="007F530F" w14:paraId="5E957E80" w14:textId="77777777" w:rsidTr="00511CCD">
        <w:trPr>
          <w:trHeight w:val="60"/>
        </w:trPr>
        <w:tc>
          <w:tcPr>
            <w:tcW w:w="1000" w:type="pct"/>
          </w:tcPr>
          <w:p w14:paraId="0EB152AC" w14:textId="77777777" w:rsidR="00EF5C25" w:rsidRPr="00D00197" w:rsidRDefault="00EF5C25" w:rsidP="00511CCD">
            <w:pPr>
              <w:pStyle w:val="TableBody"/>
              <w:rPr>
                <w:rStyle w:val="Strong"/>
              </w:rPr>
            </w:pPr>
            <w:r w:rsidRPr="00D00197">
              <w:rPr>
                <w:rStyle w:val="Strong"/>
              </w:rPr>
              <w:t>Total</w:t>
            </w:r>
          </w:p>
        </w:tc>
        <w:tc>
          <w:tcPr>
            <w:tcW w:w="833" w:type="pct"/>
          </w:tcPr>
          <w:p w14:paraId="43BD5292" w14:textId="0000C06A" w:rsidR="00EF5C25" w:rsidRPr="007F530F" w:rsidRDefault="00507EEC" w:rsidP="00511CCD">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00" w:type="pct"/>
          </w:tcPr>
          <w:p w14:paraId="51158CD2" w14:textId="37E252FD" w:rsidR="00EF5C25" w:rsidRPr="007F530F" w:rsidRDefault="00507EEC" w:rsidP="00511CCD">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833" w:type="pct"/>
          </w:tcPr>
          <w:p w14:paraId="42C82FB4" w14:textId="00967B66" w:rsidR="00EF5C25" w:rsidRPr="007F530F" w:rsidRDefault="00507EEC" w:rsidP="00511CCD">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567" w:type="pct"/>
          </w:tcPr>
          <w:p w14:paraId="14DAD6F2" w14:textId="77777777" w:rsidR="00EF5C25" w:rsidRPr="00D00197" w:rsidRDefault="00EF5C25" w:rsidP="00511CCD">
            <w:pPr>
              <w:pStyle w:val="TableBody"/>
              <w:rPr>
                <w:rStyle w:val="Strong"/>
              </w:rPr>
            </w:pPr>
            <w:r w:rsidRPr="00D00197">
              <w:rPr>
                <w:rStyle w:val="Strong"/>
              </w:rPr>
              <w:t>1,003</w:t>
            </w:r>
          </w:p>
        </w:tc>
        <w:tc>
          <w:tcPr>
            <w:tcW w:w="567" w:type="pct"/>
          </w:tcPr>
          <w:p w14:paraId="2A74D17D" w14:textId="77777777" w:rsidR="00EF5C25" w:rsidRPr="00D00197" w:rsidRDefault="00EF5C25" w:rsidP="00511CCD">
            <w:pPr>
              <w:pStyle w:val="TableBody"/>
              <w:rPr>
                <w:rStyle w:val="Strong"/>
              </w:rPr>
            </w:pPr>
            <w:r w:rsidRPr="00D00197">
              <w:rPr>
                <w:rStyle w:val="Strong"/>
              </w:rPr>
              <w:t>491</w:t>
            </w:r>
            <w:r w:rsidRPr="00696ADB">
              <w:rPr>
                <w:rStyle w:val="Strong"/>
                <w:vertAlign w:val="superscript"/>
              </w:rPr>
              <w:t>a</w:t>
            </w:r>
          </w:p>
        </w:tc>
      </w:tr>
    </w:tbl>
    <w:p w14:paraId="5E606297" w14:textId="77777777" w:rsidR="00EF5C25" w:rsidRPr="007F530F" w:rsidRDefault="00EF5C25" w:rsidP="00C10631">
      <w:pPr>
        <w:pStyle w:val="Footnote"/>
      </w:pPr>
      <w:r w:rsidRPr="007F530F">
        <w:t>a.</w:t>
      </w:r>
      <w:r w:rsidRPr="007F530F">
        <w:tab/>
        <w:t>The total number of cases is slightly lower than the sum of the above rows because multiple rape offences under various statutory references were sentenced together in some cases.</w:t>
      </w:r>
    </w:p>
    <w:p w14:paraId="32B31CB7" w14:textId="77777777" w:rsidR="00EF5C25" w:rsidRPr="007F530F" w:rsidRDefault="00EF5C25" w:rsidP="006633AA">
      <w:pPr>
        <w:pStyle w:val="Heading2"/>
      </w:pPr>
      <w:r w:rsidRPr="007F530F">
        <w:t>Sentence types imposed for rape offences</w:t>
      </w:r>
    </w:p>
    <w:p w14:paraId="1C615480" w14:textId="77777777" w:rsidR="00EF5C25" w:rsidRPr="007F530F" w:rsidRDefault="00EF5C25" w:rsidP="00CB18EF">
      <w:pPr>
        <w:pStyle w:val="Numbered"/>
      </w:pPr>
      <w:r w:rsidRPr="007F530F">
        <w:t>Table 3 shows the sentence types imposed for rape offences during the reference period.</w:t>
      </w:r>
      <w:r w:rsidRPr="007F530F">
        <w:rPr>
          <w:rStyle w:val="Superscript"/>
        </w:rPr>
        <w:footnoteReference w:id="84"/>
      </w:r>
      <w:r w:rsidRPr="007F530F">
        <w:t xml:space="preserve"> Most (96%) were immediate custodial sentences. Given that only a small number of rape charges received non-custodial sentences prior to the introduction of Category 1 offences, the reform did not have any discernible influence on sentencing outcomes in 2018 and 2019. However, as might be expected, imprisonment was imposed in each of the 27 cases (100%) in which Category 1 offence classification applied to 45 rape charges.</w:t>
      </w:r>
      <w:r w:rsidRPr="007F530F">
        <w:rPr>
          <w:rStyle w:val="Superscript"/>
        </w:rPr>
        <w:footnoteReference w:id="85"/>
      </w:r>
    </w:p>
    <w:p w14:paraId="1FEA97BC" w14:textId="77777777" w:rsidR="00115AB7" w:rsidRDefault="00115AB7" w:rsidP="00D00197">
      <w:pPr>
        <w:pStyle w:val="Caption"/>
        <w:sectPr w:rsidR="00115AB7" w:rsidSect="00D6349A">
          <w:headerReference w:type="default" r:id="rId8"/>
          <w:footerReference w:type="default" r:id="rId9"/>
          <w:pgSz w:w="11906" w:h="16838"/>
          <w:pgMar w:top="1440" w:right="1440" w:bottom="1440" w:left="1440" w:header="720" w:footer="720" w:gutter="0"/>
          <w:cols w:space="720"/>
          <w:noEndnote/>
          <w:docGrid w:linePitch="326"/>
        </w:sectPr>
      </w:pPr>
    </w:p>
    <w:p w14:paraId="5CF378EE" w14:textId="6D4F8D3F" w:rsidR="00EF5C25" w:rsidRPr="007F530F" w:rsidRDefault="00EF5C25" w:rsidP="00D00197">
      <w:pPr>
        <w:pStyle w:val="Caption"/>
      </w:pPr>
      <w:r w:rsidRPr="00D00197">
        <w:lastRenderedPageBreak/>
        <w:t>Table 3:</w:t>
      </w:r>
      <w:r w:rsidRPr="007F530F">
        <w:t xml:space="preserve"> Sentencing outcomes for rape charges sentenced in Victoria, 2010 to 2019, by sentence type and year (1,003 charges)</w:t>
      </w:r>
    </w:p>
    <w:tbl>
      <w:tblPr>
        <w:tblStyle w:val="Table"/>
        <w:tblW w:w="5022" w:type="pct"/>
        <w:tblLook w:val="0020" w:firstRow="1" w:lastRow="0" w:firstColumn="0" w:lastColumn="0" w:noHBand="0" w:noVBand="0"/>
      </w:tblPr>
      <w:tblGrid>
        <w:gridCol w:w="1753"/>
        <w:gridCol w:w="1101"/>
        <w:gridCol w:w="1104"/>
        <w:gridCol w:w="1104"/>
        <w:gridCol w:w="1104"/>
        <w:gridCol w:w="1104"/>
        <w:gridCol w:w="1104"/>
        <w:gridCol w:w="1104"/>
        <w:gridCol w:w="1104"/>
        <w:gridCol w:w="1104"/>
        <w:gridCol w:w="1104"/>
        <w:gridCol w:w="1219"/>
      </w:tblGrid>
      <w:tr w:rsidR="00EF5C25" w:rsidRPr="007F530F" w14:paraId="057CE937" w14:textId="77777777" w:rsidTr="00377374">
        <w:trPr>
          <w:trHeight w:val="60"/>
        </w:trPr>
        <w:tc>
          <w:tcPr>
            <w:tcW w:w="626" w:type="pct"/>
          </w:tcPr>
          <w:p w14:paraId="037338C7" w14:textId="77777777" w:rsidR="00EF5C25" w:rsidRPr="00BF721A" w:rsidRDefault="00EF5C25" w:rsidP="00BF721A">
            <w:pPr>
              <w:pStyle w:val="TableHeading"/>
            </w:pPr>
            <w:r w:rsidRPr="00BF721A">
              <w:t>Outcome</w:t>
            </w:r>
          </w:p>
        </w:tc>
        <w:tc>
          <w:tcPr>
            <w:tcW w:w="393" w:type="pct"/>
          </w:tcPr>
          <w:p w14:paraId="7655D67F" w14:textId="77777777" w:rsidR="00EF5C25" w:rsidRPr="00BF721A" w:rsidRDefault="00EF5C25" w:rsidP="00BF721A">
            <w:pPr>
              <w:pStyle w:val="TableHeading"/>
            </w:pPr>
            <w:r w:rsidRPr="00BF721A">
              <w:t>2010</w:t>
            </w:r>
          </w:p>
        </w:tc>
        <w:tc>
          <w:tcPr>
            <w:tcW w:w="394" w:type="pct"/>
          </w:tcPr>
          <w:p w14:paraId="5612CCC8" w14:textId="77777777" w:rsidR="00EF5C25" w:rsidRPr="00BF721A" w:rsidRDefault="00EF5C25" w:rsidP="00BF721A">
            <w:pPr>
              <w:pStyle w:val="TableHeading"/>
            </w:pPr>
            <w:r w:rsidRPr="00BF721A">
              <w:t>2011</w:t>
            </w:r>
          </w:p>
        </w:tc>
        <w:tc>
          <w:tcPr>
            <w:tcW w:w="394" w:type="pct"/>
          </w:tcPr>
          <w:p w14:paraId="2A46FE3B" w14:textId="77777777" w:rsidR="00EF5C25" w:rsidRPr="00BF721A" w:rsidRDefault="00EF5C25" w:rsidP="00BF721A">
            <w:pPr>
              <w:pStyle w:val="TableHeading"/>
            </w:pPr>
            <w:r w:rsidRPr="00BF721A">
              <w:t>2012</w:t>
            </w:r>
          </w:p>
        </w:tc>
        <w:tc>
          <w:tcPr>
            <w:tcW w:w="394" w:type="pct"/>
          </w:tcPr>
          <w:p w14:paraId="0093F4A8" w14:textId="77777777" w:rsidR="00EF5C25" w:rsidRPr="00BF721A" w:rsidRDefault="00EF5C25" w:rsidP="00BF721A">
            <w:pPr>
              <w:pStyle w:val="TableHeading"/>
            </w:pPr>
            <w:r w:rsidRPr="00BF721A">
              <w:t>2013</w:t>
            </w:r>
          </w:p>
        </w:tc>
        <w:tc>
          <w:tcPr>
            <w:tcW w:w="394" w:type="pct"/>
          </w:tcPr>
          <w:p w14:paraId="471D6EA1" w14:textId="77777777" w:rsidR="00EF5C25" w:rsidRPr="00BF721A" w:rsidRDefault="00EF5C25" w:rsidP="00BF721A">
            <w:pPr>
              <w:pStyle w:val="TableHeading"/>
            </w:pPr>
            <w:r w:rsidRPr="00BF721A">
              <w:t>2014</w:t>
            </w:r>
          </w:p>
        </w:tc>
        <w:tc>
          <w:tcPr>
            <w:tcW w:w="394" w:type="pct"/>
          </w:tcPr>
          <w:p w14:paraId="4F29E6AA" w14:textId="77777777" w:rsidR="00EF5C25" w:rsidRPr="00BF721A" w:rsidRDefault="00EF5C25" w:rsidP="00BF721A">
            <w:pPr>
              <w:pStyle w:val="TableHeading"/>
            </w:pPr>
            <w:r w:rsidRPr="00BF721A">
              <w:t>2015</w:t>
            </w:r>
          </w:p>
        </w:tc>
        <w:tc>
          <w:tcPr>
            <w:tcW w:w="394" w:type="pct"/>
          </w:tcPr>
          <w:p w14:paraId="1582D456" w14:textId="77777777" w:rsidR="00EF5C25" w:rsidRPr="00BF721A" w:rsidRDefault="00EF5C25" w:rsidP="00BF721A">
            <w:pPr>
              <w:pStyle w:val="TableHeading"/>
            </w:pPr>
            <w:r w:rsidRPr="00BF721A">
              <w:t>2016</w:t>
            </w:r>
          </w:p>
        </w:tc>
        <w:tc>
          <w:tcPr>
            <w:tcW w:w="394" w:type="pct"/>
          </w:tcPr>
          <w:p w14:paraId="5718B325" w14:textId="77777777" w:rsidR="00EF5C25" w:rsidRPr="00BF721A" w:rsidRDefault="00EF5C25" w:rsidP="00BF721A">
            <w:pPr>
              <w:pStyle w:val="TableHeading"/>
            </w:pPr>
            <w:r w:rsidRPr="00BF721A">
              <w:t>2017</w:t>
            </w:r>
          </w:p>
        </w:tc>
        <w:tc>
          <w:tcPr>
            <w:tcW w:w="394" w:type="pct"/>
          </w:tcPr>
          <w:p w14:paraId="699D6C5A" w14:textId="77777777" w:rsidR="00EF5C25" w:rsidRPr="00BF721A" w:rsidRDefault="00EF5C25" w:rsidP="00BF721A">
            <w:pPr>
              <w:pStyle w:val="TableHeading"/>
            </w:pPr>
            <w:r w:rsidRPr="00BF721A">
              <w:t>2018</w:t>
            </w:r>
          </w:p>
        </w:tc>
        <w:tc>
          <w:tcPr>
            <w:tcW w:w="394" w:type="pct"/>
          </w:tcPr>
          <w:p w14:paraId="5752B7B3" w14:textId="77777777" w:rsidR="00EF5C25" w:rsidRPr="00BF721A" w:rsidRDefault="00EF5C25" w:rsidP="00BF721A">
            <w:pPr>
              <w:pStyle w:val="TableHeading"/>
            </w:pPr>
            <w:r w:rsidRPr="00BF721A">
              <w:t>2019</w:t>
            </w:r>
          </w:p>
        </w:tc>
        <w:tc>
          <w:tcPr>
            <w:tcW w:w="437" w:type="pct"/>
          </w:tcPr>
          <w:p w14:paraId="1B5E234C" w14:textId="77777777" w:rsidR="00EF5C25" w:rsidRPr="00DF4105" w:rsidRDefault="00EF5C25" w:rsidP="00DF4105">
            <w:pPr>
              <w:pStyle w:val="TableHeading"/>
            </w:pPr>
            <w:r w:rsidRPr="00DF4105">
              <w:t>Total</w:t>
            </w:r>
          </w:p>
        </w:tc>
      </w:tr>
      <w:tr w:rsidR="00EF5C25" w:rsidRPr="007F530F" w14:paraId="060F5CF4" w14:textId="77777777" w:rsidTr="00377374">
        <w:trPr>
          <w:trHeight w:val="60"/>
        </w:trPr>
        <w:tc>
          <w:tcPr>
            <w:tcW w:w="626" w:type="pct"/>
          </w:tcPr>
          <w:p w14:paraId="240B84DA" w14:textId="77777777" w:rsidR="00EF5C25" w:rsidRPr="00F322E4" w:rsidRDefault="00EF5C25" w:rsidP="00F322E4">
            <w:pPr>
              <w:pStyle w:val="TableBody"/>
            </w:pPr>
            <w:r w:rsidRPr="00F322E4">
              <w:t>Immediate custodial sentence</w:t>
            </w:r>
          </w:p>
        </w:tc>
        <w:tc>
          <w:tcPr>
            <w:tcW w:w="393" w:type="pct"/>
          </w:tcPr>
          <w:p w14:paraId="68F45691" w14:textId="77777777" w:rsidR="00EF5C25" w:rsidRPr="00F322E4" w:rsidRDefault="00EF5C25" w:rsidP="00F322E4">
            <w:pPr>
              <w:pStyle w:val="TableBody"/>
            </w:pPr>
            <w:r w:rsidRPr="00F322E4">
              <w:t>95</w:t>
            </w:r>
            <w:r w:rsidRPr="00F322E4">
              <w:br/>
              <w:t>(97%)</w:t>
            </w:r>
          </w:p>
        </w:tc>
        <w:tc>
          <w:tcPr>
            <w:tcW w:w="394" w:type="pct"/>
          </w:tcPr>
          <w:p w14:paraId="00A9DB6F" w14:textId="77777777" w:rsidR="00EF5C25" w:rsidRPr="00F322E4" w:rsidRDefault="00EF5C25" w:rsidP="00F322E4">
            <w:pPr>
              <w:pStyle w:val="TableBody"/>
            </w:pPr>
            <w:r w:rsidRPr="00F322E4">
              <w:t>108</w:t>
            </w:r>
            <w:r w:rsidRPr="00F322E4">
              <w:br/>
              <w:t>(92%)</w:t>
            </w:r>
          </w:p>
        </w:tc>
        <w:tc>
          <w:tcPr>
            <w:tcW w:w="394" w:type="pct"/>
          </w:tcPr>
          <w:p w14:paraId="0F53F43D" w14:textId="77777777" w:rsidR="00EF5C25" w:rsidRPr="00F322E4" w:rsidRDefault="00EF5C25" w:rsidP="00F322E4">
            <w:pPr>
              <w:pStyle w:val="TableBody"/>
            </w:pPr>
            <w:r w:rsidRPr="00F322E4">
              <w:t>72</w:t>
            </w:r>
            <w:r w:rsidRPr="00F322E4">
              <w:br/>
              <w:t>(99%)</w:t>
            </w:r>
          </w:p>
        </w:tc>
        <w:tc>
          <w:tcPr>
            <w:tcW w:w="394" w:type="pct"/>
          </w:tcPr>
          <w:p w14:paraId="22CD8382" w14:textId="77777777" w:rsidR="00EF5C25" w:rsidRPr="00F322E4" w:rsidRDefault="00EF5C25" w:rsidP="00F322E4">
            <w:pPr>
              <w:pStyle w:val="TableBody"/>
            </w:pPr>
            <w:r w:rsidRPr="00F322E4">
              <w:t>81</w:t>
            </w:r>
            <w:r w:rsidRPr="00F322E4">
              <w:br/>
              <w:t>(94%)</w:t>
            </w:r>
          </w:p>
        </w:tc>
        <w:tc>
          <w:tcPr>
            <w:tcW w:w="394" w:type="pct"/>
          </w:tcPr>
          <w:p w14:paraId="413ACBCF" w14:textId="77777777" w:rsidR="00EF5C25" w:rsidRPr="00F322E4" w:rsidRDefault="00EF5C25" w:rsidP="00F322E4">
            <w:pPr>
              <w:pStyle w:val="TableBody"/>
            </w:pPr>
            <w:r w:rsidRPr="00F322E4">
              <w:t>111</w:t>
            </w:r>
            <w:r w:rsidRPr="00F322E4">
              <w:br/>
              <w:t>(97%)</w:t>
            </w:r>
          </w:p>
        </w:tc>
        <w:tc>
          <w:tcPr>
            <w:tcW w:w="394" w:type="pct"/>
          </w:tcPr>
          <w:p w14:paraId="07A9A187" w14:textId="77777777" w:rsidR="00EF5C25" w:rsidRPr="00F322E4" w:rsidRDefault="00EF5C25" w:rsidP="00F322E4">
            <w:pPr>
              <w:pStyle w:val="TableBody"/>
            </w:pPr>
            <w:r w:rsidRPr="00F322E4">
              <w:t>108</w:t>
            </w:r>
            <w:r w:rsidRPr="00F322E4">
              <w:br/>
              <w:t>(96%)</w:t>
            </w:r>
          </w:p>
        </w:tc>
        <w:tc>
          <w:tcPr>
            <w:tcW w:w="394" w:type="pct"/>
          </w:tcPr>
          <w:p w14:paraId="11A66142" w14:textId="77777777" w:rsidR="00EF5C25" w:rsidRPr="00F322E4" w:rsidRDefault="00EF5C25" w:rsidP="00F322E4">
            <w:pPr>
              <w:pStyle w:val="TableBody"/>
            </w:pPr>
            <w:r w:rsidRPr="00F322E4">
              <w:t>84</w:t>
            </w:r>
            <w:r w:rsidRPr="00F322E4">
              <w:br/>
              <w:t>(93%)</w:t>
            </w:r>
          </w:p>
        </w:tc>
        <w:tc>
          <w:tcPr>
            <w:tcW w:w="394" w:type="pct"/>
          </w:tcPr>
          <w:p w14:paraId="36EDD0B5" w14:textId="77777777" w:rsidR="00EF5C25" w:rsidRPr="00F322E4" w:rsidRDefault="00EF5C25" w:rsidP="00F322E4">
            <w:pPr>
              <w:pStyle w:val="TableBody"/>
            </w:pPr>
            <w:r w:rsidRPr="00F322E4">
              <w:t>95</w:t>
            </w:r>
            <w:r w:rsidRPr="00F322E4">
              <w:br/>
              <w:t>(99%)</w:t>
            </w:r>
          </w:p>
        </w:tc>
        <w:tc>
          <w:tcPr>
            <w:tcW w:w="394" w:type="pct"/>
          </w:tcPr>
          <w:p w14:paraId="5C6C7E47" w14:textId="77777777" w:rsidR="00EF5C25" w:rsidRPr="00F322E4" w:rsidRDefault="00EF5C25" w:rsidP="00F322E4">
            <w:pPr>
              <w:pStyle w:val="TableBody"/>
            </w:pPr>
            <w:r w:rsidRPr="00F322E4">
              <w:t>97</w:t>
            </w:r>
            <w:r w:rsidRPr="00F322E4">
              <w:br/>
              <w:t>(96%)</w:t>
            </w:r>
          </w:p>
        </w:tc>
        <w:tc>
          <w:tcPr>
            <w:tcW w:w="394" w:type="pct"/>
          </w:tcPr>
          <w:p w14:paraId="4935516B" w14:textId="77777777" w:rsidR="00EF5C25" w:rsidRPr="00F322E4" w:rsidRDefault="00EF5C25" w:rsidP="00F322E4">
            <w:pPr>
              <w:pStyle w:val="TableBody"/>
            </w:pPr>
            <w:r w:rsidRPr="00F322E4">
              <w:t>113</w:t>
            </w:r>
            <w:r w:rsidRPr="00F322E4">
              <w:br/>
              <w:t>(97%)</w:t>
            </w:r>
          </w:p>
        </w:tc>
        <w:tc>
          <w:tcPr>
            <w:tcW w:w="437" w:type="pct"/>
          </w:tcPr>
          <w:p w14:paraId="1D8157BB" w14:textId="77777777" w:rsidR="00EF5C25" w:rsidRPr="00DF3B16" w:rsidRDefault="00EF5C25" w:rsidP="00DF3B16">
            <w:pPr>
              <w:pStyle w:val="TableBody"/>
              <w:rPr>
                <w:rStyle w:val="Strong"/>
              </w:rPr>
            </w:pPr>
            <w:r w:rsidRPr="00DF3B16">
              <w:rPr>
                <w:rStyle w:val="Strong"/>
              </w:rPr>
              <w:t>964</w:t>
            </w:r>
            <w:r w:rsidRPr="00DF3B16">
              <w:rPr>
                <w:rStyle w:val="Strong"/>
              </w:rPr>
              <w:br/>
              <w:t>(96%)</w:t>
            </w:r>
          </w:p>
        </w:tc>
      </w:tr>
      <w:tr w:rsidR="00EF5C25" w:rsidRPr="007F530F" w14:paraId="5CDF2612" w14:textId="77777777" w:rsidTr="00377374">
        <w:trPr>
          <w:trHeight w:val="60"/>
        </w:trPr>
        <w:tc>
          <w:tcPr>
            <w:tcW w:w="626" w:type="pct"/>
          </w:tcPr>
          <w:p w14:paraId="166DC313" w14:textId="77777777" w:rsidR="00EF5C25" w:rsidRPr="00F322E4" w:rsidRDefault="00EF5C25" w:rsidP="00F322E4">
            <w:pPr>
              <w:pStyle w:val="TableBody"/>
            </w:pPr>
            <w:r w:rsidRPr="00F322E4">
              <w:t>Community order</w:t>
            </w:r>
          </w:p>
        </w:tc>
        <w:tc>
          <w:tcPr>
            <w:tcW w:w="393" w:type="pct"/>
          </w:tcPr>
          <w:p w14:paraId="0BE17FDB" w14:textId="77777777" w:rsidR="00EF5C25" w:rsidRPr="00F322E4" w:rsidRDefault="00EF5C25" w:rsidP="00F322E4">
            <w:pPr>
              <w:pStyle w:val="TableBody"/>
            </w:pPr>
            <w:r w:rsidRPr="00F322E4">
              <w:t>1</w:t>
            </w:r>
            <w:r w:rsidRPr="00F322E4">
              <w:br/>
              <w:t>(1%)</w:t>
            </w:r>
          </w:p>
        </w:tc>
        <w:tc>
          <w:tcPr>
            <w:tcW w:w="394" w:type="pct"/>
          </w:tcPr>
          <w:p w14:paraId="64F2A0C4" w14:textId="77777777" w:rsidR="00EF5C25" w:rsidRPr="00F322E4" w:rsidRDefault="00EF5C25" w:rsidP="00F322E4">
            <w:pPr>
              <w:pStyle w:val="TableBody"/>
            </w:pPr>
            <w:r w:rsidRPr="00F322E4">
              <w:t>2</w:t>
            </w:r>
            <w:r w:rsidRPr="00F322E4">
              <w:br/>
              <w:t>(2%)</w:t>
            </w:r>
          </w:p>
        </w:tc>
        <w:tc>
          <w:tcPr>
            <w:tcW w:w="394" w:type="pct"/>
          </w:tcPr>
          <w:p w14:paraId="4B0E5F7C" w14:textId="77777777" w:rsidR="00EF5C25" w:rsidRPr="00F322E4" w:rsidRDefault="00EF5C25" w:rsidP="00F322E4">
            <w:pPr>
              <w:pStyle w:val="TableBody"/>
            </w:pPr>
            <w:r w:rsidRPr="00F322E4">
              <w:t>1</w:t>
            </w:r>
            <w:r w:rsidRPr="00F322E4">
              <w:br/>
              <w:t>(1%)</w:t>
            </w:r>
          </w:p>
        </w:tc>
        <w:tc>
          <w:tcPr>
            <w:tcW w:w="394" w:type="pct"/>
          </w:tcPr>
          <w:p w14:paraId="0172018D" w14:textId="77777777" w:rsidR="00EF5C25" w:rsidRPr="00F322E4" w:rsidRDefault="00EF5C25" w:rsidP="00F322E4">
            <w:pPr>
              <w:pStyle w:val="TableBody"/>
            </w:pPr>
            <w:r w:rsidRPr="00F322E4">
              <w:t>–</w:t>
            </w:r>
          </w:p>
        </w:tc>
        <w:tc>
          <w:tcPr>
            <w:tcW w:w="394" w:type="pct"/>
          </w:tcPr>
          <w:p w14:paraId="0DB2281C" w14:textId="77777777" w:rsidR="00EF5C25" w:rsidRPr="00F322E4" w:rsidRDefault="00EF5C25" w:rsidP="00F322E4">
            <w:pPr>
              <w:pStyle w:val="TableBody"/>
            </w:pPr>
            <w:r w:rsidRPr="00F322E4">
              <w:t>2</w:t>
            </w:r>
            <w:r w:rsidRPr="00F322E4">
              <w:br/>
              <w:t>(2%)</w:t>
            </w:r>
          </w:p>
        </w:tc>
        <w:tc>
          <w:tcPr>
            <w:tcW w:w="394" w:type="pct"/>
          </w:tcPr>
          <w:p w14:paraId="06B98242" w14:textId="77777777" w:rsidR="00EF5C25" w:rsidRPr="00F322E4" w:rsidRDefault="00EF5C25" w:rsidP="00F322E4">
            <w:pPr>
              <w:pStyle w:val="TableBody"/>
            </w:pPr>
            <w:r w:rsidRPr="00F322E4">
              <w:t>3</w:t>
            </w:r>
            <w:r w:rsidRPr="00F322E4">
              <w:br/>
              <w:t>(3%)</w:t>
            </w:r>
          </w:p>
        </w:tc>
        <w:tc>
          <w:tcPr>
            <w:tcW w:w="394" w:type="pct"/>
          </w:tcPr>
          <w:p w14:paraId="15C6D2EB" w14:textId="77777777" w:rsidR="00EF5C25" w:rsidRPr="00F322E4" w:rsidRDefault="00EF5C25" w:rsidP="00F322E4">
            <w:pPr>
              <w:pStyle w:val="TableBody"/>
            </w:pPr>
            <w:r w:rsidRPr="00F322E4">
              <w:t>5</w:t>
            </w:r>
            <w:r w:rsidRPr="00F322E4">
              <w:br/>
              <w:t>(6%)</w:t>
            </w:r>
          </w:p>
        </w:tc>
        <w:tc>
          <w:tcPr>
            <w:tcW w:w="394" w:type="pct"/>
          </w:tcPr>
          <w:p w14:paraId="07962E4B" w14:textId="77777777" w:rsidR="00EF5C25" w:rsidRPr="00F322E4" w:rsidRDefault="00EF5C25" w:rsidP="00F322E4">
            <w:pPr>
              <w:pStyle w:val="TableBody"/>
            </w:pPr>
            <w:r w:rsidRPr="00F322E4">
              <w:t>1</w:t>
            </w:r>
            <w:r w:rsidRPr="00F322E4">
              <w:br/>
              <w:t>(1%)</w:t>
            </w:r>
          </w:p>
        </w:tc>
        <w:tc>
          <w:tcPr>
            <w:tcW w:w="394" w:type="pct"/>
          </w:tcPr>
          <w:p w14:paraId="277AB5D2" w14:textId="77777777" w:rsidR="00EF5C25" w:rsidRPr="00F322E4" w:rsidRDefault="00EF5C25" w:rsidP="00F322E4">
            <w:pPr>
              <w:pStyle w:val="TableBody"/>
            </w:pPr>
            <w:r w:rsidRPr="00F322E4">
              <w:t>4</w:t>
            </w:r>
            <w:r w:rsidRPr="00F322E4">
              <w:br/>
              <w:t>(4%)</w:t>
            </w:r>
          </w:p>
        </w:tc>
        <w:tc>
          <w:tcPr>
            <w:tcW w:w="394" w:type="pct"/>
          </w:tcPr>
          <w:p w14:paraId="299E0ED2" w14:textId="77777777" w:rsidR="00EF5C25" w:rsidRPr="00F322E4" w:rsidRDefault="00EF5C25" w:rsidP="00F322E4">
            <w:pPr>
              <w:pStyle w:val="TableBody"/>
            </w:pPr>
            <w:r w:rsidRPr="00F322E4">
              <w:t>3</w:t>
            </w:r>
            <w:r w:rsidRPr="00F322E4">
              <w:br/>
              <w:t>(3%)</w:t>
            </w:r>
          </w:p>
        </w:tc>
        <w:tc>
          <w:tcPr>
            <w:tcW w:w="437" w:type="pct"/>
          </w:tcPr>
          <w:p w14:paraId="2FAB6219" w14:textId="77777777" w:rsidR="00EF5C25" w:rsidRPr="00DF3B16" w:rsidRDefault="00EF5C25" w:rsidP="00DF3B16">
            <w:pPr>
              <w:pStyle w:val="TableBody"/>
              <w:rPr>
                <w:rStyle w:val="Strong"/>
              </w:rPr>
            </w:pPr>
            <w:r w:rsidRPr="00DF3B16">
              <w:rPr>
                <w:rStyle w:val="Strong"/>
              </w:rPr>
              <w:t>22</w:t>
            </w:r>
            <w:r w:rsidRPr="00DF3B16">
              <w:rPr>
                <w:rStyle w:val="Strong"/>
              </w:rPr>
              <w:br/>
              <w:t>(2%)</w:t>
            </w:r>
          </w:p>
        </w:tc>
      </w:tr>
      <w:tr w:rsidR="00EF5C25" w:rsidRPr="007F530F" w14:paraId="5CFCC54B" w14:textId="77777777" w:rsidTr="00377374">
        <w:trPr>
          <w:trHeight w:val="60"/>
        </w:trPr>
        <w:tc>
          <w:tcPr>
            <w:tcW w:w="626" w:type="pct"/>
          </w:tcPr>
          <w:p w14:paraId="77C45F95" w14:textId="77777777" w:rsidR="00EF5C25" w:rsidRPr="00F322E4" w:rsidRDefault="00EF5C25" w:rsidP="00F322E4">
            <w:pPr>
              <w:pStyle w:val="TableBody"/>
            </w:pPr>
            <w:r w:rsidRPr="00F322E4">
              <w:t>Other</w:t>
            </w:r>
          </w:p>
        </w:tc>
        <w:tc>
          <w:tcPr>
            <w:tcW w:w="393" w:type="pct"/>
          </w:tcPr>
          <w:p w14:paraId="4393D3F6" w14:textId="77777777" w:rsidR="00EF5C25" w:rsidRPr="00F322E4" w:rsidRDefault="00EF5C25" w:rsidP="00F322E4">
            <w:pPr>
              <w:pStyle w:val="TableBody"/>
            </w:pPr>
            <w:r w:rsidRPr="00F322E4">
              <w:t>2</w:t>
            </w:r>
            <w:r w:rsidRPr="00F322E4">
              <w:br/>
              <w:t>(2%)</w:t>
            </w:r>
          </w:p>
        </w:tc>
        <w:tc>
          <w:tcPr>
            <w:tcW w:w="394" w:type="pct"/>
          </w:tcPr>
          <w:p w14:paraId="19374F86" w14:textId="77777777" w:rsidR="00EF5C25" w:rsidRPr="00F322E4" w:rsidRDefault="00EF5C25" w:rsidP="00F322E4">
            <w:pPr>
              <w:pStyle w:val="TableBody"/>
            </w:pPr>
            <w:r w:rsidRPr="00F322E4">
              <w:t>7</w:t>
            </w:r>
            <w:r w:rsidRPr="00F322E4">
              <w:br/>
              <w:t>(6%)</w:t>
            </w:r>
          </w:p>
        </w:tc>
        <w:tc>
          <w:tcPr>
            <w:tcW w:w="394" w:type="pct"/>
          </w:tcPr>
          <w:p w14:paraId="79F28245" w14:textId="77777777" w:rsidR="00EF5C25" w:rsidRPr="00F322E4" w:rsidRDefault="00EF5C25" w:rsidP="00F322E4">
            <w:pPr>
              <w:pStyle w:val="TableBody"/>
            </w:pPr>
            <w:r w:rsidRPr="00F322E4">
              <w:t>–</w:t>
            </w:r>
          </w:p>
        </w:tc>
        <w:tc>
          <w:tcPr>
            <w:tcW w:w="394" w:type="pct"/>
          </w:tcPr>
          <w:p w14:paraId="677C92EA" w14:textId="77777777" w:rsidR="00EF5C25" w:rsidRPr="00F322E4" w:rsidRDefault="00EF5C25" w:rsidP="00F322E4">
            <w:pPr>
              <w:pStyle w:val="TableBody"/>
            </w:pPr>
            <w:r w:rsidRPr="00F322E4">
              <w:t>5</w:t>
            </w:r>
            <w:r w:rsidRPr="00F322E4">
              <w:br/>
              <w:t>(6%)</w:t>
            </w:r>
          </w:p>
        </w:tc>
        <w:tc>
          <w:tcPr>
            <w:tcW w:w="394" w:type="pct"/>
          </w:tcPr>
          <w:p w14:paraId="311D12F8" w14:textId="77777777" w:rsidR="00EF5C25" w:rsidRPr="00F322E4" w:rsidRDefault="00EF5C25" w:rsidP="00F322E4">
            <w:pPr>
              <w:pStyle w:val="TableBody"/>
            </w:pPr>
            <w:r w:rsidRPr="00F322E4">
              <w:t>1</w:t>
            </w:r>
            <w:r w:rsidRPr="00F322E4">
              <w:br/>
              <w:t>(1%)</w:t>
            </w:r>
          </w:p>
        </w:tc>
        <w:tc>
          <w:tcPr>
            <w:tcW w:w="394" w:type="pct"/>
          </w:tcPr>
          <w:p w14:paraId="436D8684" w14:textId="77777777" w:rsidR="00EF5C25" w:rsidRPr="00F322E4" w:rsidRDefault="00EF5C25" w:rsidP="00F322E4">
            <w:pPr>
              <w:pStyle w:val="TableBody"/>
            </w:pPr>
            <w:r w:rsidRPr="00F322E4">
              <w:t>1</w:t>
            </w:r>
            <w:r w:rsidRPr="00F322E4">
              <w:br/>
              <w:t>(1%)</w:t>
            </w:r>
          </w:p>
        </w:tc>
        <w:tc>
          <w:tcPr>
            <w:tcW w:w="394" w:type="pct"/>
          </w:tcPr>
          <w:p w14:paraId="5BCE484C" w14:textId="77777777" w:rsidR="00EF5C25" w:rsidRPr="00F322E4" w:rsidRDefault="00EF5C25" w:rsidP="00F322E4">
            <w:pPr>
              <w:pStyle w:val="TableBody"/>
            </w:pPr>
            <w:r w:rsidRPr="00F322E4">
              <w:t>1</w:t>
            </w:r>
            <w:r w:rsidRPr="00F322E4">
              <w:br/>
              <w:t>(1%)</w:t>
            </w:r>
          </w:p>
        </w:tc>
        <w:tc>
          <w:tcPr>
            <w:tcW w:w="394" w:type="pct"/>
          </w:tcPr>
          <w:p w14:paraId="13B87D5B" w14:textId="77777777" w:rsidR="00EF5C25" w:rsidRPr="00F322E4" w:rsidRDefault="00EF5C25" w:rsidP="00F322E4">
            <w:pPr>
              <w:pStyle w:val="TableBody"/>
            </w:pPr>
            <w:r w:rsidRPr="00F322E4">
              <w:t>–</w:t>
            </w:r>
          </w:p>
        </w:tc>
        <w:tc>
          <w:tcPr>
            <w:tcW w:w="394" w:type="pct"/>
          </w:tcPr>
          <w:p w14:paraId="27ADB532" w14:textId="77777777" w:rsidR="00EF5C25" w:rsidRPr="00F322E4" w:rsidRDefault="00EF5C25" w:rsidP="00F322E4">
            <w:pPr>
              <w:pStyle w:val="TableBody"/>
            </w:pPr>
            <w:r w:rsidRPr="00F322E4">
              <w:t>–</w:t>
            </w:r>
          </w:p>
        </w:tc>
        <w:tc>
          <w:tcPr>
            <w:tcW w:w="394" w:type="pct"/>
          </w:tcPr>
          <w:p w14:paraId="4E0D0E4A" w14:textId="77777777" w:rsidR="00EF5C25" w:rsidRPr="00F322E4" w:rsidRDefault="00EF5C25" w:rsidP="00F322E4">
            <w:pPr>
              <w:pStyle w:val="TableBody"/>
            </w:pPr>
            <w:r w:rsidRPr="00F322E4">
              <w:t>–</w:t>
            </w:r>
          </w:p>
        </w:tc>
        <w:tc>
          <w:tcPr>
            <w:tcW w:w="437" w:type="pct"/>
          </w:tcPr>
          <w:p w14:paraId="65E9FF87" w14:textId="77777777" w:rsidR="00EF5C25" w:rsidRPr="00DF3B16" w:rsidRDefault="00EF5C25" w:rsidP="00DF3B16">
            <w:pPr>
              <w:pStyle w:val="TableBody"/>
              <w:rPr>
                <w:rStyle w:val="Strong"/>
              </w:rPr>
            </w:pPr>
            <w:r w:rsidRPr="00DF3B16">
              <w:rPr>
                <w:rStyle w:val="Strong"/>
              </w:rPr>
              <w:t>17</w:t>
            </w:r>
            <w:r w:rsidRPr="00DF3B16">
              <w:rPr>
                <w:rStyle w:val="Strong"/>
              </w:rPr>
              <w:br/>
              <w:t>(2%)</w:t>
            </w:r>
          </w:p>
        </w:tc>
      </w:tr>
      <w:tr w:rsidR="00DD5B8C" w:rsidRPr="007F530F" w14:paraId="765038F2" w14:textId="77777777" w:rsidTr="00377374">
        <w:trPr>
          <w:trHeight w:val="60"/>
        </w:trPr>
        <w:tc>
          <w:tcPr>
            <w:tcW w:w="626" w:type="pct"/>
          </w:tcPr>
          <w:p w14:paraId="6829B39F" w14:textId="77777777" w:rsidR="00EF5C25" w:rsidRPr="00DF3B16" w:rsidRDefault="00EF5C25" w:rsidP="00DF3B16">
            <w:pPr>
              <w:pStyle w:val="TableBody"/>
              <w:rPr>
                <w:rStyle w:val="Strong"/>
              </w:rPr>
            </w:pPr>
            <w:r w:rsidRPr="00DF3B16">
              <w:rPr>
                <w:rStyle w:val="Strong"/>
              </w:rPr>
              <w:t>Total</w:t>
            </w:r>
          </w:p>
        </w:tc>
        <w:tc>
          <w:tcPr>
            <w:tcW w:w="393" w:type="pct"/>
          </w:tcPr>
          <w:p w14:paraId="22DCD1C0" w14:textId="77777777" w:rsidR="00EF5C25" w:rsidRPr="00DF3B16" w:rsidRDefault="00EF5C25" w:rsidP="00DF3B16">
            <w:pPr>
              <w:pStyle w:val="TableBody"/>
              <w:rPr>
                <w:rStyle w:val="Strong"/>
              </w:rPr>
            </w:pPr>
            <w:r w:rsidRPr="00DF3B16">
              <w:rPr>
                <w:rStyle w:val="Strong"/>
              </w:rPr>
              <w:t>98</w:t>
            </w:r>
          </w:p>
        </w:tc>
        <w:tc>
          <w:tcPr>
            <w:tcW w:w="394" w:type="pct"/>
          </w:tcPr>
          <w:p w14:paraId="0C677750" w14:textId="77777777" w:rsidR="00EF5C25" w:rsidRPr="00DF3B16" w:rsidRDefault="00EF5C25" w:rsidP="00DF3B16">
            <w:pPr>
              <w:pStyle w:val="TableBody"/>
              <w:rPr>
                <w:rStyle w:val="Strong"/>
              </w:rPr>
            </w:pPr>
            <w:r w:rsidRPr="00DF3B16">
              <w:rPr>
                <w:rStyle w:val="Strong"/>
              </w:rPr>
              <w:t>117</w:t>
            </w:r>
          </w:p>
        </w:tc>
        <w:tc>
          <w:tcPr>
            <w:tcW w:w="394" w:type="pct"/>
          </w:tcPr>
          <w:p w14:paraId="7858F341" w14:textId="77777777" w:rsidR="00EF5C25" w:rsidRPr="00DF3B16" w:rsidRDefault="00EF5C25" w:rsidP="00DF3B16">
            <w:pPr>
              <w:pStyle w:val="TableBody"/>
              <w:rPr>
                <w:rStyle w:val="Strong"/>
              </w:rPr>
            </w:pPr>
            <w:r w:rsidRPr="00DF3B16">
              <w:rPr>
                <w:rStyle w:val="Strong"/>
              </w:rPr>
              <w:t>73</w:t>
            </w:r>
          </w:p>
        </w:tc>
        <w:tc>
          <w:tcPr>
            <w:tcW w:w="394" w:type="pct"/>
          </w:tcPr>
          <w:p w14:paraId="0778F17D" w14:textId="77777777" w:rsidR="00EF5C25" w:rsidRPr="00DF3B16" w:rsidRDefault="00EF5C25" w:rsidP="00DF3B16">
            <w:pPr>
              <w:pStyle w:val="TableBody"/>
              <w:rPr>
                <w:rStyle w:val="Strong"/>
              </w:rPr>
            </w:pPr>
            <w:r w:rsidRPr="00DF3B16">
              <w:rPr>
                <w:rStyle w:val="Strong"/>
              </w:rPr>
              <w:t>86</w:t>
            </w:r>
          </w:p>
        </w:tc>
        <w:tc>
          <w:tcPr>
            <w:tcW w:w="394" w:type="pct"/>
          </w:tcPr>
          <w:p w14:paraId="45D4F90A" w14:textId="77777777" w:rsidR="00EF5C25" w:rsidRPr="00DF3B16" w:rsidRDefault="00EF5C25" w:rsidP="00DF3B16">
            <w:pPr>
              <w:pStyle w:val="TableBody"/>
              <w:rPr>
                <w:rStyle w:val="Strong"/>
              </w:rPr>
            </w:pPr>
            <w:r w:rsidRPr="00DF3B16">
              <w:rPr>
                <w:rStyle w:val="Strong"/>
              </w:rPr>
              <w:t>114</w:t>
            </w:r>
          </w:p>
        </w:tc>
        <w:tc>
          <w:tcPr>
            <w:tcW w:w="394" w:type="pct"/>
          </w:tcPr>
          <w:p w14:paraId="1662CA0E" w14:textId="77777777" w:rsidR="00EF5C25" w:rsidRPr="00DF3B16" w:rsidRDefault="00EF5C25" w:rsidP="00DF3B16">
            <w:pPr>
              <w:pStyle w:val="TableBody"/>
              <w:rPr>
                <w:rStyle w:val="Strong"/>
              </w:rPr>
            </w:pPr>
            <w:r w:rsidRPr="00DF3B16">
              <w:rPr>
                <w:rStyle w:val="Strong"/>
              </w:rPr>
              <w:t>112</w:t>
            </w:r>
          </w:p>
        </w:tc>
        <w:tc>
          <w:tcPr>
            <w:tcW w:w="394" w:type="pct"/>
          </w:tcPr>
          <w:p w14:paraId="66EE3142" w14:textId="77777777" w:rsidR="00EF5C25" w:rsidRPr="00DF3B16" w:rsidRDefault="00EF5C25" w:rsidP="00DF3B16">
            <w:pPr>
              <w:pStyle w:val="TableBody"/>
              <w:rPr>
                <w:rStyle w:val="Strong"/>
              </w:rPr>
            </w:pPr>
            <w:r w:rsidRPr="00DF3B16">
              <w:rPr>
                <w:rStyle w:val="Strong"/>
              </w:rPr>
              <w:t>90</w:t>
            </w:r>
          </w:p>
        </w:tc>
        <w:tc>
          <w:tcPr>
            <w:tcW w:w="394" w:type="pct"/>
          </w:tcPr>
          <w:p w14:paraId="5AE49754" w14:textId="77777777" w:rsidR="00EF5C25" w:rsidRPr="00DF3B16" w:rsidRDefault="00EF5C25" w:rsidP="00DF3B16">
            <w:pPr>
              <w:pStyle w:val="TableBody"/>
              <w:rPr>
                <w:rStyle w:val="Strong"/>
              </w:rPr>
            </w:pPr>
            <w:r w:rsidRPr="00DF3B16">
              <w:rPr>
                <w:rStyle w:val="Strong"/>
              </w:rPr>
              <w:t>96</w:t>
            </w:r>
          </w:p>
        </w:tc>
        <w:tc>
          <w:tcPr>
            <w:tcW w:w="394" w:type="pct"/>
          </w:tcPr>
          <w:p w14:paraId="0E8E5001" w14:textId="77777777" w:rsidR="00EF5C25" w:rsidRPr="00DF3B16" w:rsidRDefault="00EF5C25" w:rsidP="00DF3B16">
            <w:pPr>
              <w:pStyle w:val="TableBody"/>
              <w:rPr>
                <w:rStyle w:val="Strong"/>
              </w:rPr>
            </w:pPr>
            <w:r w:rsidRPr="00DF3B16">
              <w:rPr>
                <w:rStyle w:val="Strong"/>
              </w:rPr>
              <w:t>101</w:t>
            </w:r>
          </w:p>
        </w:tc>
        <w:tc>
          <w:tcPr>
            <w:tcW w:w="394" w:type="pct"/>
          </w:tcPr>
          <w:p w14:paraId="049FEBB7" w14:textId="77777777" w:rsidR="00EF5C25" w:rsidRPr="00DF3B16" w:rsidRDefault="00EF5C25" w:rsidP="00DF3B16">
            <w:pPr>
              <w:pStyle w:val="TableBody"/>
              <w:rPr>
                <w:rStyle w:val="Strong"/>
              </w:rPr>
            </w:pPr>
            <w:r w:rsidRPr="00DF3B16">
              <w:rPr>
                <w:rStyle w:val="Strong"/>
              </w:rPr>
              <w:t>116</w:t>
            </w:r>
          </w:p>
        </w:tc>
        <w:tc>
          <w:tcPr>
            <w:tcW w:w="437" w:type="pct"/>
          </w:tcPr>
          <w:p w14:paraId="06228B8C" w14:textId="77777777" w:rsidR="00EF5C25" w:rsidRPr="00DF3B16" w:rsidRDefault="00EF5C25" w:rsidP="00DF3B16">
            <w:pPr>
              <w:pStyle w:val="TableBody"/>
              <w:rPr>
                <w:rStyle w:val="Strong"/>
              </w:rPr>
            </w:pPr>
            <w:r w:rsidRPr="00DF3B16">
              <w:rPr>
                <w:rStyle w:val="Strong"/>
              </w:rPr>
              <w:t>1,003</w:t>
            </w:r>
          </w:p>
        </w:tc>
      </w:tr>
    </w:tbl>
    <w:p w14:paraId="75727C75" w14:textId="77777777" w:rsidR="00115AB7" w:rsidRDefault="00115AB7" w:rsidP="00CB18EF">
      <w:pPr>
        <w:pStyle w:val="Numbered"/>
        <w:sectPr w:rsidR="00115AB7" w:rsidSect="00115AB7">
          <w:pgSz w:w="16838" w:h="11906" w:orient="landscape"/>
          <w:pgMar w:top="1440" w:right="1440" w:bottom="1440" w:left="1440" w:header="720" w:footer="720" w:gutter="0"/>
          <w:cols w:space="720"/>
          <w:noEndnote/>
          <w:docGrid w:linePitch="326"/>
        </w:sectPr>
      </w:pPr>
    </w:p>
    <w:p w14:paraId="320CC087" w14:textId="05CBC5DE" w:rsidR="00EF5C25" w:rsidRPr="007F530F" w:rsidRDefault="00EF5C25" w:rsidP="00CB18EF">
      <w:pPr>
        <w:pStyle w:val="Numbered"/>
      </w:pPr>
      <w:r w:rsidRPr="007F530F">
        <w:lastRenderedPageBreak/>
        <w:t>Over the 10-year reference period, 39 charges received sentence types other than an immediate custodial order in 33 cases (2 female offenders and 31 male offenders), and they were all section 38 rape offences.</w:t>
      </w:r>
      <w:r w:rsidRPr="007F530F">
        <w:rPr>
          <w:rStyle w:val="Superscript"/>
        </w:rPr>
        <w:footnoteReference w:id="86"/>
      </w:r>
      <w:r w:rsidRPr="007F530F">
        <w:t xml:space="preserve"> Those sentences would no longer be possible following the classification of rape as a Category 1 offence (nor would the 19 combined orders of imprisonment and a community correction order (CCO)). Based on the sentencing remarks in some of the cases involving non-custodial outcomes, it would seem that at least some of those sentences were a direct result of the Court of Appeal’s guideline judgment in </w:t>
      </w:r>
      <w:r w:rsidRPr="00D62402">
        <w:rPr>
          <w:rStyle w:val="Emphasis"/>
        </w:rPr>
        <w:t>Boulton</w:t>
      </w:r>
      <w:r w:rsidRPr="007F530F">
        <w:t>,</w:t>
      </w:r>
      <w:r w:rsidRPr="007F530F">
        <w:rPr>
          <w:rStyle w:val="Superscript"/>
        </w:rPr>
        <w:footnoteReference w:id="87"/>
      </w:r>
      <w:r w:rsidRPr="007F530F">
        <w:t xml:space="preserve"> which left open the possibility of non-custodial sentences for some rape offences (see [2.3]). In turn, those cases were in part the catalyst for the introduction of Category 1 offence classification (see [2.4]).</w:t>
      </w:r>
    </w:p>
    <w:p w14:paraId="2E42BDA8" w14:textId="77777777" w:rsidR="00EF5C25" w:rsidRPr="007F530F" w:rsidRDefault="00EF5C25" w:rsidP="00CB18EF">
      <w:pPr>
        <w:pStyle w:val="Numbered"/>
      </w:pPr>
      <w:r w:rsidRPr="007F530F">
        <w:t xml:space="preserve">The introduction of a mandatory sentencing scheme to remedy this perceived issue, though, may also have some unintended consequences of imprisoning offenders whose offending falls at the lower end of objective seriousness and culpability for this type of offending. An analysis of available sentencing remarks suggests that in the cases in which a non-custodial order was not motivated by the comments in </w:t>
      </w:r>
      <w:r w:rsidRPr="00D62402">
        <w:rPr>
          <w:rStyle w:val="Emphasis"/>
        </w:rPr>
        <w:t>Boulton</w:t>
      </w:r>
      <w:r w:rsidRPr="007F530F">
        <w:t xml:space="preserve">, such orders were only imposed because of the exceptional circumstances of each case. Indeed, wholly suspended sentences were only available in cases of </w:t>
      </w:r>
      <w:r w:rsidRPr="007F530F">
        <w:lastRenderedPageBreak/>
        <w:t>‘exceptional circumstances’ when sentencing an offender for a serious offence such as rape,</w:t>
      </w:r>
      <w:r w:rsidRPr="007F530F">
        <w:rPr>
          <w:rStyle w:val="Superscript"/>
        </w:rPr>
        <w:footnoteReference w:id="88"/>
      </w:r>
      <w:r w:rsidRPr="007F530F">
        <w:t xml:space="preserve"> as illustrated in Case Study 1.</w:t>
      </w:r>
    </w:p>
    <w:p w14:paraId="51729BDD" w14:textId="77777777" w:rsidR="00EF5C25" w:rsidRPr="007F530F" w:rsidRDefault="00EF5C25" w:rsidP="00E0405E">
      <w:pPr>
        <w:pStyle w:val="Heading3"/>
      </w:pPr>
      <w:r w:rsidRPr="007F530F">
        <w:t>Case Study 1: wholly suspended sentence for rape</w:t>
      </w:r>
    </w:p>
    <w:p w14:paraId="34D25237" w14:textId="77777777" w:rsidR="00EF5C25" w:rsidRPr="007F530F" w:rsidRDefault="00EF5C25" w:rsidP="00315A0D">
      <w:r w:rsidRPr="007F530F">
        <w:t>The male offender and female victim had been married for over a decade. She was diagnosed with borderline personality disorder soon after they were married. They then had a child who died very young. Several years later, they had another child who, after a few years, was removed by the Department of Human Services because of the risk that the victim and her condition posed. Her condition deteriorated and her husband became the sole wage-earner as well as her carer.</w:t>
      </w:r>
    </w:p>
    <w:p w14:paraId="03A8D529" w14:textId="77777777" w:rsidR="00EF5C25" w:rsidRPr="007F530F" w:rsidRDefault="00EF5C25" w:rsidP="00315A0D">
      <w:r w:rsidRPr="007F530F">
        <w:t xml:space="preserve">A decade later, she indicated to the offender that she did not want to have sex, but he persisted on a number of occasions. When she reported to police, she said she needed help but did not necessarily want her husband charged. Police charged him with 4 counts of rape. When interviewed by police, he made full admissions. </w:t>
      </w:r>
    </w:p>
    <w:p w14:paraId="7F063CD0" w14:textId="77777777" w:rsidR="00EF5C25" w:rsidRPr="007F530F" w:rsidRDefault="00EF5C25" w:rsidP="00D05364">
      <w:pPr>
        <w:keepNext/>
      </w:pPr>
      <w:r w:rsidRPr="007F530F">
        <w:t>At sentencing, she supported him, as did her parents and siblings. He had no prior criminal history, he pleaded guilty early in the proceedings, and the offender and victim planned to continue their relationship. The legislation at the time only allowed a wholly suspended sentence if ‘exceptional circumstances’ were present, but the prosecution conceded that they were, and the court agreed. The court imposed a wholly suspended sentence of 3 years’ imprisonment.</w:t>
      </w:r>
    </w:p>
    <w:p w14:paraId="2D57FD3C" w14:textId="77777777" w:rsidR="00EF5C25" w:rsidRPr="007F530F" w:rsidRDefault="00EF5C25" w:rsidP="00D05364">
      <w:pPr>
        <w:jc w:val="right"/>
        <w:rPr>
          <w:rStyle w:val="Emphasis"/>
        </w:rPr>
      </w:pPr>
      <w:r w:rsidRPr="007F530F">
        <w:rPr>
          <w:rStyle w:val="Emphasis"/>
        </w:rPr>
        <w:t>Unpublished sentencing remarks provided to the Council</w:t>
      </w:r>
    </w:p>
    <w:p w14:paraId="239AC270" w14:textId="77777777" w:rsidR="00EF5C25" w:rsidRPr="007F530F" w:rsidRDefault="00EF5C25" w:rsidP="00CB18EF">
      <w:pPr>
        <w:pStyle w:val="Numbered"/>
      </w:pPr>
      <w:r w:rsidRPr="007F530F">
        <w:t xml:space="preserve">The same was true for most community orders imposed for rape offences; courts limited these to exceptional cases. For example, </w:t>
      </w:r>
      <w:r w:rsidRPr="007F530F">
        <w:lastRenderedPageBreak/>
        <w:t>one case involved a man residing in a psychiatric facility who had been diagnosed with Asperger syndrome, attention deficit hyperactivity disorder, obsessive compulsive disorder, Tourette syndrome and low intellectual functioning. He digitally penetrated a 61-year-old fellow female patient and put the penis of a 33-year-old fellow male patient into his mouth. The court commented that it did not see how he could cope in prison and that he was effectively already detained in a psychiatric facility.</w:t>
      </w:r>
      <w:r w:rsidRPr="007F530F">
        <w:rPr>
          <w:rStyle w:val="Superscript"/>
        </w:rPr>
        <w:footnoteReference w:id="89"/>
      </w:r>
      <w:r w:rsidRPr="007F530F">
        <w:t xml:space="preserve"> In another case, a 48-year-old offender with chronic adjustment disorder, anxiety and psychosexual immaturity digitally penetrated a 17-year-old co-worker during what he believed to be consensual sexual activity and, upon being told to stop, withdrew immediately. The offender lost his job of 30 years and had to sell his house. He had no prior convictions, pleaded guilty at the earliest opportunity, experienced a delay of 2.5 years in being charged for the offending, and had positive character evidence from a child he had previously fostered.</w:t>
      </w:r>
      <w:r w:rsidRPr="007F530F">
        <w:rPr>
          <w:rStyle w:val="Superscript"/>
        </w:rPr>
        <w:footnoteReference w:id="90"/>
      </w:r>
    </w:p>
    <w:p w14:paraId="0321FBC9" w14:textId="77777777" w:rsidR="00EF5C25" w:rsidRPr="007F530F" w:rsidRDefault="00EF5C25" w:rsidP="00E0405E">
      <w:pPr>
        <w:pStyle w:val="Heading3"/>
      </w:pPr>
      <w:r w:rsidRPr="007F530F">
        <w:t>Case Study 2: 12-year prison sentence for rape</w:t>
      </w:r>
    </w:p>
    <w:p w14:paraId="49C5113B" w14:textId="77777777" w:rsidR="00EF5C25" w:rsidRPr="007F530F" w:rsidRDefault="00EF5C25" w:rsidP="00315A0D">
      <w:r w:rsidRPr="007F530F">
        <w:t>The offender in this case had been in an on-off relationship with the victim since 2010, but the relationship ended in August 2014 when he assaulted her. The relationship was underpinned by ‘acts of physical violence and verbal abuse’. For the August 2014 assault, he was sentenced to a partially suspended sentence of 15 months. The new offending in this case began a few weeks after his release from prison.</w:t>
      </w:r>
    </w:p>
    <w:p w14:paraId="2832DBA7" w14:textId="77777777" w:rsidR="00EF5C25" w:rsidRPr="007F530F" w:rsidRDefault="00EF5C25" w:rsidP="00315A0D">
      <w:r w:rsidRPr="007F530F">
        <w:t xml:space="preserve">While visiting the residence where the victim was staying, he produced the brief of evidence against him in the previous case and ‘slapped [her] across the face with it’ (charge 1: common law assault). He then told her </w:t>
      </w:r>
      <w:r w:rsidRPr="007F530F">
        <w:lastRenderedPageBreak/>
        <w:t>that if she went to police again he would kill her (charge 2: make threat to kill). He then pulled down her pants and vaginally raped her (charge 3: rape), during which he placed a lit cigarette against the skin near her vagina (charge 4: intentionally causing injury). Shortly afterward, he anally raped her, after which ‘he was just laughing’ (charge 5: rape).</w:t>
      </w:r>
    </w:p>
    <w:p w14:paraId="422170A2" w14:textId="77777777" w:rsidR="00EF5C25" w:rsidRPr="007F530F" w:rsidRDefault="00EF5C25" w:rsidP="00315A0D">
      <w:r w:rsidRPr="007F530F">
        <w:t>At sentencing, the court said there was ‘little that can be said by way of mitigation’. He had not pleaded guilty and so was not entitled to any sentence discount. He showed no remorse, had a long list of prior convictions (including for rape and family violence), exploited the victim’s vulnerability, had poor prospects of rehabilitation, and was a high risk of reoffending.</w:t>
      </w:r>
    </w:p>
    <w:p w14:paraId="17EABDF6" w14:textId="77777777" w:rsidR="00EF5C25" w:rsidRPr="007F530F" w:rsidRDefault="00EF5C25" w:rsidP="00315A0D">
      <w:r w:rsidRPr="007F530F">
        <w:t>He received a total effective sentence of 21 years’ imprisonment with a non-parole period of 17 years, with the 12-year prison sentence for the charge of anal rape being the base sentence.</w:t>
      </w:r>
    </w:p>
    <w:p w14:paraId="2386484E" w14:textId="77777777" w:rsidR="00EF5C25" w:rsidRPr="007F530F" w:rsidRDefault="00EF5C25" w:rsidP="00EC775E">
      <w:pPr>
        <w:jc w:val="right"/>
      </w:pPr>
      <w:r w:rsidRPr="007F530F">
        <w:rPr>
          <w:rStyle w:val="Emphasis"/>
        </w:rPr>
        <w:t xml:space="preserve">DPP v Bolton </w:t>
      </w:r>
      <w:r w:rsidRPr="007F530F">
        <w:t>[2018] VCC 385 (22 March 2018)</w:t>
      </w:r>
    </w:p>
    <w:p w14:paraId="7190AC2E" w14:textId="77777777" w:rsidR="00EF5C25" w:rsidRPr="007F530F" w:rsidRDefault="00EF5C25" w:rsidP="006633AA">
      <w:pPr>
        <w:pStyle w:val="Heading2"/>
      </w:pPr>
      <w:r w:rsidRPr="007F530F">
        <w:t>How long were prison sentences for rape?</w:t>
      </w:r>
    </w:p>
    <w:p w14:paraId="562A445D" w14:textId="56F53E39" w:rsidR="00EF5C25" w:rsidRPr="007F530F" w:rsidRDefault="00EF5C25" w:rsidP="00CB18EF">
      <w:pPr>
        <w:pStyle w:val="Numbered"/>
      </w:pPr>
      <w:r w:rsidRPr="007F530F">
        <w:t xml:space="preserve">During the reference period, 875 non-aggregate sentences of imprisonment were imposed for charges of rape contrary to section 38 of the </w:t>
      </w:r>
      <w:r w:rsidRPr="00D62402">
        <w:rPr>
          <w:rStyle w:val="Emphasis"/>
        </w:rPr>
        <w:t>Crimes Act 1958</w:t>
      </w:r>
      <w:r w:rsidRPr="007F530F">
        <w:t xml:space="preserve"> (Vic).</w:t>
      </w:r>
      <w:r w:rsidRPr="007F530F">
        <w:rPr>
          <w:rStyle w:val="Superscript"/>
        </w:rPr>
        <w:footnoteReference w:id="91"/>
      </w:r>
      <w:r w:rsidRPr="007F530F">
        <w:t xml:space="preserve"> The yearly average prison sentence lengths for those charges are shown in Figure 7. The </w:t>
      </w:r>
      <w:r w:rsidRPr="00D62402">
        <w:rPr>
          <w:rStyle w:val="Emphasis"/>
        </w:rPr>
        <w:t>shortest</w:t>
      </w:r>
      <w:r w:rsidRPr="007F530F">
        <w:t xml:space="preserve"> prison sentence for a charge of rape was just over 1 month</w:t>
      </w:r>
      <w:r w:rsidRPr="007F530F">
        <w:rPr>
          <w:rStyle w:val="Superscript"/>
        </w:rPr>
        <w:footnoteReference w:id="92"/>
      </w:r>
      <w:r w:rsidRPr="007F530F">
        <w:t xml:space="preserve"> and the </w:t>
      </w:r>
      <w:r w:rsidRPr="00D62402">
        <w:rPr>
          <w:rStyle w:val="Emphasis"/>
        </w:rPr>
        <w:t xml:space="preserve">longest </w:t>
      </w:r>
      <w:r w:rsidRPr="007F530F">
        <w:t>was 15 years.</w:t>
      </w:r>
      <w:r w:rsidRPr="007F530F">
        <w:rPr>
          <w:rStyle w:val="Superscript"/>
        </w:rPr>
        <w:footnoteReference w:id="93"/>
      </w:r>
      <w:r w:rsidRPr="007F530F">
        <w:t xml:space="preserve"> However, the longest </w:t>
      </w:r>
      <w:r w:rsidRPr="007F530F">
        <w:lastRenderedPageBreak/>
        <w:t xml:space="preserve">prison sentence for a rape offence </w:t>
      </w:r>
      <w:r w:rsidRPr="00D62402">
        <w:rPr>
          <w:rStyle w:val="Emphasis"/>
        </w:rPr>
        <w:t xml:space="preserve">not </w:t>
      </w:r>
      <w:r w:rsidRPr="007F530F">
        <w:t>co-sentenced with a homicide offence was 12 years (see Case Study 2). The average prison sentence for rape was 5 years and 4 months. The gradual change in average prison sentences over the reference period was a statistically significant upward trend.</w:t>
      </w:r>
      <w:r w:rsidRPr="007F530F">
        <w:rPr>
          <w:rStyle w:val="Superscript"/>
        </w:rPr>
        <w:footnoteReference w:id="94"/>
      </w:r>
    </w:p>
    <w:p w14:paraId="7810C062" w14:textId="77777777" w:rsidR="004F562B" w:rsidRPr="007F530F" w:rsidRDefault="004F562B" w:rsidP="00D00197">
      <w:pPr>
        <w:pStyle w:val="Caption"/>
      </w:pPr>
      <w:r w:rsidRPr="00D00197">
        <w:t xml:space="preserve">Figure 7: </w:t>
      </w:r>
      <w:r w:rsidRPr="007F530F">
        <w:t xml:space="preserve">Average prison sentences (in years and months) imposed on charges of rape contrary to section 38 of the </w:t>
      </w:r>
      <w:r w:rsidRPr="00D931C5">
        <w:rPr>
          <w:rStyle w:val="Emphasis"/>
        </w:rPr>
        <w:t>Crimes Act 1958 (</w:t>
      </w:r>
      <w:r w:rsidRPr="007F530F">
        <w:t>Vic), by year (875 charges)</w:t>
      </w:r>
    </w:p>
    <w:tbl>
      <w:tblPr>
        <w:tblStyle w:val="Table"/>
        <w:tblW w:w="5000" w:type="pct"/>
        <w:tblLook w:val="04A0" w:firstRow="1" w:lastRow="0" w:firstColumn="1" w:lastColumn="0" w:noHBand="0" w:noVBand="1"/>
      </w:tblPr>
      <w:tblGrid>
        <w:gridCol w:w="5660"/>
        <w:gridCol w:w="3356"/>
      </w:tblGrid>
      <w:tr w:rsidR="00902EBF" w:rsidRPr="00E4564B" w14:paraId="21F231AE" w14:textId="77777777" w:rsidTr="00D41D7B">
        <w:trPr>
          <w:trHeight w:val="290"/>
        </w:trPr>
        <w:tc>
          <w:tcPr>
            <w:tcW w:w="3139" w:type="pct"/>
            <w:noWrap/>
            <w:hideMark/>
          </w:tcPr>
          <w:p w14:paraId="5BA934DD" w14:textId="77777777" w:rsidR="00902EBF" w:rsidRPr="00E4564B" w:rsidRDefault="00902EBF" w:rsidP="00B06EB0">
            <w:pPr>
              <w:pStyle w:val="TableHeading"/>
            </w:pPr>
            <w:r w:rsidRPr="00E4564B">
              <w:t>Number of charges sentenced</w:t>
            </w:r>
          </w:p>
        </w:tc>
        <w:tc>
          <w:tcPr>
            <w:tcW w:w="1861" w:type="pct"/>
          </w:tcPr>
          <w:p w14:paraId="0C404897" w14:textId="6861338D" w:rsidR="00902EBF" w:rsidRPr="00E4564B" w:rsidRDefault="00902EBF" w:rsidP="00B06EB0">
            <w:pPr>
              <w:pStyle w:val="TableHeading"/>
            </w:pPr>
            <w:r w:rsidRPr="00E4564B">
              <w:t>Average sentence</w:t>
            </w:r>
          </w:p>
        </w:tc>
      </w:tr>
      <w:tr w:rsidR="00902EBF" w:rsidRPr="00E4564B" w14:paraId="4D15DB9B" w14:textId="77777777" w:rsidTr="00D41D7B">
        <w:trPr>
          <w:trHeight w:val="290"/>
        </w:trPr>
        <w:tc>
          <w:tcPr>
            <w:tcW w:w="3139" w:type="pct"/>
            <w:noWrap/>
            <w:hideMark/>
          </w:tcPr>
          <w:p w14:paraId="636892C9" w14:textId="77777777" w:rsidR="00902EBF" w:rsidRPr="00E4564B" w:rsidRDefault="00902EBF" w:rsidP="00902EBF">
            <w:pPr>
              <w:pStyle w:val="TableBody"/>
            </w:pPr>
            <w:r w:rsidRPr="00E4564B">
              <w:t>85</w:t>
            </w:r>
          </w:p>
        </w:tc>
        <w:tc>
          <w:tcPr>
            <w:tcW w:w="1861" w:type="pct"/>
          </w:tcPr>
          <w:p w14:paraId="00EADBD9" w14:textId="7E9F5B2D" w:rsidR="00902EBF" w:rsidRPr="00E4564B" w:rsidRDefault="00902EBF" w:rsidP="00902EBF">
            <w:pPr>
              <w:pStyle w:val="TableBody"/>
            </w:pPr>
            <w:r w:rsidRPr="00E4564B">
              <w:t>4 years and 11 months</w:t>
            </w:r>
          </w:p>
        </w:tc>
      </w:tr>
      <w:tr w:rsidR="00902EBF" w:rsidRPr="00E4564B" w14:paraId="4A5B7FC4" w14:textId="77777777" w:rsidTr="00D41D7B">
        <w:trPr>
          <w:trHeight w:val="290"/>
        </w:trPr>
        <w:tc>
          <w:tcPr>
            <w:tcW w:w="3139" w:type="pct"/>
            <w:noWrap/>
            <w:hideMark/>
          </w:tcPr>
          <w:p w14:paraId="5A9698F5" w14:textId="77777777" w:rsidR="00902EBF" w:rsidRPr="00E4564B" w:rsidRDefault="00902EBF" w:rsidP="00902EBF">
            <w:pPr>
              <w:pStyle w:val="TableBody"/>
            </w:pPr>
            <w:r w:rsidRPr="00E4564B">
              <w:t>108</w:t>
            </w:r>
          </w:p>
        </w:tc>
        <w:tc>
          <w:tcPr>
            <w:tcW w:w="1861" w:type="pct"/>
          </w:tcPr>
          <w:p w14:paraId="3246EF3C" w14:textId="4279C1F0" w:rsidR="00902EBF" w:rsidRPr="00E4564B" w:rsidRDefault="00902EBF" w:rsidP="00902EBF">
            <w:pPr>
              <w:pStyle w:val="TableBody"/>
            </w:pPr>
            <w:r w:rsidRPr="00E4564B">
              <w:t>5 years and 2 months</w:t>
            </w:r>
          </w:p>
        </w:tc>
      </w:tr>
      <w:tr w:rsidR="00902EBF" w:rsidRPr="00E4564B" w14:paraId="0D506C0F" w14:textId="77777777" w:rsidTr="00D41D7B">
        <w:trPr>
          <w:trHeight w:val="290"/>
        </w:trPr>
        <w:tc>
          <w:tcPr>
            <w:tcW w:w="3139" w:type="pct"/>
            <w:noWrap/>
            <w:hideMark/>
          </w:tcPr>
          <w:p w14:paraId="3341608A" w14:textId="77777777" w:rsidR="00902EBF" w:rsidRPr="00E4564B" w:rsidRDefault="00902EBF" w:rsidP="00902EBF">
            <w:pPr>
              <w:pStyle w:val="TableBody"/>
            </w:pPr>
            <w:r w:rsidRPr="00E4564B">
              <w:t>67</w:t>
            </w:r>
          </w:p>
        </w:tc>
        <w:tc>
          <w:tcPr>
            <w:tcW w:w="1861" w:type="pct"/>
          </w:tcPr>
          <w:p w14:paraId="5845AAD8" w14:textId="5411DFF0" w:rsidR="00902EBF" w:rsidRPr="00E4564B" w:rsidRDefault="00902EBF" w:rsidP="00902EBF">
            <w:pPr>
              <w:pStyle w:val="TableBody"/>
            </w:pPr>
            <w:r w:rsidRPr="00E4564B">
              <w:t>4 years and 7 months</w:t>
            </w:r>
          </w:p>
        </w:tc>
      </w:tr>
      <w:tr w:rsidR="00902EBF" w:rsidRPr="00E4564B" w14:paraId="20817E11" w14:textId="77777777" w:rsidTr="00D41D7B">
        <w:trPr>
          <w:trHeight w:val="290"/>
        </w:trPr>
        <w:tc>
          <w:tcPr>
            <w:tcW w:w="3139" w:type="pct"/>
            <w:noWrap/>
            <w:hideMark/>
          </w:tcPr>
          <w:p w14:paraId="614E3AB0" w14:textId="77777777" w:rsidR="00902EBF" w:rsidRPr="00E4564B" w:rsidRDefault="00902EBF" w:rsidP="00902EBF">
            <w:pPr>
              <w:pStyle w:val="TableBody"/>
            </w:pPr>
            <w:r w:rsidRPr="00E4564B">
              <w:t>67</w:t>
            </w:r>
          </w:p>
        </w:tc>
        <w:tc>
          <w:tcPr>
            <w:tcW w:w="1861" w:type="pct"/>
          </w:tcPr>
          <w:p w14:paraId="4588C92C" w14:textId="4CC8EC87" w:rsidR="00902EBF" w:rsidRPr="00E4564B" w:rsidRDefault="00902EBF" w:rsidP="00902EBF">
            <w:pPr>
              <w:pStyle w:val="TableBody"/>
            </w:pPr>
            <w:r w:rsidRPr="00E4564B">
              <w:t>5 years and 5 months</w:t>
            </w:r>
          </w:p>
        </w:tc>
      </w:tr>
      <w:tr w:rsidR="00902EBF" w:rsidRPr="00E4564B" w14:paraId="69F236C6" w14:textId="77777777" w:rsidTr="00D41D7B">
        <w:trPr>
          <w:trHeight w:val="290"/>
        </w:trPr>
        <w:tc>
          <w:tcPr>
            <w:tcW w:w="3139" w:type="pct"/>
            <w:noWrap/>
            <w:hideMark/>
          </w:tcPr>
          <w:p w14:paraId="22CE0E1F" w14:textId="77777777" w:rsidR="00902EBF" w:rsidRPr="00E4564B" w:rsidRDefault="00902EBF" w:rsidP="00902EBF">
            <w:pPr>
              <w:pStyle w:val="TableBody"/>
            </w:pPr>
            <w:r w:rsidRPr="00E4564B">
              <w:t>105</w:t>
            </w:r>
          </w:p>
        </w:tc>
        <w:tc>
          <w:tcPr>
            <w:tcW w:w="1861" w:type="pct"/>
          </w:tcPr>
          <w:p w14:paraId="5E15821C" w14:textId="5326D7ED" w:rsidR="00902EBF" w:rsidRPr="00E4564B" w:rsidRDefault="00902EBF" w:rsidP="00902EBF">
            <w:pPr>
              <w:pStyle w:val="TableBody"/>
            </w:pPr>
            <w:r w:rsidRPr="00E4564B">
              <w:t>4 years and 10 months</w:t>
            </w:r>
          </w:p>
        </w:tc>
      </w:tr>
      <w:tr w:rsidR="00902EBF" w:rsidRPr="00E4564B" w14:paraId="004CD19F" w14:textId="77777777" w:rsidTr="00D41D7B">
        <w:trPr>
          <w:trHeight w:val="290"/>
        </w:trPr>
        <w:tc>
          <w:tcPr>
            <w:tcW w:w="3139" w:type="pct"/>
            <w:noWrap/>
            <w:hideMark/>
          </w:tcPr>
          <w:p w14:paraId="0C2C2DD0" w14:textId="77777777" w:rsidR="00902EBF" w:rsidRPr="00E4564B" w:rsidRDefault="00902EBF" w:rsidP="00902EBF">
            <w:pPr>
              <w:pStyle w:val="TableBody"/>
            </w:pPr>
            <w:r w:rsidRPr="00E4564B">
              <w:t>101</w:t>
            </w:r>
          </w:p>
        </w:tc>
        <w:tc>
          <w:tcPr>
            <w:tcW w:w="1861" w:type="pct"/>
          </w:tcPr>
          <w:p w14:paraId="385376B3" w14:textId="1436739F" w:rsidR="00902EBF" w:rsidRPr="00E4564B" w:rsidRDefault="00902EBF" w:rsidP="00902EBF">
            <w:pPr>
              <w:pStyle w:val="TableBody"/>
            </w:pPr>
            <w:r w:rsidRPr="00E4564B">
              <w:t>5 years and 1 month</w:t>
            </w:r>
          </w:p>
        </w:tc>
      </w:tr>
      <w:tr w:rsidR="00902EBF" w:rsidRPr="00E4564B" w14:paraId="3475526F" w14:textId="77777777" w:rsidTr="00D41D7B">
        <w:trPr>
          <w:trHeight w:val="290"/>
        </w:trPr>
        <w:tc>
          <w:tcPr>
            <w:tcW w:w="3139" w:type="pct"/>
            <w:noWrap/>
            <w:hideMark/>
          </w:tcPr>
          <w:p w14:paraId="1E1280FA" w14:textId="77777777" w:rsidR="00902EBF" w:rsidRPr="00E4564B" w:rsidRDefault="00902EBF" w:rsidP="00902EBF">
            <w:pPr>
              <w:pStyle w:val="TableBody"/>
            </w:pPr>
            <w:r w:rsidRPr="00E4564B">
              <w:t>69</w:t>
            </w:r>
          </w:p>
        </w:tc>
        <w:tc>
          <w:tcPr>
            <w:tcW w:w="1861" w:type="pct"/>
          </w:tcPr>
          <w:p w14:paraId="3BEDCD88" w14:textId="07FE4A0C" w:rsidR="00902EBF" w:rsidRPr="00E4564B" w:rsidRDefault="00902EBF" w:rsidP="00902EBF">
            <w:pPr>
              <w:pStyle w:val="TableBody"/>
            </w:pPr>
            <w:r w:rsidRPr="00E4564B">
              <w:t>5 years and 6 months</w:t>
            </w:r>
          </w:p>
        </w:tc>
      </w:tr>
      <w:tr w:rsidR="00902EBF" w:rsidRPr="00E4564B" w14:paraId="332F0E13" w14:textId="77777777" w:rsidTr="00D41D7B">
        <w:trPr>
          <w:trHeight w:val="290"/>
        </w:trPr>
        <w:tc>
          <w:tcPr>
            <w:tcW w:w="3139" w:type="pct"/>
            <w:noWrap/>
            <w:hideMark/>
          </w:tcPr>
          <w:p w14:paraId="13E82F3D" w14:textId="77777777" w:rsidR="00902EBF" w:rsidRPr="00E4564B" w:rsidRDefault="00902EBF" w:rsidP="00902EBF">
            <w:pPr>
              <w:pStyle w:val="TableBody"/>
            </w:pPr>
            <w:r w:rsidRPr="00E4564B">
              <w:t>86</w:t>
            </w:r>
          </w:p>
        </w:tc>
        <w:tc>
          <w:tcPr>
            <w:tcW w:w="1861" w:type="pct"/>
          </w:tcPr>
          <w:p w14:paraId="73BAC06C" w14:textId="416B5313" w:rsidR="00902EBF" w:rsidRPr="00E4564B" w:rsidRDefault="00902EBF" w:rsidP="00902EBF">
            <w:pPr>
              <w:pStyle w:val="TableBody"/>
            </w:pPr>
            <w:r w:rsidRPr="00E4564B">
              <w:t>6 years</w:t>
            </w:r>
          </w:p>
        </w:tc>
      </w:tr>
      <w:tr w:rsidR="00902EBF" w:rsidRPr="00E4564B" w14:paraId="70C51DB5" w14:textId="77777777" w:rsidTr="00D41D7B">
        <w:trPr>
          <w:trHeight w:val="290"/>
        </w:trPr>
        <w:tc>
          <w:tcPr>
            <w:tcW w:w="3139" w:type="pct"/>
            <w:noWrap/>
            <w:hideMark/>
          </w:tcPr>
          <w:p w14:paraId="2F3BC885" w14:textId="77777777" w:rsidR="00902EBF" w:rsidRPr="00E4564B" w:rsidRDefault="00902EBF" w:rsidP="00902EBF">
            <w:pPr>
              <w:pStyle w:val="TableBody"/>
            </w:pPr>
            <w:r w:rsidRPr="00E4564B">
              <w:t>92</w:t>
            </w:r>
          </w:p>
        </w:tc>
        <w:tc>
          <w:tcPr>
            <w:tcW w:w="1861" w:type="pct"/>
          </w:tcPr>
          <w:p w14:paraId="440A505A" w14:textId="4D5ED9E4" w:rsidR="00902EBF" w:rsidRPr="00E4564B" w:rsidRDefault="00902EBF" w:rsidP="00902EBF">
            <w:pPr>
              <w:pStyle w:val="TableBody"/>
            </w:pPr>
            <w:r w:rsidRPr="00E4564B">
              <w:t>6 years</w:t>
            </w:r>
          </w:p>
        </w:tc>
      </w:tr>
      <w:tr w:rsidR="00902EBF" w:rsidRPr="00E4564B" w14:paraId="05420C6B" w14:textId="77777777" w:rsidTr="00D41D7B">
        <w:trPr>
          <w:trHeight w:val="290"/>
        </w:trPr>
        <w:tc>
          <w:tcPr>
            <w:tcW w:w="3139" w:type="pct"/>
            <w:noWrap/>
            <w:hideMark/>
          </w:tcPr>
          <w:p w14:paraId="55118C2F" w14:textId="77777777" w:rsidR="00902EBF" w:rsidRPr="00E4564B" w:rsidRDefault="00902EBF" w:rsidP="00902EBF">
            <w:pPr>
              <w:pStyle w:val="TableBody"/>
            </w:pPr>
            <w:r w:rsidRPr="00E4564B">
              <w:t>95</w:t>
            </w:r>
          </w:p>
        </w:tc>
        <w:tc>
          <w:tcPr>
            <w:tcW w:w="1861" w:type="pct"/>
          </w:tcPr>
          <w:p w14:paraId="169F3BEF" w14:textId="4AD9DF70" w:rsidR="00902EBF" w:rsidRPr="00E4564B" w:rsidRDefault="00902EBF" w:rsidP="00902EBF">
            <w:pPr>
              <w:pStyle w:val="TableBody"/>
            </w:pPr>
            <w:r w:rsidRPr="00E4564B">
              <w:t>5 years and 11 months</w:t>
            </w:r>
          </w:p>
        </w:tc>
      </w:tr>
    </w:tbl>
    <w:p w14:paraId="2E8D941B" w14:textId="77777777" w:rsidR="00EF5C25" w:rsidRPr="007F530F" w:rsidRDefault="00EF5C25" w:rsidP="00CB18EF">
      <w:pPr>
        <w:pStyle w:val="Numbered"/>
      </w:pPr>
      <w:r w:rsidRPr="007F530F">
        <w:t>While the Court of Appeal has observed an increase in sentences for rape in recent years,</w:t>
      </w:r>
      <w:r w:rsidRPr="007F530F">
        <w:rPr>
          <w:rStyle w:val="Superscript"/>
        </w:rPr>
        <w:footnoteReference w:id="95"/>
      </w:r>
      <w:r w:rsidRPr="007F530F">
        <w:t xml:space="preserve"> it also describes that change as ‘incremental’.</w:t>
      </w:r>
      <w:r w:rsidRPr="007F530F">
        <w:rPr>
          <w:rStyle w:val="Superscript"/>
        </w:rPr>
        <w:footnoteReference w:id="96"/>
      </w:r>
      <w:r w:rsidRPr="007F530F">
        <w:t xml:space="preserve"> The highest average prison sentences for rape were in the 3 most recent years, and those figures suggest an approximate 12-month increase compared to the previous 7 years (and earlier</w:t>
      </w:r>
      <w:r w:rsidRPr="007F530F">
        <w:rPr>
          <w:rStyle w:val="Superscript"/>
        </w:rPr>
        <w:footnoteReference w:id="97"/>
      </w:r>
      <w:r w:rsidRPr="007F530F">
        <w:t xml:space="preserve">). It is not clear, however, whether that increase applied to all rape offences, or just to those involving </w:t>
      </w:r>
      <w:r w:rsidRPr="00D62402">
        <w:rPr>
          <w:rStyle w:val="Emphasis"/>
        </w:rPr>
        <w:t>digital</w:t>
      </w:r>
      <w:r w:rsidRPr="007F530F">
        <w:t xml:space="preserve"> rape, for which the Court of Appeal specifically called for an uplift in </w:t>
      </w:r>
      <w:r w:rsidRPr="007F530F">
        <w:lastRenderedPageBreak/>
        <w:t>2017.</w:t>
      </w:r>
      <w:r w:rsidRPr="007F530F">
        <w:rPr>
          <w:rStyle w:val="Superscript"/>
        </w:rPr>
        <w:footnoteReference w:id="98"/>
      </w:r>
      <w:r w:rsidRPr="007F530F">
        <w:t xml:space="preserve"> Otherwise, there has been no general call to increase all sentences for rape.</w:t>
      </w:r>
      <w:r w:rsidRPr="007F530F">
        <w:rPr>
          <w:rStyle w:val="Superscript"/>
        </w:rPr>
        <w:footnoteReference w:id="99"/>
      </w:r>
    </w:p>
    <w:p w14:paraId="08778E01" w14:textId="5EF2D057" w:rsidR="00EF5C25" w:rsidRPr="007F530F" w:rsidRDefault="00EF5C25" w:rsidP="00CB18EF">
      <w:pPr>
        <w:pStyle w:val="Numbered"/>
      </w:pPr>
      <w:r w:rsidRPr="007F530F">
        <w:t>There were 395 cases in which the principal proven offence was a section 38 rape charge and the offender received a prison sentence. The yearly average total effective sentence length is shown in Figure 8.</w:t>
      </w:r>
      <w:r w:rsidRPr="007F530F">
        <w:rPr>
          <w:rStyle w:val="Superscript"/>
        </w:rPr>
        <w:footnoteReference w:id="100"/>
      </w:r>
      <w:r w:rsidRPr="007F530F">
        <w:t xml:space="preserve"> The longest average total effective sentences were imposed in 2017, 2018 and 2019, similar to the average durations of charge-level prison sentences for rape in Figure 7. The increase is, however, less significant at the case level,</w:t>
      </w:r>
      <w:r w:rsidRPr="007F530F">
        <w:rPr>
          <w:rStyle w:val="Superscript"/>
        </w:rPr>
        <w:footnoteReference w:id="101"/>
      </w:r>
      <w:r w:rsidRPr="007F530F">
        <w:t xml:space="preserve"> and again this may be due to the specific call to increase sentences for digital rape (which is not discernible in the data in this report). Over the reference period, the average total effective sentence was 7 years and 2 months.</w:t>
      </w:r>
    </w:p>
    <w:p w14:paraId="050591CC" w14:textId="77777777" w:rsidR="00CC34EE" w:rsidRPr="007F530F" w:rsidRDefault="00CC34EE" w:rsidP="00D00197">
      <w:pPr>
        <w:pStyle w:val="Caption"/>
      </w:pPr>
      <w:r w:rsidRPr="00D00197">
        <w:t>Figure 8:</w:t>
      </w:r>
      <w:r w:rsidRPr="007F530F">
        <w:t xml:space="preserve"> Average total effective sentence (in years and months) in cases involving rape contrary to section 38 of the </w:t>
      </w:r>
      <w:r w:rsidRPr="00D931C5">
        <w:rPr>
          <w:rStyle w:val="Emphasis"/>
        </w:rPr>
        <w:t>Crimes Act 1958</w:t>
      </w:r>
      <w:r w:rsidRPr="007F530F">
        <w:t xml:space="preserve"> (Vic) as the principal proven offence, by year (395 cases)</w:t>
      </w:r>
    </w:p>
    <w:tbl>
      <w:tblPr>
        <w:tblStyle w:val="Table"/>
        <w:tblW w:w="5000" w:type="pct"/>
        <w:tblLook w:val="04A0" w:firstRow="1" w:lastRow="0" w:firstColumn="1" w:lastColumn="0" w:noHBand="0" w:noVBand="1"/>
      </w:tblPr>
      <w:tblGrid>
        <w:gridCol w:w="5750"/>
        <w:gridCol w:w="3266"/>
      </w:tblGrid>
      <w:tr w:rsidR="00510B69" w:rsidRPr="0046770A" w14:paraId="51A05921" w14:textId="77777777" w:rsidTr="00695846">
        <w:trPr>
          <w:trHeight w:val="290"/>
          <w:tblHeader/>
        </w:trPr>
        <w:tc>
          <w:tcPr>
            <w:tcW w:w="3189" w:type="pct"/>
            <w:noWrap/>
            <w:hideMark/>
          </w:tcPr>
          <w:p w14:paraId="79EC8F4B" w14:textId="77777777" w:rsidR="00510B69" w:rsidRPr="0046770A" w:rsidRDefault="00510B69" w:rsidP="00DA077F">
            <w:pPr>
              <w:pStyle w:val="TableHeading"/>
            </w:pPr>
            <w:r w:rsidRPr="0046770A">
              <w:t>Number of cases sentenced</w:t>
            </w:r>
          </w:p>
        </w:tc>
        <w:tc>
          <w:tcPr>
            <w:tcW w:w="1811" w:type="pct"/>
            <w:noWrap/>
            <w:hideMark/>
          </w:tcPr>
          <w:p w14:paraId="3736EFF5" w14:textId="7BA0C388" w:rsidR="00510B69" w:rsidRPr="0046770A" w:rsidRDefault="00510B69" w:rsidP="00DA077F">
            <w:pPr>
              <w:pStyle w:val="TableHeading"/>
              <w:rPr>
                <w:rFonts w:ascii="Times New Roman" w:hAnsi="Times New Roman"/>
                <w:szCs w:val="20"/>
              </w:rPr>
            </w:pPr>
            <w:r w:rsidRPr="0046770A">
              <w:t>Average sentence</w:t>
            </w:r>
          </w:p>
        </w:tc>
      </w:tr>
      <w:tr w:rsidR="00510B69" w:rsidRPr="0046770A" w14:paraId="7BDE8438" w14:textId="77777777" w:rsidTr="00054913">
        <w:trPr>
          <w:trHeight w:val="290"/>
        </w:trPr>
        <w:tc>
          <w:tcPr>
            <w:tcW w:w="3189" w:type="pct"/>
            <w:noWrap/>
            <w:hideMark/>
          </w:tcPr>
          <w:p w14:paraId="0F8819A3" w14:textId="77777777" w:rsidR="00510B69" w:rsidRPr="0046770A" w:rsidRDefault="00510B69" w:rsidP="00DA077F">
            <w:pPr>
              <w:pStyle w:val="TableBody"/>
            </w:pPr>
            <w:r w:rsidRPr="0046770A">
              <w:t>37</w:t>
            </w:r>
          </w:p>
        </w:tc>
        <w:tc>
          <w:tcPr>
            <w:tcW w:w="1811" w:type="pct"/>
            <w:noWrap/>
            <w:hideMark/>
          </w:tcPr>
          <w:p w14:paraId="3F996C5A" w14:textId="59892D59" w:rsidR="00510B69" w:rsidRPr="0046770A" w:rsidRDefault="00510B69" w:rsidP="00DA077F">
            <w:pPr>
              <w:pStyle w:val="TableBody"/>
            </w:pPr>
            <w:r w:rsidRPr="0046770A">
              <w:t>7 years and 1 month</w:t>
            </w:r>
          </w:p>
        </w:tc>
      </w:tr>
      <w:tr w:rsidR="00510B69" w:rsidRPr="0046770A" w14:paraId="5F249EE8" w14:textId="77777777" w:rsidTr="00054913">
        <w:trPr>
          <w:trHeight w:val="290"/>
        </w:trPr>
        <w:tc>
          <w:tcPr>
            <w:tcW w:w="3189" w:type="pct"/>
            <w:noWrap/>
            <w:hideMark/>
          </w:tcPr>
          <w:p w14:paraId="22835C25" w14:textId="77777777" w:rsidR="00510B69" w:rsidRPr="0046770A" w:rsidRDefault="00510B69" w:rsidP="00DA077F">
            <w:pPr>
              <w:pStyle w:val="TableBody"/>
            </w:pPr>
            <w:r w:rsidRPr="0046770A">
              <w:t>51</w:t>
            </w:r>
          </w:p>
        </w:tc>
        <w:tc>
          <w:tcPr>
            <w:tcW w:w="1811" w:type="pct"/>
            <w:noWrap/>
            <w:hideMark/>
          </w:tcPr>
          <w:p w14:paraId="37E4C9F5" w14:textId="7E9D99E0" w:rsidR="00510B69" w:rsidRPr="0046770A" w:rsidRDefault="00510B69" w:rsidP="00DA077F">
            <w:pPr>
              <w:pStyle w:val="TableBody"/>
            </w:pPr>
            <w:r w:rsidRPr="0046770A">
              <w:t>7 years and 1 month</w:t>
            </w:r>
          </w:p>
        </w:tc>
      </w:tr>
      <w:tr w:rsidR="00510B69" w:rsidRPr="0046770A" w14:paraId="396AEDA7" w14:textId="77777777" w:rsidTr="00054913">
        <w:trPr>
          <w:trHeight w:val="290"/>
        </w:trPr>
        <w:tc>
          <w:tcPr>
            <w:tcW w:w="3189" w:type="pct"/>
            <w:noWrap/>
            <w:hideMark/>
          </w:tcPr>
          <w:p w14:paraId="1AF1217F" w14:textId="77777777" w:rsidR="00510B69" w:rsidRPr="0046770A" w:rsidRDefault="00510B69" w:rsidP="00DA077F">
            <w:pPr>
              <w:pStyle w:val="TableBody"/>
            </w:pPr>
            <w:r w:rsidRPr="0046770A">
              <w:t>33</w:t>
            </w:r>
          </w:p>
        </w:tc>
        <w:tc>
          <w:tcPr>
            <w:tcW w:w="1811" w:type="pct"/>
            <w:noWrap/>
            <w:hideMark/>
          </w:tcPr>
          <w:p w14:paraId="0E8257B2" w14:textId="7F2531D0" w:rsidR="00510B69" w:rsidRPr="0046770A" w:rsidRDefault="00510B69" w:rsidP="00DA077F">
            <w:pPr>
              <w:pStyle w:val="TableBody"/>
            </w:pPr>
            <w:r w:rsidRPr="0046770A">
              <w:t>6 years and 5 months</w:t>
            </w:r>
          </w:p>
        </w:tc>
      </w:tr>
      <w:tr w:rsidR="00510B69" w:rsidRPr="0046770A" w14:paraId="0465DA2D" w14:textId="77777777" w:rsidTr="00054913">
        <w:trPr>
          <w:trHeight w:val="290"/>
        </w:trPr>
        <w:tc>
          <w:tcPr>
            <w:tcW w:w="3189" w:type="pct"/>
            <w:noWrap/>
            <w:hideMark/>
          </w:tcPr>
          <w:p w14:paraId="562BFD07" w14:textId="77777777" w:rsidR="00510B69" w:rsidRPr="0046770A" w:rsidRDefault="00510B69" w:rsidP="00DA077F">
            <w:pPr>
              <w:pStyle w:val="TableBody"/>
            </w:pPr>
            <w:r w:rsidRPr="0046770A">
              <w:t>30</w:t>
            </w:r>
          </w:p>
        </w:tc>
        <w:tc>
          <w:tcPr>
            <w:tcW w:w="1811" w:type="pct"/>
            <w:noWrap/>
            <w:hideMark/>
          </w:tcPr>
          <w:p w14:paraId="391F64AC" w14:textId="50F4FA1D" w:rsidR="00510B69" w:rsidRPr="0046770A" w:rsidRDefault="00510B69" w:rsidP="00DA077F">
            <w:pPr>
              <w:pStyle w:val="TableBody"/>
            </w:pPr>
            <w:r w:rsidRPr="0046770A">
              <w:t>7 years and 6 months</w:t>
            </w:r>
          </w:p>
        </w:tc>
      </w:tr>
      <w:tr w:rsidR="00510B69" w:rsidRPr="0046770A" w14:paraId="3F2CE37F" w14:textId="77777777" w:rsidTr="00054913">
        <w:trPr>
          <w:trHeight w:val="290"/>
        </w:trPr>
        <w:tc>
          <w:tcPr>
            <w:tcW w:w="3189" w:type="pct"/>
            <w:noWrap/>
            <w:hideMark/>
          </w:tcPr>
          <w:p w14:paraId="526FB2F5" w14:textId="77777777" w:rsidR="00510B69" w:rsidRPr="0046770A" w:rsidRDefault="00510B69" w:rsidP="00DA077F">
            <w:pPr>
              <w:pStyle w:val="TableBody"/>
            </w:pPr>
            <w:r w:rsidRPr="0046770A">
              <w:t>43</w:t>
            </w:r>
          </w:p>
        </w:tc>
        <w:tc>
          <w:tcPr>
            <w:tcW w:w="1811" w:type="pct"/>
            <w:noWrap/>
            <w:hideMark/>
          </w:tcPr>
          <w:p w14:paraId="2F788FAE" w14:textId="612C069F" w:rsidR="00510B69" w:rsidRPr="0046770A" w:rsidRDefault="00510B69" w:rsidP="00DA077F">
            <w:pPr>
              <w:pStyle w:val="TableBody"/>
            </w:pPr>
            <w:r w:rsidRPr="0046770A">
              <w:t>7 years and 3 months</w:t>
            </w:r>
          </w:p>
        </w:tc>
      </w:tr>
      <w:tr w:rsidR="00510B69" w:rsidRPr="0046770A" w14:paraId="66A6F2CF" w14:textId="77777777" w:rsidTr="00054913">
        <w:trPr>
          <w:trHeight w:val="290"/>
        </w:trPr>
        <w:tc>
          <w:tcPr>
            <w:tcW w:w="3189" w:type="pct"/>
            <w:noWrap/>
            <w:hideMark/>
          </w:tcPr>
          <w:p w14:paraId="38205E72" w14:textId="77777777" w:rsidR="00510B69" w:rsidRPr="0046770A" w:rsidRDefault="00510B69" w:rsidP="00DA077F">
            <w:pPr>
              <w:pStyle w:val="TableBody"/>
            </w:pPr>
            <w:r w:rsidRPr="0046770A">
              <w:t>40</w:t>
            </w:r>
          </w:p>
        </w:tc>
        <w:tc>
          <w:tcPr>
            <w:tcW w:w="1811" w:type="pct"/>
            <w:noWrap/>
            <w:hideMark/>
          </w:tcPr>
          <w:p w14:paraId="33232749" w14:textId="7106E4AA" w:rsidR="00510B69" w:rsidRPr="0046770A" w:rsidRDefault="00510B69" w:rsidP="00DA077F">
            <w:pPr>
              <w:pStyle w:val="TableBody"/>
            </w:pPr>
            <w:r w:rsidRPr="0046770A">
              <w:t>6 years and 6 months</w:t>
            </w:r>
          </w:p>
        </w:tc>
      </w:tr>
      <w:tr w:rsidR="00510B69" w:rsidRPr="0046770A" w14:paraId="498638FA" w14:textId="77777777" w:rsidTr="00054913">
        <w:trPr>
          <w:trHeight w:val="290"/>
        </w:trPr>
        <w:tc>
          <w:tcPr>
            <w:tcW w:w="3189" w:type="pct"/>
            <w:noWrap/>
            <w:hideMark/>
          </w:tcPr>
          <w:p w14:paraId="2DBDE07E" w14:textId="77777777" w:rsidR="00510B69" w:rsidRPr="0046770A" w:rsidRDefault="00510B69" w:rsidP="00DA077F">
            <w:pPr>
              <w:pStyle w:val="TableBody"/>
            </w:pPr>
            <w:r w:rsidRPr="0046770A">
              <w:lastRenderedPageBreak/>
              <w:t>41</w:t>
            </w:r>
          </w:p>
        </w:tc>
        <w:tc>
          <w:tcPr>
            <w:tcW w:w="1811" w:type="pct"/>
            <w:noWrap/>
            <w:hideMark/>
          </w:tcPr>
          <w:p w14:paraId="050FC85D" w14:textId="064EC826" w:rsidR="00510B69" w:rsidRPr="0046770A" w:rsidRDefault="00510B69" w:rsidP="00DA077F">
            <w:pPr>
              <w:pStyle w:val="TableBody"/>
              <w:rPr>
                <w:rFonts w:ascii="Times New Roman" w:hAnsi="Times New Roman"/>
                <w:szCs w:val="20"/>
              </w:rPr>
            </w:pPr>
            <w:r w:rsidRPr="0046770A">
              <w:t>6 years</w:t>
            </w:r>
          </w:p>
        </w:tc>
      </w:tr>
      <w:tr w:rsidR="00510B69" w:rsidRPr="0046770A" w14:paraId="370710DC" w14:textId="77777777" w:rsidTr="00054913">
        <w:trPr>
          <w:trHeight w:val="290"/>
        </w:trPr>
        <w:tc>
          <w:tcPr>
            <w:tcW w:w="3189" w:type="pct"/>
            <w:noWrap/>
            <w:hideMark/>
          </w:tcPr>
          <w:p w14:paraId="3D44BA91" w14:textId="77777777" w:rsidR="00510B69" w:rsidRPr="0046770A" w:rsidRDefault="00510B69" w:rsidP="00DA077F">
            <w:pPr>
              <w:pStyle w:val="TableBody"/>
            </w:pPr>
            <w:r w:rsidRPr="0046770A">
              <w:t>34</w:t>
            </w:r>
          </w:p>
        </w:tc>
        <w:tc>
          <w:tcPr>
            <w:tcW w:w="1811" w:type="pct"/>
            <w:noWrap/>
            <w:hideMark/>
          </w:tcPr>
          <w:p w14:paraId="2FD26F5D" w14:textId="1D85B7A3" w:rsidR="00510B69" w:rsidRPr="0046770A" w:rsidRDefault="00510B69" w:rsidP="00DA077F">
            <w:pPr>
              <w:pStyle w:val="TableBody"/>
            </w:pPr>
            <w:r w:rsidRPr="0046770A">
              <w:t>7 years and 9 months</w:t>
            </w:r>
          </w:p>
        </w:tc>
      </w:tr>
      <w:tr w:rsidR="00510B69" w:rsidRPr="0046770A" w14:paraId="35FFECD2" w14:textId="77777777" w:rsidTr="00054913">
        <w:trPr>
          <w:trHeight w:val="290"/>
        </w:trPr>
        <w:tc>
          <w:tcPr>
            <w:tcW w:w="3189" w:type="pct"/>
            <w:noWrap/>
            <w:hideMark/>
          </w:tcPr>
          <w:p w14:paraId="251EAC1A" w14:textId="77777777" w:rsidR="00510B69" w:rsidRPr="0046770A" w:rsidRDefault="00510B69" w:rsidP="00DA077F">
            <w:pPr>
              <w:pStyle w:val="TableBody"/>
            </w:pPr>
            <w:r w:rsidRPr="0046770A">
              <w:t>44</w:t>
            </w:r>
          </w:p>
        </w:tc>
        <w:tc>
          <w:tcPr>
            <w:tcW w:w="1811" w:type="pct"/>
            <w:noWrap/>
            <w:hideMark/>
          </w:tcPr>
          <w:p w14:paraId="3D02F864" w14:textId="2DE29E04" w:rsidR="00510B69" w:rsidRPr="0046770A" w:rsidRDefault="00510B69" w:rsidP="00DA077F">
            <w:pPr>
              <w:pStyle w:val="TableBody"/>
            </w:pPr>
            <w:r w:rsidRPr="0046770A">
              <w:t>8 years and 4 months</w:t>
            </w:r>
          </w:p>
        </w:tc>
      </w:tr>
      <w:tr w:rsidR="00510B69" w:rsidRPr="0046770A" w14:paraId="03421251" w14:textId="77777777" w:rsidTr="00054913">
        <w:trPr>
          <w:trHeight w:val="290"/>
        </w:trPr>
        <w:tc>
          <w:tcPr>
            <w:tcW w:w="3189" w:type="pct"/>
            <w:noWrap/>
            <w:hideMark/>
          </w:tcPr>
          <w:p w14:paraId="362CFB9F" w14:textId="77777777" w:rsidR="00510B69" w:rsidRPr="0046770A" w:rsidRDefault="00510B69" w:rsidP="00DA077F">
            <w:pPr>
              <w:pStyle w:val="TableBody"/>
            </w:pPr>
            <w:r w:rsidRPr="0046770A">
              <w:t>42</w:t>
            </w:r>
          </w:p>
        </w:tc>
        <w:tc>
          <w:tcPr>
            <w:tcW w:w="1811" w:type="pct"/>
            <w:noWrap/>
            <w:hideMark/>
          </w:tcPr>
          <w:p w14:paraId="1AA9E850" w14:textId="69D4C2F6" w:rsidR="00510B69" w:rsidRPr="0046770A" w:rsidRDefault="00510B69" w:rsidP="00DA077F">
            <w:pPr>
              <w:pStyle w:val="TableBody"/>
            </w:pPr>
            <w:r w:rsidRPr="0046770A">
              <w:t>7 years and 9 months</w:t>
            </w:r>
          </w:p>
        </w:tc>
      </w:tr>
    </w:tbl>
    <w:p w14:paraId="6D8F66B2" w14:textId="77777777" w:rsidR="00EF5C25" w:rsidRPr="007F530F" w:rsidRDefault="00EF5C25" w:rsidP="006633AA">
      <w:pPr>
        <w:pStyle w:val="Heading3"/>
      </w:pPr>
      <w:r w:rsidRPr="007F530F">
        <w:t>Section 38 rape as a standard sentence offence</w:t>
      </w:r>
    </w:p>
    <w:p w14:paraId="3163AC8E" w14:textId="77777777" w:rsidR="00EF5C25" w:rsidRPr="007F530F" w:rsidRDefault="00EF5C25" w:rsidP="00CB18EF">
      <w:pPr>
        <w:pStyle w:val="Numbered"/>
      </w:pPr>
      <w:r w:rsidRPr="007F530F">
        <w:t>The standard sentence for rape is 10 years. The first rape offence to attract standard sentence offence classification was sentenced in February 2019</w:t>
      </w:r>
      <w:r w:rsidRPr="007F530F">
        <w:rPr>
          <w:rStyle w:val="Superscript"/>
        </w:rPr>
        <w:footnoteReference w:id="102"/>
      </w:r>
      <w:r w:rsidRPr="007F530F">
        <w:t xml:space="preserve"> (it was also the first standard sentence case for any category of contact sex offence). Of the 95 non-aggregate sentences of imprisonment imposed in 2019 for section 38 rape offences, 18 were for standard sentence offences, 75 were not, and the offence date was not known for 2 charges. The average prison sentence for the 18 charges classified as standard sentence offences was 18%, or 12 months higher (6 years and 8 months) than charges that were non-standard sentence offences (5 years and 8 months).</w:t>
      </w:r>
      <w:r w:rsidRPr="007F530F">
        <w:rPr>
          <w:rStyle w:val="Superscript"/>
        </w:rPr>
        <w:footnoteReference w:id="103"/>
      </w:r>
    </w:p>
    <w:p w14:paraId="57DFA105" w14:textId="66E31786" w:rsidR="00EF5C25" w:rsidRDefault="00EF5C25" w:rsidP="00CB18EF">
      <w:pPr>
        <w:pStyle w:val="Numbered"/>
      </w:pPr>
      <w:r w:rsidRPr="007F530F">
        <w:t>While the Court of Appeal has described the 10-year standard sentence for rape as evincing ‘Parliament’s intent to increase overall sentences for rape’,</w:t>
      </w:r>
      <w:r w:rsidRPr="007F530F">
        <w:rPr>
          <w:rStyle w:val="Superscript"/>
        </w:rPr>
        <w:footnoteReference w:id="104"/>
      </w:r>
      <w:r w:rsidRPr="007F530F">
        <w:t xml:space="preserve"> it has also cautioned against treating it as a ‘starting point’. It emphasised that the standard sentence does not alter a court’s obligation to assess the overall seriousness of the offence by reference to the nature of the offending, which remains a ‘necessary part of the process of instinctive synthesis </w:t>
      </w:r>
      <w:r w:rsidRPr="007F530F">
        <w:lastRenderedPageBreak/>
        <w:t>and is not constrained by the legislative definition of “objective factors”’.</w:t>
      </w:r>
      <w:r w:rsidRPr="007F530F">
        <w:rPr>
          <w:rStyle w:val="Superscript"/>
        </w:rPr>
        <w:footnoteReference w:id="105"/>
      </w:r>
      <w:r w:rsidRPr="007F530F">
        <w:t xml:space="preserve"> Accordingly, it also ‘does not in any way diminish the importance of giving proper weight to relevant mitigating factors’.</w:t>
      </w:r>
      <w:r w:rsidRPr="007F530F">
        <w:rPr>
          <w:rStyle w:val="Superscript"/>
        </w:rPr>
        <w:footnoteReference w:id="106"/>
      </w:r>
    </w:p>
    <w:p w14:paraId="30DAF30D" w14:textId="77777777" w:rsidR="002B318F" w:rsidRPr="008873F4" w:rsidRDefault="002B318F" w:rsidP="00F63217">
      <w:pPr>
        <w:keepNext/>
        <w:keepLines/>
        <w:pBdr>
          <w:top w:val="single" w:sz="4" w:space="1" w:color="auto"/>
          <w:left w:val="single" w:sz="4" w:space="4" w:color="auto"/>
          <w:bottom w:val="single" w:sz="4" w:space="1" w:color="auto"/>
          <w:right w:val="single" w:sz="4" w:space="4" w:color="auto"/>
        </w:pBdr>
      </w:pPr>
      <w:r w:rsidRPr="008873F4">
        <w:t>Average prison sentence imposed for rape (section 38) in the higher courts in 2019</w:t>
      </w:r>
    </w:p>
    <w:p w14:paraId="5AAB16C8" w14:textId="4088D1EC" w:rsidR="002B318F" w:rsidRPr="008873F4" w:rsidRDefault="002B318F" w:rsidP="00F63217">
      <w:pPr>
        <w:keepNext/>
        <w:keepLines/>
        <w:pBdr>
          <w:top w:val="single" w:sz="4" w:space="1" w:color="auto"/>
          <w:left w:val="single" w:sz="4" w:space="4" w:color="auto"/>
          <w:bottom w:val="single" w:sz="4" w:space="1" w:color="auto"/>
          <w:right w:val="single" w:sz="4" w:space="4" w:color="auto"/>
        </w:pBdr>
      </w:pPr>
      <w:r w:rsidRPr="008873F4">
        <w:t>Standard sentence offence (18 offences):</w:t>
      </w:r>
      <w:r w:rsidR="009F75CB" w:rsidRPr="008873F4">
        <w:t xml:space="preserve"> </w:t>
      </w:r>
      <w:r w:rsidRPr="008873F4">
        <w:t>6 years and 8 months</w:t>
      </w:r>
    </w:p>
    <w:p w14:paraId="7095E76C" w14:textId="39301E5E" w:rsidR="002B318F" w:rsidRPr="008873F4" w:rsidRDefault="002B318F" w:rsidP="00F63217">
      <w:pPr>
        <w:keepNext/>
        <w:keepLines/>
        <w:pBdr>
          <w:top w:val="single" w:sz="4" w:space="1" w:color="auto"/>
          <w:left w:val="single" w:sz="4" w:space="4" w:color="auto"/>
          <w:bottom w:val="single" w:sz="4" w:space="1" w:color="auto"/>
          <w:right w:val="single" w:sz="4" w:space="4" w:color="auto"/>
        </w:pBdr>
      </w:pPr>
      <w:r w:rsidRPr="008873F4">
        <w:t>Non-standard sentence offence (75 offences):</w:t>
      </w:r>
      <w:r w:rsidR="009F75CB" w:rsidRPr="008873F4">
        <w:t xml:space="preserve"> </w:t>
      </w:r>
      <w:r w:rsidRPr="008873F4">
        <w:t>5 years and 8 months</w:t>
      </w:r>
    </w:p>
    <w:p w14:paraId="39312A10" w14:textId="77777777" w:rsidR="00EF5C25" w:rsidRPr="007F530F" w:rsidRDefault="00EF5C25" w:rsidP="00CB18EF">
      <w:pPr>
        <w:pStyle w:val="Numbered"/>
      </w:pPr>
      <w:r w:rsidRPr="007F530F">
        <w:t xml:space="preserve">Section 5B(5) of the </w:t>
      </w:r>
      <w:r w:rsidRPr="00D62402">
        <w:rPr>
          <w:rStyle w:val="Emphasis"/>
        </w:rPr>
        <w:t xml:space="preserve">Sentencing Act 1991 </w:t>
      </w:r>
      <w:r w:rsidRPr="007F530F">
        <w:t>(Vic) requires courts not only to have regard to the standard sentence for an offence but also to ‘explain how the sentence imposed by it relates to that standard sentence’. The Court of Appeal has clarified that this is not, however, a requirement to ‘classify the subject offence on a scale of seriousness referable to the hypothesised mid-range offence’ because doing so would impute a form of two-step reasoning to the sentencing process, which is impermissible.</w:t>
      </w:r>
      <w:r w:rsidRPr="007F530F">
        <w:rPr>
          <w:rStyle w:val="Superscript"/>
        </w:rPr>
        <w:footnoteReference w:id="107"/>
      </w:r>
      <w:r w:rsidRPr="007F530F">
        <w:t xml:space="preserve"> In complying with the requirement to state how a sentence for a proven charge of rape relates to the relevant standard sentence, then, courts have tended to simply mention whether the sentence falls above or below the standard sentence in light of the various factors taken into account during the instinctive synthesis process. For example:</w:t>
      </w:r>
    </w:p>
    <w:p w14:paraId="2E277B36" w14:textId="77777777" w:rsidR="00EF5C25" w:rsidRPr="007F530F" w:rsidRDefault="00EF5C25" w:rsidP="005E5687">
      <w:pPr>
        <w:pStyle w:val="Quote"/>
      </w:pPr>
      <w:r w:rsidRPr="007F530F">
        <w:t xml:space="preserve">[t]he sentence I impose in respect of the [rape] charge is lower than the standard sentence. Having identified and considered the relevant factors in assessing sentence, including the standard sentence, the </w:t>
      </w:r>
      <w:r w:rsidRPr="007F530F">
        <w:lastRenderedPageBreak/>
        <w:t>objective seriousness of the offending and matters available in mitigation, this is the sentence I have determined to be appropriate.</w:t>
      </w:r>
      <w:r w:rsidRPr="007F530F">
        <w:rPr>
          <w:rStyle w:val="Superscript"/>
        </w:rPr>
        <w:footnoteReference w:id="108"/>
      </w:r>
    </w:p>
    <w:p w14:paraId="3BAE8076" w14:textId="77777777" w:rsidR="00EF5C25" w:rsidRPr="007F530F" w:rsidRDefault="00EF5C25" w:rsidP="00CB18EF">
      <w:pPr>
        <w:pStyle w:val="Numbered"/>
      </w:pPr>
      <w:r w:rsidRPr="007F530F">
        <w:t xml:space="preserve">There were, though, also cases in which courts specifically elucidated why the sentence fell above or below the standard sentence for rape. In the few cases in which the sentence was higher than the standard sentence, the offending was typically described as falling in the middle to upper range of objective seriousness and involved comparatively few mitigating factors: </w:t>
      </w:r>
    </w:p>
    <w:p w14:paraId="30831166" w14:textId="77777777" w:rsidR="00EF5C25" w:rsidRPr="007F530F" w:rsidRDefault="00EF5C25" w:rsidP="005E5687">
      <w:pPr>
        <w:pStyle w:val="Quote"/>
      </w:pPr>
      <w:r w:rsidRPr="007F530F">
        <w:t>The sentence that I intend to impose in respect of each of the charges of rape is higher than the standard sentence. I do that because having identified and considered the relevant factors in assessing sentence such as the gravity of the offence, the running of a trial, the absence of remorse and the absence of a plea of guilty, these are the sentences I have determined to be appropriate.</w:t>
      </w:r>
      <w:r w:rsidRPr="007F530F">
        <w:rPr>
          <w:rStyle w:val="Superscript"/>
        </w:rPr>
        <w:footnoteReference w:id="109"/>
      </w:r>
    </w:p>
    <w:p w14:paraId="2F3F4A6D" w14:textId="77777777" w:rsidR="00EF5C25" w:rsidRPr="007F530F" w:rsidRDefault="00EF5C25" w:rsidP="00CB18EF">
      <w:pPr>
        <w:pStyle w:val="Numbered"/>
      </w:pPr>
      <w:r w:rsidRPr="007F530F">
        <w:t>In contrast, in cases in which the sentence for a rape charge fell below the standard sentence, then the objective seriousness of the offending was considered to fall in the lower to middle range and/or more commonly the offender could call on weighty subjective factors in mitigation, such as a plea of guilty:</w:t>
      </w:r>
    </w:p>
    <w:p w14:paraId="2A16FF4E" w14:textId="77777777" w:rsidR="00EF5C25" w:rsidRPr="007F530F" w:rsidRDefault="00EF5C25" w:rsidP="005E5687">
      <w:pPr>
        <w:pStyle w:val="Quote"/>
      </w:pPr>
      <w:r w:rsidRPr="007F530F">
        <w:lastRenderedPageBreak/>
        <w:t xml:space="preserve">The sentence that I intend to impose in respect of these charges is lower than the standard sentence. I do that because in this situation there is your age, your plea of guilty, the utilitarian benefit of that plea of guilty, your </w:t>
      </w:r>
      <w:r w:rsidRPr="00D62402">
        <w:rPr>
          <w:rStyle w:val="Emphasis"/>
        </w:rPr>
        <w:t xml:space="preserve">Bugmy </w:t>
      </w:r>
      <w:r w:rsidRPr="007F530F">
        <w:t>type background and the fact that you will, by the end of your sentence, not pose a significant risk to anybody.</w:t>
      </w:r>
      <w:r w:rsidRPr="007F530F">
        <w:rPr>
          <w:rStyle w:val="Superscript"/>
        </w:rPr>
        <w:footnoteReference w:id="110"/>
      </w:r>
    </w:p>
    <w:p w14:paraId="4F4D26A8" w14:textId="77777777" w:rsidR="00EF5C25" w:rsidRPr="007F530F" w:rsidRDefault="00EF5C25" w:rsidP="00CB18EF">
      <w:pPr>
        <w:pStyle w:val="Numbered"/>
      </w:pPr>
      <w:r w:rsidRPr="007F530F">
        <w:t>In some cases, the sentencing court did not mention whether the sentence for a rape charge fell above or below the standard sentence.</w:t>
      </w:r>
      <w:r w:rsidRPr="007F530F">
        <w:rPr>
          <w:rStyle w:val="Superscript"/>
        </w:rPr>
        <w:footnoteReference w:id="111"/>
      </w:r>
      <w:r w:rsidRPr="007F530F">
        <w:t xml:space="preserve"> However, the Court of Appeal has clarified that ‘non-compliance with s 5B(5) would not of itself vitiate the exercise of the sentencing discretion’.</w:t>
      </w:r>
      <w:r w:rsidRPr="007F530F">
        <w:rPr>
          <w:rStyle w:val="Superscript"/>
        </w:rPr>
        <w:footnoteReference w:id="112"/>
      </w:r>
    </w:p>
    <w:p w14:paraId="5DD0D445" w14:textId="321CC27C" w:rsidR="00EF5C25" w:rsidRPr="007F530F" w:rsidRDefault="00EF5C25" w:rsidP="00CB18EF">
      <w:pPr>
        <w:pStyle w:val="Heading1Numbered"/>
      </w:pPr>
      <w:bookmarkStart w:id="8" w:name="_Toc74904001"/>
      <w:r w:rsidRPr="007F530F">
        <w:lastRenderedPageBreak/>
        <w:t>Sexual assault offences</w:t>
      </w:r>
      <w:bookmarkEnd w:id="8"/>
    </w:p>
    <w:p w14:paraId="2F6C41B8" w14:textId="77777777" w:rsidR="00EF5C25" w:rsidRPr="007F530F" w:rsidRDefault="00EF5C25" w:rsidP="006B1610">
      <w:pPr>
        <w:pStyle w:val="Numbered"/>
      </w:pPr>
      <w:r w:rsidRPr="007F530F">
        <w:t>This chapter discusses the number of sexual assault offences</w:t>
      </w:r>
      <w:r w:rsidRPr="007F530F">
        <w:rPr>
          <w:rStyle w:val="Superscript"/>
        </w:rPr>
        <w:footnoteReference w:id="113"/>
      </w:r>
      <w:r w:rsidRPr="007F530F">
        <w:t xml:space="preserve"> recorded and sentenced during the reference period and the sentences imposed for proven sexual assault offences, including the duration of prison sentences.</w:t>
      </w:r>
    </w:p>
    <w:p w14:paraId="672203D6" w14:textId="77777777" w:rsidR="00EF5C25" w:rsidRPr="007F530F" w:rsidRDefault="00EF5C25" w:rsidP="006B1610">
      <w:pPr>
        <w:pStyle w:val="Numbered"/>
      </w:pPr>
      <w:r w:rsidRPr="007F530F">
        <w:t>Contemporary sexual assault offences against adults include sexual assault, sexual assault by compelling sexual touching and assault with intent to commit a sexual offence, all of which came into effect on 1 July 2015.</w:t>
      </w:r>
      <w:r w:rsidRPr="007F530F">
        <w:rPr>
          <w:rStyle w:val="Superscript"/>
        </w:rPr>
        <w:footnoteReference w:id="114"/>
      </w:r>
      <w:r w:rsidRPr="007F530F">
        <w:t xml:space="preserve"> The previous suite of offences included indecent assault (August 1991 to June 2015)</w:t>
      </w:r>
      <w:r w:rsidRPr="007F530F">
        <w:rPr>
          <w:rStyle w:val="Superscript"/>
        </w:rPr>
        <w:footnoteReference w:id="115"/>
      </w:r>
      <w:r w:rsidRPr="007F530F">
        <w:t xml:space="preserve"> and assault with intent to rape (August 1993 to June 2015),</w:t>
      </w:r>
      <w:r w:rsidRPr="007F530F">
        <w:rPr>
          <w:rStyle w:val="Superscript"/>
        </w:rPr>
        <w:footnoteReference w:id="116"/>
      </w:r>
      <w:r w:rsidRPr="007F530F">
        <w:t xml:space="preserve"> both carrying maximum penalties of 10 years’ imprisonment.</w:t>
      </w:r>
      <w:r w:rsidRPr="007F530F">
        <w:rPr>
          <w:rStyle w:val="Superscript"/>
        </w:rPr>
        <w:footnoteReference w:id="117"/>
      </w:r>
      <w:r w:rsidRPr="007F530F">
        <w:t xml:space="preserve"> The mental element of the indecent assault offence initially required proof that the offender was aware that the victim was not, or might not be, consenting, with reforms in 2008 and 2015 each lowering the threshold for liability.</w:t>
      </w:r>
      <w:r w:rsidRPr="007F530F">
        <w:rPr>
          <w:rStyle w:val="Superscript"/>
        </w:rPr>
        <w:footnoteReference w:id="118"/>
      </w:r>
      <w:r w:rsidRPr="007F530F">
        <w:t xml:space="preserve"> None of the sexual assault offences </w:t>
      </w:r>
      <w:r w:rsidRPr="007F530F">
        <w:lastRenderedPageBreak/>
        <w:t>against adults are Category 1 offences or standard sentence offences, nor has a call been made to uplift sentencing practices for any sexual assault offences.</w:t>
      </w:r>
      <w:r w:rsidRPr="007F530F">
        <w:rPr>
          <w:rStyle w:val="Superscript"/>
        </w:rPr>
        <w:footnoteReference w:id="119"/>
      </w:r>
      <w:r w:rsidRPr="007F530F">
        <w:t xml:space="preserve"> In this sense, the offences can be seen as a quasi-control group in this report (that is, If sentencing practices for sex offences have changed, did they only change for offences subject to the various reforms or might they have changed for all sex offences?). </w:t>
      </w:r>
    </w:p>
    <w:p w14:paraId="1EFA1A56" w14:textId="77777777" w:rsidR="00EF5C25" w:rsidRPr="007F530F" w:rsidRDefault="00EF5C25" w:rsidP="006633AA">
      <w:pPr>
        <w:pStyle w:val="Heading2"/>
      </w:pPr>
      <w:r w:rsidRPr="007F530F">
        <w:t xml:space="preserve">Number of recorded and sentenced sexual assault offences </w:t>
      </w:r>
    </w:p>
    <w:p w14:paraId="7BD116CD" w14:textId="77777777" w:rsidR="00EF5C25" w:rsidRPr="007F530F" w:rsidRDefault="00EF5C25" w:rsidP="006B1610">
      <w:pPr>
        <w:pStyle w:val="Numbered"/>
      </w:pPr>
      <w:r w:rsidRPr="007F530F">
        <w:t xml:space="preserve">Between 2010 and 2019, 21,496 sexual assault offences were </w:t>
      </w:r>
      <w:r w:rsidRPr="00D62402">
        <w:rPr>
          <w:rStyle w:val="Emphasis"/>
        </w:rPr>
        <w:t>recorded</w:t>
      </w:r>
      <w:r w:rsidRPr="007F530F">
        <w:t xml:space="preserve"> by police in Victoria, with the yearly number more than doubling over that period (Figure 9). </w:t>
      </w:r>
    </w:p>
    <w:p w14:paraId="1F64B434" w14:textId="77777777" w:rsidR="00EF5C25" w:rsidRPr="007F530F" w:rsidRDefault="00EF5C25" w:rsidP="00D00197">
      <w:pPr>
        <w:pStyle w:val="Caption"/>
      </w:pPr>
      <w:r w:rsidRPr="00D00197">
        <w:t xml:space="preserve">Figure 9: </w:t>
      </w:r>
      <w:r w:rsidRPr="007F530F">
        <w:t>Number of sexual assault offences recorded by police in Victoria, by year (21,496 offences)</w:t>
      </w:r>
    </w:p>
    <w:tbl>
      <w:tblPr>
        <w:tblStyle w:val="Table"/>
        <w:tblW w:w="5000" w:type="pct"/>
        <w:tblLook w:val="04A0" w:firstRow="1" w:lastRow="0" w:firstColumn="1" w:lastColumn="0" w:noHBand="0" w:noVBand="1"/>
      </w:tblPr>
      <w:tblGrid>
        <w:gridCol w:w="2783"/>
        <w:gridCol w:w="6233"/>
      </w:tblGrid>
      <w:tr w:rsidR="00072519" w:rsidRPr="00072519" w14:paraId="4EA50D62" w14:textId="77777777" w:rsidTr="00E742C2">
        <w:trPr>
          <w:trHeight w:val="290"/>
          <w:tblHeader/>
        </w:trPr>
        <w:tc>
          <w:tcPr>
            <w:tcW w:w="3268" w:type="pct"/>
            <w:noWrap/>
            <w:hideMark/>
          </w:tcPr>
          <w:p w14:paraId="498D344A" w14:textId="77777777" w:rsidR="00072519" w:rsidRPr="001675FE" w:rsidRDefault="00072519" w:rsidP="00E742C2">
            <w:pPr>
              <w:pStyle w:val="TableHeading"/>
            </w:pPr>
            <w:r w:rsidRPr="001675FE">
              <w:t>Year</w:t>
            </w:r>
          </w:p>
        </w:tc>
        <w:tc>
          <w:tcPr>
            <w:tcW w:w="1732" w:type="pct"/>
            <w:noWrap/>
            <w:hideMark/>
          </w:tcPr>
          <w:p w14:paraId="491BE821" w14:textId="77777777" w:rsidR="00072519" w:rsidRPr="001675FE" w:rsidRDefault="00072519" w:rsidP="00E742C2">
            <w:pPr>
              <w:pStyle w:val="TableHeading"/>
            </w:pPr>
            <w:r w:rsidRPr="001675FE">
              <w:t>Number of sexual assault offences recorded by police</w:t>
            </w:r>
          </w:p>
        </w:tc>
      </w:tr>
      <w:tr w:rsidR="00072519" w:rsidRPr="00072519" w14:paraId="02FD4D4F" w14:textId="77777777" w:rsidTr="00E742C2">
        <w:trPr>
          <w:trHeight w:val="290"/>
        </w:trPr>
        <w:tc>
          <w:tcPr>
            <w:tcW w:w="3268" w:type="pct"/>
            <w:noWrap/>
            <w:hideMark/>
          </w:tcPr>
          <w:p w14:paraId="2CFF48D0" w14:textId="77777777" w:rsidR="00072519" w:rsidRPr="00072519" w:rsidRDefault="00072519" w:rsidP="00E742C2">
            <w:pPr>
              <w:pStyle w:val="TableBody"/>
            </w:pPr>
            <w:r w:rsidRPr="00072519">
              <w:t>2010</w:t>
            </w:r>
          </w:p>
        </w:tc>
        <w:tc>
          <w:tcPr>
            <w:tcW w:w="1732" w:type="pct"/>
            <w:noWrap/>
            <w:hideMark/>
          </w:tcPr>
          <w:p w14:paraId="58990FBB" w14:textId="53196D7E" w:rsidR="00072519" w:rsidRPr="00072519" w:rsidRDefault="00072519" w:rsidP="00E742C2">
            <w:pPr>
              <w:pStyle w:val="TableBody"/>
            </w:pPr>
            <w:r w:rsidRPr="00072519">
              <w:t xml:space="preserve">1,310 </w:t>
            </w:r>
          </w:p>
        </w:tc>
      </w:tr>
      <w:tr w:rsidR="00072519" w:rsidRPr="00072519" w14:paraId="5E39C1AB" w14:textId="77777777" w:rsidTr="00E742C2">
        <w:trPr>
          <w:trHeight w:val="290"/>
        </w:trPr>
        <w:tc>
          <w:tcPr>
            <w:tcW w:w="3268" w:type="pct"/>
            <w:noWrap/>
            <w:hideMark/>
          </w:tcPr>
          <w:p w14:paraId="4A8B710B" w14:textId="77777777" w:rsidR="00072519" w:rsidRPr="00072519" w:rsidRDefault="00072519" w:rsidP="00E742C2">
            <w:pPr>
              <w:pStyle w:val="TableBody"/>
            </w:pPr>
            <w:r w:rsidRPr="00072519">
              <w:t>2011</w:t>
            </w:r>
          </w:p>
        </w:tc>
        <w:tc>
          <w:tcPr>
            <w:tcW w:w="1732" w:type="pct"/>
            <w:noWrap/>
            <w:hideMark/>
          </w:tcPr>
          <w:p w14:paraId="627C8651" w14:textId="3C88E6EB" w:rsidR="00072519" w:rsidRPr="00072519" w:rsidRDefault="00072519" w:rsidP="00E742C2">
            <w:pPr>
              <w:pStyle w:val="TableBody"/>
            </w:pPr>
            <w:r w:rsidRPr="00072519">
              <w:t xml:space="preserve">1,495 </w:t>
            </w:r>
          </w:p>
        </w:tc>
      </w:tr>
      <w:tr w:rsidR="00072519" w:rsidRPr="00072519" w14:paraId="6E48608E" w14:textId="77777777" w:rsidTr="00E742C2">
        <w:trPr>
          <w:trHeight w:val="290"/>
        </w:trPr>
        <w:tc>
          <w:tcPr>
            <w:tcW w:w="3268" w:type="pct"/>
            <w:noWrap/>
            <w:hideMark/>
          </w:tcPr>
          <w:p w14:paraId="68C79AB4" w14:textId="77777777" w:rsidR="00072519" w:rsidRPr="00072519" w:rsidRDefault="00072519" w:rsidP="00E742C2">
            <w:pPr>
              <w:pStyle w:val="TableBody"/>
            </w:pPr>
            <w:r w:rsidRPr="00072519">
              <w:t>2012</w:t>
            </w:r>
          </w:p>
        </w:tc>
        <w:tc>
          <w:tcPr>
            <w:tcW w:w="1732" w:type="pct"/>
            <w:noWrap/>
            <w:hideMark/>
          </w:tcPr>
          <w:p w14:paraId="4C86E693" w14:textId="3B359B69" w:rsidR="00072519" w:rsidRPr="00072519" w:rsidRDefault="00072519" w:rsidP="00E742C2">
            <w:pPr>
              <w:pStyle w:val="TableBody"/>
            </w:pPr>
            <w:r w:rsidRPr="00072519">
              <w:t xml:space="preserve">1,615 </w:t>
            </w:r>
          </w:p>
        </w:tc>
      </w:tr>
      <w:tr w:rsidR="00072519" w:rsidRPr="00072519" w14:paraId="26322FD0" w14:textId="77777777" w:rsidTr="00E742C2">
        <w:trPr>
          <w:trHeight w:val="290"/>
        </w:trPr>
        <w:tc>
          <w:tcPr>
            <w:tcW w:w="3268" w:type="pct"/>
            <w:noWrap/>
            <w:hideMark/>
          </w:tcPr>
          <w:p w14:paraId="69AD088A" w14:textId="77777777" w:rsidR="00072519" w:rsidRPr="00072519" w:rsidRDefault="00072519" w:rsidP="00E742C2">
            <w:pPr>
              <w:pStyle w:val="TableBody"/>
            </w:pPr>
            <w:r w:rsidRPr="00072519">
              <w:t>2013</w:t>
            </w:r>
          </w:p>
        </w:tc>
        <w:tc>
          <w:tcPr>
            <w:tcW w:w="1732" w:type="pct"/>
            <w:noWrap/>
            <w:hideMark/>
          </w:tcPr>
          <w:p w14:paraId="2E2D9823" w14:textId="64443DC6" w:rsidR="00072519" w:rsidRPr="00072519" w:rsidRDefault="00072519" w:rsidP="00E742C2">
            <w:pPr>
              <w:pStyle w:val="TableBody"/>
            </w:pPr>
            <w:r w:rsidRPr="00072519">
              <w:t xml:space="preserve">1,746 </w:t>
            </w:r>
          </w:p>
        </w:tc>
      </w:tr>
      <w:tr w:rsidR="00072519" w:rsidRPr="00072519" w14:paraId="4FDCD5C4" w14:textId="77777777" w:rsidTr="00E742C2">
        <w:trPr>
          <w:trHeight w:val="290"/>
        </w:trPr>
        <w:tc>
          <w:tcPr>
            <w:tcW w:w="3268" w:type="pct"/>
            <w:noWrap/>
            <w:hideMark/>
          </w:tcPr>
          <w:p w14:paraId="6E6101C5" w14:textId="77777777" w:rsidR="00072519" w:rsidRPr="00072519" w:rsidRDefault="00072519" w:rsidP="00E742C2">
            <w:pPr>
              <w:pStyle w:val="TableBody"/>
            </w:pPr>
            <w:r w:rsidRPr="00072519">
              <w:t>2014</w:t>
            </w:r>
          </w:p>
        </w:tc>
        <w:tc>
          <w:tcPr>
            <w:tcW w:w="1732" w:type="pct"/>
            <w:noWrap/>
            <w:hideMark/>
          </w:tcPr>
          <w:p w14:paraId="1A8DE026" w14:textId="1572C37E" w:rsidR="00072519" w:rsidRPr="00072519" w:rsidRDefault="00072519" w:rsidP="00E742C2">
            <w:pPr>
              <w:pStyle w:val="TableBody"/>
            </w:pPr>
            <w:r w:rsidRPr="00072519">
              <w:t xml:space="preserve">1,983 </w:t>
            </w:r>
          </w:p>
        </w:tc>
      </w:tr>
      <w:tr w:rsidR="00072519" w:rsidRPr="00072519" w14:paraId="2F8A429E" w14:textId="77777777" w:rsidTr="00E742C2">
        <w:trPr>
          <w:trHeight w:val="290"/>
        </w:trPr>
        <w:tc>
          <w:tcPr>
            <w:tcW w:w="3268" w:type="pct"/>
            <w:noWrap/>
            <w:hideMark/>
          </w:tcPr>
          <w:p w14:paraId="66019060" w14:textId="77777777" w:rsidR="00072519" w:rsidRPr="00072519" w:rsidRDefault="00072519" w:rsidP="00E742C2">
            <w:pPr>
              <w:pStyle w:val="TableBody"/>
            </w:pPr>
            <w:r w:rsidRPr="00072519">
              <w:t>2015</w:t>
            </w:r>
          </w:p>
        </w:tc>
        <w:tc>
          <w:tcPr>
            <w:tcW w:w="1732" w:type="pct"/>
            <w:noWrap/>
            <w:hideMark/>
          </w:tcPr>
          <w:p w14:paraId="650C9A59" w14:textId="5112C19A" w:rsidR="00072519" w:rsidRPr="00072519" w:rsidRDefault="00072519" w:rsidP="00E742C2">
            <w:pPr>
              <w:pStyle w:val="TableBody"/>
            </w:pPr>
            <w:r w:rsidRPr="00072519">
              <w:t xml:space="preserve">1,987 </w:t>
            </w:r>
          </w:p>
        </w:tc>
      </w:tr>
      <w:tr w:rsidR="00072519" w:rsidRPr="00072519" w14:paraId="7CE9EE41" w14:textId="77777777" w:rsidTr="00E742C2">
        <w:trPr>
          <w:trHeight w:val="290"/>
        </w:trPr>
        <w:tc>
          <w:tcPr>
            <w:tcW w:w="3268" w:type="pct"/>
            <w:noWrap/>
            <w:hideMark/>
          </w:tcPr>
          <w:p w14:paraId="662A6BA8" w14:textId="77777777" w:rsidR="00072519" w:rsidRPr="00072519" w:rsidRDefault="00072519" w:rsidP="00E742C2">
            <w:pPr>
              <w:pStyle w:val="TableBody"/>
            </w:pPr>
            <w:r w:rsidRPr="00072519">
              <w:t>2016</w:t>
            </w:r>
          </w:p>
        </w:tc>
        <w:tc>
          <w:tcPr>
            <w:tcW w:w="1732" w:type="pct"/>
            <w:noWrap/>
            <w:hideMark/>
          </w:tcPr>
          <w:p w14:paraId="0470F815" w14:textId="29308D89" w:rsidR="00072519" w:rsidRPr="00072519" w:rsidRDefault="00072519" w:rsidP="00E742C2">
            <w:pPr>
              <w:pStyle w:val="TableBody"/>
            </w:pPr>
            <w:r w:rsidRPr="00072519">
              <w:t xml:space="preserve">2,468 </w:t>
            </w:r>
          </w:p>
        </w:tc>
      </w:tr>
      <w:tr w:rsidR="00072519" w:rsidRPr="00072519" w14:paraId="0B09216D" w14:textId="77777777" w:rsidTr="00E742C2">
        <w:trPr>
          <w:trHeight w:val="290"/>
        </w:trPr>
        <w:tc>
          <w:tcPr>
            <w:tcW w:w="3268" w:type="pct"/>
            <w:noWrap/>
            <w:hideMark/>
          </w:tcPr>
          <w:p w14:paraId="35662F65" w14:textId="77777777" w:rsidR="00072519" w:rsidRPr="00072519" w:rsidRDefault="00072519" w:rsidP="00E742C2">
            <w:pPr>
              <w:pStyle w:val="TableBody"/>
            </w:pPr>
            <w:r w:rsidRPr="00072519">
              <w:t>2017</w:t>
            </w:r>
          </w:p>
        </w:tc>
        <w:tc>
          <w:tcPr>
            <w:tcW w:w="1732" w:type="pct"/>
            <w:noWrap/>
            <w:hideMark/>
          </w:tcPr>
          <w:p w14:paraId="2C35123B" w14:textId="653D3A0C" w:rsidR="00072519" w:rsidRPr="00072519" w:rsidRDefault="00072519" w:rsidP="00E742C2">
            <w:pPr>
              <w:pStyle w:val="TableBody"/>
            </w:pPr>
            <w:r w:rsidRPr="00072519">
              <w:t xml:space="preserve">2,853 </w:t>
            </w:r>
          </w:p>
        </w:tc>
      </w:tr>
      <w:tr w:rsidR="00072519" w:rsidRPr="00072519" w14:paraId="7483FE03" w14:textId="77777777" w:rsidTr="00E742C2">
        <w:trPr>
          <w:trHeight w:val="290"/>
        </w:trPr>
        <w:tc>
          <w:tcPr>
            <w:tcW w:w="3268" w:type="pct"/>
            <w:noWrap/>
            <w:hideMark/>
          </w:tcPr>
          <w:p w14:paraId="78540AB7" w14:textId="77777777" w:rsidR="00072519" w:rsidRPr="00072519" w:rsidRDefault="00072519" w:rsidP="00E742C2">
            <w:pPr>
              <w:pStyle w:val="TableBody"/>
            </w:pPr>
            <w:r w:rsidRPr="00072519">
              <w:t>2018</w:t>
            </w:r>
          </w:p>
        </w:tc>
        <w:tc>
          <w:tcPr>
            <w:tcW w:w="1732" w:type="pct"/>
            <w:noWrap/>
            <w:hideMark/>
          </w:tcPr>
          <w:p w14:paraId="4B2C108E" w14:textId="11A31DFB" w:rsidR="00072519" w:rsidRPr="00072519" w:rsidRDefault="00072519" w:rsidP="00E742C2">
            <w:pPr>
              <w:pStyle w:val="TableBody"/>
            </w:pPr>
            <w:r w:rsidRPr="00072519">
              <w:t xml:space="preserve">2,990 </w:t>
            </w:r>
          </w:p>
        </w:tc>
      </w:tr>
      <w:tr w:rsidR="00072519" w:rsidRPr="00072519" w14:paraId="744F7C88" w14:textId="77777777" w:rsidTr="00E742C2">
        <w:trPr>
          <w:trHeight w:val="290"/>
        </w:trPr>
        <w:tc>
          <w:tcPr>
            <w:tcW w:w="3268" w:type="pct"/>
            <w:noWrap/>
            <w:hideMark/>
          </w:tcPr>
          <w:p w14:paraId="06B49E8C" w14:textId="77777777" w:rsidR="00072519" w:rsidRPr="00072519" w:rsidRDefault="00072519" w:rsidP="00E742C2">
            <w:pPr>
              <w:pStyle w:val="TableBody"/>
            </w:pPr>
            <w:r w:rsidRPr="00072519">
              <w:lastRenderedPageBreak/>
              <w:t>2019</w:t>
            </w:r>
          </w:p>
        </w:tc>
        <w:tc>
          <w:tcPr>
            <w:tcW w:w="1732" w:type="pct"/>
            <w:noWrap/>
            <w:hideMark/>
          </w:tcPr>
          <w:p w14:paraId="5A33123C" w14:textId="566D37F5" w:rsidR="00072519" w:rsidRPr="00072519" w:rsidRDefault="00072519" w:rsidP="00E742C2">
            <w:pPr>
              <w:pStyle w:val="TableBody"/>
            </w:pPr>
            <w:r w:rsidRPr="00072519">
              <w:t xml:space="preserve">3,049 </w:t>
            </w:r>
          </w:p>
        </w:tc>
      </w:tr>
    </w:tbl>
    <w:p w14:paraId="4BCACD0E" w14:textId="77777777" w:rsidR="00EF5C25" w:rsidRPr="00A4492F" w:rsidRDefault="00EF5C25" w:rsidP="00A4492F">
      <w:pPr>
        <w:pStyle w:val="Numbered"/>
      </w:pPr>
      <w:r w:rsidRPr="007F530F">
        <w:t>In the same timeframe, 3,644 sexual assault offences were sentenced in 2,393 cases (Figure 10), involving 2,278 offenders, 2,238 of whom were male (over 98%). While the number of recorded offences increased significantly, the number of charges and cases of sexual assault sentenced in the Magistrates’ Court increased gradually to a smaller degree,</w:t>
      </w:r>
      <w:r w:rsidRPr="007F530F">
        <w:rPr>
          <w:rStyle w:val="Superscript"/>
        </w:rPr>
        <w:footnoteReference w:id="120"/>
      </w:r>
      <w:r w:rsidRPr="007F530F">
        <w:t xml:space="preserve"> and the number of charges and cases sentenced in the higher courts had no discernible trend</w:t>
      </w:r>
      <w:r w:rsidRPr="00A4492F">
        <w:t>.</w:t>
      </w:r>
    </w:p>
    <w:p w14:paraId="3E297238" w14:textId="77777777" w:rsidR="00EF5C25" w:rsidRPr="007F530F" w:rsidRDefault="00EF5C25" w:rsidP="00D00197">
      <w:pPr>
        <w:pStyle w:val="Caption"/>
      </w:pPr>
      <w:r w:rsidRPr="00D00197">
        <w:t>Figure 10:</w:t>
      </w:r>
      <w:r w:rsidRPr="007F530F">
        <w:t xml:space="preserve"> Number of charges and cases of sexual assault offences sentenced in Victoria, by year and court (3,644 charges and 2,393 cases)</w:t>
      </w:r>
    </w:p>
    <w:tbl>
      <w:tblPr>
        <w:tblStyle w:val="Table"/>
        <w:tblW w:w="5000" w:type="pct"/>
        <w:tblLook w:val="04A0" w:firstRow="1" w:lastRow="0" w:firstColumn="1" w:lastColumn="0" w:noHBand="0" w:noVBand="1"/>
      </w:tblPr>
      <w:tblGrid>
        <w:gridCol w:w="1256"/>
        <w:gridCol w:w="1788"/>
        <w:gridCol w:w="1788"/>
        <w:gridCol w:w="2092"/>
        <w:gridCol w:w="2092"/>
      </w:tblGrid>
      <w:tr w:rsidR="00C91A9D" w:rsidRPr="00C91A9D" w14:paraId="06191EEB" w14:textId="77777777" w:rsidTr="005534DC">
        <w:trPr>
          <w:trHeight w:val="794"/>
          <w:tblHeader/>
        </w:trPr>
        <w:tc>
          <w:tcPr>
            <w:tcW w:w="696" w:type="pct"/>
            <w:noWrap/>
            <w:hideMark/>
          </w:tcPr>
          <w:p w14:paraId="5AFFA10C" w14:textId="2E844C39" w:rsidR="00C91A9D" w:rsidRPr="001E6C98" w:rsidRDefault="00E3243A" w:rsidP="005534DC">
            <w:pPr>
              <w:pStyle w:val="TableHeading"/>
            </w:pPr>
            <w:r w:rsidRPr="001E6C98">
              <w:t>Year</w:t>
            </w:r>
          </w:p>
        </w:tc>
        <w:tc>
          <w:tcPr>
            <w:tcW w:w="991" w:type="pct"/>
            <w:hideMark/>
          </w:tcPr>
          <w:p w14:paraId="1BD22A05" w14:textId="77777777" w:rsidR="00C91A9D" w:rsidRPr="001E6C98" w:rsidRDefault="00C91A9D" w:rsidP="005534DC">
            <w:pPr>
              <w:pStyle w:val="TableHeading"/>
            </w:pPr>
            <w:r w:rsidRPr="001E6C98">
              <w:t>Charges sentenced in the higher courts</w:t>
            </w:r>
          </w:p>
        </w:tc>
        <w:tc>
          <w:tcPr>
            <w:tcW w:w="991" w:type="pct"/>
            <w:hideMark/>
          </w:tcPr>
          <w:p w14:paraId="68A2C16E" w14:textId="77777777" w:rsidR="00C91A9D" w:rsidRPr="001E6C98" w:rsidRDefault="00C91A9D" w:rsidP="005534DC">
            <w:pPr>
              <w:pStyle w:val="TableHeading"/>
            </w:pPr>
            <w:r w:rsidRPr="001E6C98">
              <w:t>Case sentenced in the higher courts</w:t>
            </w:r>
          </w:p>
        </w:tc>
        <w:tc>
          <w:tcPr>
            <w:tcW w:w="1160" w:type="pct"/>
            <w:hideMark/>
          </w:tcPr>
          <w:p w14:paraId="46E37AF8" w14:textId="77777777" w:rsidR="00C91A9D" w:rsidRPr="001E6C98" w:rsidRDefault="00C91A9D" w:rsidP="005534DC">
            <w:pPr>
              <w:pStyle w:val="TableHeading"/>
            </w:pPr>
            <w:r w:rsidRPr="001E6C98">
              <w:t>Charges sentenced in the Magistrates' Court</w:t>
            </w:r>
          </w:p>
        </w:tc>
        <w:tc>
          <w:tcPr>
            <w:tcW w:w="1160" w:type="pct"/>
            <w:hideMark/>
          </w:tcPr>
          <w:p w14:paraId="1FF1460D" w14:textId="77777777" w:rsidR="00C91A9D" w:rsidRPr="001E6C98" w:rsidRDefault="00C91A9D" w:rsidP="005534DC">
            <w:pPr>
              <w:pStyle w:val="TableHeading"/>
            </w:pPr>
            <w:r w:rsidRPr="001E6C98">
              <w:t>Cases sentenced in the Magistrates' Court</w:t>
            </w:r>
          </w:p>
        </w:tc>
      </w:tr>
      <w:tr w:rsidR="00C91A9D" w:rsidRPr="00C91A9D" w14:paraId="07CB870F" w14:textId="77777777" w:rsidTr="005534DC">
        <w:trPr>
          <w:trHeight w:val="290"/>
        </w:trPr>
        <w:tc>
          <w:tcPr>
            <w:tcW w:w="696" w:type="pct"/>
            <w:noWrap/>
            <w:hideMark/>
          </w:tcPr>
          <w:p w14:paraId="0CC3C7B6" w14:textId="77777777" w:rsidR="00C91A9D" w:rsidRPr="00C91A9D" w:rsidRDefault="00C91A9D" w:rsidP="005534DC">
            <w:pPr>
              <w:pStyle w:val="TableBody"/>
            </w:pPr>
            <w:r w:rsidRPr="00C91A9D">
              <w:t>2010</w:t>
            </w:r>
          </w:p>
        </w:tc>
        <w:tc>
          <w:tcPr>
            <w:tcW w:w="991" w:type="pct"/>
            <w:noWrap/>
            <w:hideMark/>
          </w:tcPr>
          <w:p w14:paraId="4DD13648" w14:textId="77777777" w:rsidR="00C91A9D" w:rsidRPr="00C91A9D" w:rsidRDefault="00C91A9D" w:rsidP="005534DC">
            <w:pPr>
              <w:pStyle w:val="TableBody"/>
            </w:pPr>
            <w:r w:rsidRPr="00C91A9D">
              <w:t>247</w:t>
            </w:r>
          </w:p>
        </w:tc>
        <w:tc>
          <w:tcPr>
            <w:tcW w:w="991" w:type="pct"/>
            <w:noWrap/>
            <w:hideMark/>
          </w:tcPr>
          <w:p w14:paraId="6E1C4597" w14:textId="77777777" w:rsidR="00C91A9D" w:rsidRPr="00C91A9D" w:rsidRDefault="00C91A9D" w:rsidP="005534DC">
            <w:pPr>
              <w:pStyle w:val="TableBody"/>
            </w:pPr>
            <w:r w:rsidRPr="00C91A9D">
              <w:t>63</w:t>
            </w:r>
          </w:p>
        </w:tc>
        <w:tc>
          <w:tcPr>
            <w:tcW w:w="1160" w:type="pct"/>
            <w:noWrap/>
            <w:hideMark/>
          </w:tcPr>
          <w:p w14:paraId="4DA69F1A" w14:textId="77777777" w:rsidR="00C91A9D" w:rsidRPr="00C91A9D" w:rsidRDefault="00C91A9D" w:rsidP="005534DC">
            <w:pPr>
              <w:pStyle w:val="TableBody"/>
            </w:pPr>
            <w:r w:rsidRPr="00C91A9D">
              <w:t>189</w:t>
            </w:r>
          </w:p>
        </w:tc>
        <w:tc>
          <w:tcPr>
            <w:tcW w:w="1160" w:type="pct"/>
            <w:noWrap/>
            <w:hideMark/>
          </w:tcPr>
          <w:p w14:paraId="0C327BFE" w14:textId="77777777" w:rsidR="00C91A9D" w:rsidRPr="00C91A9D" w:rsidRDefault="00C91A9D" w:rsidP="005534DC">
            <w:pPr>
              <w:pStyle w:val="TableBody"/>
            </w:pPr>
            <w:r w:rsidRPr="00C91A9D">
              <w:t>140</w:t>
            </w:r>
          </w:p>
        </w:tc>
      </w:tr>
      <w:tr w:rsidR="00C91A9D" w:rsidRPr="00C91A9D" w14:paraId="24A4B25B" w14:textId="77777777" w:rsidTr="005534DC">
        <w:trPr>
          <w:trHeight w:val="290"/>
        </w:trPr>
        <w:tc>
          <w:tcPr>
            <w:tcW w:w="696" w:type="pct"/>
            <w:noWrap/>
            <w:hideMark/>
          </w:tcPr>
          <w:p w14:paraId="2608FE60" w14:textId="77777777" w:rsidR="00C91A9D" w:rsidRPr="00C91A9D" w:rsidRDefault="00C91A9D" w:rsidP="005534DC">
            <w:pPr>
              <w:pStyle w:val="TableBody"/>
            </w:pPr>
            <w:r w:rsidRPr="00C91A9D">
              <w:t>2011</w:t>
            </w:r>
          </w:p>
        </w:tc>
        <w:tc>
          <w:tcPr>
            <w:tcW w:w="991" w:type="pct"/>
            <w:noWrap/>
            <w:hideMark/>
          </w:tcPr>
          <w:p w14:paraId="42137DFE" w14:textId="77777777" w:rsidR="00C91A9D" w:rsidRPr="00C91A9D" w:rsidRDefault="00C91A9D" w:rsidP="005534DC">
            <w:pPr>
              <w:pStyle w:val="TableBody"/>
            </w:pPr>
            <w:r w:rsidRPr="00C91A9D">
              <w:t>141</w:t>
            </w:r>
          </w:p>
        </w:tc>
        <w:tc>
          <w:tcPr>
            <w:tcW w:w="991" w:type="pct"/>
            <w:noWrap/>
            <w:hideMark/>
          </w:tcPr>
          <w:p w14:paraId="00D5604E" w14:textId="77777777" w:rsidR="00C91A9D" w:rsidRPr="00C91A9D" w:rsidRDefault="00C91A9D" w:rsidP="005534DC">
            <w:pPr>
              <w:pStyle w:val="TableBody"/>
            </w:pPr>
            <w:r w:rsidRPr="00C91A9D">
              <w:t>66</w:t>
            </w:r>
          </w:p>
        </w:tc>
        <w:tc>
          <w:tcPr>
            <w:tcW w:w="1160" w:type="pct"/>
            <w:noWrap/>
            <w:hideMark/>
          </w:tcPr>
          <w:p w14:paraId="14DC3A73" w14:textId="77777777" w:rsidR="00C91A9D" w:rsidRPr="00C91A9D" w:rsidRDefault="00C91A9D" w:rsidP="005534DC">
            <w:pPr>
              <w:pStyle w:val="TableBody"/>
            </w:pPr>
            <w:r w:rsidRPr="00C91A9D">
              <w:t>177</w:t>
            </w:r>
          </w:p>
        </w:tc>
        <w:tc>
          <w:tcPr>
            <w:tcW w:w="1160" w:type="pct"/>
            <w:noWrap/>
            <w:hideMark/>
          </w:tcPr>
          <w:p w14:paraId="5FBB0466" w14:textId="77777777" w:rsidR="00C91A9D" w:rsidRPr="00C91A9D" w:rsidRDefault="00C91A9D" w:rsidP="005534DC">
            <w:pPr>
              <w:pStyle w:val="TableBody"/>
            </w:pPr>
            <w:r w:rsidRPr="00C91A9D">
              <w:t>135</w:t>
            </w:r>
          </w:p>
        </w:tc>
      </w:tr>
      <w:tr w:rsidR="00C91A9D" w:rsidRPr="00C91A9D" w14:paraId="6C7DABA2" w14:textId="77777777" w:rsidTr="005534DC">
        <w:trPr>
          <w:trHeight w:val="290"/>
        </w:trPr>
        <w:tc>
          <w:tcPr>
            <w:tcW w:w="696" w:type="pct"/>
            <w:noWrap/>
            <w:hideMark/>
          </w:tcPr>
          <w:p w14:paraId="5D5B216D" w14:textId="77777777" w:rsidR="00C91A9D" w:rsidRPr="00C91A9D" w:rsidRDefault="00C91A9D" w:rsidP="005534DC">
            <w:pPr>
              <w:pStyle w:val="TableBody"/>
            </w:pPr>
            <w:r w:rsidRPr="00C91A9D">
              <w:t>2012</w:t>
            </w:r>
          </w:p>
        </w:tc>
        <w:tc>
          <w:tcPr>
            <w:tcW w:w="991" w:type="pct"/>
            <w:noWrap/>
            <w:hideMark/>
          </w:tcPr>
          <w:p w14:paraId="0C1E40AC" w14:textId="77777777" w:rsidR="00C91A9D" w:rsidRPr="00C91A9D" w:rsidRDefault="00C91A9D" w:rsidP="005534DC">
            <w:pPr>
              <w:pStyle w:val="TableBody"/>
            </w:pPr>
            <w:r w:rsidRPr="00C91A9D">
              <w:t>128</w:t>
            </w:r>
          </w:p>
        </w:tc>
        <w:tc>
          <w:tcPr>
            <w:tcW w:w="991" w:type="pct"/>
            <w:noWrap/>
            <w:hideMark/>
          </w:tcPr>
          <w:p w14:paraId="7FA3B370" w14:textId="77777777" w:rsidR="00C91A9D" w:rsidRPr="00C91A9D" w:rsidRDefault="00C91A9D" w:rsidP="005534DC">
            <w:pPr>
              <w:pStyle w:val="TableBody"/>
            </w:pPr>
            <w:r w:rsidRPr="00C91A9D">
              <w:t>68</w:t>
            </w:r>
          </w:p>
        </w:tc>
        <w:tc>
          <w:tcPr>
            <w:tcW w:w="1160" w:type="pct"/>
            <w:noWrap/>
            <w:hideMark/>
          </w:tcPr>
          <w:p w14:paraId="4627CF4A" w14:textId="77777777" w:rsidR="00C91A9D" w:rsidRPr="00C91A9D" w:rsidRDefault="00C91A9D" w:rsidP="005534DC">
            <w:pPr>
              <w:pStyle w:val="TableBody"/>
            </w:pPr>
            <w:r w:rsidRPr="00C91A9D">
              <w:t>205</w:t>
            </w:r>
          </w:p>
        </w:tc>
        <w:tc>
          <w:tcPr>
            <w:tcW w:w="1160" w:type="pct"/>
            <w:noWrap/>
            <w:hideMark/>
          </w:tcPr>
          <w:p w14:paraId="0048309D" w14:textId="77777777" w:rsidR="00C91A9D" w:rsidRPr="00C91A9D" w:rsidRDefault="00C91A9D" w:rsidP="005534DC">
            <w:pPr>
              <w:pStyle w:val="TableBody"/>
            </w:pPr>
            <w:r w:rsidRPr="00C91A9D">
              <w:t>151</w:t>
            </w:r>
          </w:p>
        </w:tc>
      </w:tr>
      <w:tr w:rsidR="00C91A9D" w:rsidRPr="00C91A9D" w14:paraId="0E2BBF93" w14:textId="77777777" w:rsidTr="005534DC">
        <w:trPr>
          <w:trHeight w:val="290"/>
        </w:trPr>
        <w:tc>
          <w:tcPr>
            <w:tcW w:w="696" w:type="pct"/>
            <w:noWrap/>
            <w:hideMark/>
          </w:tcPr>
          <w:p w14:paraId="2C2E5353" w14:textId="77777777" w:rsidR="00C91A9D" w:rsidRPr="00C91A9D" w:rsidRDefault="00C91A9D" w:rsidP="005534DC">
            <w:pPr>
              <w:pStyle w:val="TableBody"/>
            </w:pPr>
            <w:r w:rsidRPr="00C91A9D">
              <w:t>2013</w:t>
            </w:r>
          </w:p>
        </w:tc>
        <w:tc>
          <w:tcPr>
            <w:tcW w:w="991" w:type="pct"/>
            <w:noWrap/>
            <w:hideMark/>
          </w:tcPr>
          <w:p w14:paraId="083F678E" w14:textId="77777777" w:rsidR="00C91A9D" w:rsidRPr="00C91A9D" w:rsidRDefault="00C91A9D" w:rsidP="005534DC">
            <w:pPr>
              <w:pStyle w:val="TableBody"/>
            </w:pPr>
            <w:r w:rsidRPr="00C91A9D">
              <w:t>92</w:t>
            </w:r>
          </w:p>
        </w:tc>
        <w:tc>
          <w:tcPr>
            <w:tcW w:w="991" w:type="pct"/>
            <w:noWrap/>
            <w:hideMark/>
          </w:tcPr>
          <w:p w14:paraId="0374623F" w14:textId="77777777" w:rsidR="00C91A9D" w:rsidRPr="00C91A9D" w:rsidRDefault="00C91A9D" w:rsidP="005534DC">
            <w:pPr>
              <w:pStyle w:val="TableBody"/>
            </w:pPr>
            <w:r w:rsidRPr="00C91A9D">
              <w:t>39</w:t>
            </w:r>
          </w:p>
        </w:tc>
        <w:tc>
          <w:tcPr>
            <w:tcW w:w="1160" w:type="pct"/>
            <w:noWrap/>
            <w:hideMark/>
          </w:tcPr>
          <w:p w14:paraId="22E9AC15" w14:textId="77777777" w:rsidR="00C91A9D" w:rsidRPr="00C91A9D" w:rsidRDefault="00C91A9D" w:rsidP="005534DC">
            <w:pPr>
              <w:pStyle w:val="TableBody"/>
            </w:pPr>
            <w:r w:rsidRPr="00C91A9D">
              <w:t>269</w:t>
            </w:r>
          </w:p>
        </w:tc>
        <w:tc>
          <w:tcPr>
            <w:tcW w:w="1160" w:type="pct"/>
            <w:noWrap/>
            <w:hideMark/>
          </w:tcPr>
          <w:p w14:paraId="797B6702" w14:textId="77777777" w:rsidR="00C91A9D" w:rsidRPr="00C91A9D" w:rsidRDefault="00C91A9D" w:rsidP="005534DC">
            <w:pPr>
              <w:pStyle w:val="TableBody"/>
            </w:pPr>
            <w:r w:rsidRPr="00C91A9D">
              <w:t>188</w:t>
            </w:r>
          </w:p>
        </w:tc>
      </w:tr>
      <w:tr w:rsidR="00C91A9D" w:rsidRPr="00C91A9D" w14:paraId="1CDA3127" w14:textId="77777777" w:rsidTr="005534DC">
        <w:trPr>
          <w:trHeight w:val="290"/>
        </w:trPr>
        <w:tc>
          <w:tcPr>
            <w:tcW w:w="696" w:type="pct"/>
            <w:noWrap/>
            <w:hideMark/>
          </w:tcPr>
          <w:p w14:paraId="3F612A04" w14:textId="77777777" w:rsidR="00C91A9D" w:rsidRPr="00C91A9D" w:rsidRDefault="00C91A9D" w:rsidP="005534DC">
            <w:pPr>
              <w:pStyle w:val="TableBody"/>
            </w:pPr>
            <w:r w:rsidRPr="00C91A9D">
              <w:t>2014</w:t>
            </w:r>
          </w:p>
        </w:tc>
        <w:tc>
          <w:tcPr>
            <w:tcW w:w="991" w:type="pct"/>
            <w:noWrap/>
            <w:hideMark/>
          </w:tcPr>
          <w:p w14:paraId="0D95BD76" w14:textId="77777777" w:rsidR="00C91A9D" w:rsidRPr="00C91A9D" w:rsidRDefault="00C91A9D" w:rsidP="005534DC">
            <w:pPr>
              <w:pStyle w:val="TableBody"/>
            </w:pPr>
            <w:r w:rsidRPr="00C91A9D">
              <w:t>98</w:t>
            </w:r>
          </w:p>
        </w:tc>
        <w:tc>
          <w:tcPr>
            <w:tcW w:w="991" w:type="pct"/>
            <w:noWrap/>
            <w:hideMark/>
          </w:tcPr>
          <w:p w14:paraId="449221D2" w14:textId="77777777" w:rsidR="00C91A9D" w:rsidRPr="00C91A9D" w:rsidRDefault="00C91A9D" w:rsidP="005534DC">
            <w:pPr>
              <w:pStyle w:val="TableBody"/>
            </w:pPr>
            <w:r w:rsidRPr="00C91A9D">
              <w:t>50</w:t>
            </w:r>
          </w:p>
        </w:tc>
        <w:tc>
          <w:tcPr>
            <w:tcW w:w="1160" w:type="pct"/>
            <w:noWrap/>
            <w:hideMark/>
          </w:tcPr>
          <w:p w14:paraId="352859D8" w14:textId="77777777" w:rsidR="00C91A9D" w:rsidRPr="00C91A9D" w:rsidRDefault="00C91A9D" w:rsidP="005534DC">
            <w:pPr>
              <w:pStyle w:val="TableBody"/>
            </w:pPr>
            <w:r w:rsidRPr="00C91A9D">
              <w:t>258</w:t>
            </w:r>
          </w:p>
        </w:tc>
        <w:tc>
          <w:tcPr>
            <w:tcW w:w="1160" w:type="pct"/>
            <w:noWrap/>
            <w:hideMark/>
          </w:tcPr>
          <w:p w14:paraId="680B842A" w14:textId="77777777" w:rsidR="00C91A9D" w:rsidRPr="00C91A9D" w:rsidRDefault="00C91A9D" w:rsidP="005534DC">
            <w:pPr>
              <w:pStyle w:val="TableBody"/>
            </w:pPr>
            <w:r w:rsidRPr="00C91A9D">
              <w:t>191</w:t>
            </w:r>
          </w:p>
        </w:tc>
      </w:tr>
      <w:tr w:rsidR="00C91A9D" w:rsidRPr="00C91A9D" w14:paraId="7164C790" w14:textId="77777777" w:rsidTr="005534DC">
        <w:trPr>
          <w:trHeight w:val="290"/>
        </w:trPr>
        <w:tc>
          <w:tcPr>
            <w:tcW w:w="696" w:type="pct"/>
            <w:noWrap/>
            <w:hideMark/>
          </w:tcPr>
          <w:p w14:paraId="799C5C3D" w14:textId="77777777" w:rsidR="00C91A9D" w:rsidRPr="00C91A9D" w:rsidRDefault="00C91A9D" w:rsidP="005534DC">
            <w:pPr>
              <w:pStyle w:val="TableBody"/>
            </w:pPr>
            <w:r w:rsidRPr="00C91A9D">
              <w:t>2015</w:t>
            </w:r>
          </w:p>
        </w:tc>
        <w:tc>
          <w:tcPr>
            <w:tcW w:w="991" w:type="pct"/>
            <w:noWrap/>
            <w:hideMark/>
          </w:tcPr>
          <w:p w14:paraId="7E8B7D67" w14:textId="77777777" w:rsidR="00C91A9D" w:rsidRPr="00C91A9D" w:rsidRDefault="00C91A9D" w:rsidP="005534DC">
            <w:pPr>
              <w:pStyle w:val="TableBody"/>
            </w:pPr>
            <w:r w:rsidRPr="00C91A9D">
              <w:t>96</w:t>
            </w:r>
          </w:p>
        </w:tc>
        <w:tc>
          <w:tcPr>
            <w:tcW w:w="991" w:type="pct"/>
            <w:noWrap/>
            <w:hideMark/>
          </w:tcPr>
          <w:p w14:paraId="4856D253" w14:textId="77777777" w:rsidR="00C91A9D" w:rsidRPr="00C91A9D" w:rsidRDefault="00C91A9D" w:rsidP="005534DC">
            <w:pPr>
              <w:pStyle w:val="TableBody"/>
            </w:pPr>
            <w:r w:rsidRPr="00C91A9D">
              <w:t>48</w:t>
            </w:r>
          </w:p>
        </w:tc>
        <w:tc>
          <w:tcPr>
            <w:tcW w:w="1160" w:type="pct"/>
            <w:noWrap/>
            <w:hideMark/>
          </w:tcPr>
          <w:p w14:paraId="45CFA85F" w14:textId="77777777" w:rsidR="00C91A9D" w:rsidRPr="00C91A9D" w:rsidRDefault="00C91A9D" w:rsidP="005534DC">
            <w:pPr>
              <w:pStyle w:val="TableBody"/>
            </w:pPr>
            <w:r w:rsidRPr="00C91A9D">
              <w:t>269</w:t>
            </w:r>
          </w:p>
        </w:tc>
        <w:tc>
          <w:tcPr>
            <w:tcW w:w="1160" w:type="pct"/>
            <w:noWrap/>
            <w:hideMark/>
          </w:tcPr>
          <w:p w14:paraId="4A7B25C5" w14:textId="77777777" w:rsidR="00C91A9D" w:rsidRPr="00C91A9D" w:rsidRDefault="00C91A9D" w:rsidP="005534DC">
            <w:pPr>
              <w:pStyle w:val="TableBody"/>
            </w:pPr>
            <w:r w:rsidRPr="00C91A9D">
              <w:t>208</w:t>
            </w:r>
          </w:p>
        </w:tc>
      </w:tr>
      <w:tr w:rsidR="00C91A9D" w:rsidRPr="00C91A9D" w14:paraId="6F0703D3" w14:textId="77777777" w:rsidTr="005534DC">
        <w:trPr>
          <w:trHeight w:val="290"/>
        </w:trPr>
        <w:tc>
          <w:tcPr>
            <w:tcW w:w="696" w:type="pct"/>
            <w:noWrap/>
            <w:hideMark/>
          </w:tcPr>
          <w:p w14:paraId="4248C6B7" w14:textId="77777777" w:rsidR="00C91A9D" w:rsidRPr="00C91A9D" w:rsidRDefault="00C91A9D" w:rsidP="005534DC">
            <w:pPr>
              <w:pStyle w:val="TableBody"/>
            </w:pPr>
            <w:r w:rsidRPr="00C91A9D">
              <w:t>2016</w:t>
            </w:r>
          </w:p>
        </w:tc>
        <w:tc>
          <w:tcPr>
            <w:tcW w:w="991" w:type="pct"/>
            <w:noWrap/>
            <w:hideMark/>
          </w:tcPr>
          <w:p w14:paraId="7CFC276E" w14:textId="77777777" w:rsidR="00C91A9D" w:rsidRPr="00C91A9D" w:rsidRDefault="00C91A9D" w:rsidP="005534DC">
            <w:pPr>
              <w:pStyle w:val="TableBody"/>
            </w:pPr>
            <w:r w:rsidRPr="00C91A9D">
              <w:t>65</w:t>
            </w:r>
          </w:p>
        </w:tc>
        <w:tc>
          <w:tcPr>
            <w:tcW w:w="991" w:type="pct"/>
            <w:noWrap/>
            <w:hideMark/>
          </w:tcPr>
          <w:p w14:paraId="708195B4" w14:textId="77777777" w:rsidR="00C91A9D" w:rsidRPr="00C91A9D" w:rsidRDefault="00C91A9D" w:rsidP="005534DC">
            <w:pPr>
              <w:pStyle w:val="TableBody"/>
            </w:pPr>
            <w:r w:rsidRPr="00C91A9D">
              <w:t>39</w:t>
            </w:r>
          </w:p>
        </w:tc>
        <w:tc>
          <w:tcPr>
            <w:tcW w:w="1160" w:type="pct"/>
            <w:noWrap/>
            <w:hideMark/>
          </w:tcPr>
          <w:p w14:paraId="36590637" w14:textId="77777777" w:rsidR="00C91A9D" w:rsidRPr="00C91A9D" w:rsidRDefault="00C91A9D" w:rsidP="005534DC">
            <w:pPr>
              <w:pStyle w:val="TableBody"/>
            </w:pPr>
            <w:r w:rsidRPr="00C91A9D">
              <w:t>244</w:t>
            </w:r>
          </w:p>
        </w:tc>
        <w:tc>
          <w:tcPr>
            <w:tcW w:w="1160" w:type="pct"/>
            <w:noWrap/>
            <w:hideMark/>
          </w:tcPr>
          <w:p w14:paraId="10502E25" w14:textId="77777777" w:rsidR="00C91A9D" w:rsidRPr="00C91A9D" w:rsidRDefault="00C91A9D" w:rsidP="005534DC">
            <w:pPr>
              <w:pStyle w:val="TableBody"/>
            </w:pPr>
            <w:r w:rsidRPr="00C91A9D">
              <w:t>187</w:t>
            </w:r>
          </w:p>
        </w:tc>
      </w:tr>
      <w:tr w:rsidR="00C91A9D" w:rsidRPr="00C91A9D" w14:paraId="63A56980" w14:textId="77777777" w:rsidTr="005534DC">
        <w:trPr>
          <w:trHeight w:val="290"/>
        </w:trPr>
        <w:tc>
          <w:tcPr>
            <w:tcW w:w="696" w:type="pct"/>
            <w:noWrap/>
            <w:hideMark/>
          </w:tcPr>
          <w:p w14:paraId="7B2AB34E" w14:textId="77777777" w:rsidR="00C91A9D" w:rsidRPr="00C91A9D" w:rsidRDefault="00C91A9D" w:rsidP="005534DC">
            <w:pPr>
              <w:pStyle w:val="TableBody"/>
            </w:pPr>
            <w:r w:rsidRPr="00C91A9D">
              <w:t>2017</w:t>
            </w:r>
          </w:p>
        </w:tc>
        <w:tc>
          <w:tcPr>
            <w:tcW w:w="991" w:type="pct"/>
            <w:noWrap/>
            <w:hideMark/>
          </w:tcPr>
          <w:p w14:paraId="302DA8B4" w14:textId="77777777" w:rsidR="00C91A9D" w:rsidRPr="00C91A9D" w:rsidRDefault="00C91A9D" w:rsidP="005534DC">
            <w:pPr>
              <w:pStyle w:val="TableBody"/>
            </w:pPr>
            <w:r w:rsidRPr="00C91A9D">
              <w:t>52</w:t>
            </w:r>
          </w:p>
        </w:tc>
        <w:tc>
          <w:tcPr>
            <w:tcW w:w="991" w:type="pct"/>
            <w:noWrap/>
            <w:hideMark/>
          </w:tcPr>
          <w:p w14:paraId="62ADD47C" w14:textId="77777777" w:rsidR="00C91A9D" w:rsidRPr="00C91A9D" w:rsidRDefault="00C91A9D" w:rsidP="005534DC">
            <w:pPr>
              <w:pStyle w:val="TableBody"/>
            </w:pPr>
            <w:r w:rsidRPr="00C91A9D">
              <w:t>38</w:t>
            </w:r>
          </w:p>
        </w:tc>
        <w:tc>
          <w:tcPr>
            <w:tcW w:w="1160" w:type="pct"/>
            <w:noWrap/>
            <w:hideMark/>
          </w:tcPr>
          <w:p w14:paraId="41BD83BF" w14:textId="77777777" w:rsidR="00C91A9D" w:rsidRPr="00C91A9D" w:rsidRDefault="00C91A9D" w:rsidP="005534DC">
            <w:pPr>
              <w:pStyle w:val="TableBody"/>
            </w:pPr>
            <w:r w:rsidRPr="00C91A9D">
              <w:t>325</w:t>
            </w:r>
          </w:p>
        </w:tc>
        <w:tc>
          <w:tcPr>
            <w:tcW w:w="1160" w:type="pct"/>
            <w:noWrap/>
            <w:hideMark/>
          </w:tcPr>
          <w:p w14:paraId="1E74030A" w14:textId="77777777" w:rsidR="00C91A9D" w:rsidRPr="00C91A9D" w:rsidRDefault="00C91A9D" w:rsidP="005534DC">
            <w:pPr>
              <w:pStyle w:val="TableBody"/>
            </w:pPr>
            <w:r w:rsidRPr="00C91A9D">
              <w:t>221</w:t>
            </w:r>
          </w:p>
        </w:tc>
      </w:tr>
      <w:tr w:rsidR="00C91A9D" w:rsidRPr="00C91A9D" w14:paraId="64F6EF96" w14:textId="77777777" w:rsidTr="005534DC">
        <w:trPr>
          <w:trHeight w:val="290"/>
        </w:trPr>
        <w:tc>
          <w:tcPr>
            <w:tcW w:w="696" w:type="pct"/>
            <w:noWrap/>
            <w:hideMark/>
          </w:tcPr>
          <w:p w14:paraId="5BCD4FA8" w14:textId="77777777" w:rsidR="00C91A9D" w:rsidRPr="00C91A9D" w:rsidRDefault="00C91A9D" w:rsidP="005534DC">
            <w:pPr>
              <w:pStyle w:val="TableBody"/>
            </w:pPr>
            <w:r w:rsidRPr="00C91A9D">
              <w:t>2018</w:t>
            </w:r>
          </w:p>
        </w:tc>
        <w:tc>
          <w:tcPr>
            <w:tcW w:w="991" w:type="pct"/>
            <w:noWrap/>
            <w:hideMark/>
          </w:tcPr>
          <w:p w14:paraId="6E75B90B" w14:textId="77777777" w:rsidR="00C91A9D" w:rsidRPr="00C91A9D" w:rsidRDefault="00C91A9D" w:rsidP="005534DC">
            <w:pPr>
              <w:pStyle w:val="TableBody"/>
            </w:pPr>
            <w:r w:rsidRPr="00C91A9D">
              <w:t>81</w:t>
            </w:r>
          </w:p>
        </w:tc>
        <w:tc>
          <w:tcPr>
            <w:tcW w:w="991" w:type="pct"/>
            <w:noWrap/>
            <w:hideMark/>
          </w:tcPr>
          <w:p w14:paraId="3548D31B" w14:textId="77777777" w:rsidR="00C91A9D" w:rsidRPr="00C91A9D" w:rsidRDefault="00C91A9D" w:rsidP="005534DC">
            <w:pPr>
              <w:pStyle w:val="TableBody"/>
            </w:pPr>
            <w:r w:rsidRPr="00C91A9D">
              <w:t>53</w:t>
            </w:r>
          </w:p>
        </w:tc>
        <w:tc>
          <w:tcPr>
            <w:tcW w:w="1160" w:type="pct"/>
            <w:noWrap/>
            <w:hideMark/>
          </w:tcPr>
          <w:p w14:paraId="45D7933E" w14:textId="77777777" w:rsidR="00C91A9D" w:rsidRPr="00C91A9D" w:rsidRDefault="00C91A9D" w:rsidP="005534DC">
            <w:pPr>
              <w:pStyle w:val="TableBody"/>
            </w:pPr>
            <w:r w:rsidRPr="00C91A9D">
              <w:t>319</w:t>
            </w:r>
          </w:p>
        </w:tc>
        <w:tc>
          <w:tcPr>
            <w:tcW w:w="1160" w:type="pct"/>
            <w:noWrap/>
            <w:hideMark/>
          </w:tcPr>
          <w:p w14:paraId="7A388298" w14:textId="77777777" w:rsidR="00C91A9D" w:rsidRPr="00C91A9D" w:rsidRDefault="00C91A9D" w:rsidP="005534DC">
            <w:pPr>
              <w:pStyle w:val="TableBody"/>
            </w:pPr>
            <w:r w:rsidRPr="00C91A9D">
              <w:t>229</w:t>
            </w:r>
          </w:p>
        </w:tc>
      </w:tr>
      <w:tr w:rsidR="00C91A9D" w:rsidRPr="00C91A9D" w14:paraId="615189F0" w14:textId="77777777" w:rsidTr="005534DC">
        <w:trPr>
          <w:trHeight w:val="290"/>
        </w:trPr>
        <w:tc>
          <w:tcPr>
            <w:tcW w:w="696" w:type="pct"/>
            <w:noWrap/>
            <w:hideMark/>
          </w:tcPr>
          <w:p w14:paraId="70523CC2" w14:textId="77777777" w:rsidR="00C91A9D" w:rsidRPr="00C91A9D" w:rsidRDefault="00C91A9D" w:rsidP="005534DC">
            <w:pPr>
              <w:pStyle w:val="TableBody"/>
            </w:pPr>
            <w:r w:rsidRPr="00C91A9D">
              <w:t>2019</w:t>
            </w:r>
          </w:p>
        </w:tc>
        <w:tc>
          <w:tcPr>
            <w:tcW w:w="991" w:type="pct"/>
            <w:noWrap/>
            <w:hideMark/>
          </w:tcPr>
          <w:p w14:paraId="1DF1D491" w14:textId="77777777" w:rsidR="00C91A9D" w:rsidRPr="00C91A9D" w:rsidRDefault="00C91A9D" w:rsidP="005534DC">
            <w:pPr>
              <w:pStyle w:val="TableBody"/>
            </w:pPr>
            <w:r w:rsidRPr="00C91A9D">
              <w:t>94</w:t>
            </w:r>
          </w:p>
        </w:tc>
        <w:tc>
          <w:tcPr>
            <w:tcW w:w="991" w:type="pct"/>
            <w:noWrap/>
            <w:hideMark/>
          </w:tcPr>
          <w:p w14:paraId="61747C57" w14:textId="77777777" w:rsidR="00C91A9D" w:rsidRPr="00C91A9D" w:rsidRDefault="00C91A9D" w:rsidP="005534DC">
            <w:pPr>
              <w:pStyle w:val="TableBody"/>
            </w:pPr>
            <w:r w:rsidRPr="00C91A9D">
              <w:t>54</w:t>
            </w:r>
          </w:p>
        </w:tc>
        <w:tc>
          <w:tcPr>
            <w:tcW w:w="1160" w:type="pct"/>
            <w:noWrap/>
            <w:hideMark/>
          </w:tcPr>
          <w:p w14:paraId="4CD30240" w14:textId="77777777" w:rsidR="00C91A9D" w:rsidRPr="00C91A9D" w:rsidRDefault="00C91A9D" w:rsidP="005534DC">
            <w:pPr>
              <w:pStyle w:val="TableBody"/>
            </w:pPr>
            <w:r w:rsidRPr="00C91A9D">
              <w:t>295</w:t>
            </w:r>
          </w:p>
        </w:tc>
        <w:tc>
          <w:tcPr>
            <w:tcW w:w="1160" w:type="pct"/>
            <w:noWrap/>
            <w:hideMark/>
          </w:tcPr>
          <w:p w14:paraId="560A39A0" w14:textId="77777777" w:rsidR="00C91A9D" w:rsidRPr="00C91A9D" w:rsidRDefault="00C91A9D" w:rsidP="005534DC">
            <w:pPr>
              <w:pStyle w:val="TableBody"/>
            </w:pPr>
            <w:r w:rsidRPr="00C91A9D">
              <w:t>225</w:t>
            </w:r>
          </w:p>
        </w:tc>
      </w:tr>
    </w:tbl>
    <w:p w14:paraId="0EF601C6" w14:textId="77777777" w:rsidR="00EF5C25" w:rsidRPr="007F530F" w:rsidRDefault="00EF5C25" w:rsidP="006B1610">
      <w:pPr>
        <w:pStyle w:val="Numbered"/>
      </w:pPr>
      <w:r w:rsidRPr="007F530F">
        <w:t xml:space="preserve">Table 4 shows which sexual assault offences were sentenced during the reference period. The most common offences were indecent assault and sexual assault, contrary to sections 39 and 40 of the </w:t>
      </w:r>
      <w:r w:rsidRPr="00D62402">
        <w:rPr>
          <w:rStyle w:val="Emphasis"/>
        </w:rPr>
        <w:t xml:space="preserve">Crimes Act 1958 </w:t>
      </w:r>
      <w:r w:rsidRPr="007F530F">
        <w:t>(Vic), respectively. The Magistrates’ Court dealt with the majority of both charges (70%) and cases (78%) of sexual assault offences.</w:t>
      </w:r>
    </w:p>
    <w:p w14:paraId="29CA1B55" w14:textId="77777777" w:rsidR="00770A9B" w:rsidRDefault="00770A9B" w:rsidP="00D00197">
      <w:pPr>
        <w:pStyle w:val="Caption"/>
        <w:sectPr w:rsidR="00770A9B" w:rsidSect="00D6349A">
          <w:pgSz w:w="11906" w:h="16838"/>
          <w:pgMar w:top="1440" w:right="1440" w:bottom="1440" w:left="1440" w:header="720" w:footer="720" w:gutter="0"/>
          <w:cols w:space="720"/>
          <w:noEndnote/>
          <w:docGrid w:linePitch="326"/>
        </w:sectPr>
      </w:pPr>
    </w:p>
    <w:p w14:paraId="0EAED044" w14:textId="193538A0" w:rsidR="00EF5C25" w:rsidRPr="007F530F" w:rsidRDefault="00EF5C25" w:rsidP="00D00197">
      <w:pPr>
        <w:pStyle w:val="Caption"/>
      </w:pPr>
      <w:r w:rsidRPr="00D00197">
        <w:lastRenderedPageBreak/>
        <w:t xml:space="preserve">Table 4: </w:t>
      </w:r>
      <w:r w:rsidRPr="007F530F">
        <w:t>Number of sexual assault offences and cases sentenced in Victoria, 2010 to 2019, by operational period and statutory reference (3,644 charges and 2,393 cases)</w:t>
      </w:r>
    </w:p>
    <w:tbl>
      <w:tblPr>
        <w:tblStyle w:val="Table"/>
        <w:tblpPr w:leftFromText="181" w:rightFromText="181" w:bottomFromText="240" w:vertAnchor="text" w:tblpY="1"/>
        <w:tblOverlap w:val="never"/>
        <w:tblW w:w="5057" w:type="pct"/>
        <w:tblLook w:val="0020" w:firstRow="1" w:lastRow="0" w:firstColumn="0" w:lastColumn="0" w:noHBand="0" w:noVBand="0"/>
      </w:tblPr>
      <w:tblGrid>
        <w:gridCol w:w="2243"/>
        <w:gridCol w:w="1639"/>
        <w:gridCol w:w="1927"/>
        <w:gridCol w:w="1532"/>
        <w:gridCol w:w="1495"/>
        <w:gridCol w:w="1332"/>
        <w:gridCol w:w="2006"/>
        <w:gridCol w:w="1933"/>
      </w:tblGrid>
      <w:tr w:rsidR="00B216C9" w:rsidRPr="007F530F" w14:paraId="15ABDEB8" w14:textId="77777777" w:rsidTr="00B216C9">
        <w:trPr>
          <w:trHeight w:val="60"/>
        </w:trPr>
        <w:tc>
          <w:tcPr>
            <w:tcW w:w="795" w:type="pct"/>
          </w:tcPr>
          <w:p w14:paraId="05C60216" w14:textId="71FCE4F1" w:rsidR="00D54C7F" w:rsidRPr="00554AB2" w:rsidRDefault="00D54C7F" w:rsidP="00554AB2">
            <w:pPr>
              <w:pStyle w:val="TableHeading"/>
            </w:pPr>
            <w:r w:rsidRPr="00554AB2">
              <w:t>Offence</w:t>
            </w:r>
          </w:p>
        </w:tc>
        <w:tc>
          <w:tcPr>
            <w:tcW w:w="581" w:type="pct"/>
          </w:tcPr>
          <w:p w14:paraId="184AC89B" w14:textId="0DE7F1E8" w:rsidR="00D54C7F" w:rsidRPr="00554AB2" w:rsidRDefault="00D54C7F" w:rsidP="00554AB2">
            <w:pPr>
              <w:pStyle w:val="TableHeading"/>
            </w:pPr>
            <w:r w:rsidRPr="00554AB2">
              <w:t>Statutory reference</w:t>
            </w:r>
            <w:r w:rsidRPr="00554AB2">
              <w:br/>
            </w:r>
            <w:r w:rsidRPr="00144CD4">
              <w:rPr>
                <w:rStyle w:val="Emphasis"/>
              </w:rPr>
              <w:t xml:space="preserve">Crimes Act 1958 </w:t>
            </w:r>
            <w:r w:rsidRPr="00554AB2">
              <w:t>(Vic)</w:t>
            </w:r>
          </w:p>
        </w:tc>
        <w:tc>
          <w:tcPr>
            <w:tcW w:w="683" w:type="pct"/>
          </w:tcPr>
          <w:p w14:paraId="07FEA825" w14:textId="16380A9B" w:rsidR="00D54C7F" w:rsidRPr="00554AB2" w:rsidRDefault="00D54C7F" w:rsidP="00554AB2">
            <w:pPr>
              <w:pStyle w:val="TableHeading"/>
              <w:rPr>
                <w:rStyle w:val="Strong"/>
                <w:b/>
                <w:bCs w:val="0"/>
              </w:rPr>
            </w:pPr>
            <w:r w:rsidRPr="00554AB2">
              <w:t>Operational period</w:t>
            </w:r>
          </w:p>
        </w:tc>
        <w:tc>
          <w:tcPr>
            <w:tcW w:w="543" w:type="pct"/>
          </w:tcPr>
          <w:p w14:paraId="4F855202" w14:textId="7EFB8E0F" w:rsidR="00D54C7F" w:rsidRPr="00554AB2" w:rsidRDefault="00D54C7F" w:rsidP="00554AB2">
            <w:pPr>
              <w:pStyle w:val="TableHeading"/>
            </w:pPr>
            <w:r w:rsidRPr="00554AB2">
              <w:t>Maximum penalty</w:t>
            </w:r>
          </w:p>
        </w:tc>
        <w:tc>
          <w:tcPr>
            <w:tcW w:w="530" w:type="pct"/>
          </w:tcPr>
          <w:p w14:paraId="48A7E3E7" w14:textId="677DD0B6" w:rsidR="00D54C7F" w:rsidRPr="00554AB2" w:rsidRDefault="00D54C7F" w:rsidP="00554AB2">
            <w:pPr>
              <w:pStyle w:val="TableHeading"/>
            </w:pPr>
            <w:r w:rsidRPr="00554AB2">
              <w:t>Higher courts charges</w:t>
            </w:r>
          </w:p>
        </w:tc>
        <w:tc>
          <w:tcPr>
            <w:tcW w:w="472" w:type="pct"/>
          </w:tcPr>
          <w:p w14:paraId="6BDEF234" w14:textId="60BCBE7E" w:rsidR="00D54C7F" w:rsidRPr="00554AB2" w:rsidRDefault="00D54C7F" w:rsidP="00554AB2">
            <w:pPr>
              <w:pStyle w:val="TableHeading"/>
            </w:pPr>
            <w:r w:rsidRPr="00554AB2">
              <w:t>Higher courts cases</w:t>
            </w:r>
          </w:p>
        </w:tc>
        <w:tc>
          <w:tcPr>
            <w:tcW w:w="711" w:type="pct"/>
          </w:tcPr>
          <w:p w14:paraId="62FE9433" w14:textId="43E4C296" w:rsidR="00D54C7F" w:rsidRPr="00554AB2" w:rsidRDefault="00D54C7F" w:rsidP="00554AB2">
            <w:pPr>
              <w:pStyle w:val="TableHeading"/>
            </w:pPr>
            <w:r w:rsidRPr="00554AB2">
              <w:t>Magistrates’ Court charges</w:t>
            </w:r>
          </w:p>
        </w:tc>
        <w:tc>
          <w:tcPr>
            <w:tcW w:w="685" w:type="pct"/>
          </w:tcPr>
          <w:p w14:paraId="5B88442A" w14:textId="3A09D407" w:rsidR="00D54C7F" w:rsidRPr="00554AB2" w:rsidRDefault="00D54C7F" w:rsidP="00554AB2">
            <w:pPr>
              <w:pStyle w:val="TableHeading"/>
            </w:pPr>
            <w:r w:rsidRPr="00554AB2">
              <w:t>Magistrates’ Court cases</w:t>
            </w:r>
          </w:p>
        </w:tc>
      </w:tr>
      <w:tr w:rsidR="00B216C9" w:rsidRPr="007F530F" w14:paraId="2D041B19" w14:textId="77777777" w:rsidTr="00B216C9">
        <w:trPr>
          <w:trHeight w:val="60"/>
        </w:trPr>
        <w:tc>
          <w:tcPr>
            <w:tcW w:w="795" w:type="pct"/>
          </w:tcPr>
          <w:p w14:paraId="5163DE07" w14:textId="77777777" w:rsidR="00EF5C25" w:rsidRPr="009A5F98" w:rsidRDefault="00EF5C25" w:rsidP="009A5F98">
            <w:pPr>
              <w:pStyle w:val="TableBody"/>
            </w:pPr>
            <w:r w:rsidRPr="009A5F98">
              <w:t>Indecent assault</w:t>
            </w:r>
          </w:p>
        </w:tc>
        <w:tc>
          <w:tcPr>
            <w:tcW w:w="581" w:type="pct"/>
          </w:tcPr>
          <w:p w14:paraId="7F49A661" w14:textId="77777777" w:rsidR="00EF5C25" w:rsidRPr="009A5F98" w:rsidRDefault="00EF5C25" w:rsidP="009A5F98">
            <w:pPr>
              <w:pStyle w:val="TableBody"/>
            </w:pPr>
            <w:r w:rsidRPr="009A5F98">
              <w:t>Section 42</w:t>
            </w:r>
          </w:p>
        </w:tc>
        <w:tc>
          <w:tcPr>
            <w:tcW w:w="683" w:type="pct"/>
          </w:tcPr>
          <w:p w14:paraId="4780DBDC" w14:textId="77777777" w:rsidR="00EF5C25" w:rsidRPr="00002AAF" w:rsidRDefault="00EF5C25" w:rsidP="00002AAF">
            <w:pPr>
              <w:pStyle w:val="TableBody"/>
            </w:pPr>
            <w:r w:rsidRPr="002B02B8">
              <w:rPr>
                <w:rStyle w:val="Strong"/>
              </w:rPr>
              <w:t>From</w:t>
            </w:r>
            <w:r w:rsidRPr="00002AAF">
              <w:t xml:space="preserve"> 5 August 1991</w:t>
            </w:r>
            <w:r w:rsidRPr="00002AAF">
              <w:br/>
            </w:r>
            <w:r w:rsidRPr="002B02B8">
              <w:rPr>
                <w:rStyle w:val="Strong"/>
              </w:rPr>
              <w:t>To</w:t>
            </w:r>
            <w:r w:rsidRPr="00002AAF">
              <w:t xml:space="preserve"> 31 December 1991</w:t>
            </w:r>
          </w:p>
        </w:tc>
        <w:tc>
          <w:tcPr>
            <w:tcW w:w="543" w:type="pct"/>
          </w:tcPr>
          <w:p w14:paraId="357F743E" w14:textId="77777777" w:rsidR="00EF5C25" w:rsidRPr="009A5F98" w:rsidRDefault="00EF5C25" w:rsidP="009A5F98">
            <w:pPr>
              <w:pStyle w:val="TableBody"/>
            </w:pPr>
            <w:r w:rsidRPr="009A5F98">
              <w:t>5 years</w:t>
            </w:r>
          </w:p>
        </w:tc>
        <w:tc>
          <w:tcPr>
            <w:tcW w:w="530" w:type="pct"/>
          </w:tcPr>
          <w:p w14:paraId="759B48E2" w14:textId="77777777" w:rsidR="00EF5C25" w:rsidRPr="009A5F98" w:rsidRDefault="00EF5C25" w:rsidP="009A5F98">
            <w:pPr>
              <w:pStyle w:val="TableBody"/>
            </w:pPr>
            <w:r w:rsidRPr="009A5F98">
              <w:t>3</w:t>
            </w:r>
          </w:p>
        </w:tc>
        <w:tc>
          <w:tcPr>
            <w:tcW w:w="472" w:type="pct"/>
          </w:tcPr>
          <w:p w14:paraId="6148088D" w14:textId="77777777" w:rsidR="00EF5C25" w:rsidRPr="009A5F98" w:rsidRDefault="00EF5C25" w:rsidP="009A5F98">
            <w:pPr>
              <w:pStyle w:val="TableBody"/>
            </w:pPr>
            <w:r w:rsidRPr="009A5F98">
              <w:t>2</w:t>
            </w:r>
          </w:p>
        </w:tc>
        <w:tc>
          <w:tcPr>
            <w:tcW w:w="711" w:type="pct"/>
          </w:tcPr>
          <w:p w14:paraId="237CEC34" w14:textId="77777777" w:rsidR="00EF5C25" w:rsidRPr="009A5F98" w:rsidRDefault="00EF5C25" w:rsidP="009A5F98">
            <w:pPr>
              <w:pStyle w:val="TableBody"/>
            </w:pPr>
            <w:r w:rsidRPr="009A5F98">
              <w:t>3</w:t>
            </w:r>
          </w:p>
        </w:tc>
        <w:tc>
          <w:tcPr>
            <w:tcW w:w="685" w:type="pct"/>
          </w:tcPr>
          <w:p w14:paraId="0A7E5EB6" w14:textId="77777777" w:rsidR="00EF5C25" w:rsidRPr="009A5F98" w:rsidRDefault="00EF5C25" w:rsidP="009A5F98">
            <w:pPr>
              <w:pStyle w:val="TableBody"/>
            </w:pPr>
            <w:r w:rsidRPr="009A5F98">
              <w:t>1</w:t>
            </w:r>
          </w:p>
        </w:tc>
      </w:tr>
      <w:tr w:rsidR="00B216C9" w:rsidRPr="007F530F" w14:paraId="2080B5C7" w14:textId="77777777" w:rsidTr="00B216C9">
        <w:trPr>
          <w:trHeight w:val="60"/>
        </w:trPr>
        <w:tc>
          <w:tcPr>
            <w:tcW w:w="795" w:type="pct"/>
          </w:tcPr>
          <w:p w14:paraId="119063A7" w14:textId="77777777" w:rsidR="00EF5C25" w:rsidRPr="009A5F98" w:rsidRDefault="00EF5C25" w:rsidP="009A5F98">
            <w:pPr>
              <w:pStyle w:val="TableBody"/>
            </w:pPr>
            <w:r w:rsidRPr="009A5F98">
              <w:t>Aggravated indecent assault</w:t>
            </w:r>
          </w:p>
        </w:tc>
        <w:tc>
          <w:tcPr>
            <w:tcW w:w="581" w:type="pct"/>
          </w:tcPr>
          <w:p w14:paraId="6B4BC1C7" w14:textId="77777777" w:rsidR="00EF5C25" w:rsidRPr="009A5F98" w:rsidRDefault="00EF5C25" w:rsidP="009A5F98">
            <w:pPr>
              <w:pStyle w:val="TableBody"/>
            </w:pPr>
            <w:r w:rsidRPr="009A5F98">
              <w:t>Section 43</w:t>
            </w:r>
          </w:p>
        </w:tc>
        <w:tc>
          <w:tcPr>
            <w:tcW w:w="683" w:type="pct"/>
          </w:tcPr>
          <w:p w14:paraId="5455CD67" w14:textId="77777777" w:rsidR="00EF5C25" w:rsidRPr="00002AAF" w:rsidRDefault="00EF5C25" w:rsidP="00002AAF">
            <w:pPr>
              <w:pStyle w:val="TableBody"/>
            </w:pPr>
            <w:r w:rsidRPr="002B02B8">
              <w:rPr>
                <w:rStyle w:val="Strong"/>
              </w:rPr>
              <w:t>From</w:t>
            </w:r>
            <w:r w:rsidRPr="00002AAF">
              <w:t xml:space="preserve"> 5 August 1991</w:t>
            </w:r>
            <w:r w:rsidRPr="00002AAF">
              <w:br/>
            </w:r>
            <w:r w:rsidRPr="002B02B8">
              <w:rPr>
                <w:rStyle w:val="Strong"/>
              </w:rPr>
              <w:t xml:space="preserve">To </w:t>
            </w:r>
            <w:r w:rsidRPr="00002AAF">
              <w:t>31 December 1991</w:t>
            </w:r>
          </w:p>
        </w:tc>
        <w:tc>
          <w:tcPr>
            <w:tcW w:w="543" w:type="pct"/>
          </w:tcPr>
          <w:p w14:paraId="7AB5C7A6" w14:textId="77777777" w:rsidR="00EF5C25" w:rsidRPr="009A5F98" w:rsidRDefault="00EF5C25" w:rsidP="009A5F98">
            <w:pPr>
              <w:pStyle w:val="TableBody"/>
            </w:pPr>
            <w:r w:rsidRPr="009A5F98">
              <w:t>10 years</w:t>
            </w:r>
          </w:p>
        </w:tc>
        <w:tc>
          <w:tcPr>
            <w:tcW w:w="530" w:type="pct"/>
          </w:tcPr>
          <w:p w14:paraId="2AB92657" w14:textId="77777777" w:rsidR="00EF5C25" w:rsidRPr="009A5F98" w:rsidRDefault="00EF5C25" w:rsidP="009A5F98">
            <w:pPr>
              <w:pStyle w:val="TableBody"/>
            </w:pPr>
            <w:r w:rsidRPr="009A5F98">
              <w:t>1</w:t>
            </w:r>
          </w:p>
        </w:tc>
        <w:tc>
          <w:tcPr>
            <w:tcW w:w="472" w:type="pct"/>
          </w:tcPr>
          <w:p w14:paraId="1C0094F9" w14:textId="77777777" w:rsidR="00EF5C25" w:rsidRPr="009A5F98" w:rsidRDefault="00EF5C25" w:rsidP="009A5F98">
            <w:pPr>
              <w:pStyle w:val="TableBody"/>
            </w:pPr>
            <w:r w:rsidRPr="009A5F98">
              <w:t>1</w:t>
            </w:r>
          </w:p>
        </w:tc>
        <w:tc>
          <w:tcPr>
            <w:tcW w:w="711" w:type="pct"/>
          </w:tcPr>
          <w:p w14:paraId="5D5FE53A" w14:textId="77777777" w:rsidR="00EF5C25" w:rsidRPr="009A5F98" w:rsidRDefault="00EF5C25" w:rsidP="009A5F98">
            <w:pPr>
              <w:pStyle w:val="TableBody"/>
            </w:pPr>
            <w:r w:rsidRPr="009A5F98">
              <w:t>0</w:t>
            </w:r>
          </w:p>
        </w:tc>
        <w:tc>
          <w:tcPr>
            <w:tcW w:w="685" w:type="pct"/>
          </w:tcPr>
          <w:p w14:paraId="42E9DAEE" w14:textId="77777777" w:rsidR="00EF5C25" w:rsidRPr="009A5F98" w:rsidRDefault="00EF5C25" w:rsidP="009A5F98">
            <w:pPr>
              <w:pStyle w:val="TableBody"/>
            </w:pPr>
            <w:r w:rsidRPr="009A5F98">
              <w:t>0</w:t>
            </w:r>
          </w:p>
        </w:tc>
      </w:tr>
      <w:tr w:rsidR="00B216C9" w:rsidRPr="007F530F" w14:paraId="23D4330B" w14:textId="77777777" w:rsidTr="00B216C9">
        <w:trPr>
          <w:trHeight w:val="60"/>
        </w:trPr>
        <w:tc>
          <w:tcPr>
            <w:tcW w:w="795" w:type="pct"/>
          </w:tcPr>
          <w:p w14:paraId="04CA5A8E" w14:textId="77777777" w:rsidR="00EF5C25" w:rsidRPr="009A5F98" w:rsidRDefault="00EF5C25" w:rsidP="009A5F98">
            <w:pPr>
              <w:pStyle w:val="TableBody"/>
            </w:pPr>
            <w:r w:rsidRPr="009A5F98">
              <w:t>Indecent assault</w:t>
            </w:r>
          </w:p>
        </w:tc>
        <w:tc>
          <w:tcPr>
            <w:tcW w:w="581" w:type="pct"/>
          </w:tcPr>
          <w:p w14:paraId="6200A318" w14:textId="77777777" w:rsidR="00EF5C25" w:rsidRPr="009A5F98" w:rsidRDefault="00EF5C25" w:rsidP="009A5F98">
            <w:pPr>
              <w:pStyle w:val="TableBody"/>
            </w:pPr>
            <w:r w:rsidRPr="009A5F98">
              <w:t>Section 39(1)</w:t>
            </w:r>
          </w:p>
        </w:tc>
        <w:tc>
          <w:tcPr>
            <w:tcW w:w="683" w:type="pct"/>
          </w:tcPr>
          <w:p w14:paraId="4D7DC1AF" w14:textId="77777777" w:rsidR="00EF5C25" w:rsidRPr="00002AAF" w:rsidRDefault="00EF5C25" w:rsidP="00002AAF">
            <w:pPr>
              <w:pStyle w:val="TableBody"/>
            </w:pPr>
            <w:r w:rsidRPr="002B02B8">
              <w:rPr>
                <w:rStyle w:val="Strong"/>
              </w:rPr>
              <w:t>From</w:t>
            </w:r>
            <w:r w:rsidRPr="00002AAF">
              <w:t xml:space="preserve"> 1 January 1992</w:t>
            </w:r>
            <w:r w:rsidRPr="00002AAF">
              <w:br/>
            </w:r>
            <w:r w:rsidRPr="002B02B8">
              <w:rPr>
                <w:rStyle w:val="Strong"/>
              </w:rPr>
              <w:t>To</w:t>
            </w:r>
            <w:r w:rsidRPr="00002AAF">
              <w:t xml:space="preserve"> 30 June 2015</w:t>
            </w:r>
          </w:p>
        </w:tc>
        <w:tc>
          <w:tcPr>
            <w:tcW w:w="543" w:type="pct"/>
          </w:tcPr>
          <w:p w14:paraId="6C7C3AFA" w14:textId="77777777" w:rsidR="00EF5C25" w:rsidRPr="009A5F98" w:rsidRDefault="00EF5C25" w:rsidP="009A5F98">
            <w:pPr>
              <w:pStyle w:val="TableBody"/>
            </w:pPr>
            <w:r w:rsidRPr="009A5F98">
              <w:t>10 years</w:t>
            </w:r>
          </w:p>
        </w:tc>
        <w:tc>
          <w:tcPr>
            <w:tcW w:w="530" w:type="pct"/>
          </w:tcPr>
          <w:p w14:paraId="74EF71F1" w14:textId="77777777" w:rsidR="00EF5C25" w:rsidRPr="009A5F98" w:rsidRDefault="00EF5C25" w:rsidP="009A5F98">
            <w:pPr>
              <w:pStyle w:val="TableBody"/>
            </w:pPr>
            <w:r w:rsidRPr="009A5F98">
              <w:t>923</w:t>
            </w:r>
          </w:p>
        </w:tc>
        <w:tc>
          <w:tcPr>
            <w:tcW w:w="472" w:type="pct"/>
          </w:tcPr>
          <w:p w14:paraId="20F324C3" w14:textId="77777777" w:rsidR="00EF5C25" w:rsidRPr="009A5F98" w:rsidRDefault="00EF5C25" w:rsidP="009A5F98">
            <w:pPr>
              <w:pStyle w:val="TableBody"/>
            </w:pPr>
            <w:r w:rsidRPr="009A5F98">
              <w:t>393</w:t>
            </w:r>
          </w:p>
        </w:tc>
        <w:tc>
          <w:tcPr>
            <w:tcW w:w="711" w:type="pct"/>
          </w:tcPr>
          <w:p w14:paraId="2AD60A35" w14:textId="77777777" w:rsidR="00EF5C25" w:rsidRPr="009A5F98" w:rsidRDefault="00EF5C25" w:rsidP="009A5F98">
            <w:pPr>
              <w:pStyle w:val="TableBody"/>
            </w:pPr>
            <w:r w:rsidRPr="009A5F98">
              <w:t>1,549</w:t>
            </w:r>
          </w:p>
        </w:tc>
        <w:tc>
          <w:tcPr>
            <w:tcW w:w="685" w:type="pct"/>
          </w:tcPr>
          <w:p w14:paraId="70526406" w14:textId="77777777" w:rsidR="00EF5C25" w:rsidRPr="009A5F98" w:rsidRDefault="00EF5C25" w:rsidP="009A5F98">
            <w:pPr>
              <w:pStyle w:val="TableBody"/>
            </w:pPr>
            <w:r w:rsidRPr="009A5F98">
              <w:t>1,145</w:t>
            </w:r>
          </w:p>
        </w:tc>
      </w:tr>
      <w:tr w:rsidR="00B216C9" w:rsidRPr="007F530F" w14:paraId="2EA3F5F0" w14:textId="77777777" w:rsidTr="00B216C9">
        <w:trPr>
          <w:trHeight w:val="60"/>
        </w:trPr>
        <w:tc>
          <w:tcPr>
            <w:tcW w:w="795" w:type="pct"/>
          </w:tcPr>
          <w:p w14:paraId="1EB6E006" w14:textId="77777777" w:rsidR="00EF5C25" w:rsidRPr="009A5F98" w:rsidRDefault="00EF5C25" w:rsidP="009A5F98">
            <w:pPr>
              <w:pStyle w:val="TableBody"/>
            </w:pPr>
            <w:r w:rsidRPr="009A5F98">
              <w:t>Assault with intent to rape</w:t>
            </w:r>
          </w:p>
        </w:tc>
        <w:tc>
          <w:tcPr>
            <w:tcW w:w="581" w:type="pct"/>
          </w:tcPr>
          <w:p w14:paraId="68BD1467" w14:textId="77777777" w:rsidR="00EF5C25" w:rsidRPr="009A5F98" w:rsidRDefault="00EF5C25" w:rsidP="009A5F98">
            <w:pPr>
              <w:pStyle w:val="TableBody"/>
            </w:pPr>
            <w:r w:rsidRPr="009A5F98">
              <w:t>Section 40(1)</w:t>
            </w:r>
          </w:p>
        </w:tc>
        <w:tc>
          <w:tcPr>
            <w:tcW w:w="683" w:type="pct"/>
          </w:tcPr>
          <w:p w14:paraId="38C4A589" w14:textId="77777777" w:rsidR="00EF5C25" w:rsidRPr="00002AAF" w:rsidRDefault="00EF5C25" w:rsidP="00002AAF">
            <w:pPr>
              <w:pStyle w:val="TableBody"/>
            </w:pPr>
            <w:r w:rsidRPr="002B02B8">
              <w:rPr>
                <w:rStyle w:val="Strong"/>
              </w:rPr>
              <w:t>From</w:t>
            </w:r>
            <w:r w:rsidRPr="00002AAF">
              <w:t xml:space="preserve"> 15 August 1993</w:t>
            </w:r>
            <w:r w:rsidRPr="00002AAF">
              <w:br/>
            </w:r>
            <w:r w:rsidRPr="002B02B8">
              <w:rPr>
                <w:rStyle w:val="Strong"/>
              </w:rPr>
              <w:t>To</w:t>
            </w:r>
            <w:r w:rsidRPr="00002AAF">
              <w:t xml:space="preserve"> 30 June 2015</w:t>
            </w:r>
          </w:p>
        </w:tc>
        <w:tc>
          <w:tcPr>
            <w:tcW w:w="543" w:type="pct"/>
          </w:tcPr>
          <w:p w14:paraId="6B0F44BF" w14:textId="77777777" w:rsidR="00EF5C25" w:rsidRPr="009A5F98" w:rsidRDefault="00EF5C25" w:rsidP="009A5F98">
            <w:pPr>
              <w:pStyle w:val="TableBody"/>
            </w:pPr>
            <w:r w:rsidRPr="009A5F98">
              <w:t>10 years</w:t>
            </w:r>
          </w:p>
        </w:tc>
        <w:tc>
          <w:tcPr>
            <w:tcW w:w="530" w:type="pct"/>
          </w:tcPr>
          <w:p w14:paraId="43CD3445" w14:textId="77777777" w:rsidR="00EF5C25" w:rsidRPr="009A5F98" w:rsidRDefault="00EF5C25" w:rsidP="009A5F98">
            <w:pPr>
              <w:pStyle w:val="TableBody"/>
            </w:pPr>
            <w:r w:rsidRPr="009A5F98">
              <w:t>20</w:t>
            </w:r>
          </w:p>
        </w:tc>
        <w:tc>
          <w:tcPr>
            <w:tcW w:w="472" w:type="pct"/>
          </w:tcPr>
          <w:p w14:paraId="325B0FA9" w14:textId="77777777" w:rsidR="00EF5C25" w:rsidRPr="009A5F98" w:rsidRDefault="00EF5C25" w:rsidP="009A5F98">
            <w:pPr>
              <w:pStyle w:val="TableBody"/>
            </w:pPr>
            <w:r w:rsidRPr="009A5F98">
              <w:t>20</w:t>
            </w:r>
          </w:p>
        </w:tc>
        <w:tc>
          <w:tcPr>
            <w:tcW w:w="711" w:type="pct"/>
          </w:tcPr>
          <w:p w14:paraId="6A74A301" w14:textId="77777777" w:rsidR="00EF5C25" w:rsidRPr="009A5F98" w:rsidRDefault="00EF5C25" w:rsidP="009A5F98">
            <w:pPr>
              <w:pStyle w:val="TableBody"/>
            </w:pPr>
            <w:r w:rsidRPr="009A5F98">
              <w:t>5</w:t>
            </w:r>
          </w:p>
        </w:tc>
        <w:tc>
          <w:tcPr>
            <w:tcW w:w="685" w:type="pct"/>
          </w:tcPr>
          <w:p w14:paraId="179E4AB0" w14:textId="77777777" w:rsidR="00EF5C25" w:rsidRPr="009A5F98" w:rsidRDefault="00EF5C25" w:rsidP="009A5F98">
            <w:pPr>
              <w:pStyle w:val="TableBody"/>
            </w:pPr>
            <w:r w:rsidRPr="009A5F98">
              <w:t>5</w:t>
            </w:r>
          </w:p>
        </w:tc>
      </w:tr>
      <w:tr w:rsidR="00B216C9" w:rsidRPr="007F530F" w14:paraId="7DF4B0C3" w14:textId="77777777" w:rsidTr="00B216C9">
        <w:trPr>
          <w:trHeight w:val="60"/>
        </w:trPr>
        <w:tc>
          <w:tcPr>
            <w:tcW w:w="795" w:type="pct"/>
          </w:tcPr>
          <w:p w14:paraId="631ED446" w14:textId="77777777" w:rsidR="00EF5C25" w:rsidRPr="009A5F98" w:rsidRDefault="00EF5C25" w:rsidP="009A5F98">
            <w:pPr>
              <w:pStyle w:val="TableBody"/>
            </w:pPr>
            <w:r w:rsidRPr="009A5F98">
              <w:t>Sexual assault</w:t>
            </w:r>
          </w:p>
        </w:tc>
        <w:tc>
          <w:tcPr>
            <w:tcW w:w="581" w:type="pct"/>
          </w:tcPr>
          <w:p w14:paraId="30C26456" w14:textId="77777777" w:rsidR="00EF5C25" w:rsidRPr="009A5F98" w:rsidRDefault="00EF5C25" w:rsidP="009A5F98">
            <w:pPr>
              <w:pStyle w:val="TableBody"/>
            </w:pPr>
            <w:r w:rsidRPr="009A5F98">
              <w:t>Section 40(1)</w:t>
            </w:r>
          </w:p>
        </w:tc>
        <w:tc>
          <w:tcPr>
            <w:tcW w:w="683" w:type="pct"/>
          </w:tcPr>
          <w:p w14:paraId="2C900817" w14:textId="77777777" w:rsidR="00EF5C25" w:rsidRPr="00002AAF" w:rsidRDefault="00EF5C25" w:rsidP="00002AAF">
            <w:pPr>
              <w:pStyle w:val="TableBody"/>
            </w:pPr>
            <w:r w:rsidRPr="002B02B8">
              <w:rPr>
                <w:rStyle w:val="Strong"/>
              </w:rPr>
              <w:t>From</w:t>
            </w:r>
            <w:r w:rsidRPr="00002AAF">
              <w:t xml:space="preserve"> 1 July 2015</w:t>
            </w:r>
            <w:r w:rsidRPr="00002AAF">
              <w:br/>
            </w:r>
            <w:r w:rsidRPr="002B02B8">
              <w:rPr>
                <w:rStyle w:val="Strong"/>
              </w:rPr>
              <w:t>To</w:t>
            </w:r>
            <w:r w:rsidRPr="00002AAF">
              <w:t xml:space="preserve"> present</w:t>
            </w:r>
          </w:p>
        </w:tc>
        <w:tc>
          <w:tcPr>
            <w:tcW w:w="543" w:type="pct"/>
          </w:tcPr>
          <w:p w14:paraId="2C9333D2" w14:textId="77777777" w:rsidR="00EF5C25" w:rsidRPr="009A5F98" w:rsidRDefault="00EF5C25" w:rsidP="009A5F98">
            <w:pPr>
              <w:pStyle w:val="TableBody"/>
            </w:pPr>
            <w:r w:rsidRPr="009A5F98">
              <w:t>10 years</w:t>
            </w:r>
          </w:p>
        </w:tc>
        <w:tc>
          <w:tcPr>
            <w:tcW w:w="530" w:type="pct"/>
          </w:tcPr>
          <w:p w14:paraId="2637D47C" w14:textId="77777777" w:rsidR="00EF5C25" w:rsidRPr="009A5F98" w:rsidRDefault="00EF5C25" w:rsidP="009A5F98">
            <w:pPr>
              <w:pStyle w:val="TableBody"/>
            </w:pPr>
            <w:r w:rsidRPr="009A5F98">
              <w:t>130</w:t>
            </w:r>
          </w:p>
        </w:tc>
        <w:tc>
          <w:tcPr>
            <w:tcW w:w="472" w:type="pct"/>
          </w:tcPr>
          <w:p w14:paraId="46DF60AE" w14:textId="77777777" w:rsidR="00EF5C25" w:rsidRPr="009A5F98" w:rsidRDefault="00EF5C25" w:rsidP="009A5F98">
            <w:pPr>
              <w:pStyle w:val="TableBody"/>
            </w:pPr>
            <w:r w:rsidRPr="009A5F98">
              <w:t>99</w:t>
            </w:r>
          </w:p>
        </w:tc>
        <w:tc>
          <w:tcPr>
            <w:tcW w:w="711" w:type="pct"/>
          </w:tcPr>
          <w:p w14:paraId="028CBF91" w14:textId="77777777" w:rsidR="00EF5C25" w:rsidRPr="009A5F98" w:rsidRDefault="00EF5C25" w:rsidP="009A5F98">
            <w:pPr>
              <w:pStyle w:val="TableBody"/>
            </w:pPr>
            <w:r w:rsidRPr="009A5F98">
              <w:t>970</w:t>
            </w:r>
          </w:p>
        </w:tc>
        <w:tc>
          <w:tcPr>
            <w:tcW w:w="685" w:type="pct"/>
          </w:tcPr>
          <w:p w14:paraId="6C9DD4AC" w14:textId="77777777" w:rsidR="00EF5C25" w:rsidRPr="009A5F98" w:rsidRDefault="00EF5C25" w:rsidP="009A5F98">
            <w:pPr>
              <w:pStyle w:val="TableBody"/>
            </w:pPr>
            <w:r w:rsidRPr="009A5F98">
              <w:t>720</w:t>
            </w:r>
          </w:p>
        </w:tc>
      </w:tr>
      <w:tr w:rsidR="00B216C9" w:rsidRPr="007F530F" w14:paraId="7BF2B0F9" w14:textId="77777777" w:rsidTr="00B216C9">
        <w:trPr>
          <w:trHeight w:val="60"/>
        </w:trPr>
        <w:tc>
          <w:tcPr>
            <w:tcW w:w="795" w:type="pct"/>
          </w:tcPr>
          <w:p w14:paraId="2F2E175C" w14:textId="77777777" w:rsidR="00EF5C25" w:rsidRPr="009A5F98" w:rsidRDefault="00EF5C25" w:rsidP="009A5F98">
            <w:pPr>
              <w:pStyle w:val="TableBody"/>
            </w:pPr>
            <w:r w:rsidRPr="009A5F98">
              <w:t>Sexual assault by compelling sexual touching</w:t>
            </w:r>
          </w:p>
        </w:tc>
        <w:tc>
          <w:tcPr>
            <w:tcW w:w="581" w:type="pct"/>
          </w:tcPr>
          <w:p w14:paraId="1642FB44" w14:textId="77777777" w:rsidR="00EF5C25" w:rsidRPr="009A5F98" w:rsidRDefault="00EF5C25" w:rsidP="009A5F98">
            <w:pPr>
              <w:pStyle w:val="TableBody"/>
            </w:pPr>
            <w:r w:rsidRPr="009A5F98">
              <w:t>Section 41(1)</w:t>
            </w:r>
          </w:p>
        </w:tc>
        <w:tc>
          <w:tcPr>
            <w:tcW w:w="683" w:type="pct"/>
          </w:tcPr>
          <w:p w14:paraId="22AE2730" w14:textId="77777777" w:rsidR="00EF5C25" w:rsidRPr="00002AAF" w:rsidRDefault="00EF5C25" w:rsidP="00002AAF">
            <w:pPr>
              <w:pStyle w:val="TableBody"/>
            </w:pPr>
            <w:r w:rsidRPr="002B02B8">
              <w:rPr>
                <w:rStyle w:val="Strong"/>
              </w:rPr>
              <w:t>From</w:t>
            </w:r>
            <w:r w:rsidRPr="00002AAF">
              <w:t xml:space="preserve"> 1 July 2015</w:t>
            </w:r>
            <w:r w:rsidRPr="00002AAF">
              <w:br/>
            </w:r>
            <w:r w:rsidRPr="002B02B8">
              <w:rPr>
                <w:rStyle w:val="Strong"/>
              </w:rPr>
              <w:t>To</w:t>
            </w:r>
            <w:r w:rsidRPr="00002AAF">
              <w:t xml:space="preserve"> present</w:t>
            </w:r>
          </w:p>
        </w:tc>
        <w:tc>
          <w:tcPr>
            <w:tcW w:w="543" w:type="pct"/>
          </w:tcPr>
          <w:p w14:paraId="0E221ADB" w14:textId="77777777" w:rsidR="00EF5C25" w:rsidRPr="009A5F98" w:rsidRDefault="00EF5C25" w:rsidP="009A5F98">
            <w:pPr>
              <w:pStyle w:val="TableBody"/>
            </w:pPr>
            <w:r w:rsidRPr="009A5F98">
              <w:t>10 years</w:t>
            </w:r>
          </w:p>
        </w:tc>
        <w:tc>
          <w:tcPr>
            <w:tcW w:w="530" w:type="pct"/>
          </w:tcPr>
          <w:p w14:paraId="4D6D02CC" w14:textId="77777777" w:rsidR="00EF5C25" w:rsidRPr="009A5F98" w:rsidRDefault="00EF5C25" w:rsidP="009A5F98">
            <w:pPr>
              <w:pStyle w:val="TableBody"/>
            </w:pPr>
            <w:r w:rsidRPr="009A5F98">
              <w:t>4</w:t>
            </w:r>
          </w:p>
        </w:tc>
        <w:tc>
          <w:tcPr>
            <w:tcW w:w="472" w:type="pct"/>
          </w:tcPr>
          <w:p w14:paraId="6A1131A3" w14:textId="77777777" w:rsidR="00EF5C25" w:rsidRPr="009A5F98" w:rsidRDefault="00EF5C25" w:rsidP="009A5F98">
            <w:pPr>
              <w:pStyle w:val="TableBody"/>
            </w:pPr>
            <w:r w:rsidRPr="009A5F98">
              <w:t>4</w:t>
            </w:r>
          </w:p>
        </w:tc>
        <w:tc>
          <w:tcPr>
            <w:tcW w:w="711" w:type="pct"/>
          </w:tcPr>
          <w:p w14:paraId="30AA18C7" w14:textId="77777777" w:rsidR="00EF5C25" w:rsidRPr="009A5F98" w:rsidRDefault="00EF5C25" w:rsidP="009A5F98">
            <w:pPr>
              <w:pStyle w:val="TableBody"/>
            </w:pPr>
            <w:r w:rsidRPr="009A5F98">
              <w:t>11</w:t>
            </w:r>
          </w:p>
        </w:tc>
        <w:tc>
          <w:tcPr>
            <w:tcW w:w="685" w:type="pct"/>
          </w:tcPr>
          <w:p w14:paraId="0885469D" w14:textId="77777777" w:rsidR="00EF5C25" w:rsidRPr="009A5F98" w:rsidRDefault="00EF5C25" w:rsidP="009A5F98">
            <w:pPr>
              <w:pStyle w:val="TableBody"/>
            </w:pPr>
            <w:r w:rsidRPr="009A5F98">
              <w:t>11</w:t>
            </w:r>
          </w:p>
        </w:tc>
      </w:tr>
      <w:tr w:rsidR="00B216C9" w:rsidRPr="007F530F" w14:paraId="319E5349" w14:textId="77777777" w:rsidTr="00B216C9">
        <w:trPr>
          <w:trHeight w:val="60"/>
        </w:trPr>
        <w:tc>
          <w:tcPr>
            <w:tcW w:w="795" w:type="pct"/>
          </w:tcPr>
          <w:p w14:paraId="287C4CA6" w14:textId="77777777" w:rsidR="00EF5C25" w:rsidRPr="009A5F98" w:rsidRDefault="00EF5C25" w:rsidP="009A5F98">
            <w:pPr>
              <w:pStyle w:val="TableBody"/>
            </w:pPr>
            <w:r w:rsidRPr="009A5F98">
              <w:t>Assault with intent to commit a sexual offence</w:t>
            </w:r>
          </w:p>
        </w:tc>
        <w:tc>
          <w:tcPr>
            <w:tcW w:w="581" w:type="pct"/>
          </w:tcPr>
          <w:p w14:paraId="43955073" w14:textId="77777777" w:rsidR="00EF5C25" w:rsidRPr="009A5F98" w:rsidRDefault="00EF5C25" w:rsidP="009A5F98">
            <w:pPr>
              <w:pStyle w:val="TableBody"/>
            </w:pPr>
            <w:r w:rsidRPr="009A5F98">
              <w:t>Section 42(1)</w:t>
            </w:r>
          </w:p>
        </w:tc>
        <w:tc>
          <w:tcPr>
            <w:tcW w:w="683" w:type="pct"/>
          </w:tcPr>
          <w:p w14:paraId="523C24F1" w14:textId="77777777" w:rsidR="00EF5C25" w:rsidRPr="00002AAF" w:rsidRDefault="00EF5C25" w:rsidP="00002AAF">
            <w:pPr>
              <w:pStyle w:val="TableBody"/>
            </w:pPr>
            <w:r w:rsidRPr="002B02B8">
              <w:rPr>
                <w:rStyle w:val="Strong"/>
              </w:rPr>
              <w:t>From</w:t>
            </w:r>
            <w:r w:rsidRPr="00002AAF">
              <w:t xml:space="preserve"> 1 July 2015</w:t>
            </w:r>
            <w:r w:rsidRPr="00002AAF">
              <w:br/>
            </w:r>
            <w:r w:rsidRPr="002B02B8">
              <w:rPr>
                <w:rStyle w:val="Strong"/>
              </w:rPr>
              <w:t>To</w:t>
            </w:r>
            <w:r w:rsidRPr="00002AAF">
              <w:t xml:space="preserve"> present</w:t>
            </w:r>
          </w:p>
        </w:tc>
        <w:tc>
          <w:tcPr>
            <w:tcW w:w="543" w:type="pct"/>
          </w:tcPr>
          <w:p w14:paraId="6862113B" w14:textId="77777777" w:rsidR="00EF5C25" w:rsidRPr="009A5F98" w:rsidRDefault="00EF5C25" w:rsidP="009A5F98">
            <w:pPr>
              <w:pStyle w:val="TableBody"/>
            </w:pPr>
            <w:r w:rsidRPr="009A5F98">
              <w:t>15 years</w:t>
            </w:r>
          </w:p>
        </w:tc>
        <w:tc>
          <w:tcPr>
            <w:tcW w:w="530" w:type="pct"/>
          </w:tcPr>
          <w:p w14:paraId="153C02EA" w14:textId="77777777" w:rsidR="00EF5C25" w:rsidRPr="009A5F98" w:rsidRDefault="00EF5C25" w:rsidP="009A5F98">
            <w:pPr>
              <w:pStyle w:val="TableBody"/>
            </w:pPr>
            <w:r w:rsidRPr="009A5F98">
              <w:t>13</w:t>
            </w:r>
          </w:p>
        </w:tc>
        <w:tc>
          <w:tcPr>
            <w:tcW w:w="472" w:type="pct"/>
          </w:tcPr>
          <w:p w14:paraId="3A4895DD" w14:textId="77777777" w:rsidR="00EF5C25" w:rsidRPr="009A5F98" w:rsidRDefault="00EF5C25" w:rsidP="009A5F98">
            <w:pPr>
              <w:pStyle w:val="TableBody"/>
            </w:pPr>
            <w:r w:rsidRPr="009A5F98">
              <w:t>12</w:t>
            </w:r>
          </w:p>
        </w:tc>
        <w:tc>
          <w:tcPr>
            <w:tcW w:w="711" w:type="pct"/>
          </w:tcPr>
          <w:p w14:paraId="0DAA045F" w14:textId="77777777" w:rsidR="00EF5C25" w:rsidRPr="009A5F98" w:rsidRDefault="00EF5C25" w:rsidP="009A5F98">
            <w:pPr>
              <w:pStyle w:val="TableBody"/>
            </w:pPr>
            <w:r w:rsidRPr="009A5F98">
              <w:t>13</w:t>
            </w:r>
          </w:p>
        </w:tc>
        <w:tc>
          <w:tcPr>
            <w:tcW w:w="685" w:type="pct"/>
          </w:tcPr>
          <w:p w14:paraId="4E76761F" w14:textId="77777777" w:rsidR="00EF5C25" w:rsidRPr="009A5F98" w:rsidRDefault="00EF5C25" w:rsidP="009A5F98">
            <w:pPr>
              <w:pStyle w:val="TableBody"/>
            </w:pPr>
            <w:r w:rsidRPr="009A5F98">
              <w:t>13</w:t>
            </w:r>
          </w:p>
        </w:tc>
      </w:tr>
      <w:tr w:rsidR="00B216C9" w:rsidRPr="007F530F" w14:paraId="106A6BE0" w14:textId="77777777" w:rsidTr="00B216C9">
        <w:trPr>
          <w:trHeight w:val="60"/>
        </w:trPr>
        <w:tc>
          <w:tcPr>
            <w:tcW w:w="795" w:type="pct"/>
          </w:tcPr>
          <w:p w14:paraId="21EDF110" w14:textId="77777777" w:rsidR="00EF5C25" w:rsidRPr="00C327C6" w:rsidRDefault="00EF5C25" w:rsidP="009A5F98">
            <w:pPr>
              <w:pStyle w:val="TableBody"/>
              <w:rPr>
                <w:rStyle w:val="Strong"/>
              </w:rPr>
            </w:pPr>
            <w:r w:rsidRPr="00C327C6">
              <w:rPr>
                <w:rStyle w:val="Strong"/>
              </w:rPr>
              <w:t>Total</w:t>
            </w:r>
          </w:p>
        </w:tc>
        <w:tc>
          <w:tcPr>
            <w:tcW w:w="581" w:type="pct"/>
          </w:tcPr>
          <w:p w14:paraId="4045A89C" w14:textId="0FDC9640" w:rsidR="00EF5C25" w:rsidRPr="00C327C6" w:rsidRDefault="004D2EC6" w:rsidP="009A5F98">
            <w:pPr>
              <w:pStyle w:val="TableBody"/>
              <w:rPr>
                <w:rStyle w:val="Strong"/>
              </w:rPr>
            </w:pPr>
            <w:r w:rsidRPr="00C327C6">
              <w:rPr>
                <w:rStyle w:val="Strong"/>
              </w:rPr>
              <w:t>–</w:t>
            </w:r>
          </w:p>
        </w:tc>
        <w:tc>
          <w:tcPr>
            <w:tcW w:w="683" w:type="pct"/>
          </w:tcPr>
          <w:p w14:paraId="4B62528C" w14:textId="1C7CDD55" w:rsidR="00EF5C25" w:rsidRPr="00C327C6" w:rsidRDefault="004D2EC6" w:rsidP="009A5F98">
            <w:pPr>
              <w:pStyle w:val="TableBody"/>
              <w:rPr>
                <w:rStyle w:val="Strong"/>
              </w:rPr>
            </w:pPr>
            <w:r w:rsidRPr="00C327C6">
              <w:rPr>
                <w:rStyle w:val="Strong"/>
              </w:rPr>
              <w:t>–</w:t>
            </w:r>
          </w:p>
        </w:tc>
        <w:tc>
          <w:tcPr>
            <w:tcW w:w="543" w:type="pct"/>
          </w:tcPr>
          <w:p w14:paraId="16059197" w14:textId="7D43D5AD" w:rsidR="00EF5C25" w:rsidRPr="00C327C6" w:rsidRDefault="004D2EC6" w:rsidP="009A5F98">
            <w:pPr>
              <w:pStyle w:val="TableBody"/>
              <w:rPr>
                <w:rStyle w:val="Strong"/>
              </w:rPr>
            </w:pPr>
            <w:r w:rsidRPr="00C327C6">
              <w:rPr>
                <w:rStyle w:val="Strong"/>
              </w:rPr>
              <w:t>–</w:t>
            </w:r>
          </w:p>
        </w:tc>
        <w:tc>
          <w:tcPr>
            <w:tcW w:w="530" w:type="pct"/>
          </w:tcPr>
          <w:p w14:paraId="6EAF0154" w14:textId="77777777" w:rsidR="00EF5C25" w:rsidRPr="00C327C6" w:rsidRDefault="00EF5C25" w:rsidP="009A5F98">
            <w:pPr>
              <w:pStyle w:val="TableBody"/>
              <w:rPr>
                <w:rStyle w:val="Strong"/>
              </w:rPr>
            </w:pPr>
            <w:r w:rsidRPr="00C327C6">
              <w:rPr>
                <w:rStyle w:val="Strong"/>
              </w:rPr>
              <w:t>1,094</w:t>
            </w:r>
          </w:p>
        </w:tc>
        <w:tc>
          <w:tcPr>
            <w:tcW w:w="472" w:type="pct"/>
          </w:tcPr>
          <w:p w14:paraId="4AD2EB8D" w14:textId="77777777" w:rsidR="00EF5C25" w:rsidRPr="00C327C6" w:rsidRDefault="00EF5C25" w:rsidP="009A5F98">
            <w:pPr>
              <w:pStyle w:val="TableBody"/>
              <w:rPr>
                <w:rStyle w:val="Strong"/>
              </w:rPr>
            </w:pPr>
            <w:r w:rsidRPr="00C327C6">
              <w:rPr>
                <w:rStyle w:val="Strong"/>
              </w:rPr>
              <w:t>518a</w:t>
            </w:r>
          </w:p>
        </w:tc>
        <w:tc>
          <w:tcPr>
            <w:tcW w:w="711" w:type="pct"/>
          </w:tcPr>
          <w:p w14:paraId="18A359C4" w14:textId="77777777" w:rsidR="00EF5C25" w:rsidRPr="00C327C6" w:rsidRDefault="00EF5C25" w:rsidP="009A5F98">
            <w:pPr>
              <w:pStyle w:val="TableBody"/>
              <w:rPr>
                <w:rStyle w:val="Strong"/>
              </w:rPr>
            </w:pPr>
            <w:r w:rsidRPr="00C327C6">
              <w:rPr>
                <w:rStyle w:val="Strong"/>
              </w:rPr>
              <w:t>2,550</w:t>
            </w:r>
          </w:p>
        </w:tc>
        <w:tc>
          <w:tcPr>
            <w:tcW w:w="685" w:type="pct"/>
          </w:tcPr>
          <w:p w14:paraId="4DB76A00" w14:textId="77777777" w:rsidR="00EF5C25" w:rsidRPr="00C327C6" w:rsidRDefault="00EF5C25" w:rsidP="009A5F98">
            <w:pPr>
              <w:pStyle w:val="TableBody"/>
              <w:rPr>
                <w:rStyle w:val="Strong"/>
              </w:rPr>
            </w:pPr>
            <w:r w:rsidRPr="00C327C6">
              <w:rPr>
                <w:rStyle w:val="Strong"/>
              </w:rPr>
              <w:t>1,875a</w:t>
            </w:r>
          </w:p>
        </w:tc>
      </w:tr>
    </w:tbl>
    <w:p w14:paraId="2669E849" w14:textId="5B357CBF" w:rsidR="00EF5C25" w:rsidRPr="007F530F" w:rsidRDefault="00EF5C25" w:rsidP="004F2919">
      <w:pPr>
        <w:pStyle w:val="Footnote"/>
      </w:pPr>
      <w:r w:rsidRPr="007F530F">
        <w:t>a.</w:t>
      </w:r>
      <w:r w:rsidRPr="007F530F">
        <w:tab/>
        <w:t>The total number of cases for both court levels in Table 4 is lower than the sum of the respective rows above because there were cases in which sexual assault offences under different statutory provisions were sentenced together.</w:t>
      </w:r>
    </w:p>
    <w:p w14:paraId="673F9914" w14:textId="77777777" w:rsidR="00770A9B" w:rsidRDefault="00770A9B" w:rsidP="006633AA">
      <w:pPr>
        <w:pStyle w:val="Heading2"/>
        <w:sectPr w:rsidR="00770A9B" w:rsidSect="00256EAD">
          <w:pgSz w:w="16838" w:h="11906" w:orient="landscape"/>
          <w:pgMar w:top="1440" w:right="1440" w:bottom="1440" w:left="1440" w:header="720" w:footer="720" w:gutter="0"/>
          <w:cols w:space="720"/>
          <w:noEndnote/>
          <w:docGrid w:linePitch="326"/>
        </w:sectPr>
      </w:pPr>
    </w:p>
    <w:p w14:paraId="48010A31" w14:textId="4987511D" w:rsidR="00EF5C25" w:rsidRPr="007F530F" w:rsidRDefault="00EF5C25" w:rsidP="006633AA">
      <w:pPr>
        <w:pStyle w:val="Heading2"/>
      </w:pPr>
      <w:r w:rsidRPr="007F530F">
        <w:lastRenderedPageBreak/>
        <w:t>Sentence types imposed for sexual assault offences</w:t>
      </w:r>
    </w:p>
    <w:p w14:paraId="6AF0D330" w14:textId="47710ABF" w:rsidR="00EF5C25" w:rsidRPr="007F530F" w:rsidRDefault="00EF5C25" w:rsidP="006B1610">
      <w:pPr>
        <w:pStyle w:val="Numbered"/>
      </w:pPr>
      <w:r w:rsidRPr="007F530F">
        <w:t>Table 5 shows the prevalence of sentence types imposed for sexual assault offences in each jurisdiction during the reference period.</w:t>
      </w:r>
      <w:r w:rsidRPr="007F530F">
        <w:rPr>
          <w:rStyle w:val="Superscript"/>
        </w:rPr>
        <w:footnoteReference w:id="121"/>
      </w:r>
      <w:r w:rsidRPr="007F530F">
        <w:t xml:space="preserve"> As would be expected, charges sentenced in the higher courts were much more likely to receive an immediate custodial sentence (80%) than charges sentenced in the Magistrates’ Court (22%). The most common sentences imposed for sexual assault offences in the Magistrates’ Court were community orders (35%). </w:t>
      </w:r>
    </w:p>
    <w:p w14:paraId="33E2CD07" w14:textId="77777777" w:rsidR="00EF5C25" w:rsidRPr="007F530F" w:rsidRDefault="00EF5C25" w:rsidP="006B1610">
      <w:pPr>
        <w:pStyle w:val="Numbered"/>
      </w:pPr>
      <w:r w:rsidRPr="007F530F">
        <w:t>While imprisonment rates for sexual assault fluctuated slightly during the reference period, they did so within relatively stable ranges at both court levels (as illustrated in Figure 11).</w:t>
      </w:r>
    </w:p>
    <w:p w14:paraId="1EE0514C" w14:textId="77777777" w:rsidR="00EF5C25" w:rsidRPr="007F530F" w:rsidRDefault="00EF5C25" w:rsidP="00D00197">
      <w:pPr>
        <w:pStyle w:val="Caption"/>
      </w:pPr>
      <w:r w:rsidRPr="00D00197">
        <w:t xml:space="preserve">Figure 11: </w:t>
      </w:r>
      <w:r w:rsidRPr="007F530F">
        <w:t>Proportion of sexual assault offences receiving immediate custodial sentences in Victoria, by court and year (3,644 charges: 1,094 in the higher courts, 2,550 in the Magistrates’ Court)</w:t>
      </w:r>
    </w:p>
    <w:tbl>
      <w:tblPr>
        <w:tblStyle w:val="Table"/>
        <w:tblW w:w="9072" w:type="dxa"/>
        <w:tblLook w:val="04A0" w:firstRow="1" w:lastRow="0" w:firstColumn="1" w:lastColumn="0" w:noHBand="0" w:noVBand="1"/>
      </w:tblPr>
      <w:tblGrid>
        <w:gridCol w:w="1134"/>
        <w:gridCol w:w="3969"/>
        <w:gridCol w:w="3969"/>
      </w:tblGrid>
      <w:tr w:rsidR="00F73847" w:rsidRPr="008317C6" w14:paraId="602CCFD4" w14:textId="77777777" w:rsidTr="000D608A">
        <w:trPr>
          <w:trHeight w:val="290"/>
        </w:trPr>
        <w:tc>
          <w:tcPr>
            <w:tcW w:w="1134" w:type="dxa"/>
            <w:noWrap/>
            <w:hideMark/>
          </w:tcPr>
          <w:p w14:paraId="38CAE587" w14:textId="77777777" w:rsidR="008317C6" w:rsidRPr="008317C6" w:rsidRDefault="008317C6" w:rsidP="000D608A">
            <w:pPr>
              <w:pStyle w:val="TableHeading"/>
            </w:pPr>
            <w:r w:rsidRPr="008317C6">
              <w:t>Year</w:t>
            </w:r>
          </w:p>
        </w:tc>
        <w:tc>
          <w:tcPr>
            <w:tcW w:w="3969" w:type="dxa"/>
            <w:noWrap/>
            <w:hideMark/>
          </w:tcPr>
          <w:p w14:paraId="5AD43A91" w14:textId="77777777" w:rsidR="008317C6" w:rsidRPr="008317C6" w:rsidRDefault="008317C6" w:rsidP="000D608A">
            <w:pPr>
              <w:pStyle w:val="TableHeading"/>
            </w:pPr>
            <w:r w:rsidRPr="008317C6">
              <w:t>Percentage custodial sentences in the higher courts</w:t>
            </w:r>
          </w:p>
        </w:tc>
        <w:tc>
          <w:tcPr>
            <w:tcW w:w="3969" w:type="dxa"/>
            <w:noWrap/>
            <w:hideMark/>
          </w:tcPr>
          <w:p w14:paraId="1AD7B44E" w14:textId="77777777" w:rsidR="008317C6" w:rsidRPr="008317C6" w:rsidRDefault="008317C6" w:rsidP="000D608A">
            <w:pPr>
              <w:pStyle w:val="TableHeading"/>
            </w:pPr>
            <w:r w:rsidRPr="008317C6">
              <w:t>Percentage custodial sentences in the Magistrates' Court</w:t>
            </w:r>
          </w:p>
        </w:tc>
      </w:tr>
      <w:tr w:rsidR="00F73847" w:rsidRPr="008317C6" w14:paraId="508223FE" w14:textId="77777777" w:rsidTr="000D608A">
        <w:trPr>
          <w:trHeight w:val="290"/>
        </w:trPr>
        <w:tc>
          <w:tcPr>
            <w:tcW w:w="1134" w:type="dxa"/>
            <w:noWrap/>
            <w:hideMark/>
          </w:tcPr>
          <w:p w14:paraId="322DDA66" w14:textId="77777777" w:rsidR="008317C6" w:rsidRPr="0035375B" w:rsidRDefault="008317C6" w:rsidP="000D608A">
            <w:pPr>
              <w:pStyle w:val="TableBody"/>
            </w:pPr>
            <w:r w:rsidRPr="0035375B">
              <w:t>2010</w:t>
            </w:r>
          </w:p>
        </w:tc>
        <w:tc>
          <w:tcPr>
            <w:tcW w:w="3969" w:type="dxa"/>
            <w:noWrap/>
            <w:hideMark/>
          </w:tcPr>
          <w:p w14:paraId="2420417D" w14:textId="77777777" w:rsidR="008317C6" w:rsidRPr="0035375B" w:rsidRDefault="008317C6" w:rsidP="000D608A">
            <w:pPr>
              <w:pStyle w:val="TableBody"/>
            </w:pPr>
            <w:r w:rsidRPr="0035375B">
              <w:t>87%</w:t>
            </w:r>
          </w:p>
        </w:tc>
        <w:tc>
          <w:tcPr>
            <w:tcW w:w="3969" w:type="dxa"/>
            <w:noWrap/>
            <w:hideMark/>
          </w:tcPr>
          <w:p w14:paraId="047D285D" w14:textId="77777777" w:rsidR="008317C6" w:rsidRPr="0035375B" w:rsidRDefault="008317C6" w:rsidP="000D608A">
            <w:pPr>
              <w:pStyle w:val="TableBody"/>
            </w:pPr>
            <w:r w:rsidRPr="0035375B">
              <w:t>18%</w:t>
            </w:r>
          </w:p>
        </w:tc>
      </w:tr>
      <w:tr w:rsidR="00F73847" w:rsidRPr="008317C6" w14:paraId="08EFFAAF" w14:textId="77777777" w:rsidTr="000D608A">
        <w:trPr>
          <w:trHeight w:val="290"/>
        </w:trPr>
        <w:tc>
          <w:tcPr>
            <w:tcW w:w="1134" w:type="dxa"/>
            <w:noWrap/>
            <w:hideMark/>
          </w:tcPr>
          <w:p w14:paraId="2BABA78F" w14:textId="77777777" w:rsidR="008317C6" w:rsidRPr="0035375B" w:rsidRDefault="008317C6" w:rsidP="000D608A">
            <w:pPr>
              <w:pStyle w:val="TableBody"/>
            </w:pPr>
            <w:r w:rsidRPr="0035375B">
              <w:t>2011</w:t>
            </w:r>
          </w:p>
        </w:tc>
        <w:tc>
          <w:tcPr>
            <w:tcW w:w="3969" w:type="dxa"/>
            <w:noWrap/>
            <w:hideMark/>
          </w:tcPr>
          <w:p w14:paraId="7347DC15" w14:textId="77777777" w:rsidR="008317C6" w:rsidRPr="0035375B" w:rsidRDefault="008317C6" w:rsidP="000D608A">
            <w:pPr>
              <w:pStyle w:val="TableBody"/>
            </w:pPr>
            <w:r w:rsidRPr="0035375B">
              <w:t>79%</w:t>
            </w:r>
          </w:p>
        </w:tc>
        <w:tc>
          <w:tcPr>
            <w:tcW w:w="3969" w:type="dxa"/>
            <w:noWrap/>
            <w:hideMark/>
          </w:tcPr>
          <w:p w14:paraId="26D3083E" w14:textId="77777777" w:rsidR="008317C6" w:rsidRPr="0035375B" w:rsidRDefault="008317C6" w:rsidP="000D608A">
            <w:pPr>
              <w:pStyle w:val="TableBody"/>
            </w:pPr>
            <w:r w:rsidRPr="0035375B">
              <w:t>23%</w:t>
            </w:r>
          </w:p>
        </w:tc>
      </w:tr>
      <w:tr w:rsidR="00F73847" w:rsidRPr="008317C6" w14:paraId="5724267C" w14:textId="77777777" w:rsidTr="000D608A">
        <w:trPr>
          <w:trHeight w:val="290"/>
        </w:trPr>
        <w:tc>
          <w:tcPr>
            <w:tcW w:w="1134" w:type="dxa"/>
            <w:noWrap/>
            <w:hideMark/>
          </w:tcPr>
          <w:p w14:paraId="7970BBFA" w14:textId="77777777" w:rsidR="008317C6" w:rsidRPr="0035375B" w:rsidRDefault="008317C6" w:rsidP="000D608A">
            <w:pPr>
              <w:pStyle w:val="TableBody"/>
            </w:pPr>
            <w:r w:rsidRPr="0035375B">
              <w:t>2012</w:t>
            </w:r>
          </w:p>
        </w:tc>
        <w:tc>
          <w:tcPr>
            <w:tcW w:w="3969" w:type="dxa"/>
            <w:noWrap/>
            <w:hideMark/>
          </w:tcPr>
          <w:p w14:paraId="74E84CB2" w14:textId="77777777" w:rsidR="008317C6" w:rsidRPr="0035375B" w:rsidRDefault="008317C6" w:rsidP="000D608A">
            <w:pPr>
              <w:pStyle w:val="TableBody"/>
            </w:pPr>
            <w:r w:rsidRPr="0035375B">
              <w:t>73%</w:t>
            </w:r>
          </w:p>
        </w:tc>
        <w:tc>
          <w:tcPr>
            <w:tcW w:w="3969" w:type="dxa"/>
            <w:noWrap/>
            <w:hideMark/>
          </w:tcPr>
          <w:p w14:paraId="0ED331A4" w14:textId="77777777" w:rsidR="008317C6" w:rsidRPr="0035375B" w:rsidRDefault="008317C6" w:rsidP="000D608A">
            <w:pPr>
              <w:pStyle w:val="TableBody"/>
            </w:pPr>
            <w:r w:rsidRPr="0035375B">
              <w:t>15%</w:t>
            </w:r>
          </w:p>
        </w:tc>
      </w:tr>
      <w:tr w:rsidR="00F73847" w:rsidRPr="008317C6" w14:paraId="002944E8" w14:textId="77777777" w:rsidTr="000D608A">
        <w:trPr>
          <w:trHeight w:val="290"/>
        </w:trPr>
        <w:tc>
          <w:tcPr>
            <w:tcW w:w="1134" w:type="dxa"/>
            <w:noWrap/>
            <w:hideMark/>
          </w:tcPr>
          <w:p w14:paraId="20E54EF2" w14:textId="77777777" w:rsidR="008317C6" w:rsidRPr="0035375B" w:rsidRDefault="008317C6" w:rsidP="000D608A">
            <w:pPr>
              <w:pStyle w:val="TableBody"/>
            </w:pPr>
            <w:r w:rsidRPr="0035375B">
              <w:t>2013</w:t>
            </w:r>
          </w:p>
        </w:tc>
        <w:tc>
          <w:tcPr>
            <w:tcW w:w="3969" w:type="dxa"/>
            <w:noWrap/>
            <w:hideMark/>
          </w:tcPr>
          <w:p w14:paraId="181262F9" w14:textId="77777777" w:rsidR="008317C6" w:rsidRPr="0035375B" w:rsidRDefault="008317C6" w:rsidP="000D608A">
            <w:pPr>
              <w:pStyle w:val="TableBody"/>
            </w:pPr>
            <w:r w:rsidRPr="0035375B">
              <w:t>85%</w:t>
            </w:r>
          </w:p>
        </w:tc>
        <w:tc>
          <w:tcPr>
            <w:tcW w:w="3969" w:type="dxa"/>
            <w:noWrap/>
            <w:hideMark/>
          </w:tcPr>
          <w:p w14:paraId="146BA1C2" w14:textId="77777777" w:rsidR="008317C6" w:rsidRPr="0035375B" w:rsidRDefault="008317C6" w:rsidP="000D608A">
            <w:pPr>
              <w:pStyle w:val="TableBody"/>
            </w:pPr>
            <w:r w:rsidRPr="0035375B">
              <w:t>17%</w:t>
            </w:r>
          </w:p>
        </w:tc>
      </w:tr>
      <w:tr w:rsidR="00F73847" w:rsidRPr="008317C6" w14:paraId="42F1EAAA" w14:textId="77777777" w:rsidTr="000D608A">
        <w:trPr>
          <w:trHeight w:val="290"/>
        </w:trPr>
        <w:tc>
          <w:tcPr>
            <w:tcW w:w="1134" w:type="dxa"/>
            <w:noWrap/>
            <w:hideMark/>
          </w:tcPr>
          <w:p w14:paraId="4A4518F3" w14:textId="77777777" w:rsidR="008317C6" w:rsidRPr="0035375B" w:rsidRDefault="008317C6" w:rsidP="000D608A">
            <w:pPr>
              <w:pStyle w:val="TableBody"/>
            </w:pPr>
            <w:r w:rsidRPr="0035375B">
              <w:t>2014</w:t>
            </w:r>
          </w:p>
        </w:tc>
        <w:tc>
          <w:tcPr>
            <w:tcW w:w="3969" w:type="dxa"/>
            <w:noWrap/>
            <w:hideMark/>
          </w:tcPr>
          <w:p w14:paraId="57DB039C" w14:textId="77777777" w:rsidR="008317C6" w:rsidRPr="0035375B" w:rsidRDefault="008317C6" w:rsidP="000D608A">
            <w:pPr>
              <w:pStyle w:val="TableBody"/>
            </w:pPr>
            <w:r w:rsidRPr="0035375B">
              <w:t>82%</w:t>
            </w:r>
          </w:p>
        </w:tc>
        <w:tc>
          <w:tcPr>
            <w:tcW w:w="3969" w:type="dxa"/>
            <w:noWrap/>
            <w:hideMark/>
          </w:tcPr>
          <w:p w14:paraId="08265E07" w14:textId="77777777" w:rsidR="008317C6" w:rsidRPr="0035375B" w:rsidRDefault="008317C6" w:rsidP="000D608A">
            <w:pPr>
              <w:pStyle w:val="TableBody"/>
            </w:pPr>
            <w:r w:rsidRPr="0035375B">
              <w:t>22%</w:t>
            </w:r>
          </w:p>
        </w:tc>
      </w:tr>
      <w:tr w:rsidR="00F73847" w:rsidRPr="008317C6" w14:paraId="717144A8" w14:textId="77777777" w:rsidTr="000D608A">
        <w:trPr>
          <w:trHeight w:val="290"/>
        </w:trPr>
        <w:tc>
          <w:tcPr>
            <w:tcW w:w="1134" w:type="dxa"/>
            <w:noWrap/>
            <w:hideMark/>
          </w:tcPr>
          <w:p w14:paraId="55C45778" w14:textId="77777777" w:rsidR="008317C6" w:rsidRPr="0035375B" w:rsidRDefault="008317C6" w:rsidP="000D608A">
            <w:pPr>
              <w:pStyle w:val="TableBody"/>
            </w:pPr>
            <w:r w:rsidRPr="0035375B">
              <w:t>2015</w:t>
            </w:r>
          </w:p>
        </w:tc>
        <w:tc>
          <w:tcPr>
            <w:tcW w:w="3969" w:type="dxa"/>
            <w:noWrap/>
            <w:hideMark/>
          </w:tcPr>
          <w:p w14:paraId="685C7D05" w14:textId="77777777" w:rsidR="008317C6" w:rsidRPr="0035375B" w:rsidRDefault="008317C6" w:rsidP="000D608A">
            <w:pPr>
              <w:pStyle w:val="TableBody"/>
            </w:pPr>
            <w:r w:rsidRPr="0035375B">
              <w:t>79%</w:t>
            </w:r>
          </w:p>
        </w:tc>
        <w:tc>
          <w:tcPr>
            <w:tcW w:w="3969" w:type="dxa"/>
            <w:noWrap/>
            <w:hideMark/>
          </w:tcPr>
          <w:p w14:paraId="3F350E45" w14:textId="77777777" w:rsidR="008317C6" w:rsidRPr="0035375B" w:rsidRDefault="008317C6" w:rsidP="000D608A">
            <w:pPr>
              <w:pStyle w:val="TableBody"/>
            </w:pPr>
            <w:r w:rsidRPr="0035375B">
              <w:t>16%</w:t>
            </w:r>
          </w:p>
        </w:tc>
      </w:tr>
      <w:tr w:rsidR="00F73847" w:rsidRPr="008317C6" w14:paraId="1B7D4D09" w14:textId="77777777" w:rsidTr="000D608A">
        <w:trPr>
          <w:trHeight w:val="290"/>
        </w:trPr>
        <w:tc>
          <w:tcPr>
            <w:tcW w:w="1134" w:type="dxa"/>
            <w:noWrap/>
            <w:hideMark/>
          </w:tcPr>
          <w:p w14:paraId="2163C7D6" w14:textId="77777777" w:rsidR="008317C6" w:rsidRPr="0035375B" w:rsidRDefault="008317C6" w:rsidP="000D608A">
            <w:pPr>
              <w:pStyle w:val="TableBody"/>
            </w:pPr>
            <w:r w:rsidRPr="0035375B">
              <w:t>2016</w:t>
            </w:r>
          </w:p>
        </w:tc>
        <w:tc>
          <w:tcPr>
            <w:tcW w:w="3969" w:type="dxa"/>
            <w:noWrap/>
            <w:hideMark/>
          </w:tcPr>
          <w:p w14:paraId="0BF61850" w14:textId="77777777" w:rsidR="008317C6" w:rsidRPr="0035375B" w:rsidRDefault="008317C6" w:rsidP="000D608A">
            <w:pPr>
              <w:pStyle w:val="TableBody"/>
            </w:pPr>
            <w:r w:rsidRPr="0035375B">
              <w:t>71%</w:t>
            </w:r>
          </w:p>
        </w:tc>
        <w:tc>
          <w:tcPr>
            <w:tcW w:w="3969" w:type="dxa"/>
            <w:noWrap/>
            <w:hideMark/>
          </w:tcPr>
          <w:p w14:paraId="7B0F780C" w14:textId="77777777" w:rsidR="008317C6" w:rsidRPr="0035375B" w:rsidRDefault="008317C6" w:rsidP="000D608A">
            <w:pPr>
              <w:pStyle w:val="TableBody"/>
            </w:pPr>
            <w:r w:rsidRPr="0035375B">
              <w:t>17%</w:t>
            </w:r>
          </w:p>
        </w:tc>
      </w:tr>
      <w:tr w:rsidR="00F73847" w:rsidRPr="008317C6" w14:paraId="412D7E99" w14:textId="77777777" w:rsidTr="000D608A">
        <w:trPr>
          <w:trHeight w:val="290"/>
        </w:trPr>
        <w:tc>
          <w:tcPr>
            <w:tcW w:w="1134" w:type="dxa"/>
            <w:noWrap/>
            <w:hideMark/>
          </w:tcPr>
          <w:p w14:paraId="310122AB" w14:textId="77777777" w:rsidR="008317C6" w:rsidRPr="0035375B" w:rsidRDefault="008317C6" w:rsidP="000D608A">
            <w:pPr>
              <w:pStyle w:val="TableBody"/>
            </w:pPr>
            <w:r w:rsidRPr="0035375B">
              <w:t>2017</w:t>
            </w:r>
          </w:p>
        </w:tc>
        <w:tc>
          <w:tcPr>
            <w:tcW w:w="3969" w:type="dxa"/>
            <w:noWrap/>
            <w:hideMark/>
          </w:tcPr>
          <w:p w14:paraId="139BD024" w14:textId="77777777" w:rsidR="008317C6" w:rsidRPr="0035375B" w:rsidRDefault="008317C6" w:rsidP="000D608A">
            <w:pPr>
              <w:pStyle w:val="TableBody"/>
            </w:pPr>
            <w:r w:rsidRPr="0035375B">
              <w:t>73%</w:t>
            </w:r>
          </w:p>
        </w:tc>
        <w:tc>
          <w:tcPr>
            <w:tcW w:w="3969" w:type="dxa"/>
            <w:noWrap/>
            <w:hideMark/>
          </w:tcPr>
          <w:p w14:paraId="5B8CBCA2" w14:textId="77777777" w:rsidR="008317C6" w:rsidRPr="0035375B" w:rsidRDefault="008317C6" w:rsidP="000D608A">
            <w:pPr>
              <w:pStyle w:val="TableBody"/>
            </w:pPr>
            <w:r w:rsidRPr="0035375B">
              <w:t>30%</w:t>
            </w:r>
          </w:p>
        </w:tc>
      </w:tr>
      <w:tr w:rsidR="00F73847" w:rsidRPr="008317C6" w14:paraId="53EE5364" w14:textId="77777777" w:rsidTr="000D608A">
        <w:trPr>
          <w:trHeight w:val="290"/>
        </w:trPr>
        <w:tc>
          <w:tcPr>
            <w:tcW w:w="1134" w:type="dxa"/>
            <w:noWrap/>
            <w:hideMark/>
          </w:tcPr>
          <w:p w14:paraId="095E9511" w14:textId="77777777" w:rsidR="008317C6" w:rsidRPr="0035375B" w:rsidRDefault="008317C6" w:rsidP="000D608A">
            <w:pPr>
              <w:pStyle w:val="TableBody"/>
            </w:pPr>
            <w:r w:rsidRPr="0035375B">
              <w:t>2018</w:t>
            </w:r>
          </w:p>
        </w:tc>
        <w:tc>
          <w:tcPr>
            <w:tcW w:w="3969" w:type="dxa"/>
            <w:noWrap/>
            <w:hideMark/>
          </w:tcPr>
          <w:p w14:paraId="0C896CB8" w14:textId="77777777" w:rsidR="008317C6" w:rsidRPr="0035375B" w:rsidRDefault="008317C6" w:rsidP="000D608A">
            <w:pPr>
              <w:pStyle w:val="TableBody"/>
            </w:pPr>
            <w:r w:rsidRPr="0035375B">
              <w:t>85%</w:t>
            </w:r>
          </w:p>
        </w:tc>
        <w:tc>
          <w:tcPr>
            <w:tcW w:w="3969" w:type="dxa"/>
            <w:noWrap/>
            <w:hideMark/>
          </w:tcPr>
          <w:p w14:paraId="0F1C8386" w14:textId="77777777" w:rsidR="008317C6" w:rsidRPr="0035375B" w:rsidRDefault="008317C6" w:rsidP="000D608A">
            <w:pPr>
              <w:pStyle w:val="TableBody"/>
            </w:pPr>
            <w:r w:rsidRPr="0035375B">
              <w:t>32%</w:t>
            </w:r>
          </w:p>
        </w:tc>
      </w:tr>
      <w:tr w:rsidR="00F73847" w:rsidRPr="008317C6" w14:paraId="3695016C" w14:textId="77777777" w:rsidTr="000D608A">
        <w:trPr>
          <w:trHeight w:val="290"/>
        </w:trPr>
        <w:tc>
          <w:tcPr>
            <w:tcW w:w="1134" w:type="dxa"/>
            <w:noWrap/>
            <w:hideMark/>
          </w:tcPr>
          <w:p w14:paraId="79020781" w14:textId="77777777" w:rsidR="008317C6" w:rsidRPr="0035375B" w:rsidRDefault="008317C6" w:rsidP="000D608A">
            <w:pPr>
              <w:pStyle w:val="TableBody"/>
            </w:pPr>
            <w:r w:rsidRPr="0035375B">
              <w:t>2019</w:t>
            </w:r>
          </w:p>
        </w:tc>
        <w:tc>
          <w:tcPr>
            <w:tcW w:w="3969" w:type="dxa"/>
            <w:noWrap/>
            <w:hideMark/>
          </w:tcPr>
          <w:p w14:paraId="5DE6DA72" w14:textId="77777777" w:rsidR="008317C6" w:rsidRPr="0035375B" w:rsidRDefault="008317C6" w:rsidP="000D608A">
            <w:pPr>
              <w:pStyle w:val="TableBody"/>
            </w:pPr>
            <w:r w:rsidRPr="0035375B">
              <w:t>73%</w:t>
            </w:r>
          </w:p>
        </w:tc>
        <w:tc>
          <w:tcPr>
            <w:tcW w:w="3969" w:type="dxa"/>
            <w:noWrap/>
            <w:hideMark/>
          </w:tcPr>
          <w:p w14:paraId="7C57278B" w14:textId="77777777" w:rsidR="008317C6" w:rsidRPr="0035375B" w:rsidRDefault="008317C6" w:rsidP="000D608A">
            <w:pPr>
              <w:pStyle w:val="TableBody"/>
            </w:pPr>
            <w:r w:rsidRPr="0035375B">
              <w:t>22%</w:t>
            </w:r>
          </w:p>
        </w:tc>
      </w:tr>
    </w:tbl>
    <w:p w14:paraId="52D30760" w14:textId="77777777" w:rsidR="00EF5C25" w:rsidRPr="007F530F" w:rsidRDefault="00EF5C25" w:rsidP="006B1610">
      <w:pPr>
        <w:pStyle w:val="Numbered"/>
      </w:pPr>
      <w:r w:rsidRPr="007F530F">
        <w:lastRenderedPageBreak/>
        <w:t xml:space="preserve">There was a drop in </w:t>
      </w:r>
      <w:r w:rsidRPr="00D62402">
        <w:rPr>
          <w:rStyle w:val="Emphasis"/>
        </w:rPr>
        <w:t xml:space="preserve">other </w:t>
      </w:r>
      <w:r w:rsidRPr="007F530F">
        <w:t>sentence types at both court levels, primarily due to the abolition of suspended sentences.</w:t>
      </w:r>
      <w:r w:rsidRPr="007F530F">
        <w:rPr>
          <w:rStyle w:val="Superscript"/>
        </w:rPr>
        <w:footnoteReference w:id="122"/>
      </w:r>
      <w:r w:rsidRPr="007F530F">
        <w:t xml:space="preserve"> The increased use of community orders in the higher courts was likely due to the introduction of community correction orders (CCOs) in 2012</w:t>
      </w:r>
      <w:r w:rsidRPr="007F530F">
        <w:rPr>
          <w:rStyle w:val="Superscript"/>
        </w:rPr>
        <w:footnoteReference w:id="123"/>
      </w:r>
      <w:r w:rsidRPr="007F530F">
        <w:t xml:space="preserve"> and the subsequent guideline judgment about their use in 2014.</w:t>
      </w:r>
      <w:r w:rsidRPr="007F530F">
        <w:rPr>
          <w:rStyle w:val="Superscript"/>
        </w:rPr>
        <w:footnoteReference w:id="124"/>
      </w:r>
      <w:r w:rsidRPr="007F530F">
        <w:t xml:space="preserve"> </w:t>
      </w:r>
    </w:p>
    <w:p w14:paraId="41CD112B" w14:textId="77777777" w:rsidR="00F5487A" w:rsidRDefault="00F5487A" w:rsidP="00D00197">
      <w:pPr>
        <w:pStyle w:val="Caption"/>
        <w:sectPr w:rsidR="00F5487A" w:rsidSect="00D6349A">
          <w:pgSz w:w="11906" w:h="16838"/>
          <w:pgMar w:top="1440" w:right="1440" w:bottom="1440" w:left="1440" w:header="720" w:footer="720" w:gutter="0"/>
          <w:cols w:space="720"/>
          <w:noEndnote/>
          <w:docGrid w:linePitch="326"/>
        </w:sectPr>
      </w:pPr>
    </w:p>
    <w:p w14:paraId="04CEC266" w14:textId="28B1A328" w:rsidR="00EF5C25" w:rsidRPr="007F530F" w:rsidRDefault="00EF5C25" w:rsidP="00D00197">
      <w:pPr>
        <w:pStyle w:val="Caption"/>
      </w:pPr>
      <w:r w:rsidRPr="00D00197">
        <w:lastRenderedPageBreak/>
        <w:t xml:space="preserve">Table 5: </w:t>
      </w:r>
      <w:r w:rsidRPr="007F530F">
        <w:t>Sentencing outcomes for sexual assault offences in Victoria, by sentence type, court level and year (3,644 charges: 1,094 in the higher courts, 2,550 in the Magistrates’ Court)</w:t>
      </w:r>
    </w:p>
    <w:tbl>
      <w:tblPr>
        <w:tblStyle w:val="Table"/>
        <w:tblW w:w="0" w:type="auto"/>
        <w:tblLook w:val="0020" w:firstRow="1" w:lastRow="0" w:firstColumn="0" w:lastColumn="0" w:noHBand="0" w:noVBand="0"/>
      </w:tblPr>
      <w:tblGrid>
        <w:gridCol w:w="4295"/>
        <w:gridCol w:w="868"/>
        <w:gridCol w:w="868"/>
        <w:gridCol w:w="868"/>
        <w:gridCol w:w="868"/>
        <w:gridCol w:w="868"/>
        <w:gridCol w:w="868"/>
        <w:gridCol w:w="868"/>
        <w:gridCol w:w="868"/>
        <w:gridCol w:w="868"/>
        <w:gridCol w:w="868"/>
        <w:gridCol w:w="973"/>
      </w:tblGrid>
      <w:tr w:rsidR="005816BE" w:rsidRPr="007F530F" w14:paraId="12FB37BD" w14:textId="77777777" w:rsidTr="00377374">
        <w:trPr>
          <w:trHeight w:val="60"/>
        </w:trPr>
        <w:tc>
          <w:tcPr>
            <w:tcW w:w="0" w:type="auto"/>
          </w:tcPr>
          <w:p w14:paraId="44A31852" w14:textId="0ADAEE35" w:rsidR="005816BE" w:rsidRPr="00FB2207" w:rsidRDefault="00F00A24" w:rsidP="00A425FF">
            <w:pPr>
              <w:pStyle w:val="TableHeading"/>
              <w:rPr>
                <w:szCs w:val="20"/>
              </w:rPr>
            </w:pPr>
            <w:r w:rsidRPr="00FB2207">
              <w:rPr>
                <w:szCs w:val="20"/>
              </w:rPr>
              <w:t>Outcome</w:t>
            </w:r>
            <w:r w:rsidR="005816BE" w:rsidRPr="00FB2207">
              <w:rPr>
                <w:szCs w:val="20"/>
              </w:rPr>
              <w:t xml:space="preserve"> and court level</w:t>
            </w:r>
          </w:p>
        </w:tc>
        <w:tc>
          <w:tcPr>
            <w:tcW w:w="0" w:type="auto"/>
          </w:tcPr>
          <w:p w14:paraId="3FE8DBC7" w14:textId="77777777" w:rsidR="005816BE" w:rsidRPr="00FB2207" w:rsidRDefault="005816BE" w:rsidP="00A425FF">
            <w:pPr>
              <w:pStyle w:val="TableHeading"/>
              <w:rPr>
                <w:szCs w:val="20"/>
              </w:rPr>
            </w:pPr>
            <w:r w:rsidRPr="00FB2207">
              <w:rPr>
                <w:szCs w:val="20"/>
              </w:rPr>
              <w:t>2010</w:t>
            </w:r>
          </w:p>
        </w:tc>
        <w:tc>
          <w:tcPr>
            <w:tcW w:w="0" w:type="auto"/>
          </w:tcPr>
          <w:p w14:paraId="634440E6" w14:textId="77777777" w:rsidR="005816BE" w:rsidRPr="00FB2207" w:rsidRDefault="005816BE" w:rsidP="00A425FF">
            <w:pPr>
              <w:pStyle w:val="TableHeading"/>
              <w:rPr>
                <w:szCs w:val="20"/>
              </w:rPr>
            </w:pPr>
            <w:r w:rsidRPr="00FB2207">
              <w:rPr>
                <w:szCs w:val="20"/>
              </w:rPr>
              <w:t>2011</w:t>
            </w:r>
          </w:p>
        </w:tc>
        <w:tc>
          <w:tcPr>
            <w:tcW w:w="0" w:type="auto"/>
          </w:tcPr>
          <w:p w14:paraId="4C7AAF11" w14:textId="77777777" w:rsidR="005816BE" w:rsidRPr="00FB2207" w:rsidRDefault="005816BE" w:rsidP="00A425FF">
            <w:pPr>
              <w:pStyle w:val="TableHeading"/>
              <w:rPr>
                <w:szCs w:val="20"/>
              </w:rPr>
            </w:pPr>
            <w:r w:rsidRPr="00FB2207">
              <w:rPr>
                <w:szCs w:val="20"/>
              </w:rPr>
              <w:t>2012</w:t>
            </w:r>
          </w:p>
        </w:tc>
        <w:tc>
          <w:tcPr>
            <w:tcW w:w="0" w:type="auto"/>
          </w:tcPr>
          <w:p w14:paraId="199AEE27" w14:textId="77777777" w:rsidR="005816BE" w:rsidRPr="00FB2207" w:rsidRDefault="005816BE" w:rsidP="00A425FF">
            <w:pPr>
              <w:pStyle w:val="TableHeading"/>
              <w:rPr>
                <w:szCs w:val="20"/>
              </w:rPr>
            </w:pPr>
            <w:r w:rsidRPr="00FB2207">
              <w:rPr>
                <w:szCs w:val="20"/>
              </w:rPr>
              <w:t>2013</w:t>
            </w:r>
          </w:p>
        </w:tc>
        <w:tc>
          <w:tcPr>
            <w:tcW w:w="0" w:type="auto"/>
          </w:tcPr>
          <w:p w14:paraId="67AF12E0" w14:textId="77777777" w:rsidR="005816BE" w:rsidRPr="00FB2207" w:rsidRDefault="005816BE" w:rsidP="00A425FF">
            <w:pPr>
              <w:pStyle w:val="TableHeading"/>
              <w:rPr>
                <w:szCs w:val="20"/>
              </w:rPr>
            </w:pPr>
            <w:r w:rsidRPr="00FB2207">
              <w:rPr>
                <w:szCs w:val="20"/>
              </w:rPr>
              <w:t>2014</w:t>
            </w:r>
          </w:p>
        </w:tc>
        <w:tc>
          <w:tcPr>
            <w:tcW w:w="0" w:type="auto"/>
          </w:tcPr>
          <w:p w14:paraId="42740ADE" w14:textId="77777777" w:rsidR="005816BE" w:rsidRPr="00FB2207" w:rsidRDefault="005816BE" w:rsidP="00A425FF">
            <w:pPr>
              <w:pStyle w:val="TableHeading"/>
              <w:rPr>
                <w:szCs w:val="20"/>
              </w:rPr>
            </w:pPr>
            <w:r w:rsidRPr="00FB2207">
              <w:rPr>
                <w:szCs w:val="20"/>
              </w:rPr>
              <w:t>2015</w:t>
            </w:r>
          </w:p>
        </w:tc>
        <w:tc>
          <w:tcPr>
            <w:tcW w:w="0" w:type="auto"/>
          </w:tcPr>
          <w:p w14:paraId="78D1CB46" w14:textId="77777777" w:rsidR="005816BE" w:rsidRPr="00FB2207" w:rsidRDefault="005816BE" w:rsidP="00A425FF">
            <w:pPr>
              <w:pStyle w:val="TableHeading"/>
              <w:rPr>
                <w:szCs w:val="20"/>
              </w:rPr>
            </w:pPr>
            <w:r w:rsidRPr="00FB2207">
              <w:rPr>
                <w:szCs w:val="20"/>
              </w:rPr>
              <w:t>2016</w:t>
            </w:r>
          </w:p>
        </w:tc>
        <w:tc>
          <w:tcPr>
            <w:tcW w:w="0" w:type="auto"/>
          </w:tcPr>
          <w:p w14:paraId="23703A76" w14:textId="77777777" w:rsidR="005816BE" w:rsidRPr="00FB2207" w:rsidRDefault="005816BE" w:rsidP="00A425FF">
            <w:pPr>
              <w:pStyle w:val="TableHeading"/>
              <w:rPr>
                <w:szCs w:val="20"/>
              </w:rPr>
            </w:pPr>
            <w:r w:rsidRPr="00FB2207">
              <w:rPr>
                <w:szCs w:val="20"/>
              </w:rPr>
              <w:t>2017</w:t>
            </w:r>
          </w:p>
        </w:tc>
        <w:tc>
          <w:tcPr>
            <w:tcW w:w="0" w:type="auto"/>
          </w:tcPr>
          <w:p w14:paraId="237F886D" w14:textId="77777777" w:rsidR="005816BE" w:rsidRPr="00FB2207" w:rsidRDefault="005816BE" w:rsidP="00A425FF">
            <w:pPr>
              <w:pStyle w:val="TableHeading"/>
              <w:rPr>
                <w:szCs w:val="20"/>
              </w:rPr>
            </w:pPr>
            <w:r w:rsidRPr="00FB2207">
              <w:rPr>
                <w:szCs w:val="20"/>
              </w:rPr>
              <w:t>2018</w:t>
            </w:r>
          </w:p>
        </w:tc>
        <w:tc>
          <w:tcPr>
            <w:tcW w:w="0" w:type="auto"/>
          </w:tcPr>
          <w:p w14:paraId="6EA182FB" w14:textId="77777777" w:rsidR="005816BE" w:rsidRPr="00FB2207" w:rsidRDefault="005816BE" w:rsidP="00A425FF">
            <w:pPr>
              <w:pStyle w:val="TableHeading"/>
              <w:rPr>
                <w:szCs w:val="20"/>
              </w:rPr>
            </w:pPr>
            <w:r w:rsidRPr="00FB2207">
              <w:rPr>
                <w:szCs w:val="20"/>
              </w:rPr>
              <w:t>2019</w:t>
            </w:r>
          </w:p>
        </w:tc>
        <w:tc>
          <w:tcPr>
            <w:tcW w:w="0" w:type="auto"/>
          </w:tcPr>
          <w:p w14:paraId="452AB8AA" w14:textId="77777777" w:rsidR="005816BE" w:rsidRPr="00A3302A" w:rsidRDefault="005816BE" w:rsidP="00A3302A">
            <w:pPr>
              <w:pStyle w:val="TableHeading"/>
            </w:pPr>
            <w:r w:rsidRPr="00A3302A">
              <w:t>Total</w:t>
            </w:r>
          </w:p>
        </w:tc>
      </w:tr>
      <w:tr w:rsidR="005816BE" w:rsidRPr="007F530F" w14:paraId="3058F351" w14:textId="77777777" w:rsidTr="00377374">
        <w:trPr>
          <w:trHeight w:val="60"/>
        </w:trPr>
        <w:tc>
          <w:tcPr>
            <w:tcW w:w="0" w:type="auto"/>
          </w:tcPr>
          <w:p w14:paraId="78EFBF49" w14:textId="47A522D5" w:rsidR="005816BE" w:rsidRPr="00FB2207" w:rsidRDefault="005816BE" w:rsidP="00DC75F7">
            <w:pPr>
              <w:pStyle w:val="TableBody"/>
              <w:rPr>
                <w:szCs w:val="20"/>
              </w:rPr>
            </w:pPr>
            <w:r w:rsidRPr="00FB2207">
              <w:rPr>
                <w:szCs w:val="20"/>
              </w:rPr>
              <w:t>Immediate custodial sentence, higher courts</w:t>
            </w:r>
          </w:p>
        </w:tc>
        <w:tc>
          <w:tcPr>
            <w:tcW w:w="0" w:type="auto"/>
          </w:tcPr>
          <w:p w14:paraId="208A5E70" w14:textId="77777777" w:rsidR="005816BE" w:rsidRPr="00FB2207" w:rsidRDefault="005816BE" w:rsidP="00AC34F3">
            <w:pPr>
              <w:pStyle w:val="TableBody"/>
              <w:rPr>
                <w:szCs w:val="20"/>
              </w:rPr>
            </w:pPr>
            <w:r w:rsidRPr="00FB2207">
              <w:rPr>
                <w:szCs w:val="20"/>
              </w:rPr>
              <w:t>214</w:t>
            </w:r>
            <w:r w:rsidRPr="00FB2207">
              <w:rPr>
                <w:szCs w:val="20"/>
              </w:rPr>
              <w:br/>
              <w:t>(87%)</w:t>
            </w:r>
          </w:p>
        </w:tc>
        <w:tc>
          <w:tcPr>
            <w:tcW w:w="0" w:type="auto"/>
          </w:tcPr>
          <w:p w14:paraId="7755BF88" w14:textId="77777777" w:rsidR="005816BE" w:rsidRPr="00FB2207" w:rsidRDefault="005816BE" w:rsidP="00AC34F3">
            <w:pPr>
              <w:pStyle w:val="TableBody"/>
              <w:rPr>
                <w:szCs w:val="20"/>
              </w:rPr>
            </w:pPr>
            <w:r w:rsidRPr="00FB2207">
              <w:rPr>
                <w:szCs w:val="20"/>
              </w:rPr>
              <w:t xml:space="preserve"> 111</w:t>
            </w:r>
            <w:r w:rsidRPr="00FB2207">
              <w:rPr>
                <w:szCs w:val="20"/>
              </w:rPr>
              <w:br/>
              <w:t>(79%)</w:t>
            </w:r>
          </w:p>
        </w:tc>
        <w:tc>
          <w:tcPr>
            <w:tcW w:w="0" w:type="auto"/>
          </w:tcPr>
          <w:p w14:paraId="2FA1C43C" w14:textId="77777777" w:rsidR="005816BE" w:rsidRPr="00FB2207" w:rsidRDefault="005816BE" w:rsidP="00AC34F3">
            <w:pPr>
              <w:pStyle w:val="TableBody"/>
              <w:rPr>
                <w:szCs w:val="20"/>
              </w:rPr>
            </w:pPr>
            <w:r w:rsidRPr="00FB2207">
              <w:rPr>
                <w:szCs w:val="20"/>
              </w:rPr>
              <w:t>93</w:t>
            </w:r>
            <w:r w:rsidRPr="00FB2207">
              <w:rPr>
                <w:szCs w:val="20"/>
              </w:rPr>
              <w:br/>
              <w:t>(73%)</w:t>
            </w:r>
          </w:p>
        </w:tc>
        <w:tc>
          <w:tcPr>
            <w:tcW w:w="0" w:type="auto"/>
          </w:tcPr>
          <w:p w14:paraId="6BF20723" w14:textId="77777777" w:rsidR="005816BE" w:rsidRPr="00FB2207" w:rsidRDefault="005816BE" w:rsidP="00AC34F3">
            <w:pPr>
              <w:pStyle w:val="TableBody"/>
              <w:rPr>
                <w:szCs w:val="20"/>
              </w:rPr>
            </w:pPr>
            <w:r w:rsidRPr="00FB2207">
              <w:rPr>
                <w:szCs w:val="20"/>
              </w:rPr>
              <w:t>78</w:t>
            </w:r>
            <w:r w:rsidRPr="00FB2207">
              <w:rPr>
                <w:szCs w:val="20"/>
              </w:rPr>
              <w:br/>
              <w:t>(85%)</w:t>
            </w:r>
          </w:p>
        </w:tc>
        <w:tc>
          <w:tcPr>
            <w:tcW w:w="0" w:type="auto"/>
          </w:tcPr>
          <w:p w14:paraId="3F08C5A6" w14:textId="77777777" w:rsidR="005816BE" w:rsidRPr="00FB2207" w:rsidRDefault="005816BE" w:rsidP="00AC34F3">
            <w:pPr>
              <w:pStyle w:val="TableBody"/>
              <w:rPr>
                <w:szCs w:val="20"/>
              </w:rPr>
            </w:pPr>
            <w:r w:rsidRPr="00FB2207">
              <w:rPr>
                <w:szCs w:val="20"/>
              </w:rPr>
              <w:t>80</w:t>
            </w:r>
            <w:r w:rsidRPr="00FB2207">
              <w:rPr>
                <w:szCs w:val="20"/>
              </w:rPr>
              <w:br/>
              <w:t>(82%)</w:t>
            </w:r>
          </w:p>
        </w:tc>
        <w:tc>
          <w:tcPr>
            <w:tcW w:w="0" w:type="auto"/>
          </w:tcPr>
          <w:p w14:paraId="4E933590" w14:textId="77777777" w:rsidR="005816BE" w:rsidRPr="00FB2207" w:rsidRDefault="005816BE" w:rsidP="00AC34F3">
            <w:pPr>
              <w:pStyle w:val="TableBody"/>
              <w:rPr>
                <w:szCs w:val="20"/>
              </w:rPr>
            </w:pPr>
            <w:r w:rsidRPr="00FB2207">
              <w:rPr>
                <w:szCs w:val="20"/>
              </w:rPr>
              <w:t>76</w:t>
            </w:r>
            <w:r w:rsidRPr="00FB2207">
              <w:rPr>
                <w:szCs w:val="20"/>
              </w:rPr>
              <w:br/>
              <w:t>(79%)</w:t>
            </w:r>
          </w:p>
        </w:tc>
        <w:tc>
          <w:tcPr>
            <w:tcW w:w="0" w:type="auto"/>
          </w:tcPr>
          <w:p w14:paraId="007AC15D" w14:textId="77777777" w:rsidR="005816BE" w:rsidRPr="00FB2207" w:rsidRDefault="005816BE" w:rsidP="00AC34F3">
            <w:pPr>
              <w:pStyle w:val="TableBody"/>
              <w:rPr>
                <w:szCs w:val="20"/>
              </w:rPr>
            </w:pPr>
            <w:r w:rsidRPr="00FB2207">
              <w:rPr>
                <w:szCs w:val="20"/>
              </w:rPr>
              <w:t>46</w:t>
            </w:r>
            <w:r w:rsidRPr="00FB2207">
              <w:rPr>
                <w:szCs w:val="20"/>
              </w:rPr>
              <w:br/>
              <w:t>(71%)</w:t>
            </w:r>
          </w:p>
        </w:tc>
        <w:tc>
          <w:tcPr>
            <w:tcW w:w="0" w:type="auto"/>
          </w:tcPr>
          <w:p w14:paraId="0058BD6B" w14:textId="77777777" w:rsidR="005816BE" w:rsidRPr="00FB2207" w:rsidRDefault="005816BE" w:rsidP="00AC34F3">
            <w:pPr>
              <w:pStyle w:val="TableBody"/>
              <w:rPr>
                <w:szCs w:val="20"/>
              </w:rPr>
            </w:pPr>
            <w:r w:rsidRPr="00FB2207">
              <w:rPr>
                <w:szCs w:val="20"/>
              </w:rPr>
              <w:t>38</w:t>
            </w:r>
            <w:r w:rsidRPr="00FB2207">
              <w:rPr>
                <w:szCs w:val="20"/>
              </w:rPr>
              <w:br/>
              <w:t>(73%)</w:t>
            </w:r>
          </w:p>
        </w:tc>
        <w:tc>
          <w:tcPr>
            <w:tcW w:w="0" w:type="auto"/>
          </w:tcPr>
          <w:p w14:paraId="676760ED" w14:textId="77777777" w:rsidR="005816BE" w:rsidRPr="00FB2207" w:rsidRDefault="005816BE" w:rsidP="00AC34F3">
            <w:pPr>
              <w:pStyle w:val="TableBody"/>
              <w:rPr>
                <w:szCs w:val="20"/>
              </w:rPr>
            </w:pPr>
            <w:r w:rsidRPr="00FB2207">
              <w:rPr>
                <w:szCs w:val="20"/>
              </w:rPr>
              <w:t>69</w:t>
            </w:r>
            <w:r w:rsidRPr="00FB2207">
              <w:rPr>
                <w:szCs w:val="20"/>
              </w:rPr>
              <w:br/>
              <w:t>(85%)</w:t>
            </w:r>
          </w:p>
        </w:tc>
        <w:tc>
          <w:tcPr>
            <w:tcW w:w="0" w:type="auto"/>
          </w:tcPr>
          <w:p w14:paraId="03FE4C23" w14:textId="77777777" w:rsidR="005816BE" w:rsidRPr="00FB2207" w:rsidRDefault="005816BE" w:rsidP="00AC34F3">
            <w:pPr>
              <w:pStyle w:val="TableBody"/>
              <w:rPr>
                <w:szCs w:val="20"/>
              </w:rPr>
            </w:pPr>
            <w:r w:rsidRPr="00FB2207">
              <w:rPr>
                <w:szCs w:val="20"/>
              </w:rPr>
              <w:t>69</w:t>
            </w:r>
            <w:r w:rsidRPr="00FB2207">
              <w:rPr>
                <w:szCs w:val="20"/>
              </w:rPr>
              <w:br/>
              <w:t>(73%)</w:t>
            </w:r>
          </w:p>
        </w:tc>
        <w:tc>
          <w:tcPr>
            <w:tcW w:w="0" w:type="auto"/>
          </w:tcPr>
          <w:p w14:paraId="4DBB953C" w14:textId="77777777" w:rsidR="005816BE" w:rsidRPr="00FB2207" w:rsidRDefault="005816BE" w:rsidP="00AC34F3">
            <w:pPr>
              <w:pStyle w:val="TableBody"/>
              <w:rPr>
                <w:rStyle w:val="Strong"/>
                <w:szCs w:val="20"/>
              </w:rPr>
            </w:pPr>
            <w:r w:rsidRPr="00FB2207">
              <w:rPr>
                <w:rStyle w:val="Strong"/>
                <w:szCs w:val="20"/>
              </w:rPr>
              <w:t>874</w:t>
            </w:r>
            <w:r w:rsidRPr="00FB2207">
              <w:rPr>
                <w:rStyle w:val="Strong"/>
                <w:szCs w:val="20"/>
              </w:rPr>
              <w:br/>
              <w:t>(80%)</w:t>
            </w:r>
          </w:p>
        </w:tc>
      </w:tr>
      <w:tr w:rsidR="005816BE" w:rsidRPr="007F530F" w14:paraId="0F360FB2" w14:textId="77777777" w:rsidTr="00377374">
        <w:trPr>
          <w:trHeight w:val="60"/>
        </w:trPr>
        <w:tc>
          <w:tcPr>
            <w:tcW w:w="0" w:type="auto"/>
          </w:tcPr>
          <w:p w14:paraId="1655BD9F" w14:textId="52010BBD" w:rsidR="005816BE" w:rsidRPr="00FB2207" w:rsidRDefault="005816BE" w:rsidP="00DC75F7">
            <w:pPr>
              <w:pStyle w:val="TableBody"/>
              <w:rPr>
                <w:szCs w:val="20"/>
              </w:rPr>
            </w:pPr>
            <w:r w:rsidRPr="00FB2207">
              <w:rPr>
                <w:szCs w:val="20"/>
              </w:rPr>
              <w:t>Immediate custodial sentence, Magistrates’ Court</w:t>
            </w:r>
          </w:p>
        </w:tc>
        <w:tc>
          <w:tcPr>
            <w:tcW w:w="0" w:type="auto"/>
          </w:tcPr>
          <w:p w14:paraId="72583062" w14:textId="77777777" w:rsidR="005816BE" w:rsidRPr="00FB2207" w:rsidRDefault="005816BE" w:rsidP="00AC34F3">
            <w:pPr>
              <w:pStyle w:val="TableBody"/>
              <w:rPr>
                <w:szCs w:val="20"/>
              </w:rPr>
            </w:pPr>
            <w:r w:rsidRPr="00FB2207">
              <w:rPr>
                <w:szCs w:val="20"/>
              </w:rPr>
              <w:t>34</w:t>
            </w:r>
            <w:r w:rsidRPr="00FB2207">
              <w:rPr>
                <w:szCs w:val="20"/>
              </w:rPr>
              <w:br/>
              <w:t>(18%)</w:t>
            </w:r>
          </w:p>
        </w:tc>
        <w:tc>
          <w:tcPr>
            <w:tcW w:w="0" w:type="auto"/>
          </w:tcPr>
          <w:p w14:paraId="3C452593" w14:textId="77777777" w:rsidR="005816BE" w:rsidRPr="00FB2207" w:rsidRDefault="005816BE" w:rsidP="00AC34F3">
            <w:pPr>
              <w:pStyle w:val="TableBody"/>
              <w:rPr>
                <w:szCs w:val="20"/>
              </w:rPr>
            </w:pPr>
            <w:r w:rsidRPr="00FB2207">
              <w:rPr>
                <w:szCs w:val="20"/>
              </w:rPr>
              <w:t>41</w:t>
            </w:r>
            <w:r w:rsidRPr="00FB2207">
              <w:rPr>
                <w:szCs w:val="20"/>
              </w:rPr>
              <w:br/>
              <w:t>(23%)</w:t>
            </w:r>
          </w:p>
        </w:tc>
        <w:tc>
          <w:tcPr>
            <w:tcW w:w="0" w:type="auto"/>
          </w:tcPr>
          <w:p w14:paraId="43BF498D" w14:textId="77777777" w:rsidR="005816BE" w:rsidRPr="00FB2207" w:rsidRDefault="005816BE" w:rsidP="00AC34F3">
            <w:pPr>
              <w:pStyle w:val="TableBody"/>
              <w:rPr>
                <w:szCs w:val="20"/>
              </w:rPr>
            </w:pPr>
            <w:r w:rsidRPr="00FB2207">
              <w:rPr>
                <w:szCs w:val="20"/>
              </w:rPr>
              <w:t>31</w:t>
            </w:r>
            <w:r w:rsidRPr="00FB2207">
              <w:rPr>
                <w:szCs w:val="20"/>
              </w:rPr>
              <w:br/>
              <w:t>(15%)</w:t>
            </w:r>
          </w:p>
        </w:tc>
        <w:tc>
          <w:tcPr>
            <w:tcW w:w="0" w:type="auto"/>
          </w:tcPr>
          <w:p w14:paraId="1C757533" w14:textId="77777777" w:rsidR="005816BE" w:rsidRPr="00FB2207" w:rsidRDefault="005816BE" w:rsidP="00AC34F3">
            <w:pPr>
              <w:pStyle w:val="TableBody"/>
              <w:rPr>
                <w:szCs w:val="20"/>
              </w:rPr>
            </w:pPr>
            <w:r w:rsidRPr="00FB2207">
              <w:rPr>
                <w:szCs w:val="20"/>
              </w:rPr>
              <w:t>47</w:t>
            </w:r>
            <w:r w:rsidRPr="00FB2207">
              <w:rPr>
                <w:szCs w:val="20"/>
              </w:rPr>
              <w:br/>
              <w:t>(17%)</w:t>
            </w:r>
          </w:p>
        </w:tc>
        <w:tc>
          <w:tcPr>
            <w:tcW w:w="0" w:type="auto"/>
          </w:tcPr>
          <w:p w14:paraId="611DEA3C" w14:textId="77777777" w:rsidR="005816BE" w:rsidRPr="00FB2207" w:rsidRDefault="005816BE" w:rsidP="00AC34F3">
            <w:pPr>
              <w:pStyle w:val="TableBody"/>
              <w:rPr>
                <w:szCs w:val="20"/>
              </w:rPr>
            </w:pPr>
            <w:r w:rsidRPr="00FB2207">
              <w:rPr>
                <w:szCs w:val="20"/>
              </w:rPr>
              <w:t>57</w:t>
            </w:r>
            <w:r w:rsidRPr="00FB2207">
              <w:rPr>
                <w:szCs w:val="20"/>
              </w:rPr>
              <w:br/>
              <w:t>(22%)</w:t>
            </w:r>
          </w:p>
        </w:tc>
        <w:tc>
          <w:tcPr>
            <w:tcW w:w="0" w:type="auto"/>
          </w:tcPr>
          <w:p w14:paraId="53AFEF4A" w14:textId="77777777" w:rsidR="005816BE" w:rsidRPr="00FB2207" w:rsidRDefault="005816BE" w:rsidP="00AC34F3">
            <w:pPr>
              <w:pStyle w:val="TableBody"/>
              <w:rPr>
                <w:szCs w:val="20"/>
              </w:rPr>
            </w:pPr>
            <w:r w:rsidRPr="00FB2207">
              <w:rPr>
                <w:szCs w:val="20"/>
              </w:rPr>
              <w:t>42</w:t>
            </w:r>
            <w:r w:rsidRPr="00FB2207">
              <w:rPr>
                <w:szCs w:val="20"/>
              </w:rPr>
              <w:br/>
              <w:t>(16%)</w:t>
            </w:r>
          </w:p>
        </w:tc>
        <w:tc>
          <w:tcPr>
            <w:tcW w:w="0" w:type="auto"/>
          </w:tcPr>
          <w:p w14:paraId="1F7BCE84" w14:textId="77777777" w:rsidR="005816BE" w:rsidRPr="00FB2207" w:rsidRDefault="005816BE" w:rsidP="00AC34F3">
            <w:pPr>
              <w:pStyle w:val="TableBody"/>
              <w:rPr>
                <w:szCs w:val="20"/>
              </w:rPr>
            </w:pPr>
            <w:r w:rsidRPr="00FB2207">
              <w:rPr>
                <w:szCs w:val="20"/>
              </w:rPr>
              <w:t>41</w:t>
            </w:r>
            <w:r w:rsidRPr="00FB2207">
              <w:rPr>
                <w:szCs w:val="20"/>
              </w:rPr>
              <w:br/>
              <w:t>(17%)</w:t>
            </w:r>
          </w:p>
        </w:tc>
        <w:tc>
          <w:tcPr>
            <w:tcW w:w="0" w:type="auto"/>
          </w:tcPr>
          <w:p w14:paraId="6BAE4F41" w14:textId="77777777" w:rsidR="005816BE" w:rsidRPr="00FB2207" w:rsidRDefault="005816BE" w:rsidP="00AC34F3">
            <w:pPr>
              <w:pStyle w:val="TableBody"/>
              <w:rPr>
                <w:szCs w:val="20"/>
              </w:rPr>
            </w:pPr>
            <w:r w:rsidRPr="00FB2207">
              <w:rPr>
                <w:szCs w:val="20"/>
              </w:rPr>
              <w:t>97</w:t>
            </w:r>
            <w:r w:rsidRPr="00FB2207">
              <w:rPr>
                <w:szCs w:val="20"/>
              </w:rPr>
              <w:br/>
              <w:t>(30%)</w:t>
            </w:r>
          </w:p>
        </w:tc>
        <w:tc>
          <w:tcPr>
            <w:tcW w:w="0" w:type="auto"/>
          </w:tcPr>
          <w:p w14:paraId="19235E63" w14:textId="77777777" w:rsidR="005816BE" w:rsidRPr="00FB2207" w:rsidRDefault="005816BE" w:rsidP="00AC34F3">
            <w:pPr>
              <w:pStyle w:val="TableBody"/>
              <w:rPr>
                <w:szCs w:val="20"/>
              </w:rPr>
            </w:pPr>
            <w:r w:rsidRPr="00FB2207">
              <w:rPr>
                <w:szCs w:val="20"/>
              </w:rPr>
              <w:t>103</w:t>
            </w:r>
            <w:r w:rsidRPr="00FB2207">
              <w:rPr>
                <w:szCs w:val="20"/>
              </w:rPr>
              <w:br/>
              <w:t>(32%)</w:t>
            </w:r>
          </w:p>
        </w:tc>
        <w:tc>
          <w:tcPr>
            <w:tcW w:w="0" w:type="auto"/>
          </w:tcPr>
          <w:p w14:paraId="7CE8B37C" w14:textId="77777777" w:rsidR="005816BE" w:rsidRPr="00FB2207" w:rsidRDefault="005816BE" w:rsidP="00AC34F3">
            <w:pPr>
              <w:pStyle w:val="TableBody"/>
              <w:rPr>
                <w:szCs w:val="20"/>
              </w:rPr>
            </w:pPr>
            <w:r w:rsidRPr="00FB2207">
              <w:rPr>
                <w:szCs w:val="20"/>
              </w:rPr>
              <w:t>65</w:t>
            </w:r>
            <w:r w:rsidRPr="00FB2207">
              <w:rPr>
                <w:szCs w:val="20"/>
              </w:rPr>
              <w:br/>
              <w:t>(22%)</w:t>
            </w:r>
          </w:p>
        </w:tc>
        <w:tc>
          <w:tcPr>
            <w:tcW w:w="0" w:type="auto"/>
          </w:tcPr>
          <w:p w14:paraId="063A8CBE" w14:textId="77777777" w:rsidR="005816BE" w:rsidRPr="00FB2207" w:rsidRDefault="005816BE" w:rsidP="00AC34F3">
            <w:pPr>
              <w:pStyle w:val="TableBody"/>
              <w:rPr>
                <w:rStyle w:val="Strong"/>
                <w:szCs w:val="20"/>
              </w:rPr>
            </w:pPr>
            <w:r w:rsidRPr="00FB2207">
              <w:rPr>
                <w:rStyle w:val="Strong"/>
                <w:szCs w:val="20"/>
              </w:rPr>
              <w:t>558</w:t>
            </w:r>
            <w:r w:rsidRPr="00FB2207">
              <w:rPr>
                <w:rStyle w:val="Strong"/>
                <w:szCs w:val="20"/>
              </w:rPr>
              <w:br/>
              <w:t>(22%)</w:t>
            </w:r>
          </w:p>
        </w:tc>
      </w:tr>
      <w:tr w:rsidR="005816BE" w:rsidRPr="007F530F" w14:paraId="31C5016A" w14:textId="77777777" w:rsidTr="00377374">
        <w:trPr>
          <w:trHeight w:val="60"/>
        </w:trPr>
        <w:tc>
          <w:tcPr>
            <w:tcW w:w="0" w:type="auto"/>
          </w:tcPr>
          <w:p w14:paraId="5D6F6EE0" w14:textId="52B0BAC0" w:rsidR="005816BE" w:rsidRPr="00FB2207" w:rsidRDefault="005816BE" w:rsidP="00DC75F7">
            <w:pPr>
              <w:pStyle w:val="TableBody"/>
              <w:rPr>
                <w:szCs w:val="20"/>
              </w:rPr>
            </w:pPr>
            <w:r w:rsidRPr="00FB2207">
              <w:rPr>
                <w:szCs w:val="20"/>
              </w:rPr>
              <w:t>Community order, higher courts</w:t>
            </w:r>
          </w:p>
        </w:tc>
        <w:tc>
          <w:tcPr>
            <w:tcW w:w="0" w:type="auto"/>
          </w:tcPr>
          <w:p w14:paraId="16FD7992" w14:textId="77777777" w:rsidR="005816BE" w:rsidRPr="00FB2207" w:rsidRDefault="005816BE" w:rsidP="00AC34F3">
            <w:pPr>
              <w:pStyle w:val="TableBody"/>
              <w:rPr>
                <w:szCs w:val="20"/>
              </w:rPr>
            </w:pPr>
            <w:r w:rsidRPr="00FB2207">
              <w:rPr>
                <w:szCs w:val="20"/>
              </w:rPr>
              <w:t>7</w:t>
            </w:r>
            <w:r w:rsidRPr="00FB2207">
              <w:rPr>
                <w:szCs w:val="20"/>
              </w:rPr>
              <w:br/>
              <w:t>(3%)</w:t>
            </w:r>
          </w:p>
        </w:tc>
        <w:tc>
          <w:tcPr>
            <w:tcW w:w="0" w:type="auto"/>
          </w:tcPr>
          <w:p w14:paraId="152D82A0" w14:textId="77777777" w:rsidR="005816BE" w:rsidRPr="00FB2207" w:rsidRDefault="005816BE" w:rsidP="00AC34F3">
            <w:pPr>
              <w:pStyle w:val="TableBody"/>
              <w:rPr>
                <w:szCs w:val="20"/>
              </w:rPr>
            </w:pPr>
            <w:r w:rsidRPr="00FB2207">
              <w:rPr>
                <w:szCs w:val="20"/>
              </w:rPr>
              <w:t>10</w:t>
            </w:r>
            <w:r w:rsidRPr="00FB2207">
              <w:rPr>
                <w:szCs w:val="20"/>
              </w:rPr>
              <w:br/>
              <w:t>(7%)</w:t>
            </w:r>
          </w:p>
        </w:tc>
        <w:tc>
          <w:tcPr>
            <w:tcW w:w="0" w:type="auto"/>
          </w:tcPr>
          <w:p w14:paraId="0DF8EA87" w14:textId="77777777" w:rsidR="005816BE" w:rsidRPr="00FB2207" w:rsidRDefault="005816BE" w:rsidP="00AC34F3">
            <w:pPr>
              <w:pStyle w:val="TableBody"/>
              <w:rPr>
                <w:szCs w:val="20"/>
              </w:rPr>
            </w:pPr>
            <w:r w:rsidRPr="00FB2207">
              <w:rPr>
                <w:szCs w:val="20"/>
              </w:rPr>
              <w:t>11</w:t>
            </w:r>
            <w:r w:rsidRPr="00FB2207">
              <w:rPr>
                <w:szCs w:val="20"/>
              </w:rPr>
              <w:br/>
              <w:t>(9%)</w:t>
            </w:r>
          </w:p>
        </w:tc>
        <w:tc>
          <w:tcPr>
            <w:tcW w:w="0" w:type="auto"/>
          </w:tcPr>
          <w:p w14:paraId="2149EB93" w14:textId="77777777" w:rsidR="005816BE" w:rsidRPr="00FB2207" w:rsidRDefault="005816BE" w:rsidP="00AC34F3">
            <w:pPr>
              <w:pStyle w:val="TableBody"/>
              <w:rPr>
                <w:szCs w:val="20"/>
              </w:rPr>
            </w:pPr>
            <w:r w:rsidRPr="00FB2207">
              <w:rPr>
                <w:szCs w:val="20"/>
              </w:rPr>
              <w:t xml:space="preserve">8 </w:t>
            </w:r>
            <w:r w:rsidRPr="00FB2207">
              <w:rPr>
                <w:szCs w:val="20"/>
              </w:rPr>
              <w:br/>
              <w:t>(9%)</w:t>
            </w:r>
          </w:p>
        </w:tc>
        <w:tc>
          <w:tcPr>
            <w:tcW w:w="0" w:type="auto"/>
          </w:tcPr>
          <w:p w14:paraId="2BDF3886" w14:textId="77777777" w:rsidR="005816BE" w:rsidRPr="00FB2207" w:rsidRDefault="005816BE" w:rsidP="00AC34F3">
            <w:pPr>
              <w:pStyle w:val="TableBody"/>
              <w:rPr>
                <w:szCs w:val="20"/>
              </w:rPr>
            </w:pPr>
            <w:r w:rsidRPr="00FB2207">
              <w:rPr>
                <w:szCs w:val="20"/>
              </w:rPr>
              <w:t>13</w:t>
            </w:r>
            <w:r w:rsidRPr="00FB2207">
              <w:rPr>
                <w:szCs w:val="20"/>
              </w:rPr>
              <w:br/>
              <w:t>(13%)</w:t>
            </w:r>
          </w:p>
        </w:tc>
        <w:tc>
          <w:tcPr>
            <w:tcW w:w="0" w:type="auto"/>
          </w:tcPr>
          <w:p w14:paraId="2D884984" w14:textId="77777777" w:rsidR="005816BE" w:rsidRPr="00FB2207" w:rsidRDefault="005816BE" w:rsidP="00AC34F3">
            <w:pPr>
              <w:pStyle w:val="TableBody"/>
              <w:rPr>
                <w:szCs w:val="20"/>
              </w:rPr>
            </w:pPr>
            <w:r w:rsidRPr="00FB2207">
              <w:rPr>
                <w:szCs w:val="20"/>
              </w:rPr>
              <w:t>14</w:t>
            </w:r>
            <w:r w:rsidRPr="00FB2207">
              <w:rPr>
                <w:szCs w:val="20"/>
              </w:rPr>
              <w:br/>
              <w:t>(15%)</w:t>
            </w:r>
          </w:p>
        </w:tc>
        <w:tc>
          <w:tcPr>
            <w:tcW w:w="0" w:type="auto"/>
          </w:tcPr>
          <w:p w14:paraId="607928D0" w14:textId="77777777" w:rsidR="005816BE" w:rsidRPr="00FB2207" w:rsidRDefault="005816BE" w:rsidP="00AC34F3">
            <w:pPr>
              <w:pStyle w:val="TableBody"/>
              <w:rPr>
                <w:szCs w:val="20"/>
              </w:rPr>
            </w:pPr>
            <w:r w:rsidRPr="00FB2207">
              <w:rPr>
                <w:szCs w:val="20"/>
              </w:rPr>
              <w:t>15</w:t>
            </w:r>
            <w:r w:rsidRPr="00FB2207">
              <w:rPr>
                <w:szCs w:val="20"/>
              </w:rPr>
              <w:br/>
              <w:t>(23%)</w:t>
            </w:r>
          </w:p>
        </w:tc>
        <w:tc>
          <w:tcPr>
            <w:tcW w:w="0" w:type="auto"/>
          </w:tcPr>
          <w:p w14:paraId="231FA7EE" w14:textId="77777777" w:rsidR="005816BE" w:rsidRPr="00FB2207" w:rsidRDefault="005816BE" w:rsidP="00AC34F3">
            <w:pPr>
              <w:pStyle w:val="TableBody"/>
              <w:rPr>
                <w:szCs w:val="20"/>
              </w:rPr>
            </w:pPr>
            <w:r w:rsidRPr="00FB2207">
              <w:rPr>
                <w:szCs w:val="20"/>
              </w:rPr>
              <w:t>11</w:t>
            </w:r>
            <w:r w:rsidRPr="00FB2207">
              <w:rPr>
                <w:szCs w:val="20"/>
              </w:rPr>
              <w:br/>
              <w:t>(21%)</w:t>
            </w:r>
          </w:p>
        </w:tc>
        <w:tc>
          <w:tcPr>
            <w:tcW w:w="0" w:type="auto"/>
          </w:tcPr>
          <w:p w14:paraId="107A0C50" w14:textId="77777777" w:rsidR="005816BE" w:rsidRPr="00FB2207" w:rsidRDefault="005816BE" w:rsidP="00AC34F3">
            <w:pPr>
              <w:pStyle w:val="TableBody"/>
              <w:rPr>
                <w:szCs w:val="20"/>
              </w:rPr>
            </w:pPr>
            <w:r w:rsidRPr="00FB2207">
              <w:rPr>
                <w:szCs w:val="20"/>
              </w:rPr>
              <w:t>11</w:t>
            </w:r>
            <w:r w:rsidRPr="00FB2207">
              <w:rPr>
                <w:szCs w:val="20"/>
              </w:rPr>
              <w:br/>
              <w:t>(14%)</w:t>
            </w:r>
          </w:p>
        </w:tc>
        <w:tc>
          <w:tcPr>
            <w:tcW w:w="0" w:type="auto"/>
          </w:tcPr>
          <w:p w14:paraId="35370B0A" w14:textId="77777777" w:rsidR="005816BE" w:rsidRPr="00FB2207" w:rsidRDefault="005816BE" w:rsidP="00AC34F3">
            <w:pPr>
              <w:pStyle w:val="TableBody"/>
              <w:rPr>
                <w:szCs w:val="20"/>
              </w:rPr>
            </w:pPr>
            <w:r w:rsidRPr="00FB2207">
              <w:rPr>
                <w:szCs w:val="20"/>
              </w:rPr>
              <w:t>18</w:t>
            </w:r>
            <w:r w:rsidRPr="00FB2207">
              <w:rPr>
                <w:szCs w:val="20"/>
              </w:rPr>
              <w:br/>
              <w:t>(19%)</w:t>
            </w:r>
          </w:p>
        </w:tc>
        <w:tc>
          <w:tcPr>
            <w:tcW w:w="0" w:type="auto"/>
          </w:tcPr>
          <w:p w14:paraId="1BAF5E65" w14:textId="77777777" w:rsidR="005816BE" w:rsidRPr="00FB2207" w:rsidRDefault="005816BE" w:rsidP="00AC34F3">
            <w:pPr>
              <w:pStyle w:val="TableBody"/>
              <w:rPr>
                <w:rStyle w:val="Strong"/>
                <w:szCs w:val="20"/>
              </w:rPr>
            </w:pPr>
            <w:r w:rsidRPr="00FB2207">
              <w:rPr>
                <w:rStyle w:val="Strong"/>
                <w:szCs w:val="20"/>
              </w:rPr>
              <w:t>118</w:t>
            </w:r>
            <w:r w:rsidRPr="00FB2207">
              <w:rPr>
                <w:rStyle w:val="Strong"/>
                <w:szCs w:val="20"/>
              </w:rPr>
              <w:br/>
              <w:t>(11%)</w:t>
            </w:r>
          </w:p>
        </w:tc>
      </w:tr>
      <w:tr w:rsidR="005816BE" w:rsidRPr="007F530F" w14:paraId="3944D3FE" w14:textId="77777777" w:rsidTr="00377374">
        <w:trPr>
          <w:trHeight w:val="60"/>
        </w:trPr>
        <w:tc>
          <w:tcPr>
            <w:tcW w:w="0" w:type="auto"/>
          </w:tcPr>
          <w:p w14:paraId="7A003DFB" w14:textId="32F6FC46" w:rsidR="005816BE" w:rsidRPr="00FB2207" w:rsidRDefault="005816BE" w:rsidP="00DC75F7">
            <w:pPr>
              <w:pStyle w:val="TableBody"/>
              <w:rPr>
                <w:szCs w:val="20"/>
              </w:rPr>
            </w:pPr>
            <w:r w:rsidRPr="00FB2207">
              <w:rPr>
                <w:szCs w:val="20"/>
              </w:rPr>
              <w:t>Community order, Magistrates’ Court</w:t>
            </w:r>
          </w:p>
        </w:tc>
        <w:tc>
          <w:tcPr>
            <w:tcW w:w="0" w:type="auto"/>
          </w:tcPr>
          <w:p w14:paraId="7656AEB5" w14:textId="77777777" w:rsidR="005816BE" w:rsidRPr="00FB2207" w:rsidRDefault="005816BE" w:rsidP="00AC34F3">
            <w:pPr>
              <w:pStyle w:val="TableBody"/>
              <w:rPr>
                <w:szCs w:val="20"/>
              </w:rPr>
            </w:pPr>
            <w:r w:rsidRPr="00FB2207">
              <w:rPr>
                <w:szCs w:val="20"/>
              </w:rPr>
              <w:t>63</w:t>
            </w:r>
            <w:r w:rsidRPr="00FB2207">
              <w:rPr>
                <w:szCs w:val="20"/>
              </w:rPr>
              <w:br/>
              <w:t>(33%)</w:t>
            </w:r>
          </w:p>
        </w:tc>
        <w:tc>
          <w:tcPr>
            <w:tcW w:w="0" w:type="auto"/>
          </w:tcPr>
          <w:p w14:paraId="76793E93" w14:textId="77777777" w:rsidR="005816BE" w:rsidRPr="00FB2207" w:rsidRDefault="005816BE" w:rsidP="00AC34F3">
            <w:pPr>
              <w:pStyle w:val="TableBody"/>
              <w:rPr>
                <w:szCs w:val="20"/>
              </w:rPr>
            </w:pPr>
            <w:r w:rsidRPr="00FB2207">
              <w:rPr>
                <w:szCs w:val="20"/>
              </w:rPr>
              <w:t>67</w:t>
            </w:r>
            <w:r w:rsidRPr="00FB2207">
              <w:rPr>
                <w:szCs w:val="20"/>
              </w:rPr>
              <w:br/>
              <w:t>(38%)</w:t>
            </w:r>
          </w:p>
        </w:tc>
        <w:tc>
          <w:tcPr>
            <w:tcW w:w="0" w:type="auto"/>
          </w:tcPr>
          <w:p w14:paraId="2462921A" w14:textId="77777777" w:rsidR="005816BE" w:rsidRPr="00FB2207" w:rsidRDefault="005816BE" w:rsidP="00AC34F3">
            <w:pPr>
              <w:pStyle w:val="TableBody"/>
              <w:rPr>
                <w:szCs w:val="20"/>
              </w:rPr>
            </w:pPr>
            <w:r w:rsidRPr="00FB2207">
              <w:rPr>
                <w:szCs w:val="20"/>
              </w:rPr>
              <w:t>59</w:t>
            </w:r>
            <w:r w:rsidRPr="00FB2207">
              <w:rPr>
                <w:szCs w:val="20"/>
              </w:rPr>
              <w:br/>
              <w:t>(29%)</w:t>
            </w:r>
          </w:p>
        </w:tc>
        <w:tc>
          <w:tcPr>
            <w:tcW w:w="0" w:type="auto"/>
          </w:tcPr>
          <w:p w14:paraId="748BBD4B" w14:textId="77777777" w:rsidR="005816BE" w:rsidRPr="00FB2207" w:rsidRDefault="005816BE" w:rsidP="00AC34F3">
            <w:pPr>
              <w:pStyle w:val="TableBody"/>
              <w:rPr>
                <w:szCs w:val="20"/>
              </w:rPr>
            </w:pPr>
            <w:r w:rsidRPr="00FB2207">
              <w:rPr>
                <w:szCs w:val="20"/>
              </w:rPr>
              <w:t>79</w:t>
            </w:r>
            <w:r w:rsidRPr="00FB2207">
              <w:rPr>
                <w:szCs w:val="20"/>
              </w:rPr>
              <w:br/>
              <w:t>(29%)</w:t>
            </w:r>
          </w:p>
        </w:tc>
        <w:tc>
          <w:tcPr>
            <w:tcW w:w="0" w:type="auto"/>
          </w:tcPr>
          <w:p w14:paraId="2FE9DBE3" w14:textId="77777777" w:rsidR="005816BE" w:rsidRPr="00FB2207" w:rsidRDefault="005816BE" w:rsidP="00AC34F3">
            <w:pPr>
              <w:pStyle w:val="TableBody"/>
              <w:rPr>
                <w:szCs w:val="20"/>
              </w:rPr>
            </w:pPr>
            <w:r w:rsidRPr="00FB2207">
              <w:rPr>
                <w:szCs w:val="20"/>
              </w:rPr>
              <w:t>78</w:t>
            </w:r>
            <w:r w:rsidRPr="00FB2207">
              <w:rPr>
                <w:szCs w:val="20"/>
              </w:rPr>
              <w:br/>
              <w:t>(30%)</w:t>
            </w:r>
          </w:p>
        </w:tc>
        <w:tc>
          <w:tcPr>
            <w:tcW w:w="0" w:type="auto"/>
          </w:tcPr>
          <w:p w14:paraId="39A54DD6" w14:textId="77777777" w:rsidR="005816BE" w:rsidRPr="00FB2207" w:rsidRDefault="005816BE" w:rsidP="00AC34F3">
            <w:pPr>
              <w:pStyle w:val="TableBody"/>
              <w:rPr>
                <w:szCs w:val="20"/>
              </w:rPr>
            </w:pPr>
            <w:r w:rsidRPr="00FB2207">
              <w:rPr>
                <w:szCs w:val="20"/>
              </w:rPr>
              <w:t>105</w:t>
            </w:r>
            <w:r w:rsidRPr="00FB2207">
              <w:rPr>
                <w:szCs w:val="20"/>
              </w:rPr>
              <w:br/>
              <w:t>(39%)</w:t>
            </w:r>
          </w:p>
        </w:tc>
        <w:tc>
          <w:tcPr>
            <w:tcW w:w="0" w:type="auto"/>
          </w:tcPr>
          <w:p w14:paraId="15A7D154" w14:textId="77777777" w:rsidR="005816BE" w:rsidRPr="00FB2207" w:rsidRDefault="005816BE" w:rsidP="00AC34F3">
            <w:pPr>
              <w:pStyle w:val="TableBody"/>
              <w:rPr>
                <w:szCs w:val="20"/>
              </w:rPr>
            </w:pPr>
            <w:r w:rsidRPr="00FB2207">
              <w:rPr>
                <w:szCs w:val="20"/>
              </w:rPr>
              <w:t>109</w:t>
            </w:r>
            <w:r w:rsidRPr="00FB2207">
              <w:rPr>
                <w:szCs w:val="20"/>
              </w:rPr>
              <w:br/>
              <w:t>(45%)</w:t>
            </w:r>
          </w:p>
        </w:tc>
        <w:tc>
          <w:tcPr>
            <w:tcW w:w="0" w:type="auto"/>
          </w:tcPr>
          <w:p w14:paraId="62163B09" w14:textId="77777777" w:rsidR="005816BE" w:rsidRPr="00FB2207" w:rsidRDefault="005816BE" w:rsidP="00AC34F3">
            <w:pPr>
              <w:pStyle w:val="TableBody"/>
              <w:rPr>
                <w:szCs w:val="20"/>
              </w:rPr>
            </w:pPr>
            <w:r w:rsidRPr="00FB2207">
              <w:rPr>
                <w:szCs w:val="20"/>
              </w:rPr>
              <w:t>128</w:t>
            </w:r>
            <w:r w:rsidRPr="00FB2207">
              <w:rPr>
                <w:szCs w:val="20"/>
              </w:rPr>
              <w:br/>
              <w:t>(39%)</w:t>
            </w:r>
          </w:p>
        </w:tc>
        <w:tc>
          <w:tcPr>
            <w:tcW w:w="0" w:type="auto"/>
          </w:tcPr>
          <w:p w14:paraId="09E3B8F7" w14:textId="77777777" w:rsidR="005816BE" w:rsidRPr="00FB2207" w:rsidRDefault="005816BE" w:rsidP="00AC34F3">
            <w:pPr>
              <w:pStyle w:val="TableBody"/>
              <w:rPr>
                <w:szCs w:val="20"/>
              </w:rPr>
            </w:pPr>
            <w:r w:rsidRPr="00FB2207">
              <w:rPr>
                <w:szCs w:val="20"/>
              </w:rPr>
              <w:t>112</w:t>
            </w:r>
            <w:r w:rsidRPr="00FB2207">
              <w:rPr>
                <w:szCs w:val="20"/>
              </w:rPr>
              <w:br/>
              <w:t>(35%)</w:t>
            </w:r>
          </w:p>
        </w:tc>
        <w:tc>
          <w:tcPr>
            <w:tcW w:w="0" w:type="auto"/>
          </w:tcPr>
          <w:p w14:paraId="003B9667" w14:textId="77777777" w:rsidR="005816BE" w:rsidRPr="00FB2207" w:rsidRDefault="005816BE" w:rsidP="00AC34F3">
            <w:pPr>
              <w:pStyle w:val="TableBody"/>
              <w:rPr>
                <w:szCs w:val="20"/>
              </w:rPr>
            </w:pPr>
            <w:r w:rsidRPr="00FB2207">
              <w:rPr>
                <w:szCs w:val="20"/>
              </w:rPr>
              <w:t>103</w:t>
            </w:r>
            <w:r w:rsidRPr="00FB2207">
              <w:rPr>
                <w:szCs w:val="20"/>
              </w:rPr>
              <w:br/>
              <w:t>(35%)</w:t>
            </w:r>
          </w:p>
        </w:tc>
        <w:tc>
          <w:tcPr>
            <w:tcW w:w="0" w:type="auto"/>
          </w:tcPr>
          <w:p w14:paraId="0905A984" w14:textId="77777777" w:rsidR="005816BE" w:rsidRPr="00FB2207" w:rsidRDefault="005816BE" w:rsidP="00AC34F3">
            <w:pPr>
              <w:pStyle w:val="TableBody"/>
              <w:rPr>
                <w:rStyle w:val="Strong"/>
                <w:szCs w:val="20"/>
              </w:rPr>
            </w:pPr>
            <w:r w:rsidRPr="00FB2207">
              <w:rPr>
                <w:rStyle w:val="Strong"/>
                <w:szCs w:val="20"/>
              </w:rPr>
              <w:t>903</w:t>
            </w:r>
            <w:r w:rsidRPr="00FB2207">
              <w:rPr>
                <w:rStyle w:val="Strong"/>
                <w:szCs w:val="20"/>
              </w:rPr>
              <w:br/>
              <w:t>(35%)</w:t>
            </w:r>
          </w:p>
        </w:tc>
      </w:tr>
      <w:tr w:rsidR="005816BE" w:rsidRPr="007F530F" w14:paraId="71368A2D" w14:textId="77777777" w:rsidTr="00377374">
        <w:trPr>
          <w:trHeight w:val="60"/>
        </w:trPr>
        <w:tc>
          <w:tcPr>
            <w:tcW w:w="0" w:type="auto"/>
          </w:tcPr>
          <w:p w14:paraId="3F2ADA8C" w14:textId="6DC811EA" w:rsidR="005816BE" w:rsidRPr="00FB2207" w:rsidRDefault="005816BE" w:rsidP="00DC75F7">
            <w:pPr>
              <w:pStyle w:val="TableBody"/>
              <w:rPr>
                <w:szCs w:val="20"/>
              </w:rPr>
            </w:pPr>
            <w:r w:rsidRPr="00FB2207">
              <w:rPr>
                <w:szCs w:val="20"/>
              </w:rPr>
              <w:t>Fine, higher courts</w:t>
            </w:r>
          </w:p>
        </w:tc>
        <w:tc>
          <w:tcPr>
            <w:tcW w:w="0" w:type="auto"/>
          </w:tcPr>
          <w:p w14:paraId="6A0F15E8" w14:textId="77777777" w:rsidR="005816BE" w:rsidRPr="00FB2207" w:rsidRDefault="005816BE" w:rsidP="00AC34F3">
            <w:pPr>
              <w:pStyle w:val="TableBody"/>
              <w:rPr>
                <w:szCs w:val="20"/>
              </w:rPr>
            </w:pPr>
            <w:r w:rsidRPr="00FB2207">
              <w:rPr>
                <w:szCs w:val="20"/>
              </w:rPr>
              <w:t>15</w:t>
            </w:r>
            <w:r w:rsidRPr="00FB2207">
              <w:rPr>
                <w:szCs w:val="20"/>
              </w:rPr>
              <w:br/>
              <w:t>(6%)</w:t>
            </w:r>
          </w:p>
        </w:tc>
        <w:tc>
          <w:tcPr>
            <w:tcW w:w="0" w:type="auto"/>
          </w:tcPr>
          <w:p w14:paraId="5FC85872"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23F5EE39" w14:textId="77777777" w:rsidR="005816BE" w:rsidRPr="00FB2207" w:rsidRDefault="005816BE" w:rsidP="00AC34F3">
            <w:pPr>
              <w:pStyle w:val="TableBody"/>
              <w:rPr>
                <w:szCs w:val="20"/>
              </w:rPr>
            </w:pPr>
            <w:r w:rsidRPr="00FB2207">
              <w:rPr>
                <w:szCs w:val="20"/>
              </w:rPr>
              <w:t>2</w:t>
            </w:r>
            <w:r w:rsidRPr="00FB2207">
              <w:rPr>
                <w:szCs w:val="20"/>
              </w:rPr>
              <w:br/>
              <w:t>(2%)</w:t>
            </w:r>
          </w:p>
        </w:tc>
        <w:tc>
          <w:tcPr>
            <w:tcW w:w="0" w:type="auto"/>
          </w:tcPr>
          <w:p w14:paraId="2CC0CE42" w14:textId="77777777" w:rsidR="005816BE" w:rsidRPr="00FB2207" w:rsidRDefault="005816BE" w:rsidP="00AC34F3">
            <w:pPr>
              <w:pStyle w:val="TableBody"/>
              <w:rPr>
                <w:szCs w:val="20"/>
              </w:rPr>
            </w:pPr>
            <w:r w:rsidRPr="00FB2207">
              <w:rPr>
                <w:szCs w:val="20"/>
              </w:rPr>
              <w:t>–</w:t>
            </w:r>
          </w:p>
        </w:tc>
        <w:tc>
          <w:tcPr>
            <w:tcW w:w="0" w:type="auto"/>
          </w:tcPr>
          <w:p w14:paraId="7BB593BD"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7FF1AAB9"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752F7F27" w14:textId="77777777" w:rsidR="005816BE" w:rsidRPr="00FB2207" w:rsidRDefault="005816BE" w:rsidP="00AC34F3">
            <w:pPr>
              <w:pStyle w:val="TableBody"/>
              <w:rPr>
                <w:szCs w:val="20"/>
              </w:rPr>
            </w:pPr>
            <w:r w:rsidRPr="00FB2207">
              <w:rPr>
                <w:szCs w:val="20"/>
              </w:rPr>
              <w:t>1</w:t>
            </w:r>
            <w:r w:rsidRPr="00FB2207">
              <w:rPr>
                <w:szCs w:val="20"/>
              </w:rPr>
              <w:br/>
              <w:t>(2%)</w:t>
            </w:r>
          </w:p>
        </w:tc>
        <w:tc>
          <w:tcPr>
            <w:tcW w:w="0" w:type="auto"/>
          </w:tcPr>
          <w:p w14:paraId="3A2DF66D" w14:textId="77777777" w:rsidR="005816BE" w:rsidRPr="00FB2207" w:rsidRDefault="005816BE" w:rsidP="00AC34F3">
            <w:pPr>
              <w:pStyle w:val="TableBody"/>
              <w:rPr>
                <w:szCs w:val="20"/>
              </w:rPr>
            </w:pPr>
            <w:r w:rsidRPr="00FB2207">
              <w:rPr>
                <w:szCs w:val="20"/>
              </w:rPr>
              <w:t>1</w:t>
            </w:r>
            <w:r w:rsidRPr="00FB2207">
              <w:rPr>
                <w:szCs w:val="20"/>
              </w:rPr>
              <w:br/>
              <w:t>(2%)</w:t>
            </w:r>
          </w:p>
        </w:tc>
        <w:tc>
          <w:tcPr>
            <w:tcW w:w="0" w:type="auto"/>
          </w:tcPr>
          <w:p w14:paraId="105385CC" w14:textId="77777777" w:rsidR="005816BE" w:rsidRPr="00FB2207" w:rsidRDefault="005816BE" w:rsidP="00AC34F3">
            <w:pPr>
              <w:pStyle w:val="TableBody"/>
              <w:rPr>
                <w:szCs w:val="20"/>
              </w:rPr>
            </w:pPr>
            <w:r w:rsidRPr="00FB2207">
              <w:rPr>
                <w:szCs w:val="20"/>
              </w:rPr>
              <w:t>–</w:t>
            </w:r>
          </w:p>
        </w:tc>
        <w:tc>
          <w:tcPr>
            <w:tcW w:w="0" w:type="auto"/>
          </w:tcPr>
          <w:p w14:paraId="6F40A08C"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1D5C18F7" w14:textId="77777777" w:rsidR="005816BE" w:rsidRPr="00FB2207" w:rsidRDefault="005816BE" w:rsidP="00AC34F3">
            <w:pPr>
              <w:pStyle w:val="TableBody"/>
              <w:rPr>
                <w:rStyle w:val="Strong"/>
                <w:szCs w:val="20"/>
              </w:rPr>
            </w:pPr>
            <w:r w:rsidRPr="00FB2207">
              <w:rPr>
                <w:rStyle w:val="Strong"/>
                <w:szCs w:val="20"/>
              </w:rPr>
              <w:t>23</w:t>
            </w:r>
            <w:r w:rsidRPr="00FB2207">
              <w:rPr>
                <w:rStyle w:val="Strong"/>
                <w:szCs w:val="20"/>
              </w:rPr>
              <w:br/>
              <w:t>(2%)</w:t>
            </w:r>
          </w:p>
        </w:tc>
      </w:tr>
      <w:tr w:rsidR="005816BE" w:rsidRPr="007F530F" w14:paraId="7C325CED" w14:textId="77777777" w:rsidTr="00377374">
        <w:trPr>
          <w:trHeight w:val="60"/>
        </w:trPr>
        <w:tc>
          <w:tcPr>
            <w:tcW w:w="0" w:type="auto"/>
          </w:tcPr>
          <w:p w14:paraId="7E3BE746" w14:textId="1EA05CD4" w:rsidR="005816BE" w:rsidRPr="00FB2207" w:rsidRDefault="005816BE" w:rsidP="00DC75F7">
            <w:pPr>
              <w:pStyle w:val="TableBody"/>
              <w:rPr>
                <w:szCs w:val="20"/>
              </w:rPr>
            </w:pPr>
            <w:r w:rsidRPr="00FB2207">
              <w:rPr>
                <w:szCs w:val="20"/>
              </w:rPr>
              <w:t>Fine, Magistrates’ Court</w:t>
            </w:r>
          </w:p>
        </w:tc>
        <w:tc>
          <w:tcPr>
            <w:tcW w:w="0" w:type="auto"/>
          </w:tcPr>
          <w:p w14:paraId="5B24585F" w14:textId="77777777" w:rsidR="005816BE" w:rsidRPr="00FB2207" w:rsidRDefault="005816BE" w:rsidP="00AC34F3">
            <w:pPr>
              <w:pStyle w:val="TableBody"/>
              <w:rPr>
                <w:szCs w:val="20"/>
              </w:rPr>
            </w:pPr>
            <w:r w:rsidRPr="00FB2207">
              <w:rPr>
                <w:szCs w:val="20"/>
              </w:rPr>
              <w:t>35</w:t>
            </w:r>
            <w:r w:rsidRPr="00FB2207">
              <w:rPr>
                <w:szCs w:val="20"/>
              </w:rPr>
              <w:br/>
              <w:t>(19%)</w:t>
            </w:r>
          </w:p>
        </w:tc>
        <w:tc>
          <w:tcPr>
            <w:tcW w:w="0" w:type="auto"/>
          </w:tcPr>
          <w:p w14:paraId="1C5F1CBD" w14:textId="77777777" w:rsidR="005816BE" w:rsidRPr="00FB2207" w:rsidRDefault="005816BE" w:rsidP="00AC34F3">
            <w:pPr>
              <w:pStyle w:val="TableBody"/>
              <w:rPr>
                <w:szCs w:val="20"/>
              </w:rPr>
            </w:pPr>
            <w:r w:rsidRPr="00FB2207">
              <w:rPr>
                <w:szCs w:val="20"/>
              </w:rPr>
              <w:t>26</w:t>
            </w:r>
            <w:r w:rsidRPr="00FB2207">
              <w:rPr>
                <w:szCs w:val="20"/>
              </w:rPr>
              <w:br/>
              <w:t>(15%)</w:t>
            </w:r>
          </w:p>
        </w:tc>
        <w:tc>
          <w:tcPr>
            <w:tcW w:w="0" w:type="auto"/>
          </w:tcPr>
          <w:p w14:paraId="07DE4B8A" w14:textId="77777777" w:rsidR="005816BE" w:rsidRPr="00FB2207" w:rsidRDefault="005816BE" w:rsidP="00AC34F3">
            <w:pPr>
              <w:pStyle w:val="TableBody"/>
              <w:rPr>
                <w:szCs w:val="20"/>
              </w:rPr>
            </w:pPr>
            <w:r w:rsidRPr="00FB2207">
              <w:rPr>
                <w:szCs w:val="20"/>
              </w:rPr>
              <w:t>41</w:t>
            </w:r>
            <w:r w:rsidRPr="00FB2207">
              <w:rPr>
                <w:szCs w:val="20"/>
              </w:rPr>
              <w:br/>
              <w:t>(20%)</w:t>
            </w:r>
          </w:p>
        </w:tc>
        <w:tc>
          <w:tcPr>
            <w:tcW w:w="0" w:type="auto"/>
          </w:tcPr>
          <w:p w14:paraId="7604AE8B" w14:textId="77777777" w:rsidR="005816BE" w:rsidRPr="00FB2207" w:rsidRDefault="005816BE" w:rsidP="00AC34F3">
            <w:pPr>
              <w:pStyle w:val="TableBody"/>
              <w:rPr>
                <w:szCs w:val="20"/>
              </w:rPr>
            </w:pPr>
            <w:r w:rsidRPr="00FB2207">
              <w:rPr>
                <w:szCs w:val="20"/>
              </w:rPr>
              <w:t>55</w:t>
            </w:r>
            <w:r w:rsidRPr="00FB2207">
              <w:rPr>
                <w:szCs w:val="20"/>
              </w:rPr>
              <w:br/>
              <w:t>(20%)</w:t>
            </w:r>
          </w:p>
        </w:tc>
        <w:tc>
          <w:tcPr>
            <w:tcW w:w="0" w:type="auto"/>
          </w:tcPr>
          <w:p w14:paraId="2CA8FA4A" w14:textId="77777777" w:rsidR="005816BE" w:rsidRPr="00FB2207" w:rsidRDefault="005816BE" w:rsidP="00AC34F3">
            <w:pPr>
              <w:pStyle w:val="TableBody"/>
              <w:rPr>
                <w:szCs w:val="20"/>
              </w:rPr>
            </w:pPr>
            <w:r w:rsidRPr="00FB2207">
              <w:rPr>
                <w:szCs w:val="20"/>
              </w:rPr>
              <w:t>42</w:t>
            </w:r>
            <w:r w:rsidRPr="00FB2207">
              <w:rPr>
                <w:szCs w:val="20"/>
              </w:rPr>
              <w:br/>
              <w:t>(16%)</w:t>
            </w:r>
          </w:p>
        </w:tc>
        <w:tc>
          <w:tcPr>
            <w:tcW w:w="0" w:type="auto"/>
          </w:tcPr>
          <w:p w14:paraId="6996C305" w14:textId="77777777" w:rsidR="005816BE" w:rsidRPr="00FB2207" w:rsidRDefault="005816BE" w:rsidP="00AC34F3">
            <w:pPr>
              <w:pStyle w:val="TableBody"/>
              <w:rPr>
                <w:szCs w:val="20"/>
              </w:rPr>
            </w:pPr>
            <w:r w:rsidRPr="00FB2207">
              <w:rPr>
                <w:szCs w:val="20"/>
              </w:rPr>
              <w:t>50</w:t>
            </w:r>
            <w:r w:rsidRPr="00FB2207">
              <w:rPr>
                <w:szCs w:val="20"/>
              </w:rPr>
              <w:br/>
              <w:t>(19%)</w:t>
            </w:r>
          </w:p>
        </w:tc>
        <w:tc>
          <w:tcPr>
            <w:tcW w:w="0" w:type="auto"/>
          </w:tcPr>
          <w:p w14:paraId="57C4845C" w14:textId="77777777" w:rsidR="005816BE" w:rsidRPr="00FB2207" w:rsidRDefault="005816BE" w:rsidP="00AC34F3">
            <w:pPr>
              <w:pStyle w:val="TableBody"/>
              <w:rPr>
                <w:szCs w:val="20"/>
              </w:rPr>
            </w:pPr>
            <w:r w:rsidRPr="00FB2207">
              <w:rPr>
                <w:szCs w:val="20"/>
              </w:rPr>
              <w:t>37</w:t>
            </w:r>
            <w:r w:rsidRPr="00FB2207">
              <w:rPr>
                <w:szCs w:val="20"/>
              </w:rPr>
              <w:br/>
              <w:t>(15%)</w:t>
            </w:r>
          </w:p>
        </w:tc>
        <w:tc>
          <w:tcPr>
            <w:tcW w:w="0" w:type="auto"/>
          </w:tcPr>
          <w:p w14:paraId="2916ACB1" w14:textId="77777777" w:rsidR="005816BE" w:rsidRPr="00FB2207" w:rsidRDefault="005816BE" w:rsidP="00AC34F3">
            <w:pPr>
              <w:pStyle w:val="TableBody"/>
              <w:rPr>
                <w:szCs w:val="20"/>
              </w:rPr>
            </w:pPr>
            <w:r w:rsidRPr="00FB2207">
              <w:rPr>
                <w:szCs w:val="20"/>
              </w:rPr>
              <w:t>40</w:t>
            </w:r>
            <w:r w:rsidRPr="00FB2207">
              <w:rPr>
                <w:szCs w:val="20"/>
              </w:rPr>
              <w:br/>
              <w:t>(12%)</w:t>
            </w:r>
          </w:p>
        </w:tc>
        <w:tc>
          <w:tcPr>
            <w:tcW w:w="0" w:type="auto"/>
          </w:tcPr>
          <w:p w14:paraId="65EBD206" w14:textId="77777777" w:rsidR="005816BE" w:rsidRPr="00FB2207" w:rsidRDefault="005816BE" w:rsidP="00AC34F3">
            <w:pPr>
              <w:pStyle w:val="TableBody"/>
              <w:rPr>
                <w:szCs w:val="20"/>
              </w:rPr>
            </w:pPr>
            <w:r w:rsidRPr="00FB2207">
              <w:rPr>
                <w:szCs w:val="20"/>
              </w:rPr>
              <w:t>52</w:t>
            </w:r>
            <w:r w:rsidRPr="00FB2207">
              <w:rPr>
                <w:szCs w:val="20"/>
              </w:rPr>
              <w:br/>
              <w:t>(16%)</w:t>
            </w:r>
          </w:p>
        </w:tc>
        <w:tc>
          <w:tcPr>
            <w:tcW w:w="0" w:type="auto"/>
          </w:tcPr>
          <w:p w14:paraId="22E51436" w14:textId="77777777" w:rsidR="005816BE" w:rsidRPr="00FB2207" w:rsidRDefault="005816BE" w:rsidP="00AC34F3">
            <w:pPr>
              <w:pStyle w:val="TableBody"/>
              <w:rPr>
                <w:szCs w:val="20"/>
              </w:rPr>
            </w:pPr>
            <w:r w:rsidRPr="00FB2207">
              <w:rPr>
                <w:szCs w:val="20"/>
              </w:rPr>
              <w:t>56</w:t>
            </w:r>
            <w:r w:rsidRPr="00FB2207">
              <w:rPr>
                <w:szCs w:val="20"/>
              </w:rPr>
              <w:br/>
              <w:t>(19%)</w:t>
            </w:r>
          </w:p>
        </w:tc>
        <w:tc>
          <w:tcPr>
            <w:tcW w:w="0" w:type="auto"/>
          </w:tcPr>
          <w:p w14:paraId="494521E6" w14:textId="77777777" w:rsidR="005816BE" w:rsidRPr="00FB2207" w:rsidRDefault="005816BE" w:rsidP="00AC34F3">
            <w:pPr>
              <w:pStyle w:val="TableBody"/>
              <w:rPr>
                <w:rStyle w:val="Strong"/>
                <w:szCs w:val="20"/>
              </w:rPr>
            </w:pPr>
            <w:r w:rsidRPr="00FB2207">
              <w:rPr>
                <w:rStyle w:val="Strong"/>
                <w:szCs w:val="20"/>
              </w:rPr>
              <w:t>434</w:t>
            </w:r>
            <w:r w:rsidRPr="00FB2207">
              <w:rPr>
                <w:rStyle w:val="Strong"/>
                <w:szCs w:val="20"/>
              </w:rPr>
              <w:br/>
              <w:t>(17%)</w:t>
            </w:r>
          </w:p>
        </w:tc>
      </w:tr>
      <w:tr w:rsidR="005816BE" w:rsidRPr="007F530F" w14:paraId="57360141" w14:textId="77777777" w:rsidTr="00377374">
        <w:trPr>
          <w:trHeight w:val="60"/>
        </w:trPr>
        <w:tc>
          <w:tcPr>
            <w:tcW w:w="0" w:type="auto"/>
          </w:tcPr>
          <w:p w14:paraId="04EBE9F8" w14:textId="3271192A" w:rsidR="005816BE" w:rsidRPr="00FB2207" w:rsidRDefault="005816BE" w:rsidP="00DC75F7">
            <w:pPr>
              <w:pStyle w:val="TableBody"/>
              <w:rPr>
                <w:szCs w:val="20"/>
              </w:rPr>
            </w:pPr>
            <w:r w:rsidRPr="00FB2207">
              <w:rPr>
                <w:szCs w:val="20"/>
              </w:rPr>
              <w:t>Adjourned undertaking, higher courts</w:t>
            </w:r>
          </w:p>
        </w:tc>
        <w:tc>
          <w:tcPr>
            <w:tcW w:w="0" w:type="auto"/>
          </w:tcPr>
          <w:p w14:paraId="697B72E8" w14:textId="77777777" w:rsidR="005816BE" w:rsidRPr="00FB2207" w:rsidRDefault="005816BE" w:rsidP="00AC34F3">
            <w:pPr>
              <w:pStyle w:val="TableBody"/>
              <w:rPr>
                <w:szCs w:val="20"/>
              </w:rPr>
            </w:pPr>
            <w:r w:rsidRPr="00FB2207">
              <w:rPr>
                <w:szCs w:val="20"/>
              </w:rPr>
              <w:t>–</w:t>
            </w:r>
          </w:p>
        </w:tc>
        <w:tc>
          <w:tcPr>
            <w:tcW w:w="0" w:type="auto"/>
          </w:tcPr>
          <w:p w14:paraId="3FF427BE" w14:textId="77777777" w:rsidR="005816BE" w:rsidRPr="00FB2207" w:rsidRDefault="005816BE" w:rsidP="00AC34F3">
            <w:pPr>
              <w:pStyle w:val="TableBody"/>
              <w:rPr>
                <w:szCs w:val="20"/>
              </w:rPr>
            </w:pPr>
            <w:r w:rsidRPr="00FB2207">
              <w:rPr>
                <w:szCs w:val="20"/>
              </w:rPr>
              <w:t>–</w:t>
            </w:r>
          </w:p>
        </w:tc>
        <w:tc>
          <w:tcPr>
            <w:tcW w:w="0" w:type="auto"/>
          </w:tcPr>
          <w:p w14:paraId="14A5685C" w14:textId="77777777" w:rsidR="005816BE" w:rsidRPr="00FB2207" w:rsidRDefault="005816BE" w:rsidP="00AC34F3">
            <w:pPr>
              <w:pStyle w:val="TableBody"/>
              <w:rPr>
                <w:szCs w:val="20"/>
              </w:rPr>
            </w:pPr>
            <w:r w:rsidRPr="00FB2207">
              <w:rPr>
                <w:szCs w:val="20"/>
              </w:rPr>
              <w:t>2</w:t>
            </w:r>
            <w:r w:rsidRPr="00FB2207">
              <w:rPr>
                <w:szCs w:val="20"/>
              </w:rPr>
              <w:br/>
              <w:t>(2%)</w:t>
            </w:r>
          </w:p>
        </w:tc>
        <w:tc>
          <w:tcPr>
            <w:tcW w:w="0" w:type="auto"/>
          </w:tcPr>
          <w:p w14:paraId="28A15E13"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51A2D1C6" w14:textId="77777777" w:rsidR="005816BE" w:rsidRPr="00FB2207" w:rsidRDefault="005816BE" w:rsidP="00AC34F3">
            <w:pPr>
              <w:pStyle w:val="TableBody"/>
              <w:rPr>
                <w:szCs w:val="20"/>
              </w:rPr>
            </w:pPr>
            <w:r w:rsidRPr="00FB2207">
              <w:rPr>
                <w:szCs w:val="20"/>
              </w:rPr>
              <w:t>–</w:t>
            </w:r>
          </w:p>
        </w:tc>
        <w:tc>
          <w:tcPr>
            <w:tcW w:w="0" w:type="auto"/>
          </w:tcPr>
          <w:p w14:paraId="6E566EB8" w14:textId="77777777" w:rsidR="005816BE" w:rsidRPr="00FB2207" w:rsidRDefault="005816BE" w:rsidP="00AC34F3">
            <w:pPr>
              <w:pStyle w:val="TableBody"/>
              <w:rPr>
                <w:szCs w:val="20"/>
              </w:rPr>
            </w:pPr>
            <w:r w:rsidRPr="00FB2207">
              <w:rPr>
                <w:szCs w:val="20"/>
              </w:rPr>
              <w:t>3</w:t>
            </w:r>
            <w:r w:rsidRPr="00FB2207">
              <w:rPr>
                <w:szCs w:val="20"/>
              </w:rPr>
              <w:br/>
              <w:t>(3%)</w:t>
            </w:r>
          </w:p>
        </w:tc>
        <w:tc>
          <w:tcPr>
            <w:tcW w:w="0" w:type="auto"/>
          </w:tcPr>
          <w:p w14:paraId="04E2883A" w14:textId="77777777" w:rsidR="005816BE" w:rsidRPr="00FB2207" w:rsidRDefault="005816BE" w:rsidP="00AC34F3">
            <w:pPr>
              <w:pStyle w:val="TableBody"/>
              <w:rPr>
                <w:szCs w:val="20"/>
              </w:rPr>
            </w:pPr>
            <w:r w:rsidRPr="00FB2207">
              <w:rPr>
                <w:szCs w:val="20"/>
              </w:rPr>
              <w:t>1</w:t>
            </w:r>
            <w:r w:rsidRPr="00FB2207">
              <w:rPr>
                <w:szCs w:val="20"/>
              </w:rPr>
              <w:br/>
              <w:t>(2%)</w:t>
            </w:r>
          </w:p>
        </w:tc>
        <w:tc>
          <w:tcPr>
            <w:tcW w:w="0" w:type="auto"/>
          </w:tcPr>
          <w:p w14:paraId="0190C475" w14:textId="77777777" w:rsidR="005816BE" w:rsidRPr="00FB2207" w:rsidRDefault="005816BE" w:rsidP="00AC34F3">
            <w:pPr>
              <w:pStyle w:val="TableBody"/>
              <w:rPr>
                <w:szCs w:val="20"/>
              </w:rPr>
            </w:pPr>
            <w:r w:rsidRPr="00FB2207">
              <w:rPr>
                <w:szCs w:val="20"/>
              </w:rPr>
              <w:t>1</w:t>
            </w:r>
            <w:r w:rsidRPr="00FB2207">
              <w:rPr>
                <w:szCs w:val="20"/>
              </w:rPr>
              <w:br/>
              <w:t>(2%)</w:t>
            </w:r>
          </w:p>
        </w:tc>
        <w:tc>
          <w:tcPr>
            <w:tcW w:w="0" w:type="auto"/>
          </w:tcPr>
          <w:p w14:paraId="29CD7680"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4A47D69B" w14:textId="77777777" w:rsidR="005816BE" w:rsidRPr="00FB2207" w:rsidRDefault="005816BE" w:rsidP="00AC34F3">
            <w:pPr>
              <w:pStyle w:val="TableBody"/>
              <w:rPr>
                <w:szCs w:val="20"/>
              </w:rPr>
            </w:pPr>
            <w:r w:rsidRPr="00FB2207">
              <w:rPr>
                <w:szCs w:val="20"/>
              </w:rPr>
              <w:t>1</w:t>
            </w:r>
            <w:r w:rsidRPr="00FB2207">
              <w:rPr>
                <w:szCs w:val="20"/>
              </w:rPr>
              <w:br/>
              <w:t>(1%)</w:t>
            </w:r>
          </w:p>
        </w:tc>
        <w:tc>
          <w:tcPr>
            <w:tcW w:w="0" w:type="auto"/>
          </w:tcPr>
          <w:p w14:paraId="4100CFF0" w14:textId="77777777" w:rsidR="005816BE" w:rsidRPr="00FB2207" w:rsidRDefault="005816BE" w:rsidP="00AC34F3">
            <w:pPr>
              <w:pStyle w:val="TableBody"/>
              <w:rPr>
                <w:rStyle w:val="Strong"/>
                <w:szCs w:val="20"/>
              </w:rPr>
            </w:pPr>
            <w:r w:rsidRPr="00FB2207">
              <w:rPr>
                <w:rStyle w:val="Strong"/>
                <w:szCs w:val="20"/>
              </w:rPr>
              <w:t>10</w:t>
            </w:r>
            <w:r w:rsidRPr="00FB2207">
              <w:rPr>
                <w:rStyle w:val="Strong"/>
                <w:szCs w:val="20"/>
              </w:rPr>
              <w:br/>
              <w:t>(1%)</w:t>
            </w:r>
          </w:p>
        </w:tc>
      </w:tr>
      <w:tr w:rsidR="005816BE" w:rsidRPr="007F530F" w14:paraId="3D7A9FD8" w14:textId="77777777" w:rsidTr="00377374">
        <w:trPr>
          <w:trHeight w:val="60"/>
        </w:trPr>
        <w:tc>
          <w:tcPr>
            <w:tcW w:w="0" w:type="auto"/>
          </w:tcPr>
          <w:p w14:paraId="6442936A" w14:textId="2F01CF34" w:rsidR="005816BE" w:rsidRPr="00FB2207" w:rsidRDefault="005816BE" w:rsidP="00DC75F7">
            <w:pPr>
              <w:pStyle w:val="TableBody"/>
              <w:rPr>
                <w:szCs w:val="20"/>
              </w:rPr>
            </w:pPr>
            <w:r w:rsidRPr="00FB2207">
              <w:rPr>
                <w:szCs w:val="20"/>
              </w:rPr>
              <w:t>Adjourned undertaking, Magistrates’ Court</w:t>
            </w:r>
          </w:p>
        </w:tc>
        <w:tc>
          <w:tcPr>
            <w:tcW w:w="0" w:type="auto"/>
          </w:tcPr>
          <w:p w14:paraId="691E303B" w14:textId="77777777" w:rsidR="005816BE" w:rsidRPr="00FB2207" w:rsidRDefault="005816BE" w:rsidP="00AC34F3">
            <w:pPr>
              <w:pStyle w:val="TableBody"/>
              <w:rPr>
                <w:szCs w:val="20"/>
              </w:rPr>
            </w:pPr>
            <w:r w:rsidRPr="00FB2207">
              <w:rPr>
                <w:szCs w:val="20"/>
              </w:rPr>
              <w:t>23</w:t>
            </w:r>
            <w:r w:rsidRPr="00FB2207">
              <w:rPr>
                <w:szCs w:val="20"/>
              </w:rPr>
              <w:br/>
              <w:t>(12%)</w:t>
            </w:r>
          </w:p>
        </w:tc>
        <w:tc>
          <w:tcPr>
            <w:tcW w:w="0" w:type="auto"/>
          </w:tcPr>
          <w:p w14:paraId="462D48C3" w14:textId="77777777" w:rsidR="005816BE" w:rsidRPr="00FB2207" w:rsidRDefault="005816BE" w:rsidP="00AC34F3">
            <w:pPr>
              <w:pStyle w:val="TableBody"/>
              <w:rPr>
                <w:szCs w:val="20"/>
              </w:rPr>
            </w:pPr>
            <w:r w:rsidRPr="00FB2207">
              <w:rPr>
                <w:szCs w:val="20"/>
              </w:rPr>
              <w:t>15</w:t>
            </w:r>
            <w:r w:rsidRPr="00FB2207">
              <w:rPr>
                <w:szCs w:val="20"/>
              </w:rPr>
              <w:br/>
              <w:t>(8%)</w:t>
            </w:r>
          </w:p>
        </w:tc>
        <w:tc>
          <w:tcPr>
            <w:tcW w:w="0" w:type="auto"/>
          </w:tcPr>
          <w:p w14:paraId="524D27F2" w14:textId="77777777" w:rsidR="005816BE" w:rsidRPr="00FB2207" w:rsidRDefault="005816BE" w:rsidP="00AC34F3">
            <w:pPr>
              <w:pStyle w:val="TableBody"/>
              <w:rPr>
                <w:szCs w:val="20"/>
              </w:rPr>
            </w:pPr>
            <w:r w:rsidRPr="00FB2207">
              <w:rPr>
                <w:szCs w:val="20"/>
              </w:rPr>
              <w:t>35</w:t>
            </w:r>
            <w:r w:rsidRPr="00FB2207">
              <w:rPr>
                <w:szCs w:val="20"/>
              </w:rPr>
              <w:br/>
              <w:t>(17%)</w:t>
            </w:r>
          </w:p>
        </w:tc>
        <w:tc>
          <w:tcPr>
            <w:tcW w:w="0" w:type="auto"/>
          </w:tcPr>
          <w:p w14:paraId="75025736" w14:textId="77777777" w:rsidR="005816BE" w:rsidRPr="00FB2207" w:rsidRDefault="005816BE" w:rsidP="00AC34F3">
            <w:pPr>
              <w:pStyle w:val="TableBody"/>
              <w:rPr>
                <w:szCs w:val="20"/>
              </w:rPr>
            </w:pPr>
            <w:r w:rsidRPr="00FB2207">
              <w:rPr>
                <w:szCs w:val="20"/>
              </w:rPr>
              <w:t>50</w:t>
            </w:r>
            <w:r w:rsidRPr="00FB2207">
              <w:rPr>
                <w:szCs w:val="20"/>
              </w:rPr>
              <w:br/>
              <w:t>(19%)</w:t>
            </w:r>
          </w:p>
        </w:tc>
        <w:tc>
          <w:tcPr>
            <w:tcW w:w="0" w:type="auto"/>
          </w:tcPr>
          <w:p w14:paraId="75D8ACD3" w14:textId="77777777" w:rsidR="005816BE" w:rsidRPr="00FB2207" w:rsidRDefault="005816BE" w:rsidP="00AC34F3">
            <w:pPr>
              <w:pStyle w:val="TableBody"/>
              <w:rPr>
                <w:szCs w:val="20"/>
              </w:rPr>
            </w:pPr>
            <w:r w:rsidRPr="00FB2207">
              <w:rPr>
                <w:szCs w:val="20"/>
              </w:rPr>
              <w:t>28</w:t>
            </w:r>
            <w:r w:rsidRPr="00FB2207">
              <w:rPr>
                <w:szCs w:val="20"/>
              </w:rPr>
              <w:br/>
              <w:t>(11%)</w:t>
            </w:r>
          </w:p>
        </w:tc>
        <w:tc>
          <w:tcPr>
            <w:tcW w:w="0" w:type="auto"/>
          </w:tcPr>
          <w:p w14:paraId="146AFE63" w14:textId="77777777" w:rsidR="005816BE" w:rsidRPr="00FB2207" w:rsidRDefault="005816BE" w:rsidP="00AC34F3">
            <w:pPr>
              <w:pStyle w:val="TableBody"/>
              <w:rPr>
                <w:szCs w:val="20"/>
              </w:rPr>
            </w:pPr>
            <w:r w:rsidRPr="00FB2207">
              <w:rPr>
                <w:szCs w:val="20"/>
              </w:rPr>
              <w:t>46</w:t>
            </w:r>
            <w:r w:rsidRPr="00FB2207">
              <w:rPr>
                <w:szCs w:val="20"/>
              </w:rPr>
              <w:br/>
              <w:t>(17%)</w:t>
            </w:r>
          </w:p>
        </w:tc>
        <w:tc>
          <w:tcPr>
            <w:tcW w:w="0" w:type="auto"/>
          </w:tcPr>
          <w:p w14:paraId="67ADC672" w14:textId="77777777" w:rsidR="005816BE" w:rsidRPr="00FB2207" w:rsidRDefault="005816BE" w:rsidP="00AC34F3">
            <w:pPr>
              <w:pStyle w:val="TableBody"/>
              <w:rPr>
                <w:szCs w:val="20"/>
              </w:rPr>
            </w:pPr>
            <w:r w:rsidRPr="00FB2207">
              <w:rPr>
                <w:szCs w:val="20"/>
              </w:rPr>
              <w:t>38</w:t>
            </w:r>
            <w:r w:rsidRPr="00FB2207">
              <w:rPr>
                <w:szCs w:val="20"/>
              </w:rPr>
              <w:br/>
              <w:t>(16%)</w:t>
            </w:r>
          </w:p>
        </w:tc>
        <w:tc>
          <w:tcPr>
            <w:tcW w:w="0" w:type="auto"/>
          </w:tcPr>
          <w:p w14:paraId="10A3033F" w14:textId="77777777" w:rsidR="005816BE" w:rsidRPr="00FB2207" w:rsidRDefault="005816BE" w:rsidP="00AC34F3">
            <w:pPr>
              <w:pStyle w:val="TableBody"/>
              <w:rPr>
                <w:szCs w:val="20"/>
              </w:rPr>
            </w:pPr>
            <w:r w:rsidRPr="00FB2207">
              <w:rPr>
                <w:szCs w:val="20"/>
              </w:rPr>
              <w:t>25</w:t>
            </w:r>
            <w:r w:rsidRPr="00FB2207">
              <w:rPr>
                <w:szCs w:val="20"/>
              </w:rPr>
              <w:br/>
              <w:t>(8%)</w:t>
            </w:r>
          </w:p>
        </w:tc>
        <w:tc>
          <w:tcPr>
            <w:tcW w:w="0" w:type="auto"/>
          </w:tcPr>
          <w:p w14:paraId="58C036B7" w14:textId="77777777" w:rsidR="005816BE" w:rsidRPr="00FB2207" w:rsidRDefault="005816BE" w:rsidP="00AC34F3">
            <w:pPr>
              <w:pStyle w:val="TableBody"/>
              <w:rPr>
                <w:szCs w:val="20"/>
              </w:rPr>
            </w:pPr>
            <w:r w:rsidRPr="00FB2207">
              <w:rPr>
                <w:szCs w:val="20"/>
              </w:rPr>
              <w:t>34</w:t>
            </w:r>
            <w:r w:rsidRPr="00FB2207">
              <w:rPr>
                <w:szCs w:val="20"/>
              </w:rPr>
              <w:br/>
              <w:t>(11%)</w:t>
            </w:r>
          </w:p>
        </w:tc>
        <w:tc>
          <w:tcPr>
            <w:tcW w:w="0" w:type="auto"/>
          </w:tcPr>
          <w:p w14:paraId="60FFF879" w14:textId="77777777" w:rsidR="005816BE" w:rsidRPr="00FB2207" w:rsidRDefault="005816BE" w:rsidP="00AC34F3">
            <w:pPr>
              <w:pStyle w:val="TableBody"/>
              <w:rPr>
                <w:szCs w:val="20"/>
              </w:rPr>
            </w:pPr>
            <w:r w:rsidRPr="00FB2207">
              <w:rPr>
                <w:szCs w:val="20"/>
              </w:rPr>
              <w:t>53</w:t>
            </w:r>
            <w:r w:rsidRPr="00FB2207">
              <w:rPr>
                <w:szCs w:val="20"/>
              </w:rPr>
              <w:br/>
              <w:t>(18%)</w:t>
            </w:r>
          </w:p>
        </w:tc>
        <w:tc>
          <w:tcPr>
            <w:tcW w:w="0" w:type="auto"/>
          </w:tcPr>
          <w:p w14:paraId="56EC2CAC" w14:textId="77777777" w:rsidR="005816BE" w:rsidRPr="00FB2207" w:rsidRDefault="005816BE" w:rsidP="00AC34F3">
            <w:pPr>
              <w:pStyle w:val="TableBody"/>
              <w:rPr>
                <w:rStyle w:val="Strong"/>
                <w:szCs w:val="20"/>
              </w:rPr>
            </w:pPr>
            <w:r w:rsidRPr="00FB2207">
              <w:rPr>
                <w:rStyle w:val="Strong"/>
                <w:szCs w:val="20"/>
              </w:rPr>
              <w:t>347</w:t>
            </w:r>
            <w:r w:rsidRPr="00FB2207">
              <w:rPr>
                <w:rStyle w:val="Strong"/>
                <w:szCs w:val="20"/>
              </w:rPr>
              <w:br/>
              <w:t>(14%)</w:t>
            </w:r>
          </w:p>
        </w:tc>
      </w:tr>
      <w:tr w:rsidR="005816BE" w:rsidRPr="007F530F" w14:paraId="6EFF7FD2" w14:textId="77777777" w:rsidTr="00377374">
        <w:trPr>
          <w:trHeight w:val="60"/>
        </w:trPr>
        <w:tc>
          <w:tcPr>
            <w:tcW w:w="0" w:type="auto"/>
          </w:tcPr>
          <w:p w14:paraId="205D01E8" w14:textId="5491505E" w:rsidR="005816BE" w:rsidRPr="00FB2207" w:rsidRDefault="005816BE" w:rsidP="00DC75F7">
            <w:pPr>
              <w:pStyle w:val="TableBody"/>
              <w:rPr>
                <w:szCs w:val="20"/>
              </w:rPr>
            </w:pPr>
            <w:r w:rsidRPr="00FB2207">
              <w:rPr>
                <w:szCs w:val="20"/>
              </w:rPr>
              <w:t>Other, higher courts</w:t>
            </w:r>
          </w:p>
        </w:tc>
        <w:tc>
          <w:tcPr>
            <w:tcW w:w="0" w:type="auto"/>
          </w:tcPr>
          <w:p w14:paraId="2B1EDAC1" w14:textId="77777777" w:rsidR="005816BE" w:rsidRPr="00FB2207" w:rsidRDefault="005816BE" w:rsidP="00AC34F3">
            <w:pPr>
              <w:pStyle w:val="TableBody"/>
              <w:rPr>
                <w:szCs w:val="20"/>
              </w:rPr>
            </w:pPr>
            <w:r w:rsidRPr="00FB2207">
              <w:rPr>
                <w:szCs w:val="20"/>
              </w:rPr>
              <w:t>11</w:t>
            </w:r>
            <w:r w:rsidRPr="00FB2207">
              <w:rPr>
                <w:szCs w:val="20"/>
              </w:rPr>
              <w:br/>
              <w:t>(4%)</w:t>
            </w:r>
          </w:p>
        </w:tc>
        <w:tc>
          <w:tcPr>
            <w:tcW w:w="0" w:type="auto"/>
          </w:tcPr>
          <w:p w14:paraId="59BADDCD" w14:textId="77777777" w:rsidR="005816BE" w:rsidRPr="00FB2207" w:rsidRDefault="005816BE" w:rsidP="00AC34F3">
            <w:pPr>
              <w:pStyle w:val="TableBody"/>
              <w:rPr>
                <w:szCs w:val="20"/>
              </w:rPr>
            </w:pPr>
            <w:r w:rsidRPr="00FB2207">
              <w:rPr>
                <w:szCs w:val="20"/>
              </w:rPr>
              <w:t>19</w:t>
            </w:r>
            <w:r w:rsidRPr="00FB2207">
              <w:rPr>
                <w:szCs w:val="20"/>
              </w:rPr>
              <w:br/>
              <w:t>(13%)</w:t>
            </w:r>
          </w:p>
        </w:tc>
        <w:tc>
          <w:tcPr>
            <w:tcW w:w="0" w:type="auto"/>
          </w:tcPr>
          <w:p w14:paraId="70DBEA72" w14:textId="77777777" w:rsidR="005816BE" w:rsidRPr="00FB2207" w:rsidRDefault="005816BE" w:rsidP="00AC34F3">
            <w:pPr>
              <w:pStyle w:val="TableBody"/>
              <w:rPr>
                <w:szCs w:val="20"/>
              </w:rPr>
            </w:pPr>
            <w:r w:rsidRPr="00FB2207">
              <w:rPr>
                <w:szCs w:val="20"/>
              </w:rPr>
              <w:t>20</w:t>
            </w:r>
            <w:r w:rsidRPr="00FB2207">
              <w:rPr>
                <w:szCs w:val="20"/>
              </w:rPr>
              <w:br/>
              <w:t>(16%)</w:t>
            </w:r>
          </w:p>
        </w:tc>
        <w:tc>
          <w:tcPr>
            <w:tcW w:w="0" w:type="auto"/>
          </w:tcPr>
          <w:p w14:paraId="3FBE039C" w14:textId="77777777" w:rsidR="005816BE" w:rsidRPr="00FB2207" w:rsidRDefault="005816BE" w:rsidP="00AC34F3">
            <w:pPr>
              <w:pStyle w:val="TableBody"/>
              <w:rPr>
                <w:szCs w:val="20"/>
              </w:rPr>
            </w:pPr>
            <w:r w:rsidRPr="00FB2207">
              <w:rPr>
                <w:szCs w:val="20"/>
              </w:rPr>
              <w:t xml:space="preserve">5 </w:t>
            </w:r>
            <w:r w:rsidRPr="00FB2207">
              <w:rPr>
                <w:szCs w:val="20"/>
              </w:rPr>
              <w:br/>
              <w:t>(5%)</w:t>
            </w:r>
          </w:p>
        </w:tc>
        <w:tc>
          <w:tcPr>
            <w:tcW w:w="0" w:type="auto"/>
          </w:tcPr>
          <w:p w14:paraId="779D5C99" w14:textId="77777777" w:rsidR="005816BE" w:rsidRPr="00FB2207" w:rsidRDefault="005816BE" w:rsidP="00AC34F3">
            <w:pPr>
              <w:pStyle w:val="TableBody"/>
              <w:rPr>
                <w:szCs w:val="20"/>
              </w:rPr>
            </w:pPr>
            <w:r w:rsidRPr="00FB2207">
              <w:rPr>
                <w:szCs w:val="20"/>
              </w:rPr>
              <w:t>4</w:t>
            </w:r>
            <w:r w:rsidRPr="00FB2207">
              <w:rPr>
                <w:szCs w:val="20"/>
              </w:rPr>
              <w:br/>
              <w:t>(4%)</w:t>
            </w:r>
          </w:p>
        </w:tc>
        <w:tc>
          <w:tcPr>
            <w:tcW w:w="0" w:type="auto"/>
          </w:tcPr>
          <w:p w14:paraId="6AF64D1F" w14:textId="77777777" w:rsidR="005816BE" w:rsidRPr="00FB2207" w:rsidRDefault="005816BE" w:rsidP="00AC34F3">
            <w:pPr>
              <w:pStyle w:val="TableBody"/>
              <w:rPr>
                <w:szCs w:val="20"/>
              </w:rPr>
            </w:pPr>
            <w:r w:rsidRPr="00FB2207">
              <w:rPr>
                <w:szCs w:val="20"/>
              </w:rPr>
              <w:t>2</w:t>
            </w:r>
            <w:r w:rsidRPr="00FB2207">
              <w:rPr>
                <w:szCs w:val="20"/>
              </w:rPr>
              <w:br/>
              <w:t>(2%)</w:t>
            </w:r>
          </w:p>
        </w:tc>
        <w:tc>
          <w:tcPr>
            <w:tcW w:w="0" w:type="auto"/>
          </w:tcPr>
          <w:p w14:paraId="05F97BB4" w14:textId="77777777" w:rsidR="005816BE" w:rsidRPr="00FB2207" w:rsidRDefault="005816BE" w:rsidP="00AC34F3">
            <w:pPr>
              <w:pStyle w:val="TableBody"/>
              <w:rPr>
                <w:szCs w:val="20"/>
              </w:rPr>
            </w:pPr>
            <w:r w:rsidRPr="00FB2207">
              <w:rPr>
                <w:szCs w:val="20"/>
              </w:rPr>
              <w:t>2</w:t>
            </w:r>
            <w:r w:rsidRPr="00FB2207">
              <w:rPr>
                <w:szCs w:val="20"/>
              </w:rPr>
              <w:br/>
              <w:t>(3%)</w:t>
            </w:r>
          </w:p>
        </w:tc>
        <w:tc>
          <w:tcPr>
            <w:tcW w:w="0" w:type="auto"/>
          </w:tcPr>
          <w:p w14:paraId="4F0B48FC" w14:textId="77777777" w:rsidR="005816BE" w:rsidRPr="00FB2207" w:rsidRDefault="005816BE" w:rsidP="00AC34F3">
            <w:pPr>
              <w:pStyle w:val="TableBody"/>
              <w:rPr>
                <w:szCs w:val="20"/>
              </w:rPr>
            </w:pPr>
            <w:r w:rsidRPr="00FB2207">
              <w:rPr>
                <w:szCs w:val="20"/>
              </w:rPr>
              <w:t>1</w:t>
            </w:r>
            <w:r w:rsidRPr="00FB2207">
              <w:rPr>
                <w:szCs w:val="20"/>
              </w:rPr>
              <w:br/>
              <w:t>(2%)</w:t>
            </w:r>
          </w:p>
        </w:tc>
        <w:tc>
          <w:tcPr>
            <w:tcW w:w="0" w:type="auto"/>
          </w:tcPr>
          <w:p w14:paraId="7EFBC5E8" w14:textId="77777777" w:rsidR="005816BE" w:rsidRPr="00FB2207" w:rsidRDefault="005816BE" w:rsidP="00AC34F3">
            <w:pPr>
              <w:pStyle w:val="TableBody"/>
              <w:rPr>
                <w:szCs w:val="20"/>
              </w:rPr>
            </w:pPr>
            <w:r w:rsidRPr="00FB2207">
              <w:rPr>
                <w:szCs w:val="20"/>
              </w:rPr>
              <w:t>–</w:t>
            </w:r>
          </w:p>
        </w:tc>
        <w:tc>
          <w:tcPr>
            <w:tcW w:w="0" w:type="auto"/>
          </w:tcPr>
          <w:p w14:paraId="1BE457BC" w14:textId="77777777" w:rsidR="005816BE" w:rsidRPr="00FB2207" w:rsidRDefault="005816BE" w:rsidP="00AC34F3">
            <w:pPr>
              <w:pStyle w:val="TableBody"/>
              <w:rPr>
                <w:szCs w:val="20"/>
              </w:rPr>
            </w:pPr>
            <w:r w:rsidRPr="00FB2207">
              <w:rPr>
                <w:szCs w:val="20"/>
              </w:rPr>
              <w:t>5</w:t>
            </w:r>
            <w:r w:rsidRPr="00FB2207">
              <w:rPr>
                <w:szCs w:val="20"/>
              </w:rPr>
              <w:br/>
              <w:t>(5%)</w:t>
            </w:r>
          </w:p>
        </w:tc>
        <w:tc>
          <w:tcPr>
            <w:tcW w:w="0" w:type="auto"/>
          </w:tcPr>
          <w:p w14:paraId="220683EB" w14:textId="77777777" w:rsidR="005816BE" w:rsidRPr="00FB2207" w:rsidRDefault="005816BE" w:rsidP="00AC34F3">
            <w:pPr>
              <w:pStyle w:val="TableBody"/>
              <w:rPr>
                <w:rStyle w:val="Strong"/>
                <w:szCs w:val="20"/>
              </w:rPr>
            </w:pPr>
            <w:r w:rsidRPr="00FB2207">
              <w:rPr>
                <w:rStyle w:val="Strong"/>
                <w:szCs w:val="20"/>
              </w:rPr>
              <w:t>69</w:t>
            </w:r>
            <w:r w:rsidRPr="00FB2207">
              <w:rPr>
                <w:rStyle w:val="Strong"/>
                <w:szCs w:val="20"/>
              </w:rPr>
              <w:br/>
              <w:t>(6%)</w:t>
            </w:r>
          </w:p>
        </w:tc>
      </w:tr>
      <w:tr w:rsidR="005816BE" w:rsidRPr="007F530F" w14:paraId="7E53672D" w14:textId="77777777" w:rsidTr="00377374">
        <w:trPr>
          <w:trHeight w:val="60"/>
        </w:trPr>
        <w:tc>
          <w:tcPr>
            <w:tcW w:w="0" w:type="auto"/>
          </w:tcPr>
          <w:p w14:paraId="1BC88A48" w14:textId="293C004D" w:rsidR="005816BE" w:rsidRPr="00FB2207" w:rsidRDefault="005816BE" w:rsidP="00DC75F7">
            <w:pPr>
              <w:pStyle w:val="TableBody"/>
              <w:rPr>
                <w:szCs w:val="20"/>
              </w:rPr>
            </w:pPr>
            <w:r w:rsidRPr="00FB2207">
              <w:rPr>
                <w:szCs w:val="20"/>
              </w:rPr>
              <w:t>Other, Magistrates’ Court</w:t>
            </w:r>
          </w:p>
        </w:tc>
        <w:tc>
          <w:tcPr>
            <w:tcW w:w="0" w:type="auto"/>
          </w:tcPr>
          <w:p w14:paraId="776DB73B" w14:textId="77777777" w:rsidR="005816BE" w:rsidRPr="00FB2207" w:rsidRDefault="005816BE" w:rsidP="00AC34F3">
            <w:pPr>
              <w:pStyle w:val="TableBody"/>
              <w:rPr>
                <w:szCs w:val="20"/>
              </w:rPr>
            </w:pPr>
            <w:r w:rsidRPr="00FB2207">
              <w:rPr>
                <w:szCs w:val="20"/>
              </w:rPr>
              <w:t>34</w:t>
            </w:r>
            <w:r w:rsidRPr="00FB2207">
              <w:rPr>
                <w:szCs w:val="20"/>
              </w:rPr>
              <w:br/>
              <w:t>(18%)</w:t>
            </w:r>
          </w:p>
        </w:tc>
        <w:tc>
          <w:tcPr>
            <w:tcW w:w="0" w:type="auto"/>
          </w:tcPr>
          <w:p w14:paraId="471B52C9" w14:textId="77777777" w:rsidR="005816BE" w:rsidRPr="00FB2207" w:rsidRDefault="005816BE" w:rsidP="00AC34F3">
            <w:pPr>
              <w:pStyle w:val="TableBody"/>
              <w:rPr>
                <w:szCs w:val="20"/>
              </w:rPr>
            </w:pPr>
            <w:r w:rsidRPr="00FB2207">
              <w:rPr>
                <w:szCs w:val="20"/>
              </w:rPr>
              <w:t>28</w:t>
            </w:r>
            <w:r w:rsidRPr="00FB2207">
              <w:rPr>
                <w:szCs w:val="20"/>
              </w:rPr>
              <w:br/>
              <w:t>(16%)</w:t>
            </w:r>
          </w:p>
        </w:tc>
        <w:tc>
          <w:tcPr>
            <w:tcW w:w="0" w:type="auto"/>
          </w:tcPr>
          <w:p w14:paraId="7E43C8B3" w14:textId="77777777" w:rsidR="005816BE" w:rsidRPr="00FB2207" w:rsidRDefault="005816BE" w:rsidP="00AC34F3">
            <w:pPr>
              <w:pStyle w:val="TableBody"/>
              <w:rPr>
                <w:szCs w:val="20"/>
              </w:rPr>
            </w:pPr>
            <w:r w:rsidRPr="00FB2207">
              <w:rPr>
                <w:szCs w:val="20"/>
              </w:rPr>
              <w:t>39</w:t>
            </w:r>
            <w:r w:rsidRPr="00FB2207">
              <w:rPr>
                <w:szCs w:val="20"/>
              </w:rPr>
              <w:br/>
              <w:t>(19%)</w:t>
            </w:r>
          </w:p>
        </w:tc>
        <w:tc>
          <w:tcPr>
            <w:tcW w:w="0" w:type="auto"/>
          </w:tcPr>
          <w:p w14:paraId="09777983" w14:textId="77777777" w:rsidR="005816BE" w:rsidRPr="00FB2207" w:rsidRDefault="005816BE" w:rsidP="00AC34F3">
            <w:pPr>
              <w:pStyle w:val="TableBody"/>
              <w:rPr>
                <w:szCs w:val="20"/>
              </w:rPr>
            </w:pPr>
            <w:r w:rsidRPr="00FB2207">
              <w:rPr>
                <w:szCs w:val="20"/>
              </w:rPr>
              <w:t>38</w:t>
            </w:r>
            <w:r w:rsidRPr="00FB2207">
              <w:rPr>
                <w:szCs w:val="20"/>
              </w:rPr>
              <w:br/>
              <w:t>(14%)</w:t>
            </w:r>
          </w:p>
        </w:tc>
        <w:tc>
          <w:tcPr>
            <w:tcW w:w="0" w:type="auto"/>
          </w:tcPr>
          <w:p w14:paraId="477D3B14" w14:textId="77777777" w:rsidR="005816BE" w:rsidRPr="00FB2207" w:rsidRDefault="005816BE" w:rsidP="00AC34F3">
            <w:pPr>
              <w:pStyle w:val="TableBody"/>
              <w:rPr>
                <w:szCs w:val="20"/>
              </w:rPr>
            </w:pPr>
            <w:r w:rsidRPr="00FB2207">
              <w:rPr>
                <w:szCs w:val="20"/>
              </w:rPr>
              <w:t>53</w:t>
            </w:r>
            <w:r w:rsidRPr="00FB2207">
              <w:rPr>
                <w:szCs w:val="20"/>
              </w:rPr>
              <w:br/>
              <w:t>(21%)</w:t>
            </w:r>
          </w:p>
        </w:tc>
        <w:tc>
          <w:tcPr>
            <w:tcW w:w="0" w:type="auto"/>
          </w:tcPr>
          <w:p w14:paraId="2A5059B7" w14:textId="77777777" w:rsidR="005816BE" w:rsidRPr="00FB2207" w:rsidRDefault="005816BE" w:rsidP="00AC34F3">
            <w:pPr>
              <w:pStyle w:val="TableBody"/>
              <w:rPr>
                <w:szCs w:val="20"/>
              </w:rPr>
            </w:pPr>
            <w:r w:rsidRPr="00FB2207">
              <w:rPr>
                <w:szCs w:val="20"/>
              </w:rPr>
              <w:t>26</w:t>
            </w:r>
            <w:r w:rsidRPr="00FB2207">
              <w:rPr>
                <w:szCs w:val="20"/>
              </w:rPr>
              <w:br/>
              <w:t>(10%)</w:t>
            </w:r>
          </w:p>
        </w:tc>
        <w:tc>
          <w:tcPr>
            <w:tcW w:w="0" w:type="auto"/>
          </w:tcPr>
          <w:p w14:paraId="678E8716" w14:textId="77777777" w:rsidR="005816BE" w:rsidRPr="00FB2207" w:rsidRDefault="005816BE" w:rsidP="00AC34F3">
            <w:pPr>
              <w:pStyle w:val="TableBody"/>
              <w:rPr>
                <w:szCs w:val="20"/>
              </w:rPr>
            </w:pPr>
            <w:r w:rsidRPr="00FB2207">
              <w:rPr>
                <w:szCs w:val="20"/>
              </w:rPr>
              <w:t>19</w:t>
            </w:r>
            <w:r w:rsidRPr="00FB2207">
              <w:rPr>
                <w:szCs w:val="20"/>
              </w:rPr>
              <w:br/>
              <w:t>(8%)</w:t>
            </w:r>
          </w:p>
        </w:tc>
        <w:tc>
          <w:tcPr>
            <w:tcW w:w="0" w:type="auto"/>
          </w:tcPr>
          <w:p w14:paraId="61E14D61" w14:textId="77777777" w:rsidR="005816BE" w:rsidRPr="00FB2207" w:rsidRDefault="005816BE" w:rsidP="00AC34F3">
            <w:pPr>
              <w:pStyle w:val="TableBody"/>
              <w:rPr>
                <w:szCs w:val="20"/>
              </w:rPr>
            </w:pPr>
            <w:r w:rsidRPr="00FB2207">
              <w:rPr>
                <w:szCs w:val="20"/>
              </w:rPr>
              <w:t>14</w:t>
            </w:r>
            <w:r w:rsidRPr="00FB2207">
              <w:rPr>
                <w:szCs w:val="20"/>
              </w:rPr>
              <w:br/>
              <w:t>(11%)</w:t>
            </w:r>
          </w:p>
        </w:tc>
        <w:tc>
          <w:tcPr>
            <w:tcW w:w="0" w:type="auto"/>
          </w:tcPr>
          <w:p w14:paraId="1B625BC8" w14:textId="77777777" w:rsidR="005816BE" w:rsidRPr="00FB2207" w:rsidRDefault="005816BE" w:rsidP="00AC34F3">
            <w:pPr>
              <w:pStyle w:val="TableBody"/>
              <w:rPr>
                <w:szCs w:val="20"/>
              </w:rPr>
            </w:pPr>
            <w:r w:rsidRPr="00FB2207">
              <w:rPr>
                <w:szCs w:val="20"/>
              </w:rPr>
              <w:t>18</w:t>
            </w:r>
            <w:r w:rsidRPr="00FB2207">
              <w:rPr>
                <w:szCs w:val="20"/>
              </w:rPr>
              <w:br/>
              <w:t>(6%)</w:t>
            </w:r>
          </w:p>
        </w:tc>
        <w:tc>
          <w:tcPr>
            <w:tcW w:w="0" w:type="auto"/>
          </w:tcPr>
          <w:p w14:paraId="2767BD75" w14:textId="77777777" w:rsidR="005816BE" w:rsidRPr="00FB2207" w:rsidRDefault="005816BE" w:rsidP="00AC34F3">
            <w:pPr>
              <w:pStyle w:val="TableBody"/>
              <w:rPr>
                <w:szCs w:val="20"/>
              </w:rPr>
            </w:pPr>
            <w:r w:rsidRPr="00FB2207">
              <w:rPr>
                <w:szCs w:val="20"/>
              </w:rPr>
              <w:t>18</w:t>
            </w:r>
            <w:r w:rsidRPr="00FB2207">
              <w:rPr>
                <w:szCs w:val="20"/>
              </w:rPr>
              <w:br/>
              <w:t>(6%)</w:t>
            </w:r>
          </w:p>
        </w:tc>
        <w:tc>
          <w:tcPr>
            <w:tcW w:w="0" w:type="auto"/>
          </w:tcPr>
          <w:p w14:paraId="51DBF503" w14:textId="77777777" w:rsidR="005816BE" w:rsidRPr="00FB2207" w:rsidRDefault="005816BE" w:rsidP="00AC34F3">
            <w:pPr>
              <w:pStyle w:val="TableBody"/>
              <w:rPr>
                <w:rStyle w:val="Strong"/>
                <w:szCs w:val="20"/>
              </w:rPr>
            </w:pPr>
            <w:r w:rsidRPr="00FB2207">
              <w:rPr>
                <w:rStyle w:val="Strong"/>
                <w:szCs w:val="20"/>
              </w:rPr>
              <w:t>308</w:t>
            </w:r>
            <w:r w:rsidRPr="00FB2207">
              <w:rPr>
                <w:rStyle w:val="Strong"/>
                <w:szCs w:val="20"/>
              </w:rPr>
              <w:br/>
              <w:t>(12%)</w:t>
            </w:r>
          </w:p>
        </w:tc>
      </w:tr>
      <w:tr w:rsidR="005816BE" w:rsidRPr="007F530F" w14:paraId="025A7447" w14:textId="77777777" w:rsidTr="00377374">
        <w:trPr>
          <w:trHeight w:val="60"/>
        </w:trPr>
        <w:tc>
          <w:tcPr>
            <w:tcW w:w="0" w:type="auto"/>
          </w:tcPr>
          <w:p w14:paraId="6B4D9092" w14:textId="0F29380F" w:rsidR="005816BE" w:rsidRPr="00FB2207" w:rsidRDefault="005816BE" w:rsidP="00700532">
            <w:pPr>
              <w:pStyle w:val="TableBody"/>
              <w:rPr>
                <w:szCs w:val="20"/>
              </w:rPr>
            </w:pPr>
            <w:r w:rsidRPr="00FB2207">
              <w:rPr>
                <w:rStyle w:val="Strong"/>
                <w:szCs w:val="20"/>
              </w:rPr>
              <w:t>Total higher courts</w:t>
            </w:r>
          </w:p>
        </w:tc>
        <w:tc>
          <w:tcPr>
            <w:tcW w:w="0" w:type="auto"/>
          </w:tcPr>
          <w:p w14:paraId="19B02D33" w14:textId="3B585929" w:rsidR="005816BE" w:rsidRPr="00FB2207" w:rsidRDefault="005816BE" w:rsidP="00700532">
            <w:pPr>
              <w:pStyle w:val="TableBody"/>
              <w:rPr>
                <w:szCs w:val="20"/>
              </w:rPr>
            </w:pPr>
            <w:r w:rsidRPr="00FB2207">
              <w:rPr>
                <w:rStyle w:val="Strong"/>
                <w:szCs w:val="20"/>
              </w:rPr>
              <w:t>247</w:t>
            </w:r>
          </w:p>
        </w:tc>
        <w:tc>
          <w:tcPr>
            <w:tcW w:w="0" w:type="auto"/>
          </w:tcPr>
          <w:p w14:paraId="16C2B042" w14:textId="47615F33" w:rsidR="005816BE" w:rsidRPr="00FB2207" w:rsidRDefault="005816BE" w:rsidP="00700532">
            <w:pPr>
              <w:pStyle w:val="TableBody"/>
              <w:rPr>
                <w:szCs w:val="20"/>
              </w:rPr>
            </w:pPr>
            <w:r w:rsidRPr="00FB2207">
              <w:rPr>
                <w:rStyle w:val="Strong"/>
                <w:szCs w:val="20"/>
              </w:rPr>
              <w:t>141</w:t>
            </w:r>
          </w:p>
        </w:tc>
        <w:tc>
          <w:tcPr>
            <w:tcW w:w="0" w:type="auto"/>
          </w:tcPr>
          <w:p w14:paraId="45F08654" w14:textId="7D8DF12E" w:rsidR="005816BE" w:rsidRPr="00FB2207" w:rsidRDefault="005816BE" w:rsidP="00700532">
            <w:pPr>
              <w:pStyle w:val="TableBody"/>
              <w:rPr>
                <w:szCs w:val="20"/>
              </w:rPr>
            </w:pPr>
            <w:r w:rsidRPr="00FB2207">
              <w:rPr>
                <w:rStyle w:val="Strong"/>
                <w:szCs w:val="20"/>
              </w:rPr>
              <w:t>128</w:t>
            </w:r>
          </w:p>
        </w:tc>
        <w:tc>
          <w:tcPr>
            <w:tcW w:w="0" w:type="auto"/>
          </w:tcPr>
          <w:p w14:paraId="375E20C1" w14:textId="496A60C1" w:rsidR="005816BE" w:rsidRPr="00FB2207" w:rsidRDefault="005816BE" w:rsidP="00700532">
            <w:pPr>
              <w:pStyle w:val="TableBody"/>
              <w:rPr>
                <w:szCs w:val="20"/>
              </w:rPr>
            </w:pPr>
            <w:r w:rsidRPr="00FB2207">
              <w:rPr>
                <w:rStyle w:val="Strong"/>
                <w:szCs w:val="20"/>
              </w:rPr>
              <w:t>92</w:t>
            </w:r>
          </w:p>
        </w:tc>
        <w:tc>
          <w:tcPr>
            <w:tcW w:w="0" w:type="auto"/>
          </w:tcPr>
          <w:p w14:paraId="311B5698" w14:textId="110EAD73" w:rsidR="005816BE" w:rsidRPr="00FB2207" w:rsidRDefault="005816BE" w:rsidP="00700532">
            <w:pPr>
              <w:pStyle w:val="TableBody"/>
              <w:rPr>
                <w:szCs w:val="20"/>
              </w:rPr>
            </w:pPr>
            <w:r w:rsidRPr="00FB2207">
              <w:rPr>
                <w:rStyle w:val="Strong"/>
                <w:szCs w:val="20"/>
              </w:rPr>
              <w:t>98</w:t>
            </w:r>
          </w:p>
        </w:tc>
        <w:tc>
          <w:tcPr>
            <w:tcW w:w="0" w:type="auto"/>
          </w:tcPr>
          <w:p w14:paraId="00D5CDD4" w14:textId="7B20C660" w:rsidR="005816BE" w:rsidRPr="00FB2207" w:rsidRDefault="005816BE" w:rsidP="00700532">
            <w:pPr>
              <w:pStyle w:val="TableBody"/>
              <w:rPr>
                <w:szCs w:val="20"/>
              </w:rPr>
            </w:pPr>
            <w:r w:rsidRPr="00FB2207">
              <w:rPr>
                <w:rStyle w:val="Strong"/>
                <w:szCs w:val="20"/>
              </w:rPr>
              <w:t>96</w:t>
            </w:r>
          </w:p>
        </w:tc>
        <w:tc>
          <w:tcPr>
            <w:tcW w:w="0" w:type="auto"/>
          </w:tcPr>
          <w:p w14:paraId="2545F1DE" w14:textId="33675A85" w:rsidR="005816BE" w:rsidRPr="00FB2207" w:rsidRDefault="005816BE" w:rsidP="00700532">
            <w:pPr>
              <w:pStyle w:val="TableBody"/>
              <w:rPr>
                <w:szCs w:val="20"/>
              </w:rPr>
            </w:pPr>
            <w:r w:rsidRPr="00FB2207">
              <w:rPr>
                <w:rStyle w:val="Strong"/>
                <w:szCs w:val="20"/>
              </w:rPr>
              <w:t>65</w:t>
            </w:r>
          </w:p>
        </w:tc>
        <w:tc>
          <w:tcPr>
            <w:tcW w:w="0" w:type="auto"/>
          </w:tcPr>
          <w:p w14:paraId="075C9FCE" w14:textId="1F086DB8" w:rsidR="005816BE" w:rsidRPr="00FB2207" w:rsidRDefault="005816BE" w:rsidP="00700532">
            <w:pPr>
              <w:pStyle w:val="TableBody"/>
              <w:rPr>
                <w:szCs w:val="20"/>
              </w:rPr>
            </w:pPr>
            <w:r w:rsidRPr="00FB2207">
              <w:rPr>
                <w:rStyle w:val="Strong"/>
                <w:szCs w:val="20"/>
              </w:rPr>
              <w:t>52</w:t>
            </w:r>
          </w:p>
        </w:tc>
        <w:tc>
          <w:tcPr>
            <w:tcW w:w="0" w:type="auto"/>
          </w:tcPr>
          <w:p w14:paraId="076B4BC3" w14:textId="2165F7AC" w:rsidR="005816BE" w:rsidRPr="00FB2207" w:rsidRDefault="005816BE" w:rsidP="00700532">
            <w:pPr>
              <w:pStyle w:val="TableBody"/>
              <w:rPr>
                <w:szCs w:val="20"/>
              </w:rPr>
            </w:pPr>
            <w:r w:rsidRPr="00FB2207">
              <w:rPr>
                <w:rStyle w:val="Strong"/>
                <w:szCs w:val="20"/>
              </w:rPr>
              <w:t>81</w:t>
            </w:r>
          </w:p>
        </w:tc>
        <w:tc>
          <w:tcPr>
            <w:tcW w:w="0" w:type="auto"/>
          </w:tcPr>
          <w:p w14:paraId="3A463039" w14:textId="5FDB546E" w:rsidR="005816BE" w:rsidRPr="00FB2207" w:rsidRDefault="005816BE" w:rsidP="00700532">
            <w:pPr>
              <w:pStyle w:val="TableBody"/>
              <w:rPr>
                <w:szCs w:val="20"/>
              </w:rPr>
            </w:pPr>
            <w:r w:rsidRPr="00FB2207">
              <w:rPr>
                <w:rStyle w:val="Strong"/>
                <w:szCs w:val="20"/>
              </w:rPr>
              <w:t>94</w:t>
            </w:r>
          </w:p>
        </w:tc>
        <w:tc>
          <w:tcPr>
            <w:tcW w:w="0" w:type="auto"/>
          </w:tcPr>
          <w:p w14:paraId="31B4DBA1" w14:textId="7C42DCB8" w:rsidR="005816BE" w:rsidRPr="00FB2207" w:rsidRDefault="005816BE" w:rsidP="00700532">
            <w:pPr>
              <w:pStyle w:val="TableBody"/>
              <w:rPr>
                <w:rStyle w:val="Strong"/>
                <w:szCs w:val="20"/>
              </w:rPr>
            </w:pPr>
            <w:r w:rsidRPr="00FB2207">
              <w:rPr>
                <w:rStyle w:val="Strong"/>
                <w:szCs w:val="20"/>
              </w:rPr>
              <w:t>1,094</w:t>
            </w:r>
          </w:p>
        </w:tc>
      </w:tr>
      <w:tr w:rsidR="005816BE" w:rsidRPr="007F530F" w14:paraId="4B434470" w14:textId="77777777" w:rsidTr="00377374">
        <w:trPr>
          <w:trHeight w:val="60"/>
        </w:trPr>
        <w:tc>
          <w:tcPr>
            <w:tcW w:w="0" w:type="auto"/>
          </w:tcPr>
          <w:p w14:paraId="6E399954" w14:textId="16737A3A" w:rsidR="005816BE" w:rsidRPr="00FB2207" w:rsidRDefault="005816BE" w:rsidP="00700532">
            <w:pPr>
              <w:pStyle w:val="TableBody"/>
              <w:rPr>
                <w:szCs w:val="20"/>
              </w:rPr>
            </w:pPr>
            <w:r w:rsidRPr="00FB2207">
              <w:rPr>
                <w:rStyle w:val="Strong"/>
                <w:szCs w:val="20"/>
              </w:rPr>
              <w:t>Total Magistrates’ Court</w:t>
            </w:r>
          </w:p>
        </w:tc>
        <w:tc>
          <w:tcPr>
            <w:tcW w:w="0" w:type="auto"/>
          </w:tcPr>
          <w:p w14:paraId="32BC1E3B" w14:textId="6724BA37" w:rsidR="005816BE" w:rsidRPr="00FB2207" w:rsidRDefault="005816BE" w:rsidP="00700532">
            <w:pPr>
              <w:pStyle w:val="TableBody"/>
              <w:rPr>
                <w:szCs w:val="20"/>
              </w:rPr>
            </w:pPr>
            <w:r w:rsidRPr="00FB2207">
              <w:rPr>
                <w:rStyle w:val="Strong"/>
                <w:szCs w:val="20"/>
              </w:rPr>
              <w:t>189</w:t>
            </w:r>
          </w:p>
        </w:tc>
        <w:tc>
          <w:tcPr>
            <w:tcW w:w="0" w:type="auto"/>
          </w:tcPr>
          <w:p w14:paraId="75E09ADE" w14:textId="0708C433" w:rsidR="005816BE" w:rsidRPr="00FB2207" w:rsidRDefault="005816BE" w:rsidP="00700532">
            <w:pPr>
              <w:pStyle w:val="TableBody"/>
              <w:rPr>
                <w:szCs w:val="20"/>
              </w:rPr>
            </w:pPr>
            <w:r w:rsidRPr="00FB2207">
              <w:rPr>
                <w:rStyle w:val="Strong"/>
                <w:szCs w:val="20"/>
              </w:rPr>
              <w:t>177</w:t>
            </w:r>
          </w:p>
        </w:tc>
        <w:tc>
          <w:tcPr>
            <w:tcW w:w="0" w:type="auto"/>
          </w:tcPr>
          <w:p w14:paraId="44A223E5" w14:textId="765B816F" w:rsidR="005816BE" w:rsidRPr="00FB2207" w:rsidRDefault="005816BE" w:rsidP="00700532">
            <w:pPr>
              <w:pStyle w:val="TableBody"/>
              <w:rPr>
                <w:szCs w:val="20"/>
              </w:rPr>
            </w:pPr>
            <w:r w:rsidRPr="00FB2207">
              <w:rPr>
                <w:rStyle w:val="Strong"/>
                <w:szCs w:val="20"/>
              </w:rPr>
              <w:t>205</w:t>
            </w:r>
          </w:p>
        </w:tc>
        <w:tc>
          <w:tcPr>
            <w:tcW w:w="0" w:type="auto"/>
          </w:tcPr>
          <w:p w14:paraId="1B47DBBD" w14:textId="2F818645" w:rsidR="005816BE" w:rsidRPr="00FB2207" w:rsidRDefault="005816BE" w:rsidP="00700532">
            <w:pPr>
              <w:pStyle w:val="TableBody"/>
              <w:rPr>
                <w:szCs w:val="20"/>
              </w:rPr>
            </w:pPr>
            <w:r w:rsidRPr="00FB2207">
              <w:rPr>
                <w:rStyle w:val="Strong"/>
                <w:szCs w:val="20"/>
              </w:rPr>
              <w:t>269</w:t>
            </w:r>
          </w:p>
        </w:tc>
        <w:tc>
          <w:tcPr>
            <w:tcW w:w="0" w:type="auto"/>
          </w:tcPr>
          <w:p w14:paraId="2EC5A971" w14:textId="1708E427" w:rsidR="005816BE" w:rsidRPr="00FB2207" w:rsidRDefault="005816BE" w:rsidP="00700532">
            <w:pPr>
              <w:pStyle w:val="TableBody"/>
              <w:rPr>
                <w:szCs w:val="20"/>
              </w:rPr>
            </w:pPr>
            <w:r w:rsidRPr="00FB2207">
              <w:rPr>
                <w:rStyle w:val="Strong"/>
                <w:szCs w:val="20"/>
              </w:rPr>
              <w:t>258</w:t>
            </w:r>
          </w:p>
        </w:tc>
        <w:tc>
          <w:tcPr>
            <w:tcW w:w="0" w:type="auto"/>
          </w:tcPr>
          <w:p w14:paraId="70022E56" w14:textId="4B2572E6" w:rsidR="005816BE" w:rsidRPr="00FB2207" w:rsidRDefault="005816BE" w:rsidP="00700532">
            <w:pPr>
              <w:pStyle w:val="TableBody"/>
              <w:rPr>
                <w:szCs w:val="20"/>
              </w:rPr>
            </w:pPr>
            <w:r w:rsidRPr="00FB2207">
              <w:rPr>
                <w:rStyle w:val="Strong"/>
                <w:szCs w:val="20"/>
              </w:rPr>
              <w:t>269</w:t>
            </w:r>
          </w:p>
        </w:tc>
        <w:tc>
          <w:tcPr>
            <w:tcW w:w="0" w:type="auto"/>
          </w:tcPr>
          <w:p w14:paraId="1EB894BA" w14:textId="76B5CD60" w:rsidR="005816BE" w:rsidRPr="00FB2207" w:rsidRDefault="005816BE" w:rsidP="00700532">
            <w:pPr>
              <w:pStyle w:val="TableBody"/>
              <w:rPr>
                <w:szCs w:val="20"/>
              </w:rPr>
            </w:pPr>
            <w:r w:rsidRPr="00FB2207">
              <w:rPr>
                <w:rStyle w:val="Strong"/>
                <w:szCs w:val="20"/>
              </w:rPr>
              <w:t>244</w:t>
            </w:r>
          </w:p>
        </w:tc>
        <w:tc>
          <w:tcPr>
            <w:tcW w:w="0" w:type="auto"/>
          </w:tcPr>
          <w:p w14:paraId="2A2E643C" w14:textId="3794C453" w:rsidR="005816BE" w:rsidRPr="00FB2207" w:rsidRDefault="005816BE" w:rsidP="00700532">
            <w:pPr>
              <w:pStyle w:val="TableBody"/>
              <w:rPr>
                <w:szCs w:val="20"/>
              </w:rPr>
            </w:pPr>
            <w:r w:rsidRPr="00FB2207">
              <w:rPr>
                <w:rStyle w:val="Strong"/>
                <w:szCs w:val="20"/>
              </w:rPr>
              <w:t>325</w:t>
            </w:r>
          </w:p>
        </w:tc>
        <w:tc>
          <w:tcPr>
            <w:tcW w:w="0" w:type="auto"/>
          </w:tcPr>
          <w:p w14:paraId="50C82245" w14:textId="613C8615" w:rsidR="005816BE" w:rsidRPr="00FB2207" w:rsidRDefault="005816BE" w:rsidP="00700532">
            <w:pPr>
              <w:pStyle w:val="TableBody"/>
              <w:rPr>
                <w:szCs w:val="20"/>
              </w:rPr>
            </w:pPr>
            <w:r w:rsidRPr="00FB2207">
              <w:rPr>
                <w:rStyle w:val="Strong"/>
                <w:szCs w:val="20"/>
              </w:rPr>
              <w:t>319</w:t>
            </w:r>
          </w:p>
        </w:tc>
        <w:tc>
          <w:tcPr>
            <w:tcW w:w="0" w:type="auto"/>
          </w:tcPr>
          <w:p w14:paraId="28D78E0E" w14:textId="69F0BCFA" w:rsidR="005816BE" w:rsidRPr="00FB2207" w:rsidRDefault="005816BE" w:rsidP="00700532">
            <w:pPr>
              <w:pStyle w:val="TableBody"/>
              <w:rPr>
                <w:szCs w:val="20"/>
              </w:rPr>
            </w:pPr>
            <w:r w:rsidRPr="00FB2207">
              <w:rPr>
                <w:rStyle w:val="Strong"/>
                <w:szCs w:val="20"/>
              </w:rPr>
              <w:t>295</w:t>
            </w:r>
          </w:p>
        </w:tc>
        <w:tc>
          <w:tcPr>
            <w:tcW w:w="0" w:type="auto"/>
          </w:tcPr>
          <w:p w14:paraId="70717285" w14:textId="538EAB7F" w:rsidR="005816BE" w:rsidRPr="00FB2207" w:rsidRDefault="005816BE" w:rsidP="00700532">
            <w:pPr>
              <w:pStyle w:val="TableBody"/>
              <w:rPr>
                <w:rStyle w:val="Strong"/>
                <w:szCs w:val="20"/>
              </w:rPr>
            </w:pPr>
            <w:r w:rsidRPr="00FB2207">
              <w:rPr>
                <w:rStyle w:val="Strong"/>
                <w:szCs w:val="20"/>
              </w:rPr>
              <w:t>2,550</w:t>
            </w:r>
          </w:p>
        </w:tc>
      </w:tr>
      <w:tr w:rsidR="005816BE" w:rsidRPr="007F530F" w14:paraId="416D6026" w14:textId="77777777" w:rsidTr="00377374">
        <w:trPr>
          <w:trHeight w:val="60"/>
        </w:trPr>
        <w:tc>
          <w:tcPr>
            <w:tcW w:w="0" w:type="auto"/>
          </w:tcPr>
          <w:p w14:paraId="4BA211CB" w14:textId="60B70574" w:rsidR="005816BE" w:rsidRPr="00FB2207" w:rsidRDefault="005816BE" w:rsidP="00700532">
            <w:pPr>
              <w:pStyle w:val="TableBody"/>
              <w:rPr>
                <w:rStyle w:val="Strong"/>
                <w:szCs w:val="20"/>
              </w:rPr>
            </w:pPr>
            <w:r w:rsidRPr="00FB2207">
              <w:rPr>
                <w:rStyle w:val="Strong"/>
                <w:szCs w:val="20"/>
              </w:rPr>
              <w:t>Total all courts</w:t>
            </w:r>
          </w:p>
        </w:tc>
        <w:tc>
          <w:tcPr>
            <w:tcW w:w="0" w:type="auto"/>
          </w:tcPr>
          <w:p w14:paraId="2391882B" w14:textId="68591CCA" w:rsidR="005816BE" w:rsidRPr="00FB2207" w:rsidRDefault="005816BE" w:rsidP="00700532">
            <w:pPr>
              <w:pStyle w:val="TableBody"/>
              <w:rPr>
                <w:rStyle w:val="Strong"/>
                <w:szCs w:val="20"/>
              </w:rPr>
            </w:pPr>
            <w:r w:rsidRPr="00FB2207">
              <w:rPr>
                <w:rStyle w:val="Strong"/>
                <w:szCs w:val="20"/>
              </w:rPr>
              <w:t>436</w:t>
            </w:r>
          </w:p>
        </w:tc>
        <w:tc>
          <w:tcPr>
            <w:tcW w:w="0" w:type="auto"/>
          </w:tcPr>
          <w:p w14:paraId="212190EC" w14:textId="3DB24F91" w:rsidR="005816BE" w:rsidRPr="00FB2207" w:rsidRDefault="005816BE" w:rsidP="00700532">
            <w:pPr>
              <w:pStyle w:val="TableBody"/>
              <w:rPr>
                <w:rStyle w:val="Strong"/>
                <w:szCs w:val="20"/>
              </w:rPr>
            </w:pPr>
            <w:r w:rsidRPr="00FB2207">
              <w:rPr>
                <w:rStyle w:val="Strong"/>
                <w:szCs w:val="20"/>
              </w:rPr>
              <w:t>318</w:t>
            </w:r>
          </w:p>
        </w:tc>
        <w:tc>
          <w:tcPr>
            <w:tcW w:w="0" w:type="auto"/>
          </w:tcPr>
          <w:p w14:paraId="1FC16329" w14:textId="7CA353E0" w:rsidR="005816BE" w:rsidRPr="00FB2207" w:rsidRDefault="005816BE" w:rsidP="00700532">
            <w:pPr>
              <w:pStyle w:val="TableBody"/>
              <w:rPr>
                <w:rStyle w:val="Strong"/>
                <w:szCs w:val="20"/>
              </w:rPr>
            </w:pPr>
            <w:r w:rsidRPr="00FB2207">
              <w:rPr>
                <w:rStyle w:val="Strong"/>
                <w:szCs w:val="20"/>
              </w:rPr>
              <w:t>333</w:t>
            </w:r>
          </w:p>
        </w:tc>
        <w:tc>
          <w:tcPr>
            <w:tcW w:w="0" w:type="auto"/>
          </w:tcPr>
          <w:p w14:paraId="5905E2ED" w14:textId="20D5AF4A" w:rsidR="005816BE" w:rsidRPr="00FB2207" w:rsidRDefault="005816BE" w:rsidP="00700532">
            <w:pPr>
              <w:pStyle w:val="TableBody"/>
              <w:rPr>
                <w:rStyle w:val="Strong"/>
                <w:szCs w:val="20"/>
              </w:rPr>
            </w:pPr>
            <w:r w:rsidRPr="00FB2207">
              <w:rPr>
                <w:rStyle w:val="Strong"/>
                <w:szCs w:val="20"/>
              </w:rPr>
              <w:t>361</w:t>
            </w:r>
          </w:p>
        </w:tc>
        <w:tc>
          <w:tcPr>
            <w:tcW w:w="0" w:type="auto"/>
          </w:tcPr>
          <w:p w14:paraId="51DF7F6E" w14:textId="40B2678D" w:rsidR="005816BE" w:rsidRPr="00FB2207" w:rsidRDefault="005816BE" w:rsidP="00700532">
            <w:pPr>
              <w:pStyle w:val="TableBody"/>
              <w:rPr>
                <w:rStyle w:val="Strong"/>
                <w:szCs w:val="20"/>
              </w:rPr>
            </w:pPr>
            <w:r w:rsidRPr="00FB2207">
              <w:rPr>
                <w:rStyle w:val="Strong"/>
                <w:szCs w:val="20"/>
              </w:rPr>
              <w:t>356</w:t>
            </w:r>
          </w:p>
        </w:tc>
        <w:tc>
          <w:tcPr>
            <w:tcW w:w="0" w:type="auto"/>
          </w:tcPr>
          <w:p w14:paraId="062876EE" w14:textId="173B5282" w:rsidR="005816BE" w:rsidRPr="00FB2207" w:rsidRDefault="005816BE" w:rsidP="00700532">
            <w:pPr>
              <w:pStyle w:val="TableBody"/>
              <w:rPr>
                <w:rStyle w:val="Strong"/>
                <w:szCs w:val="20"/>
              </w:rPr>
            </w:pPr>
            <w:r w:rsidRPr="00FB2207">
              <w:rPr>
                <w:rStyle w:val="Strong"/>
                <w:szCs w:val="20"/>
              </w:rPr>
              <w:t>365</w:t>
            </w:r>
          </w:p>
        </w:tc>
        <w:tc>
          <w:tcPr>
            <w:tcW w:w="0" w:type="auto"/>
          </w:tcPr>
          <w:p w14:paraId="59674560" w14:textId="59D9073D" w:rsidR="005816BE" w:rsidRPr="00FB2207" w:rsidRDefault="005816BE" w:rsidP="00700532">
            <w:pPr>
              <w:pStyle w:val="TableBody"/>
              <w:rPr>
                <w:rStyle w:val="Strong"/>
                <w:szCs w:val="20"/>
              </w:rPr>
            </w:pPr>
            <w:r w:rsidRPr="00FB2207">
              <w:rPr>
                <w:rStyle w:val="Strong"/>
                <w:szCs w:val="20"/>
              </w:rPr>
              <w:t>309</w:t>
            </w:r>
          </w:p>
        </w:tc>
        <w:tc>
          <w:tcPr>
            <w:tcW w:w="0" w:type="auto"/>
          </w:tcPr>
          <w:p w14:paraId="69DD6790" w14:textId="75F789F8" w:rsidR="005816BE" w:rsidRPr="00FB2207" w:rsidRDefault="005816BE" w:rsidP="00700532">
            <w:pPr>
              <w:pStyle w:val="TableBody"/>
              <w:rPr>
                <w:rStyle w:val="Strong"/>
                <w:szCs w:val="20"/>
              </w:rPr>
            </w:pPr>
            <w:r w:rsidRPr="00FB2207">
              <w:rPr>
                <w:rStyle w:val="Strong"/>
                <w:szCs w:val="20"/>
              </w:rPr>
              <w:t>377</w:t>
            </w:r>
          </w:p>
        </w:tc>
        <w:tc>
          <w:tcPr>
            <w:tcW w:w="0" w:type="auto"/>
          </w:tcPr>
          <w:p w14:paraId="6DDAEA88" w14:textId="3474F4FE" w:rsidR="005816BE" w:rsidRPr="00FB2207" w:rsidRDefault="005816BE" w:rsidP="00700532">
            <w:pPr>
              <w:pStyle w:val="TableBody"/>
              <w:rPr>
                <w:rStyle w:val="Strong"/>
                <w:szCs w:val="20"/>
              </w:rPr>
            </w:pPr>
            <w:r w:rsidRPr="00FB2207">
              <w:rPr>
                <w:rStyle w:val="Strong"/>
                <w:szCs w:val="20"/>
              </w:rPr>
              <w:t>400</w:t>
            </w:r>
          </w:p>
        </w:tc>
        <w:tc>
          <w:tcPr>
            <w:tcW w:w="0" w:type="auto"/>
          </w:tcPr>
          <w:p w14:paraId="026460D7" w14:textId="05E77E88" w:rsidR="005816BE" w:rsidRPr="00FB2207" w:rsidRDefault="005816BE" w:rsidP="00700532">
            <w:pPr>
              <w:pStyle w:val="TableBody"/>
              <w:rPr>
                <w:rStyle w:val="Strong"/>
                <w:szCs w:val="20"/>
              </w:rPr>
            </w:pPr>
            <w:r w:rsidRPr="00FB2207">
              <w:rPr>
                <w:rStyle w:val="Strong"/>
                <w:szCs w:val="20"/>
              </w:rPr>
              <w:t>389</w:t>
            </w:r>
          </w:p>
        </w:tc>
        <w:tc>
          <w:tcPr>
            <w:tcW w:w="0" w:type="auto"/>
          </w:tcPr>
          <w:p w14:paraId="5FE3CE47" w14:textId="1CEDDB1C" w:rsidR="005816BE" w:rsidRPr="00FB2207" w:rsidRDefault="005816BE" w:rsidP="00700532">
            <w:pPr>
              <w:pStyle w:val="TableBody"/>
              <w:rPr>
                <w:rStyle w:val="Strong"/>
                <w:szCs w:val="20"/>
              </w:rPr>
            </w:pPr>
            <w:r w:rsidRPr="00FB2207">
              <w:rPr>
                <w:rStyle w:val="Strong"/>
                <w:szCs w:val="20"/>
              </w:rPr>
              <w:t>3,644</w:t>
            </w:r>
          </w:p>
        </w:tc>
      </w:tr>
    </w:tbl>
    <w:p w14:paraId="0DA9AED8" w14:textId="77777777" w:rsidR="00F5487A" w:rsidRDefault="00F5487A" w:rsidP="006633AA">
      <w:pPr>
        <w:pStyle w:val="Heading2"/>
        <w:sectPr w:rsidR="00F5487A" w:rsidSect="00F5487A">
          <w:pgSz w:w="16838" w:h="11906" w:orient="landscape"/>
          <w:pgMar w:top="1440" w:right="1440" w:bottom="1440" w:left="1440" w:header="720" w:footer="720" w:gutter="0"/>
          <w:cols w:space="720"/>
          <w:noEndnote/>
          <w:docGrid w:linePitch="326"/>
        </w:sectPr>
      </w:pPr>
    </w:p>
    <w:p w14:paraId="5227AEC7" w14:textId="73187E14" w:rsidR="00EF5C25" w:rsidRPr="007F530F" w:rsidRDefault="00EF5C25" w:rsidP="006633AA">
      <w:pPr>
        <w:pStyle w:val="Heading2"/>
      </w:pPr>
      <w:r w:rsidRPr="007F530F">
        <w:lastRenderedPageBreak/>
        <w:t>How long were prison sentences for sexual assault?</w:t>
      </w:r>
    </w:p>
    <w:p w14:paraId="5768EBB9" w14:textId="3C304AC3" w:rsidR="00EF5C25" w:rsidRDefault="00EF5C25" w:rsidP="006B1610">
      <w:pPr>
        <w:pStyle w:val="Numbered"/>
      </w:pPr>
      <w:r w:rsidRPr="007F530F">
        <w:t xml:space="preserve">There were 968 non-aggregate sentences of imprisonment imposed for indecent assault and sexual assault contrary to sections 39(1) and 40(1) of the </w:t>
      </w:r>
      <w:r w:rsidRPr="00D62402">
        <w:rPr>
          <w:rStyle w:val="Emphasis"/>
        </w:rPr>
        <w:t xml:space="preserve">Crimes Act 1958 </w:t>
      </w:r>
      <w:r w:rsidRPr="007F530F">
        <w:t>(Vic)</w:t>
      </w:r>
      <w:r w:rsidRPr="00D62402">
        <w:rPr>
          <w:rStyle w:val="Emphasis"/>
        </w:rPr>
        <w:t>.</w:t>
      </w:r>
      <w:r w:rsidRPr="007F530F">
        <w:rPr>
          <w:rStyle w:val="Superscript"/>
        </w:rPr>
        <w:footnoteReference w:id="125"/>
      </w:r>
      <w:r w:rsidRPr="00D62402">
        <w:rPr>
          <w:rStyle w:val="Emphasis"/>
        </w:rPr>
        <w:t xml:space="preserve"> </w:t>
      </w:r>
      <w:r w:rsidRPr="007F530F">
        <w:t>The yearly average prison sentence lengths for those 968 charges are shown in Figure 12. The average prison sentences for these offences were 14 months in the higher courts and 6 months in the Magistrates’ Court. The shortest term was 6 days and the longest was 5 years. In the higher courts, the charge-level prison sentences for sexual assault appear to be slightly longer since 2016, but they have remained fairly stable in the Magistrates’ Court.</w:t>
      </w:r>
      <w:r w:rsidRPr="007F530F">
        <w:rPr>
          <w:rStyle w:val="Superscript"/>
        </w:rPr>
        <w:footnoteReference w:id="126"/>
      </w:r>
    </w:p>
    <w:p w14:paraId="6A543F39" w14:textId="77777777" w:rsidR="00792A50" w:rsidRPr="007F530F" w:rsidRDefault="00792A50" w:rsidP="00792A50">
      <w:pPr>
        <w:pStyle w:val="Caption"/>
      </w:pPr>
      <w:r w:rsidRPr="00D00197">
        <w:t xml:space="preserve">Figure 12: </w:t>
      </w:r>
      <w:r w:rsidRPr="007F530F">
        <w:t xml:space="preserve">Average prison sentences (in years and months) imposed on charges of indecent assault or sexual assault contrary to sections 39(1) and 40(1) of the </w:t>
      </w:r>
      <w:r w:rsidRPr="00D931C5">
        <w:rPr>
          <w:rStyle w:val="Emphasis"/>
        </w:rPr>
        <w:t>Crimes Act 1958</w:t>
      </w:r>
      <w:r w:rsidRPr="007F530F">
        <w:t xml:space="preserve"> (Vic), by year and court (968 charges: 800 in the higher courts and 168 in the Magistrates’ Court)</w:t>
      </w:r>
    </w:p>
    <w:tbl>
      <w:tblPr>
        <w:tblStyle w:val="Table"/>
        <w:tblW w:w="5000" w:type="pct"/>
        <w:tblLook w:val="04A0" w:firstRow="1" w:lastRow="0" w:firstColumn="1" w:lastColumn="0" w:noHBand="0" w:noVBand="1"/>
      </w:tblPr>
      <w:tblGrid>
        <w:gridCol w:w="1105"/>
        <w:gridCol w:w="1656"/>
        <w:gridCol w:w="2577"/>
        <w:gridCol w:w="1839"/>
        <w:gridCol w:w="1839"/>
      </w:tblGrid>
      <w:tr w:rsidR="007E3794" w:rsidRPr="007E3794" w14:paraId="381C947D" w14:textId="77777777" w:rsidTr="00E172ED">
        <w:trPr>
          <w:trHeight w:val="1530"/>
          <w:tblHeader/>
        </w:trPr>
        <w:tc>
          <w:tcPr>
            <w:tcW w:w="612" w:type="pct"/>
            <w:hideMark/>
          </w:tcPr>
          <w:p w14:paraId="6CD2788A" w14:textId="77777777" w:rsidR="007E3794" w:rsidRPr="007E3794" w:rsidRDefault="007E3794" w:rsidP="00E172ED">
            <w:pPr>
              <w:pStyle w:val="TableHeading"/>
            </w:pPr>
            <w:r w:rsidRPr="007E3794">
              <w:t>Year</w:t>
            </w:r>
          </w:p>
        </w:tc>
        <w:tc>
          <w:tcPr>
            <w:tcW w:w="918" w:type="pct"/>
            <w:hideMark/>
          </w:tcPr>
          <w:p w14:paraId="61672AD6" w14:textId="77777777" w:rsidR="007E3794" w:rsidRPr="007E3794" w:rsidRDefault="007E3794" w:rsidP="00E172ED">
            <w:pPr>
              <w:pStyle w:val="TableHeading"/>
            </w:pPr>
            <w:r w:rsidRPr="007E3794">
              <w:t>Charges sentenced in the higher courts</w:t>
            </w:r>
          </w:p>
        </w:tc>
        <w:tc>
          <w:tcPr>
            <w:tcW w:w="1429" w:type="pct"/>
            <w:hideMark/>
          </w:tcPr>
          <w:p w14:paraId="4DE33260" w14:textId="77777777" w:rsidR="007E3794" w:rsidRPr="007E3794" w:rsidRDefault="007E3794" w:rsidP="00E172ED">
            <w:pPr>
              <w:pStyle w:val="TableHeading"/>
            </w:pPr>
            <w:r w:rsidRPr="007E3794">
              <w:t>Average sentence in the higher courts</w:t>
            </w:r>
          </w:p>
        </w:tc>
        <w:tc>
          <w:tcPr>
            <w:tcW w:w="1020" w:type="pct"/>
            <w:hideMark/>
          </w:tcPr>
          <w:p w14:paraId="20107687" w14:textId="77777777" w:rsidR="007E3794" w:rsidRPr="007E3794" w:rsidRDefault="007E3794" w:rsidP="00E172ED">
            <w:pPr>
              <w:pStyle w:val="TableHeading"/>
            </w:pPr>
            <w:r w:rsidRPr="007E3794">
              <w:t>Charges sentenced in the Magistrates' Court</w:t>
            </w:r>
          </w:p>
        </w:tc>
        <w:tc>
          <w:tcPr>
            <w:tcW w:w="1020" w:type="pct"/>
            <w:hideMark/>
          </w:tcPr>
          <w:p w14:paraId="329FD0DE" w14:textId="77777777" w:rsidR="007E3794" w:rsidRPr="007E3794" w:rsidRDefault="007E3794" w:rsidP="00E172ED">
            <w:pPr>
              <w:pStyle w:val="TableHeading"/>
            </w:pPr>
            <w:r w:rsidRPr="007E3794">
              <w:t>Average sentence in the Magistrates' Court</w:t>
            </w:r>
          </w:p>
        </w:tc>
      </w:tr>
      <w:tr w:rsidR="007E3794" w:rsidRPr="007E3794" w14:paraId="62362CDB" w14:textId="77777777" w:rsidTr="00E172ED">
        <w:trPr>
          <w:trHeight w:val="290"/>
          <w:tblHeader/>
        </w:trPr>
        <w:tc>
          <w:tcPr>
            <w:tcW w:w="612" w:type="pct"/>
            <w:noWrap/>
            <w:hideMark/>
          </w:tcPr>
          <w:p w14:paraId="3B794FF5" w14:textId="77777777" w:rsidR="007E3794" w:rsidRPr="007E3794" w:rsidRDefault="007E3794" w:rsidP="00E172ED">
            <w:pPr>
              <w:pStyle w:val="TableBody"/>
            </w:pPr>
            <w:r w:rsidRPr="007E3794">
              <w:t>2010</w:t>
            </w:r>
          </w:p>
        </w:tc>
        <w:tc>
          <w:tcPr>
            <w:tcW w:w="918" w:type="pct"/>
            <w:noWrap/>
            <w:hideMark/>
          </w:tcPr>
          <w:p w14:paraId="37FD4DF6" w14:textId="77777777" w:rsidR="007E3794" w:rsidRPr="007E3794" w:rsidRDefault="007E3794" w:rsidP="00E172ED">
            <w:pPr>
              <w:pStyle w:val="TableBody"/>
            </w:pPr>
            <w:r w:rsidRPr="007E3794">
              <w:t>204</w:t>
            </w:r>
          </w:p>
        </w:tc>
        <w:tc>
          <w:tcPr>
            <w:tcW w:w="1429" w:type="pct"/>
            <w:noWrap/>
            <w:hideMark/>
          </w:tcPr>
          <w:p w14:paraId="0BA495AF" w14:textId="77777777" w:rsidR="007E3794" w:rsidRPr="007E3794" w:rsidRDefault="007E3794" w:rsidP="00E172ED">
            <w:pPr>
              <w:pStyle w:val="TableBody"/>
            </w:pPr>
            <w:r w:rsidRPr="007E3794">
              <w:t>1 year and 2 months</w:t>
            </w:r>
          </w:p>
        </w:tc>
        <w:tc>
          <w:tcPr>
            <w:tcW w:w="1020" w:type="pct"/>
            <w:noWrap/>
            <w:hideMark/>
          </w:tcPr>
          <w:p w14:paraId="440F20B5" w14:textId="77777777" w:rsidR="007E3794" w:rsidRPr="007E3794" w:rsidRDefault="007E3794" w:rsidP="00E172ED">
            <w:pPr>
              <w:pStyle w:val="TableBody"/>
            </w:pPr>
            <w:r w:rsidRPr="007E3794">
              <w:t>9</w:t>
            </w:r>
          </w:p>
        </w:tc>
        <w:tc>
          <w:tcPr>
            <w:tcW w:w="1020" w:type="pct"/>
            <w:noWrap/>
            <w:hideMark/>
          </w:tcPr>
          <w:p w14:paraId="13669A32" w14:textId="77777777" w:rsidR="007E3794" w:rsidRPr="007E3794" w:rsidRDefault="007E3794" w:rsidP="00E172ED">
            <w:pPr>
              <w:pStyle w:val="TableBody"/>
            </w:pPr>
            <w:r w:rsidRPr="007E3794">
              <w:t>7 months</w:t>
            </w:r>
          </w:p>
        </w:tc>
      </w:tr>
      <w:tr w:rsidR="007E3794" w:rsidRPr="007E3794" w14:paraId="173E1656" w14:textId="77777777" w:rsidTr="00E172ED">
        <w:trPr>
          <w:trHeight w:val="290"/>
        </w:trPr>
        <w:tc>
          <w:tcPr>
            <w:tcW w:w="612" w:type="pct"/>
            <w:noWrap/>
            <w:hideMark/>
          </w:tcPr>
          <w:p w14:paraId="5363AC58" w14:textId="77777777" w:rsidR="007E3794" w:rsidRPr="007E3794" w:rsidRDefault="007E3794" w:rsidP="00E172ED">
            <w:pPr>
              <w:pStyle w:val="TableBody"/>
            </w:pPr>
            <w:r w:rsidRPr="007E3794">
              <w:t>2011</w:t>
            </w:r>
          </w:p>
        </w:tc>
        <w:tc>
          <w:tcPr>
            <w:tcW w:w="918" w:type="pct"/>
            <w:noWrap/>
            <w:hideMark/>
          </w:tcPr>
          <w:p w14:paraId="31D77D31" w14:textId="77777777" w:rsidR="007E3794" w:rsidRPr="007E3794" w:rsidRDefault="007E3794" w:rsidP="00E172ED">
            <w:pPr>
              <w:pStyle w:val="TableBody"/>
            </w:pPr>
            <w:r w:rsidRPr="007E3794">
              <w:t>103</w:t>
            </w:r>
          </w:p>
        </w:tc>
        <w:tc>
          <w:tcPr>
            <w:tcW w:w="1429" w:type="pct"/>
            <w:noWrap/>
            <w:hideMark/>
          </w:tcPr>
          <w:p w14:paraId="32EA96BF" w14:textId="77777777" w:rsidR="007E3794" w:rsidRPr="007E3794" w:rsidRDefault="007E3794" w:rsidP="00E172ED">
            <w:pPr>
              <w:pStyle w:val="TableBody"/>
            </w:pPr>
            <w:r w:rsidRPr="007E3794">
              <w:t>1 year and 2 months</w:t>
            </w:r>
          </w:p>
        </w:tc>
        <w:tc>
          <w:tcPr>
            <w:tcW w:w="1020" w:type="pct"/>
            <w:noWrap/>
            <w:hideMark/>
          </w:tcPr>
          <w:p w14:paraId="6CA5DDF9" w14:textId="77777777" w:rsidR="007E3794" w:rsidRPr="007E3794" w:rsidRDefault="007E3794" w:rsidP="00E172ED">
            <w:pPr>
              <w:pStyle w:val="TableBody"/>
            </w:pPr>
            <w:r w:rsidRPr="007E3794">
              <w:t>17</w:t>
            </w:r>
          </w:p>
        </w:tc>
        <w:tc>
          <w:tcPr>
            <w:tcW w:w="1020" w:type="pct"/>
            <w:noWrap/>
            <w:hideMark/>
          </w:tcPr>
          <w:p w14:paraId="32418953" w14:textId="77777777" w:rsidR="007E3794" w:rsidRPr="007E3794" w:rsidRDefault="007E3794" w:rsidP="00E172ED">
            <w:pPr>
              <w:pStyle w:val="TableBody"/>
            </w:pPr>
            <w:r w:rsidRPr="007E3794">
              <w:t>7 months</w:t>
            </w:r>
          </w:p>
        </w:tc>
      </w:tr>
      <w:tr w:rsidR="007E3794" w:rsidRPr="007E3794" w14:paraId="2CF86E30" w14:textId="77777777" w:rsidTr="00E172ED">
        <w:trPr>
          <w:trHeight w:val="290"/>
        </w:trPr>
        <w:tc>
          <w:tcPr>
            <w:tcW w:w="612" w:type="pct"/>
            <w:noWrap/>
            <w:hideMark/>
          </w:tcPr>
          <w:p w14:paraId="43EBAB45" w14:textId="77777777" w:rsidR="007E3794" w:rsidRPr="007E3794" w:rsidRDefault="007E3794" w:rsidP="00E172ED">
            <w:pPr>
              <w:pStyle w:val="TableBody"/>
            </w:pPr>
            <w:r w:rsidRPr="007E3794">
              <w:t>2012</w:t>
            </w:r>
          </w:p>
        </w:tc>
        <w:tc>
          <w:tcPr>
            <w:tcW w:w="918" w:type="pct"/>
            <w:noWrap/>
            <w:hideMark/>
          </w:tcPr>
          <w:p w14:paraId="43166197" w14:textId="77777777" w:rsidR="007E3794" w:rsidRPr="007E3794" w:rsidRDefault="007E3794" w:rsidP="00E172ED">
            <w:pPr>
              <w:pStyle w:val="TableBody"/>
            </w:pPr>
            <w:r w:rsidRPr="007E3794">
              <w:t>76</w:t>
            </w:r>
          </w:p>
        </w:tc>
        <w:tc>
          <w:tcPr>
            <w:tcW w:w="1429" w:type="pct"/>
            <w:noWrap/>
            <w:hideMark/>
          </w:tcPr>
          <w:p w14:paraId="4CAAAA6F" w14:textId="77777777" w:rsidR="007E3794" w:rsidRPr="007E3794" w:rsidRDefault="007E3794" w:rsidP="00E172ED">
            <w:pPr>
              <w:pStyle w:val="TableBody"/>
            </w:pPr>
            <w:r w:rsidRPr="007E3794">
              <w:t>1 year</w:t>
            </w:r>
          </w:p>
        </w:tc>
        <w:tc>
          <w:tcPr>
            <w:tcW w:w="1020" w:type="pct"/>
            <w:noWrap/>
            <w:hideMark/>
          </w:tcPr>
          <w:p w14:paraId="4A59303A" w14:textId="77777777" w:rsidR="007E3794" w:rsidRPr="007E3794" w:rsidRDefault="007E3794" w:rsidP="00E172ED">
            <w:pPr>
              <w:pStyle w:val="TableBody"/>
            </w:pPr>
            <w:r w:rsidRPr="007E3794">
              <w:t>6</w:t>
            </w:r>
          </w:p>
        </w:tc>
        <w:tc>
          <w:tcPr>
            <w:tcW w:w="1020" w:type="pct"/>
            <w:noWrap/>
            <w:hideMark/>
          </w:tcPr>
          <w:p w14:paraId="5A9BFAFC" w14:textId="77777777" w:rsidR="007E3794" w:rsidRPr="007E3794" w:rsidRDefault="007E3794" w:rsidP="00E172ED">
            <w:pPr>
              <w:pStyle w:val="TableBody"/>
            </w:pPr>
            <w:r w:rsidRPr="007E3794">
              <w:t>4 months</w:t>
            </w:r>
          </w:p>
        </w:tc>
      </w:tr>
      <w:tr w:rsidR="007E3794" w:rsidRPr="007E3794" w14:paraId="7BB95670" w14:textId="77777777" w:rsidTr="00E172ED">
        <w:trPr>
          <w:trHeight w:val="290"/>
        </w:trPr>
        <w:tc>
          <w:tcPr>
            <w:tcW w:w="612" w:type="pct"/>
            <w:noWrap/>
            <w:hideMark/>
          </w:tcPr>
          <w:p w14:paraId="51A7FCB5" w14:textId="77777777" w:rsidR="007E3794" w:rsidRPr="007E3794" w:rsidRDefault="007E3794" w:rsidP="00E172ED">
            <w:pPr>
              <w:pStyle w:val="TableBody"/>
            </w:pPr>
            <w:r w:rsidRPr="007E3794">
              <w:lastRenderedPageBreak/>
              <w:t>2013</w:t>
            </w:r>
          </w:p>
        </w:tc>
        <w:tc>
          <w:tcPr>
            <w:tcW w:w="918" w:type="pct"/>
            <w:noWrap/>
            <w:hideMark/>
          </w:tcPr>
          <w:p w14:paraId="34967A5B" w14:textId="77777777" w:rsidR="007E3794" w:rsidRPr="007E3794" w:rsidRDefault="007E3794" w:rsidP="00E172ED">
            <w:pPr>
              <w:pStyle w:val="TableBody"/>
            </w:pPr>
            <w:r w:rsidRPr="007E3794">
              <w:t>75</w:t>
            </w:r>
          </w:p>
        </w:tc>
        <w:tc>
          <w:tcPr>
            <w:tcW w:w="1429" w:type="pct"/>
            <w:noWrap/>
            <w:hideMark/>
          </w:tcPr>
          <w:p w14:paraId="0BE0BD4B" w14:textId="77777777" w:rsidR="007E3794" w:rsidRPr="007E3794" w:rsidRDefault="007E3794" w:rsidP="00E172ED">
            <w:pPr>
              <w:pStyle w:val="TableBody"/>
            </w:pPr>
            <w:r w:rsidRPr="007E3794">
              <w:t>1 year and 3 months</w:t>
            </w:r>
          </w:p>
        </w:tc>
        <w:tc>
          <w:tcPr>
            <w:tcW w:w="1020" w:type="pct"/>
            <w:noWrap/>
            <w:hideMark/>
          </w:tcPr>
          <w:p w14:paraId="47CA9D9E" w14:textId="77777777" w:rsidR="007E3794" w:rsidRPr="007E3794" w:rsidRDefault="007E3794" w:rsidP="00E172ED">
            <w:pPr>
              <w:pStyle w:val="TableBody"/>
            </w:pPr>
            <w:r w:rsidRPr="007E3794">
              <w:t>12</w:t>
            </w:r>
          </w:p>
        </w:tc>
        <w:tc>
          <w:tcPr>
            <w:tcW w:w="1020" w:type="pct"/>
            <w:noWrap/>
            <w:hideMark/>
          </w:tcPr>
          <w:p w14:paraId="430D9927" w14:textId="77777777" w:rsidR="007E3794" w:rsidRPr="007E3794" w:rsidRDefault="007E3794" w:rsidP="00E172ED">
            <w:pPr>
              <w:pStyle w:val="TableBody"/>
            </w:pPr>
            <w:r w:rsidRPr="007E3794">
              <w:t>5 months</w:t>
            </w:r>
          </w:p>
        </w:tc>
      </w:tr>
      <w:tr w:rsidR="007E3794" w:rsidRPr="007E3794" w14:paraId="51593742" w14:textId="77777777" w:rsidTr="00E172ED">
        <w:trPr>
          <w:trHeight w:val="290"/>
        </w:trPr>
        <w:tc>
          <w:tcPr>
            <w:tcW w:w="612" w:type="pct"/>
            <w:noWrap/>
            <w:hideMark/>
          </w:tcPr>
          <w:p w14:paraId="10360EC3" w14:textId="77777777" w:rsidR="007E3794" w:rsidRPr="007E3794" w:rsidRDefault="007E3794" w:rsidP="00E172ED">
            <w:pPr>
              <w:pStyle w:val="TableBody"/>
            </w:pPr>
            <w:r w:rsidRPr="007E3794">
              <w:t>2014</w:t>
            </w:r>
          </w:p>
        </w:tc>
        <w:tc>
          <w:tcPr>
            <w:tcW w:w="918" w:type="pct"/>
            <w:noWrap/>
            <w:hideMark/>
          </w:tcPr>
          <w:p w14:paraId="04E0FCED" w14:textId="77777777" w:rsidR="007E3794" w:rsidRPr="007E3794" w:rsidRDefault="007E3794" w:rsidP="00E172ED">
            <w:pPr>
              <w:pStyle w:val="TableBody"/>
            </w:pPr>
            <w:r w:rsidRPr="007E3794">
              <w:t>76</w:t>
            </w:r>
          </w:p>
        </w:tc>
        <w:tc>
          <w:tcPr>
            <w:tcW w:w="1429" w:type="pct"/>
            <w:noWrap/>
            <w:hideMark/>
          </w:tcPr>
          <w:p w14:paraId="4653B869" w14:textId="77777777" w:rsidR="007E3794" w:rsidRPr="007E3794" w:rsidRDefault="007E3794" w:rsidP="00E172ED">
            <w:pPr>
              <w:pStyle w:val="TableBody"/>
            </w:pPr>
            <w:r w:rsidRPr="007E3794">
              <w:t>1 year and 2 months</w:t>
            </w:r>
          </w:p>
        </w:tc>
        <w:tc>
          <w:tcPr>
            <w:tcW w:w="1020" w:type="pct"/>
            <w:noWrap/>
            <w:hideMark/>
          </w:tcPr>
          <w:p w14:paraId="14D66359" w14:textId="77777777" w:rsidR="007E3794" w:rsidRPr="007E3794" w:rsidRDefault="007E3794" w:rsidP="00E172ED">
            <w:pPr>
              <w:pStyle w:val="TableBody"/>
            </w:pPr>
            <w:r w:rsidRPr="007E3794">
              <w:t>13</w:t>
            </w:r>
          </w:p>
        </w:tc>
        <w:tc>
          <w:tcPr>
            <w:tcW w:w="1020" w:type="pct"/>
            <w:noWrap/>
            <w:hideMark/>
          </w:tcPr>
          <w:p w14:paraId="7FAE0094" w14:textId="77777777" w:rsidR="007E3794" w:rsidRPr="007E3794" w:rsidRDefault="007E3794" w:rsidP="00E172ED">
            <w:pPr>
              <w:pStyle w:val="TableBody"/>
            </w:pPr>
            <w:r w:rsidRPr="007E3794">
              <w:t>6 months</w:t>
            </w:r>
          </w:p>
        </w:tc>
      </w:tr>
      <w:tr w:rsidR="007E3794" w:rsidRPr="007E3794" w14:paraId="7B2D5B85" w14:textId="77777777" w:rsidTr="00E172ED">
        <w:trPr>
          <w:trHeight w:val="290"/>
        </w:trPr>
        <w:tc>
          <w:tcPr>
            <w:tcW w:w="612" w:type="pct"/>
            <w:noWrap/>
            <w:hideMark/>
          </w:tcPr>
          <w:p w14:paraId="66A9C4CD" w14:textId="77777777" w:rsidR="007E3794" w:rsidRPr="007E3794" w:rsidRDefault="007E3794" w:rsidP="00E172ED">
            <w:pPr>
              <w:pStyle w:val="TableBody"/>
            </w:pPr>
            <w:r w:rsidRPr="007E3794">
              <w:t>2015</w:t>
            </w:r>
          </w:p>
        </w:tc>
        <w:tc>
          <w:tcPr>
            <w:tcW w:w="918" w:type="pct"/>
            <w:noWrap/>
            <w:hideMark/>
          </w:tcPr>
          <w:p w14:paraId="19EFE6E8" w14:textId="77777777" w:rsidR="007E3794" w:rsidRPr="007E3794" w:rsidRDefault="007E3794" w:rsidP="00E172ED">
            <w:pPr>
              <w:pStyle w:val="TableBody"/>
            </w:pPr>
            <w:r w:rsidRPr="007E3794">
              <w:t>75</w:t>
            </w:r>
          </w:p>
        </w:tc>
        <w:tc>
          <w:tcPr>
            <w:tcW w:w="1429" w:type="pct"/>
            <w:noWrap/>
            <w:hideMark/>
          </w:tcPr>
          <w:p w14:paraId="237A247B" w14:textId="77777777" w:rsidR="007E3794" w:rsidRPr="007E3794" w:rsidRDefault="007E3794" w:rsidP="00E172ED">
            <w:pPr>
              <w:pStyle w:val="TableBody"/>
            </w:pPr>
            <w:r w:rsidRPr="007E3794">
              <w:t>10 months</w:t>
            </w:r>
          </w:p>
        </w:tc>
        <w:tc>
          <w:tcPr>
            <w:tcW w:w="1020" w:type="pct"/>
            <w:noWrap/>
            <w:hideMark/>
          </w:tcPr>
          <w:p w14:paraId="1FD64021" w14:textId="77777777" w:rsidR="007E3794" w:rsidRPr="007E3794" w:rsidRDefault="007E3794" w:rsidP="00E172ED">
            <w:pPr>
              <w:pStyle w:val="TableBody"/>
            </w:pPr>
            <w:r w:rsidRPr="007E3794">
              <w:t>11</w:t>
            </w:r>
          </w:p>
        </w:tc>
        <w:tc>
          <w:tcPr>
            <w:tcW w:w="1020" w:type="pct"/>
            <w:noWrap/>
            <w:hideMark/>
          </w:tcPr>
          <w:p w14:paraId="7966E35D" w14:textId="77777777" w:rsidR="007E3794" w:rsidRPr="007E3794" w:rsidRDefault="007E3794" w:rsidP="00E172ED">
            <w:pPr>
              <w:pStyle w:val="TableBody"/>
            </w:pPr>
            <w:r w:rsidRPr="007E3794">
              <w:t>3 months</w:t>
            </w:r>
          </w:p>
        </w:tc>
      </w:tr>
      <w:tr w:rsidR="007E3794" w:rsidRPr="007E3794" w14:paraId="18F40049" w14:textId="77777777" w:rsidTr="00E172ED">
        <w:trPr>
          <w:trHeight w:val="290"/>
        </w:trPr>
        <w:tc>
          <w:tcPr>
            <w:tcW w:w="612" w:type="pct"/>
            <w:noWrap/>
            <w:hideMark/>
          </w:tcPr>
          <w:p w14:paraId="161CFD86" w14:textId="77777777" w:rsidR="007E3794" w:rsidRPr="007E3794" w:rsidRDefault="007E3794" w:rsidP="00E172ED">
            <w:pPr>
              <w:pStyle w:val="TableBody"/>
            </w:pPr>
            <w:r w:rsidRPr="007E3794">
              <w:t>2016</w:t>
            </w:r>
          </w:p>
        </w:tc>
        <w:tc>
          <w:tcPr>
            <w:tcW w:w="918" w:type="pct"/>
            <w:noWrap/>
            <w:hideMark/>
          </w:tcPr>
          <w:p w14:paraId="7136A90F" w14:textId="77777777" w:rsidR="007E3794" w:rsidRPr="007E3794" w:rsidRDefault="007E3794" w:rsidP="00E172ED">
            <w:pPr>
              <w:pStyle w:val="TableBody"/>
            </w:pPr>
            <w:r w:rsidRPr="007E3794">
              <w:t>36</w:t>
            </w:r>
          </w:p>
        </w:tc>
        <w:tc>
          <w:tcPr>
            <w:tcW w:w="1429" w:type="pct"/>
            <w:noWrap/>
            <w:hideMark/>
          </w:tcPr>
          <w:p w14:paraId="5900AB2B" w14:textId="77777777" w:rsidR="007E3794" w:rsidRPr="007E3794" w:rsidRDefault="007E3794" w:rsidP="00E172ED">
            <w:pPr>
              <w:pStyle w:val="TableBody"/>
            </w:pPr>
            <w:r w:rsidRPr="007E3794">
              <w:t>1 year and 8 months</w:t>
            </w:r>
          </w:p>
        </w:tc>
        <w:tc>
          <w:tcPr>
            <w:tcW w:w="1020" w:type="pct"/>
            <w:noWrap/>
            <w:hideMark/>
          </w:tcPr>
          <w:p w14:paraId="09B3813E" w14:textId="77777777" w:rsidR="007E3794" w:rsidRPr="007E3794" w:rsidRDefault="007E3794" w:rsidP="00E172ED">
            <w:pPr>
              <w:pStyle w:val="TableBody"/>
            </w:pPr>
            <w:r w:rsidRPr="007E3794">
              <w:t>17</w:t>
            </w:r>
          </w:p>
        </w:tc>
        <w:tc>
          <w:tcPr>
            <w:tcW w:w="1020" w:type="pct"/>
            <w:noWrap/>
            <w:hideMark/>
          </w:tcPr>
          <w:p w14:paraId="4671DB39" w14:textId="77777777" w:rsidR="007E3794" w:rsidRPr="007E3794" w:rsidRDefault="007E3794" w:rsidP="00E172ED">
            <w:pPr>
              <w:pStyle w:val="TableBody"/>
            </w:pPr>
            <w:r w:rsidRPr="007E3794">
              <w:t>6 months</w:t>
            </w:r>
          </w:p>
        </w:tc>
      </w:tr>
      <w:tr w:rsidR="007E3794" w:rsidRPr="007E3794" w14:paraId="250B2B2D" w14:textId="77777777" w:rsidTr="00E172ED">
        <w:trPr>
          <w:trHeight w:val="290"/>
        </w:trPr>
        <w:tc>
          <w:tcPr>
            <w:tcW w:w="612" w:type="pct"/>
            <w:noWrap/>
            <w:hideMark/>
          </w:tcPr>
          <w:p w14:paraId="63BBBD8B" w14:textId="77777777" w:rsidR="007E3794" w:rsidRPr="007E3794" w:rsidRDefault="007E3794" w:rsidP="00E172ED">
            <w:pPr>
              <w:pStyle w:val="TableBody"/>
            </w:pPr>
            <w:r w:rsidRPr="007E3794">
              <w:t>2017</w:t>
            </w:r>
          </w:p>
        </w:tc>
        <w:tc>
          <w:tcPr>
            <w:tcW w:w="918" w:type="pct"/>
            <w:noWrap/>
            <w:hideMark/>
          </w:tcPr>
          <w:p w14:paraId="34637336" w14:textId="77777777" w:rsidR="007E3794" w:rsidRPr="007E3794" w:rsidRDefault="007E3794" w:rsidP="00E172ED">
            <w:pPr>
              <w:pStyle w:val="TableBody"/>
            </w:pPr>
            <w:r w:rsidRPr="007E3794">
              <w:t>33</w:t>
            </w:r>
          </w:p>
        </w:tc>
        <w:tc>
          <w:tcPr>
            <w:tcW w:w="1429" w:type="pct"/>
            <w:noWrap/>
            <w:hideMark/>
          </w:tcPr>
          <w:p w14:paraId="66479FCE" w14:textId="77777777" w:rsidR="007E3794" w:rsidRPr="007E3794" w:rsidRDefault="007E3794" w:rsidP="00E172ED">
            <w:pPr>
              <w:pStyle w:val="TableBody"/>
            </w:pPr>
            <w:r w:rsidRPr="007E3794">
              <w:t>1 year and 3 months</w:t>
            </w:r>
          </w:p>
        </w:tc>
        <w:tc>
          <w:tcPr>
            <w:tcW w:w="1020" w:type="pct"/>
            <w:noWrap/>
            <w:hideMark/>
          </w:tcPr>
          <w:p w14:paraId="64CA7CB9" w14:textId="77777777" w:rsidR="007E3794" w:rsidRPr="007E3794" w:rsidRDefault="007E3794" w:rsidP="00E172ED">
            <w:pPr>
              <w:pStyle w:val="TableBody"/>
            </w:pPr>
            <w:r w:rsidRPr="007E3794">
              <w:t>35</w:t>
            </w:r>
          </w:p>
        </w:tc>
        <w:tc>
          <w:tcPr>
            <w:tcW w:w="1020" w:type="pct"/>
            <w:noWrap/>
            <w:hideMark/>
          </w:tcPr>
          <w:p w14:paraId="471FABB5" w14:textId="77777777" w:rsidR="007E3794" w:rsidRPr="007E3794" w:rsidRDefault="007E3794" w:rsidP="00E172ED">
            <w:pPr>
              <w:pStyle w:val="TableBody"/>
            </w:pPr>
            <w:r w:rsidRPr="007E3794">
              <w:t>5 months</w:t>
            </w:r>
          </w:p>
        </w:tc>
      </w:tr>
      <w:tr w:rsidR="007E3794" w:rsidRPr="007E3794" w14:paraId="70F61564" w14:textId="77777777" w:rsidTr="00E172ED">
        <w:trPr>
          <w:trHeight w:val="290"/>
        </w:trPr>
        <w:tc>
          <w:tcPr>
            <w:tcW w:w="612" w:type="pct"/>
            <w:noWrap/>
            <w:hideMark/>
          </w:tcPr>
          <w:p w14:paraId="388430D2" w14:textId="77777777" w:rsidR="007E3794" w:rsidRPr="007E3794" w:rsidRDefault="007E3794" w:rsidP="00E172ED">
            <w:pPr>
              <w:pStyle w:val="TableBody"/>
            </w:pPr>
            <w:r w:rsidRPr="007E3794">
              <w:t>2018</w:t>
            </w:r>
          </w:p>
        </w:tc>
        <w:tc>
          <w:tcPr>
            <w:tcW w:w="918" w:type="pct"/>
            <w:noWrap/>
            <w:hideMark/>
          </w:tcPr>
          <w:p w14:paraId="4251A91A" w14:textId="77777777" w:rsidR="007E3794" w:rsidRPr="007E3794" w:rsidRDefault="007E3794" w:rsidP="00E172ED">
            <w:pPr>
              <w:pStyle w:val="TableBody"/>
            </w:pPr>
            <w:r w:rsidRPr="007E3794">
              <w:t>62</w:t>
            </w:r>
          </w:p>
        </w:tc>
        <w:tc>
          <w:tcPr>
            <w:tcW w:w="1429" w:type="pct"/>
            <w:noWrap/>
            <w:hideMark/>
          </w:tcPr>
          <w:p w14:paraId="51D128DB" w14:textId="77777777" w:rsidR="007E3794" w:rsidRPr="007E3794" w:rsidRDefault="007E3794" w:rsidP="00E172ED">
            <w:pPr>
              <w:pStyle w:val="TableBody"/>
            </w:pPr>
            <w:r w:rsidRPr="007E3794">
              <w:t>1 year and 4 months</w:t>
            </w:r>
          </w:p>
        </w:tc>
        <w:tc>
          <w:tcPr>
            <w:tcW w:w="1020" w:type="pct"/>
            <w:noWrap/>
            <w:hideMark/>
          </w:tcPr>
          <w:p w14:paraId="60192E4D" w14:textId="77777777" w:rsidR="007E3794" w:rsidRPr="007E3794" w:rsidRDefault="007E3794" w:rsidP="00E172ED">
            <w:pPr>
              <w:pStyle w:val="TableBody"/>
            </w:pPr>
            <w:r w:rsidRPr="007E3794">
              <w:t>31</w:t>
            </w:r>
          </w:p>
        </w:tc>
        <w:tc>
          <w:tcPr>
            <w:tcW w:w="1020" w:type="pct"/>
            <w:noWrap/>
            <w:hideMark/>
          </w:tcPr>
          <w:p w14:paraId="41122A85" w14:textId="77777777" w:rsidR="007E3794" w:rsidRPr="007E3794" w:rsidRDefault="007E3794" w:rsidP="00E172ED">
            <w:pPr>
              <w:pStyle w:val="TableBody"/>
            </w:pPr>
            <w:r w:rsidRPr="007E3794">
              <w:t>6 months</w:t>
            </w:r>
          </w:p>
        </w:tc>
      </w:tr>
      <w:tr w:rsidR="007E3794" w:rsidRPr="007E3794" w14:paraId="610DFD30" w14:textId="77777777" w:rsidTr="00E172ED">
        <w:trPr>
          <w:trHeight w:val="290"/>
        </w:trPr>
        <w:tc>
          <w:tcPr>
            <w:tcW w:w="612" w:type="pct"/>
            <w:noWrap/>
            <w:hideMark/>
          </w:tcPr>
          <w:p w14:paraId="2B9F9ECE" w14:textId="77777777" w:rsidR="007E3794" w:rsidRPr="007E3794" w:rsidRDefault="007E3794" w:rsidP="00E172ED">
            <w:pPr>
              <w:pStyle w:val="TableBody"/>
            </w:pPr>
            <w:r w:rsidRPr="007E3794">
              <w:t>2019</w:t>
            </w:r>
          </w:p>
        </w:tc>
        <w:tc>
          <w:tcPr>
            <w:tcW w:w="918" w:type="pct"/>
            <w:noWrap/>
            <w:hideMark/>
          </w:tcPr>
          <w:p w14:paraId="259C19E2" w14:textId="77777777" w:rsidR="007E3794" w:rsidRPr="007E3794" w:rsidRDefault="007E3794" w:rsidP="00E172ED">
            <w:pPr>
              <w:pStyle w:val="TableBody"/>
            </w:pPr>
            <w:r w:rsidRPr="007E3794">
              <w:t>60</w:t>
            </w:r>
          </w:p>
        </w:tc>
        <w:tc>
          <w:tcPr>
            <w:tcW w:w="1429" w:type="pct"/>
            <w:noWrap/>
            <w:hideMark/>
          </w:tcPr>
          <w:p w14:paraId="7099ACCB" w14:textId="77777777" w:rsidR="007E3794" w:rsidRPr="007E3794" w:rsidRDefault="007E3794" w:rsidP="00E172ED">
            <w:pPr>
              <w:pStyle w:val="TableBody"/>
            </w:pPr>
            <w:r w:rsidRPr="007E3794">
              <w:t>1 year and 5 months</w:t>
            </w:r>
          </w:p>
        </w:tc>
        <w:tc>
          <w:tcPr>
            <w:tcW w:w="1020" w:type="pct"/>
            <w:noWrap/>
            <w:hideMark/>
          </w:tcPr>
          <w:p w14:paraId="5286E2B4" w14:textId="77777777" w:rsidR="007E3794" w:rsidRPr="007E3794" w:rsidRDefault="007E3794" w:rsidP="00E172ED">
            <w:pPr>
              <w:pStyle w:val="TableBody"/>
            </w:pPr>
            <w:r w:rsidRPr="007E3794">
              <w:t>17</w:t>
            </w:r>
          </w:p>
        </w:tc>
        <w:tc>
          <w:tcPr>
            <w:tcW w:w="1020" w:type="pct"/>
            <w:noWrap/>
            <w:hideMark/>
          </w:tcPr>
          <w:p w14:paraId="1BB3F014" w14:textId="77777777" w:rsidR="007E3794" w:rsidRPr="007E3794" w:rsidRDefault="007E3794" w:rsidP="00E172ED">
            <w:pPr>
              <w:pStyle w:val="TableBody"/>
            </w:pPr>
            <w:r w:rsidRPr="007E3794">
              <w:t>6 months</w:t>
            </w:r>
          </w:p>
        </w:tc>
      </w:tr>
    </w:tbl>
    <w:p w14:paraId="6F27F378" w14:textId="77777777" w:rsidR="00EF5C25" w:rsidRPr="007F530F" w:rsidRDefault="00EF5C25" w:rsidP="006B1610">
      <w:pPr>
        <w:pStyle w:val="Numbered"/>
      </w:pPr>
      <w:r w:rsidRPr="007F530F">
        <w:t xml:space="preserve">During the reference period, there were 365 cases in which the principal proven offence was indecent assault or sexual assault contrary to sections 39(1) and 40(1) of the </w:t>
      </w:r>
      <w:r w:rsidRPr="00D62402">
        <w:rPr>
          <w:rStyle w:val="Emphasis"/>
        </w:rPr>
        <w:t xml:space="preserve">Crimes Act 1958 </w:t>
      </w:r>
      <w:r w:rsidRPr="007F530F">
        <w:t>(Vic) and the offender received a prison sentence. The average total effective sentence in the higher courts was 2 years and 3 months, ranging from 2 weeks (1 charge of indecent assault) to 9 years (a case with 3 charges of aggravated burglary, 3 charges of indecent assault, and 2 charges of indecent act with a child aged under 16). The average total effective sentence in the Magistrates’ Court was 7 months, ranging from less than a week to 3 years. Given the fluctuations in average total effective sentences, there was no discernible trend over the reference period.</w:t>
      </w:r>
      <w:r w:rsidRPr="007F530F">
        <w:rPr>
          <w:rStyle w:val="Superscript"/>
        </w:rPr>
        <w:footnoteReference w:id="127"/>
      </w:r>
    </w:p>
    <w:p w14:paraId="059F2990" w14:textId="77777777" w:rsidR="00EF5C25" w:rsidRPr="007F530F" w:rsidRDefault="00EF5C25" w:rsidP="00B62617">
      <w:pPr>
        <w:pStyle w:val="Caption"/>
        <w:keepLines/>
      </w:pPr>
      <w:r w:rsidRPr="00D00197">
        <w:lastRenderedPageBreak/>
        <w:t xml:space="preserve">Figure 13: </w:t>
      </w:r>
      <w:r w:rsidRPr="007F530F">
        <w:t xml:space="preserve">Average total effective sentence (in years and months) imposed in cases involving indecent assault or sexual assault contrary to sections 39(1) and 40(1) of the </w:t>
      </w:r>
      <w:r w:rsidRPr="00D931C5">
        <w:rPr>
          <w:rStyle w:val="Emphasis"/>
        </w:rPr>
        <w:t>Crimes Act 1958</w:t>
      </w:r>
      <w:r w:rsidRPr="007F530F">
        <w:t xml:space="preserve"> (Vic) as the principal proven offence, by year and court (365 cases: 87 in the higher courts and 278 in the Magistrates’ Court)</w:t>
      </w:r>
    </w:p>
    <w:tbl>
      <w:tblPr>
        <w:tblStyle w:val="Table"/>
        <w:tblW w:w="5000" w:type="pct"/>
        <w:tblLook w:val="04A0" w:firstRow="1" w:lastRow="0" w:firstColumn="1" w:lastColumn="0" w:noHBand="0" w:noVBand="1"/>
      </w:tblPr>
      <w:tblGrid>
        <w:gridCol w:w="1094"/>
        <w:gridCol w:w="1685"/>
        <w:gridCol w:w="2595"/>
        <w:gridCol w:w="1821"/>
        <w:gridCol w:w="1821"/>
      </w:tblGrid>
      <w:tr w:rsidR="001378A3" w:rsidRPr="001378A3" w14:paraId="0996568C" w14:textId="77777777" w:rsidTr="000A7F9B">
        <w:trPr>
          <w:trHeight w:val="1134"/>
        </w:trPr>
        <w:tc>
          <w:tcPr>
            <w:tcW w:w="606" w:type="pct"/>
            <w:noWrap/>
            <w:hideMark/>
          </w:tcPr>
          <w:p w14:paraId="01B9B35C" w14:textId="77777777" w:rsidR="001378A3" w:rsidRPr="001378A3" w:rsidRDefault="001378A3" w:rsidP="00472A30">
            <w:pPr>
              <w:pStyle w:val="TableHeading"/>
            </w:pPr>
            <w:r w:rsidRPr="001378A3">
              <w:t>Year</w:t>
            </w:r>
          </w:p>
        </w:tc>
        <w:tc>
          <w:tcPr>
            <w:tcW w:w="934" w:type="pct"/>
            <w:hideMark/>
          </w:tcPr>
          <w:p w14:paraId="4C22773C" w14:textId="77777777" w:rsidR="001378A3" w:rsidRPr="001378A3" w:rsidRDefault="001378A3" w:rsidP="00472A30">
            <w:pPr>
              <w:pStyle w:val="TableHeading"/>
            </w:pPr>
            <w:r w:rsidRPr="001378A3">
              <w:t>Cases sentenced in the higher courts</w:t>
            </w:r>
          </w:p>
        </w:tc>
        <w:tc>
          <w:tcPr>
            <w:tcW w:w="1439" w:type="pct"/>
            <w:hideMark/>
          </w:tcPr>
          <w:p w14:paraId="61451615" w14:textId="77777777" w:rsidR="001378A3" w:rsidRPr="001378A3" w:rsidRDefault="001378A3" w:rsidP="00472A30">
            <w:pPr>
              <w:pStyle w:val="TableHeading"/>
            </w:pPr>
            <w:r w:rsidRPr="001378A3">
              <w:t>Average sentence in the higher courts</w:t>
            </w:r>
          </w:p>
        </w:tc>
        <w:tc>
          <w:tcPr>
            <w:tcW w:w="1010" w:type="pct"/>
            <w:hideMark/>
          </w:tcPr>
          <w:p w14:paraId="326D19F1" w14:textId="77777777" w:rsidR="001378A3" w:rsidRPr="001378A3" w:rsidRDefault="001378A3" w:rsidP="00472A30">
            <w:pPr>
              <w:pStyle w:val="TableHeading"/>
            </w:pPr>
            <w:r w:rsidRPr="001378A3">
              <w:t>Cases sentenced in the Magistrates' Court</w:t>
            </w:r>
          </w:p>
        </w:tc>
        <w:tc>
          <w:tcPr>
            <w:tcW w:w="1010" w:type="pct"/>
            <w:hideMark/>
          </w:tcPr>
          <w:p w14:paraId="1E890520" w14:textId="77777777" w:rsidR="001378A3" w:rsidRPr="001378A3" w:rsidRDefault="001378A3" w:rsidP="00472A30">
            <w:pPr>
              <w:pStyle w:val="TableHeading"/>
            </w:pPr>
            <w:r w:rsidRPr="001378A3">
              <w:t>Average sentence in the Magistrates' Court</w:t>
            </w:r>
          </w:p>
        </w:tc>
      </w:tr>
      <w:tr w:rsidR="001378A3" w:rsidRPr="001378A3" w14:paraId="6B108811" w14:textId="77777777" w:rsidTr="00ED6FC4">
        <w:trPr>
          <w:trHeight w:val="290"/>
        </w:trPr>
        <w:tc>
          <w:tcPr>
            <w:tcW w:w="606" w:type="pct"/>
            <w:noWrap/>
            <w:hideMark/>
          </w:tcPr>
          <w:p w14:paraId="6782FBFE" w14:textId="77777777" w:rsidR="001378A3" w:rsidRPr="001378A3" w:rsidRDefault="001378A3" w:rsidP="00472A30">
            <w:pPr>
              <w:pStyle w:val="TableBody"/>
            </w:pPr>
            <w:r w:rsidRPr="001378A3">
              <w:t>2010</w:t>
            </w:r>
          </w:p>
        </w:tc>
        <w:tc>
          <w:tcPr>
            <w:tcW w:w="934" w:type="pct"/>
            <w:noWrap/>
            <w:hideMark/>
          </w:tcPr>
          <w:p w14:paraId="270A35E3" w14:textId="77777777" w:rsidR="001378A3" w:rsidRPr="001378A3" w:rsidRDefault="001378A3" w:rsidP="00472A30">
            <w:pPr>
              <w:pStyle w:val="TableBody"/>
            </w:pPr>
            <w:r w:rsidRPr="001378A3">
              <w:t>9</w:t>
            </w:r>
          </w:p>
        </w:tc>
        <w:tc>
          <w:tcPr>
            <w:tcW w:w="1439" w:type="pct"/>
            <w:noWrap/>
            <w:hideMark/>
          </w:tcPr>
          <w:p w14:paraId="4DC20D8C" w14:textId="77777777" w:rsidR="001378A3" w:rsidRPr="001378A3" w:rsidRDefault="001378A3" w:rsidP="00472A30">
            <w:pPr>
              <w:pStyle w:val="TableBody"/>
            </w:pPr>
            <w:r w:rsidRPr="001378A3">
              <w:t>3 years and 9 months</w:t>
            </w:r>
          </w:p>
        </w:tc>
        <w:tc>
          <w:tcPr>
            <w:tcW w:w="1010" w:type="pct"/>
            <w:noWrap/>
            <w:hideMark/>
          </w:tcPr>
          <w:p w14:paraId="288E83A9" w14:textId="77777777" w:rsidR="001378A3" w:rsidRPr="001378A3" w:rsidRDefault="001378A3" w:rsidP="00472A30">
            <w:pPr>
              <w:pStyle w:val="TableBody"/>
            </w:pPr>
            <w:r w:rsidRPr="001378A3">
              <w:t>15</w:t>
            </w:r>
          </w:p>
        </w:tc>
        <w:tc>
          <w:tcPr>
            <w:tcW w:w="1010" w:type="pct"/>
            <w:noWrap/>
            <w:hideMark/>
          </w:tcPr>
          <w:p w14:paraId="7E5DAF06" w14:textId="77777777" w:rsidR="001378A3" w:rsidRPr="001378A3" w:rsidRDefault="001378A3" w:rsidP="00472A30">
            <w:pPr>
              <w:pStyle w:val="TableBody"/>
            </w:pPr>
            <w:r w:rsidRPr="001378A3">
              <w:t>11 months</w:t>
            </w:r>
          </w:p>
        </w:tc>
      </w:tr>
      <w:tr w:rsidR="001378A3" w:rsidRPr="001378A3" w14:paraId="27757576" w14:textId="77777777" w:rsidTr="00ED6FC4">
        <w:trPr>
          <w:trHeight w:val="290"/>
        </w:trPr>
        <w:tc>
          <w:tcPr>
            <w:tcW w:w="606" w:type="pct"/>
            <w:noWrap/>
            <w:hideMark/>
          </w:tcPr>
          <w:p w14:paraId="7440DCFF" w14:textId="77777777" w:rsidR="001378A3" w:rsidRPr="001378A3" w:rsidRDefault="001378A3" w:rsidP="00472A30">
            <w:pPr>
              <w:pStyle w:val="TableBody"/>
            </w:pPr>
            <w:r w:rsidRPr="001378A3">
              <w:t>2011</w:t>
            </w:r>
          </w:p>
        </w:tc>
        <w:tc>
          <w:tcPr>
            <w:tcW w:w="934" w:type="pct"/>
            <w:noWrap/>
            <w:hideMark/>
          </w:tcPr>
          <w:p w14:paraId="776B2755" w14:textId="77777777" w:rsidR="001378A3" w:rsidRPr="001378A3" w:rsidRDefault="001378A3" w:rsidP="00472A30">
            <w:pPr>
              <w:pStyle w:val="TableBody"/>
            </w:pPr>
            <w:r w:rsidRPr="001378A3">
              <w:t>5</w:t>
            </w:r>
          </w:p>
        </w:tc>
        <w:tc>
          <w:tcPr>
            <w:tcW w:w="1439" w:type="pct"/>
            <w:noWrap/>
            <w:hideMark/>
          </w:tcPr>
          <w:p w14:paraId="64D0DC17" w14:textId="77777777" w:rsidR="001378A3" w:rsidRPr="001378A3" w:rsidRDefault="001378A3" w:rsidP="00472A30">
            <w:pPr>
              <w:pStyle w:val="TableBody"/>
            </w:pPr>
            <w:r w:rsidRPr="001378A3">
              <w:t>1 year and 4 months</w:t>
            </w:r>
          </w:p>
        </w:tc>
        <w:tc>
          <w:tcPr>
            <w:tcW w:w="1010" w:type="pct"/>
            <w:noWrap/>
            <w:hideMark/>
          </w:tcPr>
          <w:p w14:paraId="3B985412" w14:textId="77777777" w:rsidR="001378A3" w:rsidRPr="001378A3" w:rsidRDefault="001378A3" w:rsidP="00472A30">
            <w:pPr>
              <w:pStyle w:val="TableBody"/>
            </w:pPr>
            <w:r w:rsidRPr="001378A3">
              <w:t>15</w:t>
            </w:r>
          </w:p>
        </w:tc>
        <w:tc>
          <w:tcPr>
            <w:tcW w:w="1010" w:type="pct"/>
            <w:noWrap/>
            <w:hideMark/>
          </w:tcPr>
          <w:p w14:paraId="5DDDF7BA" w14:textId="77777777" w:rsidR="001378A3" w:rsidRPr="001378A3" w:rsidRDefault="001378A3" w:rsidP="00472A30">
            <w:pPr>
              <w:pStyle w:val="TableBody"/>
            </w:pPr>
            <w:r w:rsidRPr="001378A3">
              <w:t>11 months</w:t>
            </w:r>
          </w:p>
        </w:tc>
      </w:tr>
      <w:tr w:rsidR="001378A3" w:rsidRPr="001378A3" w14:paraId="331FEC51" w14:textId="77777777" w:rsidTr="00ED6FC4">
        <w:trPr>
          <w:trHeight w:val="290"/>
        </w:trPr>
        <w:tc>
          <w:tcPr>
            <w:tcW w:w="606" w:type="pct"/>
            <w:noWrap/>
            <w:hideMark/>
          </w:tcPr>
          <w:p w14:paraId="6027F001" w14:textId="77777777" w:rsidR="001378A3" w:rsidRPr="001378A3" w:rsidRDefault="001378A3" w:rsidP="00472A30">
            <w:pPr>
              <w:pStyle w:val="TableBody"/>
            </w:pPr>
            <w:r w:rsidRPr="001378A3">
              <w:t>2012</w:t>
            </w:r>
          </w:p>
        </w:tc>
        <w:tc>
          <w:tcPr>
            <w:tcW w:w="934" w:type="pct"/>
            <w:noWrap/>
            <w:hideMark/>
          </w:tcPr>
          <w:p w14:paraId="772F42C8" w14:textId="77777777" w:rsidR="001378A3" w:rsidRPr="001378A3" w:rsidRDefault="001378A3" w:rsidP="00472A30">
            <w:pPr>
              <w:pStyle w:val="TableBody"/>
            </w:pPr>
            <w:r w:rsidRPr="001378A3">
              <w:t>7</w:t>
            </w:r>
          </w:p>
        </w:tc>
        <w:tc>
          <w:tcPr>
            <w:tcW w:w="1439" w:type="pct"/>
            <w:noWrap/>
            <w:hideMark/>
          </w:tcPr>
          <w:p w14:paraId="6B21EC7D" w14:textId="77777777" w:rsidR="001378A3" w:rsidRPr="001378A3" w:rsidRDefault="001378A3" w:rsidP="00472A30">
            <w:pPr>
              <w:pStyle w:val="TableBody"/>
            </w:pPr>
            <w:r w:rsidRPr="001378A3">
              <w:t>2 years and 2 months</w:t>
            </w:r>
          </w:p>
        </w:tc>
        <w:tc>
          <w:tcPr>
            <w:tcW w:w="1010" w:type="pct"/>
            <w:noWrap/>
            <w:hideMark/>
          </w:tcPr>
          <w:p w14:paraId="0F7A5EBD" w14:textId="77777777" w:rsidR="001378A3" w:rsidRPr="001378A3" w:rsidRDefault="001378A3" w:rsidP="00472A30">
            <w:pPr>
              <w:pStyle w:val="TableBody"/>
            </w:pPr>
            <w:r w:rsidRPr="001378A3">
              <w:t>9</w:t>
            </w:r>
          </w:p>
        </w:tc>
        <w:tc>
          <w:tcPr>
            <w:tcW w:w="1010" w:type="pct"/>
            <w:noWrap/>
            <w:hideMark/>
          </w:tcPr>
          <w:p w14:paraId="64913EB7" w14:textId="77777777" w:rsidR="001378A3" w:rsidRPr="001378A3" w:rsidRDefault="001378A3" w:rsidP="00472A30">
            <w:pPr>
              <w:pStyle w:val="TableBody"/>
            </w:pPr>
            <w:r w:rsidRPr="001378A3">
              <w:t>6 months</w:t>
            </w:r>
          </w:p>
        </w:tc>
      </w:tr>
      <w:tr w:rsidR="001378A3" w:rsidRPr="001378A3" w14:paraId="387067F8" w14:textId="77777777" w:rsidTr="00ED6FC4">
        <w:trPr>
          <w:trHeight w:val="290"/>
        </w:trPr>
        <w:tc>
          <w:tcPr>
            <w:tcW w:w="606" w:type="pct"/>
            <w:noWrap/>
            <w:hideMark/>
          </w:tcPr>
          <w:p w14:paraId="6AB9A03D" w14:textId="77777777" w:rsidR="001378A3" w:rsidRPr="001378A3" w:rsidRDefault="001378A3" w:rsidP="00472A30">
            <w:pPr>
              <w:pStyle w:val="TableBody"/>
            </w:pPr>
            <w:r w:rsidRPr="001378A3">
              <w:t>2013</w:t>
            </w:r>
          </w:p>
        </w:tc>
        <w:tc>
          <w:tcPr>
            <w:tcW w:w="934" w:type="pct"/>
            <w:noWrap/>
            <w:hideMark/>
          </w:tcPr>
          <w:p w14:paraId="6E452291" w14:textId="77777777" w:rsidR="001378A3" w:rsidRPr="001378A3" w:rsidRDefault="001378A3" w:rsidP="00472A30">
            <w:pPr>
              <w:pStyle w:val="TableBody"/>
            </w:pPr>
            <w:r w:rsidRPr="001378A3">
              <w:t>12</w:t>
            </w:r>
          </w:p>
        </w:tc>
        <w:tc>
          <w:tcPr>
            <w:tcW w:w="1439" w:type="pct"/>
            <w:noWrap/>
            <w:hideMark/>
          </w:tcPr>
          <w:p w14:paraId="6D4C0FC8" w14:textId="77777777" w:rsidR="001378A3" w:rsidRPr="001378A3" w:rsidRDefault="001378A3" w:rsidP="00472A30">
            <w:pPr>
              <w:pStyle w:val="TableBody"/>
            </w:pPr>
            <w:r w:rsidRPr="001378A3">
              <w:t>2 years and 7 months</w:t>
            </w:r>
          </w:p>
        </w:tc>
        <w:tc>
          <w:tcPr>
            <w:tcW w:w="1010" w:type="pct"/>
            <w:noWrap/>
            <w:hideMark/>
          </w:tcPr>
          <w:p w14:paraId="1A065648" w14:textId="77777777" w:rsidR="001378A3" w:rsidRPr="001378A3" w:rsidRDefault="001378A3" w:rsidP="00472A30">
            <w:pPr>
              <w:pStyle w:val="TableBody"/>
            </w:pPr>
            <w:r w:rsidRPr="001378A3">
              <w:t>25</w:t>
            </w:r>
          </w:p>
        </w:tc>
        <w:tc>
          <w:tcPr>
            <w:tcW w:w="1010" w:type="pct"/>
            <w:noWrap/>
            <w:hideMark/>
          </w:tcPr>
          <w:p w14:paraId="0028CDEB" w14:textId="77777777" w:rsidR="001378A3" w:rsidRPr="001378A3" w:rsidRDefault="001378A3" w:rsidP="00472A30">
            <w:pPr>
              <w:pStyle w:val="TableBody"/>
            </w:pPr>
            <w:r w:rsidRPr="001378A3">
              <w:t>7 months</w:t>
            </w:r>
          </w:p>
        </w:tc>
      </w:tr>
      <w:tr w:rsidR="001378A3" w:rsidRPr="001378A3" w14:paraId="35C6A786" w14:textId="77777777" w:rsidTr="00ED6FC4">
        <w:trPr>
          <w:trHeight w:val="290"/>
        </w:trPr>
        <w:tc>
          <w:tcPr>
            <w:tcW w:w="606" w:type="pct"/>
            <w:noWrap/>
            <w:hideMark/>
          </w:tcPr>
          <w:p w14:paraId="4B516664" w14:textId="77777777" w:rsidR="001378A3" w:rsidRPr="001378A3" w:rsidRDefault="001378A3" w:rsidP="00472A30">
            <w:pPr>
              <w:pStyle w:val="TableBody"/>
            </w:pPr>
            <w:r w:rsidRPr="001378A3">
              <w:t>2014</w:t>
            </w:r>
          </w:p>
        </w:tc>
        <w:tc>
          <w:tcPr>
            <w:tcW w:w="934" w:type="pct"/>
            <w:noWrap/>
            <w:hideMark/>
          </w:tcPr>
          <w:p w14:paraId="0CD1F5A1" w14:textId="77777777" w:rsidR="001378A3" w:rsidRPr="001378A3" w:rsidRDefault="001378A3" w:rsidP="00472A30">
            <w:pPr>
              <w:pStyle w:val="TableBody"/>
            </w:pPr>
            <w:r w:rsidRPr="001378A3">
              <w:t>9</w:t>
            </w:r>
          </w:p>
        </w:tc>
        <w:tc>
          <w:tcPr>
            <w:tcW w:w="1439" w:type="pct"/>
            <w:noWrap/>
            <w:hideMark/>
          </w:tcPr>
          <w:p w14:paraId="6DC8D928" w14:textId="77777777" w:rsidR="001378A3" w:rsidRPr="001378A3" w:rsidRDefault="001378A3" w:rsidP="00472A30">
            <w:pPr>
              <w:pStyle w:val="TableBody"/>
            </w:pPr>
            <w:r w:rsidRPr="001378A3">
              <w:t>2 years and 10 months</w:t>
            </w:r>
          </w:p>
        </w:tc>
        <w:tc>
          <w:tcPr>
            <w:tcW w:w="1010" w:type="pct"/>
            <w:noWrap/>
            <w:hideMark/>
          </w:tcPr>
          <w:p w14:paraId="4D3FD229" w14:textId="77777777" w:rsidR="001378A3" w:rsidRPr="001378A3" w:rsidRDefault="001378A3" w:rsidP="00472A30">
            <w:pPr>
              <w:pStyle w:val="TableBody"/>
            </w:pPr>
            <w:r w:rsidRPr="001378A3">
              <w:t>24</w:t>
            </w:r>
          </w:p>
        </w:tc>
        <w:tc>
          <w:tcPr>
            <w:tcW w:w="1010" w:type="pct"/>
            <w:noWrap/>
            <w:hideMark/>
          </w:tcPr>
          <w:p w14:paraId="246E47D6" w14:textId="77777777" w:rsidR="001378A3" w:rsidRPr="001378A3" w:rsidRDefault="001378A3" w:rsidP="00472A30">
            <w:pPr>
              <w:pStyle w:val="TableBody"/>
            </w:pPr>
            <w:r w:rsidRPr="001378A3">
              <w:t>7 months</w:t>
            </w:r>
          </w:p>
        </w:tc>
      </w:tr>
      <w:tr w:rsidR="001378A3" w:rsidRPr="001378A3" w14:paraId="54B20DC0" w14:textId="77777777" w:rsidTr="00ED6FC4">
        <w:trPr>
          <w:trHeight w:val="290"/>
        </w:trPr>
        <w:tc>
          <w:tcPr>
            <w:tcW w:w="606" w:type="pct"/>
            <w:noWrap/>
            <w:hideMark/>
          </w:tcPr>
          <w:p w14:paraId="21157DCC" w14:textId="77777777" w:rsidR="001378A3" w:rsidRPr="001378A3" w:rsidRDefault="001378A3" w:rsidP="00472A30">
            <w:pPr>
              <w:pStyle w:val="TableBody"/>
            </w:pPr>
            <w:r w:rsidRPr="001378A3">
              <w:t>2015</w:t>
            </w:r>
          </w:p>
        </w:tc>
        <w:tc>
          <w:tcPr>
            <w:tcW w:w="934" w:type="pct"/>
            <w:noWrap/>
            <w:hideMark/>
          </w:tcPr>
          <w:p w14:paraId="5087C4D7" w14:textId="77777777" w:rsidR="001378A3" w:rsidRPr="001378A3" w:rsidRDefault="001378A3" w:rsidP="00472A30">
            <w:pPr>
              <w:pStyle w:val="TableBody"/>
            </w:pPr>
            <w:r w:rsidRPr="001378A3">
              <w:t>9</w:t>
            </w:r>
          </w:p>
        </w:tc>
        <w:tc>
          <w:tcPr>
            <w:tcW w:w="1439" w:type="pct"/>
            <w:noWrap/>
            <w:hideMark/>
          </w:tcPr>
          <w:p w14:paraId="03973BC2" w14:textId="77777777" w:rsidR="001378A3" w:rsidRPr="001378A3" w:rsidRDefault="001378A3" w:rsidP="00472A30">
            <w:pPr>
              <w:pStyle w:val="TableBody"/>
            </w:pPr>
            <w:r w:rsidRPr="001378A3">
              <w:t>1 year</w:t>
            </w:r>
          </w:p>
        </w:tc>
        <w:tc>
          <w:tcPr>
            <w:tcW w:w="1010" w:type="pct"/>
            <w:noWrap/>
            <w:hideMark/>
          </w:tcPr>
          <w:p w14:paraId="5BDC382C" w14:textId="77777777" w:rsidR="001378A3" w:rsidRPr="001378A3" w:rsidRDefault="001378A3" w:rsidP="00472A30">
            <w:pPr>
              <w:pStyle w:val="TableBody"/>
            </w:pPr>
            <w:r w:rsidRPr="001378A3">
              <w:t>19</w:t>
            </w:r>
          </w:p>
        </w:tc>
        <w:tc>
          <w:tcPr>
            <w:tcW w:w="1010" w:type="pct"/>
            <w:noWrap/>
            <w:hideMark/>
          </w:tcPr>
          <w:p w14:paraId="2A63E0C1" w14:textId="77777777" w:rsidR="001378A3" w:rsidRPr="001378A3" w:rsidRDefault="001378A3" w:rsidP="00472A30">
            <w:pPr>
              <w:pStyle w:val="TableBody"/>
            </w:pPr>
            <w:r w:rsidRPr="001378A3">
              <w:t>4 months</w:t>
            </w:r>
          </w:p>
        </w:tc>
      </w:tr>
      <w:tr w:rsidR="001378A3" w:rsidRPr="001378A3" w14:paraId="0CA48B30" w14:textId="77777777" w:rsidTr="00ED6FC4">
        <w:trPr>
          <w:trHeight w:val="290"/>
        </w:trPr>
        <w:tc>
          <w:tcPr>
            <w:tcW w:w="606" w:type="pct"/>
            <w:noWrap/>
            <w:hideMark/>
          </w:tcPr>
          <w:p w14:paraId="4DC65D16" w14:textId="77777777" w:rsidR="001378A3" w:rsidRPr="001378A3" w:rsidRDefault="001378A3" w:rsidP="00472A30">
            <w:pPr>
              <w:pStyle w:val="TableBody"/>
            </w:pPr>
            <w:r w:rsidRPr="001378A3">
              <w:t>2016</w:t>
            </w:r>
          </w:p>
        </w:tc>
        <w:tc>
          <w:tcPr>
            <w:tcW w:w="934" w:type="pct"/>
            <w:noWrap/>
            <w:hideMark/>
          </w:tcPr>
          <w:p w14:paraId="4DEDE2C4" w14:textId="77777777" w:rsidR="001378A3" w:rsidRPr="001378A3" w:rsidRDefault="001378A3" w:rsidP="00472A30">
            <w:pPr>
              <w:pStyle w:val="TableBody"/>
            </w:pPr>
            <w:r w:rsidRPr="001378A3">
              <w:t>3</w:t>
            </w:r>
          </w:p>
        </w:tc>
        <w:tc>
          <w:tcPr>
            <w:tcW w:w="1439" w:type="pct"/>
            <w:noWrap/>
            <w:hideMark/>
          </w:tcPr>
          <w:p w14:paraId="3A2167DF" w14:textId="77777777" w:rsidR="001378A3" w:rsidRPr="001378A3" w:rsidRDefault="001378A3" w:rsidP="00472A30">
            <w:pPr>
              <w:pStyle w:val="TableBody"/>
            </w:pPr>
            <w:r w:rsidRPr="001378A3">
              <w:t>2 years and 1 month</w:t>
            </w:r>
          </w:p>
        </w:tc>
        <w:tc>
          <w:tcPr>
            <w:tcW w:w="1010" w:type="pct"/>
            <w:noWrap/>
            <w:hideMark/>
          </w:tcPr>
          <w:p w14:paraId="2E9ABAB7" w14:textId="77777777" w:rsidR="001378A3" w:rsidRPr="001378A3" w:rsidRDefault="001378A3" w:rsidP="00472A30">
            <w:pPr>
              <w:pStyle w:val="TableBody"/>
            </w:pPr>
            <w:r w:rsidRPr="001378A3">
              <w:t>30</w:t>
            </w:r>
          </w:p>
        </w:tc>
        <w:tc>
          <w:tcPr>
            <w:tcW w:w="1010" w:type="pct"/>
            <w:noWrap/>
            <w:hideMark/>
          </w:tcPr>
          <w:p w14:paraId="00F9DD1E" w14:textId="77777777" w:rsidR="001378A3" w:rsidRPr="001378A3" w:rsidRDefault="001378A3" w:rsidP="00472A30">
            <w:pPr>
              <w:pStyle w:val="TableBody"/>
            </w:pPr>
            <w:r w:rsidRPr="001378A3">
              <w:t>7 months</w:t>
            </w:r>
          </w:p>
        </w:tc>
      </w:tr>
      <w:tr w:rsidR="001378A3" w:rsidRPr="001378A3" w14:paraId="14036075" w14:textId="77777777" w:rsidTr="00ED6FC4">
        <w:trPr>
          <w:trHeight w:val="290"/>
        </w:trPr>
        <w:tc>
          <w:tcPr>
            <w:tcW w:w="606" w:type="pct"/>
            <w:noWrap/>
            <w:hideMark/>
          </w:tcPr>
          <w:p w14:paraId="1F7C6843" w14:textId="77777777" w:rsidR="001378A3" w:rsidRPr="001378A3" w:rsidRDefault="001378A3" w:rsidP="00472A30">
            <w:pPr>
              <w:pStyle w:val="TableBody"/>
            </w:pPr>
            <w:r w:rsidRPr="001378A3">
              <w:t>2017</w:t>
            </w:r>
          </w:p>
        </w:tc>
        <w:tc>
          <w:tcPr>
            <w:tcW w:w="934" w:type="pct"/>
            <w:noWrap/>
            <w:hideMark/>
          </w:tcPr>
          <w:p w14:paraId="02B89DAF" w14:textId="77777777" w:rsidR="001378A3" w:rsidRPr="001378A3" w:rsidRDefault="001378A3" w:rsidP="00472A30">
            <w:pPr>
              <w:pStyle w:val="TableBody"/>
            </w:pPr>
            <w:r w:rsidRPr="001378A3">
              <w:t>8</w:t>
            </w:r>
          </w:p>
        </w:tc>
        <w:tc>
          <w:tcPr>
            <w:tcW w:w="1439" w:type="pct"/>
            <w:noWrap/>
            <w:hideMark/>
          </w:tcPr>
          <w:p w14:paraId="7F85FB67" w14:textId="77777777" w:rsidR="001378A3" w:rsidRPr="001378A3" w:rsidRDefault="001378A3" w:rsidP="00472A30">
            <w:pPr>
              <w:pStyle w:val="TableBody"/>
            </w:pPr>
            <w:r w:rsidRPr="001378A3">
              <w:t>2 years</w:t>
            </w:r>
          </w:p>
        </w:tc>
        <w:tc>
          <w:tcPr>
            <w:tcW w:w="1010" w:type="pct"/>
            <w:noWrap/>
            <w:hideMark/>
          </w:tcPr>
          <w:p w14:paraId="520AA926" w14:textId="77777777" w:rsidR="001378A3" w:rsidRPr="001378A3" w:rsidRDefault="001378A3" w:rsidP="00472A30">
            <w:pPr>
              <w:pStyle w:val="TableBody"/>
            </w:pPr>
            <w:r w:rsidRPr="001378A3">
              <w:t>51</w:t>
            </w:r>
          </w:p>
        </w:tc>
        <w:tc>
          <w:tcPr>
            <w:tcW w:w="1010" w:type="pct"/>
            <w:noWrap/>
            <w:hideMark/>
          </w:tcPr>
          <w:p w14:paraId="7E080060" w14:textId="77777777" w:rsidR="001378A3" w:rsidRPr="001378A3" w:rsidRDefault="001378A3" w:rsidP="00472A30">
            <w:pPr>
              <w:pStyle w:val="TableBody"/>
            </w:pPr>
            <w:r w:rsidRPr="001378A3">
              <w:t>8 months</w:t>
            </w:r>
          </w:p>
        </w:tc>
      </w:tr>
      <w:tr w:rsidR="001378A3" w:rsidRPr="001378A3" w14:paraId="7635AFCA" w14:textId="77777777" w:rsidTr="00ED6FC4">
        <w:trPr>
          <w:trHeight w:val="290"/>
        </w:trPr>
        <w:tc>
          <w:tcPr>
            <w:tcW w:w="606" w:type="pct"/>
            <w:noWrap/>
            <w:hideMark/>
          </w:tcPr>
          <w:p w14:paraId="60982C76" w14:textId="77777777" w:rsidR="001378A3" w:rsidRPr="001378A3" w:rsidRDefault="001378A3" w:rsidP="00472A30">
            <w:pPr>
              <w:pStyle w:val="TableBody"/>
            </w:pPr>
            <w:r w:rsidRPr="001378A3">
              <w:t>2018</w:t>
            </w:r>
          </w:p>
        </w:tc>
        <w:tc>
          <w:tcPr>
            <w:tcW w:w="934" w:type="pct"/>
            <w:noWrap/>
            <w:hideMark/>
          </w:tcPr>
          <w:p w14:paraId="48EEA167" w14:textId="77777777" w:rsidR="001378A3" w:rsidRPr="001378A3" w:rsidRDefault="001378A3" w:rsidP="00472A30">
            <w:pPr>
              <w:pStyle w:val="TableBody"/>
            </w:pPr>
            <w:r w:rsidRPr="001378A3">
              <w:t>12</w:t>
            </w:r>
          </w:p>
        </w:tc>
        <w:tc>
          <w:tcPr>
            <w:tcW w:w="1439" w:type="pct"/>
            <w:noWrap/>
            <w:hideMark/>
          </w:tcPr>
          <w:p w14:paraId="05B2D3E6" w14:textId="77777777" w:rsidR="001378A3" w:rsidRPr="001378A3" w:rsidRDefault="001378A3" w:rsidP="00472A30">
            <w:pPr>
              <w:pStyle w:val="TableBody"/>
            </w:pPr>
            <w:r w:rsidRPr="001378A3">
              <w:t>2 years and 9 months</w:t>
            </w:r>
          </w:p>
        </w:tc>
        <w:tc>
          <w:tcPr>
            <w:tcW w:w="1010" w:type="pct"/>
            <w:noWrap/>
            <w:hideMark/>
          </w:tcPr>
          <w:p w14:paraId="3877CC1D" w14:textId="77777777" w:rsidR="001378A3" w:rsidRPr="001378A3" w:rsidRDefault="001378A3" w:rsidP="00472A30">
            <w:pPr>
              <w:pStyle w:val="TableBody"/>
            </w:pPr>
            <w:r w:rsidRPr="001378A3">
              <w:t>49</w:t>
            </w:r>
          </w:p>
        </w:tc>
        <w:tc>
          <w:tcPr>
            <w:tcW w:w="1010" w:type="pct"/>
            <w:noWrap/>
            <w:hideMark/>
          </w:tcPr>
          <w:p w14:paraId="66DE38CB" w14:textId="77777777" w:rsidR="001378A3" w:rsidRPr="001378A3" w:rsidRDefault="001378A3" w:rsidP="00472A30">
            <w:pPr>
              <w:pStyle w:val="TableBody"/>
            </w:pPr>
            <w:r w:rsidRPr="001378A3">
              <w:t>7 months</w:t>
            </w:r>
          </w:p>
        </w:tc>
      </w:tr>
      <w:tr w:rsidR="001378A3" w:rsidRPr="001378A3" w14:paraId="095A88F3" w14:textId="77777777" w:rsidTr="00ED6FC4">
        <w:trPr>
          <w:trHeight w:val="290"/>
        </w:trPr>
        <w:tc>
          <w:tcPr>
            <w:tcW w:w="606" w:type="pct"/>
            <w:noWrap/>
            <w:hideMark/>
          </w:tcPr>
          <w:p w14:paraId="04A5D5BE" w14:textId="77777777" w:rsidR="001378A3" w:rsidRPr="001378A3" w:rsidRDefault="001378A3" w:rsidP="00472A30">
            <w:pPr>
              <w:pStyle w:val="TableBody"/>
            </w:pPr>
            <w:r w:rsidRPr="001378A3">
              <w:t>2019</w:t>
            </w:r>
          </w:p>
        </w:tc>
        <w:tc>
          <w:tcPr>
            <w:tcW w:w="934" w:type="pct"/>
            <w:noWrap/>
            <w:hideMark/>
          </w:tcPr>
          <w:p w14:paraId="69058927" w14:textId="77777777" w:rsidR="001378A3" w:rsidRPr="001378A3" w:rsidRDefault="001378A3" w:rsidP="00472A30">
            <w:pPr>
              <w:pStyle w:val="TableBody"/>
            </w:pPr>
            <w:r w:rsidRPr="001378A3">
              <w:t>13</w:t>
            </w:r>
          </w:p>
        </w:tc>
        <w:tc>
          <w:tcPr>
            <w:tcW w:w="1439" w:type="pct"/>
            <w:noWrap/>
            <w:hideMark/>
          </w:tcPr>
          <w:p w14:paraId="146B80AD" w14:textId="77777777" w:rsidR="001378A3" w:rsidRPr="001378A3" w:rsidRDefault="001378A3" w:rsidP="00472A30">
            <w:pPr>
              <w:pStyle w:val="TableBody"/>
            </w:pPr>
            <w:r w:rsidRPr="001378A3">
              <w:t>1 year and 5 months</w:t>
            </w:r>
          </w:p>
        </w:tc>
        <w:tc>
          <w:tcPr>
            <w:tcW w:w="1010" w:type="pct"/>
            <w:noWrap/>
            <w:hideMark/>
          </w:tcPr>
          <w:p w14:paraId="7B3428B6" w14:textId="77777777" w:rsidR="001378A3" w:rsidRPr="001378A3" w:rsidRDefault="001378A3" w:rsidP="00472A30">
            <w:pPr>
              <w:pStyle w:val="TableBody"/>
            </w:pPr>
            <w:r w:rsidRPr="001378A3">
              <w:t>41</w:t>
            </w:r>
          </w:p>
        </w:tc>
        <w:tc>
          <w:tcPr>
            <w:tcW w:w="1010" w:type="pct"/>
            <w:noWrap/>
            <w:hideMark/>
          </w:tcPr>
          <w:p w14:paraId="1B0AD358" w14:textId="77777777" w:rsidR="001378A3" w:rsidRPr="001378A3" w:rsidRDefault="001378A3" w:rsidP="00472A30">
            <w:pPr>
              <w:pStyle w:val="TableBody"/>
            </w:pPr>
            <w:r w:rsidRPr="001378A3">
              <w:t>7 months</w:t>
            </w:r>
          </w:p>
        </w:tc>
      </w:tr>
    </w:tbl>
    <w:p w14:paraId="0E23218B" w14:textId="0C39328E" w:rsidR="00EF5C25" w:rsidRPr="007F530F" w:rsidRDefault="00EF5C25" w:rsidP="00E91615">
      <w:pPr>
        <w:pStyle w:val="Heading1Numbered"/>
      </w:pPr>
      <w:bookmarkStart w:id="9" w:name="_Toc74904002"/>
      <w:r w:rsidRPr="007F530F">
        <w:lastRenderedPageBreak/>
        <w:t>Incest offences</w:t>
      </w:r>
      <w:bookmarkEnd w:id="9"/>
    </w:p>
    <w:p w14:paraId="74CA85B8" w14:textId="77777777" w:rsidR="00EF5C25" w:rsidRPr="007F530F" w:rsidRDefault="00EF5C25" w:rsidP="00E91615">
      <w:pPr>
        <w:pStyle w:val="Numbered"/>
      </w:pPr>
      <w:r w:rsidRPr="007F530F">
        <w:t>This chapter discusses the number and types of incest offences</w:t>
      </w:r>
      <w:r w:rsidRPr="007F530F">
        <w:rPr>
          <w:rStyle w:val="Superscript"/>
        </w:rPr>
        <w:footnoteReference w:id="128"/>
      </w:r>
      <w:r w:rsidRPr="007F530F">
        <w:t xml:space="preserve"> recorded and sentenced in the 10 years from 2010 to 2019 and the sentences imposed for proven incest offences, including the duration of charge-level and case-level prison sentences. The specific offences of incest with a child, stepchild or lineal descendant were subject to all three sentencing reforms: Category 1 offence classification, standard sentence offence classification and the call to uplift sentencing practices in the </w:t>
      </w:r>
      <w:r w:rsidRPr="00D62402">
        <w:rPr>
          <w:rStyle w:val="Emphasis"/>
        </w:rPr>
        <w:t>Dalgliesh</w:t>
      </w:r>
      <w:r w:rsidRPr="007F530F">
        <w:t xml:space="preserve"> decisions. </w:t>
      </w:r>
    </w:p>
    <w:p w14:paraId="1878D4D7" w14:textId="77777777" w:rsidR="00EF5C25" w:rsidRPr="007F530F" w:rsidRDefault="00EF5C25" w:rsidP="00E91615">
      <w:pPr>
        <w:pStyle w:val="Numbered"/>
      </w:pPr>
      <w:r w:rsidRPr="007F530F">
        <w:t xml:space="preserve">When the </w:t>
      </w:r>
      <w:r w:rsidRPr="00D62402">
        <w:rPr>
          <w:rStyle w:val="Emphasis"/>
        </w:rPr>
        <w:t xml:space="preserve">Crimes Act 1958 </w:t>
      </w:r>
      <w:r w:rsidRPr="007F530F">
        <w:t>(Vic) first came into effect, almost all incest offences were limited to female relatives – daughters, stepdaughters, female lineal descendants, mothers and sisters</w:t>
      </w:r>
      <w:r w:rsidRPr="007F530F">
        <w:rPr>
          <w:rStyle w:val="Superscript"/>
        </w:rPr>
        <w:footnoteReference w:id="129"/>
      </w:r>
      <w:r w:rsidRPr="007F530F">
        <w:t xml:space="preserve"> – and children aged 10 and over (offences against younger relatives were instead charged as non-incest child sexual penetration or assault offences). In 1981, the various incest offences were broadened to include male relatives, but they still only applied if the victim was aged 10 or over.</w:t>
      </w:r>
      <w:r w:rsidRPr="007F530F">
        <w:rPr>
          <w:rStyle w:val="Superscript"/>
        </w:rPr>
        <w:footnoteReference w:id="130"/>
      </w:r>
      <w:r w:rsidRPr="007F530F">
        <w:t xml:space="preserve"> In 1991, that minimum age requirement was removed.</w:t>
      </w:r>
      <w:r w:rsidRPr="007F530F">
        <w:rPr>
          <w:rStyle w:val="Superscript"/>
        </w:rPr>
        <w:footnoteReference w:id="131"/>
      </w:r>
      <w:r w:rsidRPr="007F530F">
        <w:t xml:space="preserve"> In 1997, the maximum penalty for incest with a child, stepchild or lineal descendant increased from 20 years’ imprisonment to 25 years’ imprisonment.</w:t>
      </w:r>
      <w:r w:rsidRPr="007F530F">
        <w:rPr>
          <w:rStyle w:val="Superscript"/>
        </w:rPr>
        <w:footnoteReference w:id="132"/>
      </w:r>
      <w:r w:rsidRPr="007F530F">
        <w:t xml:space="preserve"> As at March 2017, the offences of incest with a child, stepchild or lineal </w:t>
      </w:r>
      <w:r w:rsidRPr="007F530F">
        <w:lastRenderedPageBreak/>
        <w:t xml:space="preserve">descendant were classified as </w:t>
      </w:r>
      <w:r w:rsidRPr="00D62402">
        <w:rPr>
          <w:rStyle w:val="Emphasis"/>
        </w:rPr>
        <w:t>Category 1 offences</w:t>
      </w:r>
      <w:r w:rsidRPr="007F530F">
        <w:t xml:space="preserve"> (but only if the victim was aged under 18 years at the time of the offending),</w:t>
      </w:r>
      <w:r w:rsidRPr="007F530F">
        <w:rPr>
          <w:rStyle w:val="Superscript"/>
        </w:rPr>
        <w:footnoteReference w:id="133"/>
      </w:r>
      <w:r w:rsidRPr="007F530F">
        <w:t xml:space="preserve"> as were the subsequent suite of replacement offences introduced on 1 July 2017.</w:t>
      </w:r>
      <w:r w:rsidRPr="007F530F">
        <w:rPr>
          <w:rStyle w:val="Superscript"/>
        </w:rPr>
        <w:footnoteReference w:id="134"/>
      </w:r>
      <w:r w:rsidRPr="007F530F">
        <w:t xml:space="preserve"> Similarly, those same incest offences were classified as standard sentence offences if committed on or after 1 February 2018, with a standard sentence of 10 years’ imprisonment for incest with a stepchild (section 50D), child or lineal descendant (section 50C).</w:t>
      </w:r>
      <w:r w:rsidRPr="007F530F">
        <w:rPr>
          <w:rStyle w:val="Superscript"/>
        </w:rPr>
        <w:footnoteReference w:id="135"/>
      </w:r>
    </w:p>
    <w:p w14:paraId="6E89EC48" w14:textId="77777777" w:rsidR="00EF5C25" w:rsidRPr="007F530F" w:rsidRDefault="00EF5C25" w:rsidP="006633AA">
      <w:pPr>
        <w:pStyle w:val="Heading2"/>
      </w:pPr>
      <w:r w:rsidRPr="007F530F">
        <w:t>Number of recorded and sentenced incest offences</w:t>
      </w:r>
    </w:p>
    <w:p w14:paraId="3C3A7E7E" w14:textId="77777777" w:rsidR="00EF5C25" w:rsidRPr="007F530F" w:rsidRDefault="00EF5C25" w:rsidP="00E91615">
      <w:pPr>
        <w:pStyle w:val="Numbered"/>
      </w:pPr>
      <w:r w:rsidRPr="007F530F">
        <w:t>Almost 5,000 incest offences were recorded by police in Victoria during the reference period (Figure 14).</w:t>
      </w:r>
    </w:p>
    <w:p w14:paraId="2B1376D3" w14:textId="77777777" w:rsidR="00EF5C25" w:rsidRPr="007F530F" w:rsidRDefault="00EF5C25" w:rsidP="00D00197">
      <w:pPr>
        <w:pStyle w:val="Caption"/>
      </w:pPr>
      <w:r w:rsidRPr="00D00197">
        <w:t xml:space="preserve">Figure 14: </w:t>
      </w:r>
      <w:r w:rsidRPr="007F530F">
        <w:t>Number of incest offences recorded by police in Victoria, by year (4,998 offences)</w:t>
      </w:r>
    </w:p>
    <w:tbl>
      <w:tblPr>
        <w:tblStyle w:val="Table"/>
        <w:tblW w:w="5000" w:type="pct"/>
        <w:tblLook w:val="04A0" w:firstRow="1" w:lastRow="0" w:firstColumn="1" w:lastColumn="0" w:noHBand="0" w:noVBand="1"/>
      </w:tblPr>
      <w:tblGrid>
        <w:gridCol w:w="3717"/>
        <w:gridCol w:w="5299"/>
      </w:tblGrid>
      <w:tr w:rsidR="00874F1D" w:rsidRPr="00874F1D" w14:paraId="281C152E" w14:textId="77777777" w:rsidTr="00644D19">
        <w:trPr>
          <w:trHeight w:val="290"/>
          <w:tblHeader/>
        </w:trPr>
        <w:tc>
          <w:tcPr>
            <w:tcW w:w="2206" w:type="pct"/>
            <w:noWrap/>
            <w:hideMark/>
          </w:tcPr>
          <w:p w14:paraId="24D51156" w14:textId="77777777" w:rsidR="00874F1D" w:rsidRPr="006C55BA" w:rsidRDefault="00874F1D" w:rsidP="00644D19">
            <w:pPr>
              <w:pStyle w:val="TableHeading"/>
            </w:pPr>
            <w:r w:rsidRPr="006C55BA">
              <w:t>Year</w:t>
            </w:r>
          </w:p>
        </w:tc>
        <w:tc>
          <w:tcPr>
            <w:tcW w:w="2794" w:type="pct"/>
            <w:noWrap/>
            <w:hideMark/>
          </w:tcPr>
          <w:p w14:paraId="1D06C764" w14:textId="77777777" w:rsidR="00874F1D" w:rsidRPr="006C55BA" w:rsidRDefault="00874F1D" w:rsidP="00644D19">
            <w:pPr>
              <w:pStyle w:val="TableHeading"/>
            </w:pPr>
            <w:r w:rsidRPr="006C55BA">
              <w:t>Number of incest offences recorded by police</w:t>
            </w:r>
          </w:p>
        </w:tc>
      </w:tr>
      <w:tr w:rsidR="00874F1D" w:rsidRPr="00874F1D" w14:paraId="636258FF" w14:textId="77777777" w:rsidTr="00644D19">
        <w:trPr>
          <w:trHeight w:val="290"/>
        </w:trPr>
        <w:tc>
          <w:tcPr>
            <w:tcW w:w="2206" w:type="pct"/>
            <w:noWrap/>
            <w:hideMark/>
          </w:tcPr>
          <w:p w14:paraId="586554FC" w14:textId="77777777" w:rsidR="00874F1D" w:rsidRPr="006C55BA" w:rsidRDefault="00874F1D" w:rsidP="00644D19">
            <w:pPr>
              <w:pStyle w:val="TableBody"/>
            </w:pPr>
            <w:r w:rsidRPr="006C55BA">
              <w:t>2010</w:t>
            </w:r>
          </w:p>
        </w:tc>
        <w:tc>
          <w:tcPr>
            <w:tcW w:w="2794" w:type="pct"/>
            <w:noWrap/>
            <w:hideMark/>
          </w:tcPr>
          <w:p w14:paraId="427A2821" w14:textId="77777777" w:rsidR="00874F1D" w:rsidRPr="006C55BA" w:rsidRDefault="00874F1D" w:rsidP="00644D19">
            <w:pPr>
              <w:pStyle w:val="TableBody"/>
            </w:pPr>
            <w:r w:rsidRPr="006C55BA">
              <w:t>615</w:t>
            </w:r>
          </w:p>
        </w:tc>
      </w:tr>
      <w:tr w:rsidR="00874F1D" w:rsidRPr="00874F1D" w14:paraId="03E41CBC" w14:textId="77777777" w:rsidTr="00644D19">
        <w:trPr>
          <w:trHeight w:val="290"/>
        </w:trPr>
        <w:tc>
          <w:tcPr>
            <w:tcW w:w="2206" w:type="pct"/>
            <w:noWrap/>
            <w:hideMark/>
          </w:tcPr>
          <w:p w14:paraId="4EFD14C3" w14:textId="77777777" w:rsidR="00874F1D" w:rsidRPr="006C55BA" w:rsidRDefault="00874F1D" w:rsidP="00644D19">
            <w:pPr>
              <w:pStyle w:val="TableBody"/>
            </w:pPr>
            <w:r w:rsidRPr="006C55BA">
              <w:t>2011</w:t>
            </w:r>
          </w:p>
        </w:tc>
        <w:tc>
          <w:tcPr>
            <w:tcW w:w="2794" w:type="pct"/>
            <w:noWrap/>
            <w:hideMark/>
          </w:tcPr>
          <w:p w14:paraId="5E126CC8" w14:textId="77777777" w:rsidR="00874F1D" w:rsidRPr="006C55BA" w:rsidRDefault="00874F1D" w:rsidP="00644D19">
            <w:pPr>
              <w:pStyle w:val="TableBody"/>
            </w:pPr>
            <w:r w:rsidRPr="006C55BA">
              <w:t>422</w:t>
            </w:r>
          </w:p>
        </w:tc>
      </w:tr>
      <w:tr w:rsidR="00874F1D" w:rsidRPr="00874F1D" w14:paraId="6E45429B" w14:textId="77777777" w:rsidTr="00644D19">
        <w:trPr>
          <w:trHeight w:val="290"/>
        </w:trPr>
        <w:tc>
          <w:tcPr>
            <w:tcW w:w="2206" w:type="pct"/>
            <w:noWrap/>
            <w:hideMark/>
          </w:tcPr>
          <w:p w14:paraId="612F173C" w14:textId="77777777" w:rsidR="00874F1D" w:rsidRPr="006C55BA" w:rsidRDefault="00874F1D" w:rsidP="00644D19">
            <w:pPr>
              <w:pStyle w:val="TableBody"/>
            </w:pPr>
            <w:r w:rsidRPr="006C55BA">
              <w:t>2012</w:t>
            </w:r>
          </w:p>
        </w:tc>
        <w:tc>
          <w:tcPr>
            <w:tcW w:w="2794" w:type="pct"/>
            <w:noWrap/>
            <w:hideMark/>
          </w:tcPr>
          <w:p w14:paraId="669B48D0" w14:textId="77777777" w:rsidR="00874F1D" w:rsidRPr="006C55BA" w:rsidRDefault="00874F1D" w:rsidP="00644D19">
            <w:pPr>
              <w:pStyle w:val="TableBody"/>
            </w:pPr>
            <w:r w:rsidRPr="006C55BA">
              <w:t>598</w:t>
            </w:r>
          </w:p>
        </w:tc>
      </w:tr>
      <w:tr w:rsidR="00874F1D" w:rsidRPr="00874F1D" w14:paraId="6E441FF0" w14:textId="77777777" w:rsidTr="00644D19">
        <w:trPr>
          <w:trHeight w:val="290"/>
        </w:trPr>
        <w:tc>
          <w:tcPr>
            <w:tcW w:w="2206" w:type="pct"/>
            <w:noWrap/>
            <w:hideMark/>
          </w:tcPr>
          <w:p w14:paraId="7219157D" w14:textId="77777777" w:rsidR="00874F1D" w:rsidRPr="006C55BA" w:rsidRDefault="00874F1D" w:rsidP="00644D19">
            <w:pPr>
              <w:pStyle w:val="TableBody"/>
            </w:pPr>
            <w:r w:rsidRPr="006C55BA">
              <w:t>2013</w:t>
            </w:r>
          </w:p>
        </w:tc>
        <w:tc>
          <w:tcPr>
            <w:tcW w:w="2794" w:type="pct"/>
            <w:noWrap/>
            <w:hideMark/>
          </w:tcPr>
          <w:p w14:paraId="475A4CE1" w14:textId="77777777" w:rsidR="00874F1D" w:rsidRPr="006C55BA" w:rsidRDefault="00874F1D" w:rsidP="00644D19">
            <w:pPr>
              <w:pStyle w:val="TableBody"/>
            </w:pPr>
            <w:r w:rsidRPr="006C55BA">
              <w:t>402</w:t>
            </w:r>
          </w:p>
        </w:tc>
      </w:tr>
      <w:tr w:rsidR="00874F1D" w:rsidRPr="00874F1D" w14:paraId="69D8BA96" w14:textId="77777777" w:rsidTr="00644D19">
        <w:trPr>
          <w:trHeight w:val="290"/>
        </w:trPr>
        <w:tc>
          <w:tcPr>
            <w:tcW w:w="2206" w:type="pct"/>
            <w:noWrap/>
            <w:hideMark/>
          </w:tcPr>
          <w:p w14:paraId="468A2FFA" w14:textId="77777777" w:rsidR="00874F1D" w:rsidRPr="006C55BA" w:rsidRDefault="00874F1D" w:rsidP="00644D19">
            <w:pPr>
              <w:pStyle w:val="TableBody"/>
            </w:pPr>
            <w:r w:rsidRPr="006C55BA">
              <w:t>2014</w:t>
            </w:r>
          </w:p>
        </w:tc>
        <w:tc>
          <w:tcPr>
            <w:tcW w:w="2794" w:type="pct"/>
            <w:noWrap/>
            <w:hideMark/>
          </w:tcPr>
          <w:p w14:paraId="3E5F51FA" w14:textId="77777777" w:rsidR="00874F1D" w:rsidRPr="006C55BA" w:rsidRDefault="00874F1D" w:rsidP="00644D19">
            <w:pPr>
              <w:pStyle w:val="TableBody"/>
            </w:pPr>
            <w:r w:rsidRPr="006C55BA">
              <w:t>513</w:t>
            </w:r>
          </w:p>
        </w:tc>
      </w:tr>
      <w:tr w:rsidR="00874F1D" w:rsidRPr="00874F1D" w14:paraId="72A71F96" w14:textId="77777777" w:rsidTr="00644D19">
        <w:trPr>
          <w:trHeight w:val="290"/>
        </w:trPr>
        <w:tc>
          <w:tcPr>
            <w:tcW w:w="2206" w:type="pct"/>
            <w:noWrap/>
            <w:hideMark/>
          </w:tcPr>
          <w:p w14:paraId="3A7AF35F" w14:textId="77777777" w:rsidR="00874F1D" w:rsidRPr="006C55BA" w:rsidRDefault="00874F1D" w:rsidP="00644D19">
            <w:pPr>
              <w:pStyle w:val="TableBody"/>
            </w:pPr>
            <w:r w:rsidRPr="006C55BA">
              <w:t>2015</w:t>
            </w:r>
          </w:p>
        </w:tc>
        <w:tc>
          <w:tcPr>
            <w:tcW w:w="2794" w:type="pct"/>
            <w:noWrap/>
            <w:hideMark/>
          </w:tcPr>
          <w:p w14:paraId="19D7460D" w14:textId="77777777" w:rsidR="00874F1D" w:rsidRPr="006C55BA" w:rsidRDefault="00874F1D" w:rsidP="00644D19">
            <w:pPr>
              <w:pStyle w:val="TableBody"/>
            </w:pPr>
            <w:r w:rsidRPr="006C55BA">
              <w:t>455</w:t>
            </w:r>
          </w:p>
        </w:tc>
      </w:tr>
      <w:tr w:rsidR="00874F1D" w:rsidRPr="00874F1D" w14:paraId="1A96D729" w14:textId="77777777" w:rsidTr="00644D19">
        <w:trPr>
          <w:trHeight w:val="290"/>
        </w:trPr>
        <w:tc>
          <w:tcPr>
            <w:tcW w:w="2206" w:type="pct"/>
            <w:noWrap/>
            <w:hideMark/>
          </w:tcPr>
          <w:p w14:paraId="1073A68B" w14:textId="77777777" w:rsidR="00874F1D" w:rsidRPr="006C55BA" w:rsidRDefault="00874F1D" w:rsidP="00644D19">
            <w:pPr>
              <w:pStyle w:val="TableBody"/>
            </w:pPr>
            <w:r w:rsidRPr="006C55BA">
              <w:t>2016</w:t>
            </w:r>
          </w:p>
        </w:tc>
        <w:tc>
          <w:tcPr>
            <w:tcW w:w="2794" w:type="pct"/>
            <w:noWrap/>
            <w:hideMark/>
          </w:tcPr>
          <w:p w14:paraId="3FC8EF73" w14:textId="77777777" w:rsidR="00874F1D" w:rsidRPr="006C55BA" w:rsidRDefault="00874F1D" w:rsidP="00644D19">
            <w:pPr>
              <w:pStyle w:val="TableBody"/>
            </w:pPr>
            <w:r w:rsidRPr="006C55BA">
              <w:t>479</w:t>
            </w:r>
          </w:p>
        </w:tc>
      </w:tr>
      <w:tr w:rsidR="00874F1D" w:rsidRPr="00874F1D" w14:paraId="62A03771" w14:textId="77777777" w:rsidTr="00644D19">
        <w:trPr>
          <w:trHeight w:val="290"/>
        </w:trPr>
        <w:tc>
          <w:tcPr>
            <w:tcW w:w="2206" w:type="pct"/>
            <w:noWrap/>
            <w:hideMark/>
          </w:tcPr>
          <w:p w14:paraId="27C90534" w14:textId="77777777" w:rsidR="00874F1D" w:rsidRPr="006C55BA" w:rsidRDefault="00874F1D" w:rsidP="00644D19">
            <w:pPr>
              <w:pStyle w:val="TableBody"/>
            </w:pPr>
            <w:r w:rsidRPr="006C55BA">
              <w:lastRenderedPageBreak/>
              <w:t>2017</w:t>
            </w:r>
          </w:p>
        </w:tc>
        <w:tc>
          <w:tcPr>
            <w:tcW w:w="2794" w:type="pct"/>
            <w:noWrap/>
            <w:hideMark/>
          </w:tcPr>
          <w:p w14:paraId="65D97667" w14:textId="77777777" w:rsidR="00874F1D" w:rsidRPr="006C55BA" w:rsidRDefault="00874F1D" w:rsidP="00644D19">
            <w:pPr>
              <w:pStyle w:val="TableBody"/>
            </w:pPr>
            <w:r w:rsidRPr="006C55BA">
              <w:t>536</w:t>
            </w:r>
          </w:p>
        </w:tc>
      </w:tr>
      <w:tr w:rsidR="00874F1D" w:rsidRPr="00874F1D" w14:paraId="1DC33BB0" w14:textId="77777777" w:rsidTr="00644D19">
        <w:trPr>
          <w:trHeight w:val="290"/>
        </w:trPr>
        <w:tc>
          <w:tcPr>
            <w:tcW w:w="2206" w:type="pct"/>
            <w:noWrap/>
            <w:hideMark/>
          </w:tcPr>
          <w:p w14:paraId="377BC4B7" w14:textId="77777777" w:rsidR="00874F1D" w:rsidRPr="006C55BA" w:rsidRDefault="00874F1D" w:rsidP="00644D19">
            <w:pPr>
              <w:pStyle w:val="TableBody"/>
            </w:pPr>
            <w:r w:rsidRPr="006C55BA">
              <w:t>2018</w:t>
            </w:r>
          </w:p>
        </w:tc>
        <w:tc>
          <w:tcPr>
            <w:tcW w:w="2794" w:type="pct"/>
            <w:noWrap/>
            <w:hideMark/>
          </w:tcPr>
          <w:p w14:paraId="22367214" w14:textId="77777777" w:rsidR="00874F1D" w:rsidRPr="006C55BA" w:rsidRDefault="00874F1D" w:rsidP="00644D19">
            <w:pPr>
              <w:pStyle w:val="TableBody"/>
            </w:pPr>
            <w:r w:rsidRPr="006C55BA">
              <w:t>553</w:t>
            </w:r>
          </w:p>
        </w:tc>
      </w:tr>
      <w:tr w:rsidR="00874F1D" w:rsidRPr="00874F1D" w14:paraId="44289F0E" w14:textId="77777777" w:rsidTr="00644D19">
        <w:trPr>
          <w:trHeight w:val="290"/>
        </w:trPr>
        <w:tc>
          <w:tcPr>
            <w:tcW w:w="2206" w:type="pct"/>
            <w:noWrap/>
            <w:hideMark/>
          </w:tcPr>
          <w:p w14:paraId="65D5A148" w14:textId="77777777" w:rsidR="00874F1D" w:rsidRPr="006C55BA" w:rsidRDefault="00874F1D" w:rsidP="00644D19">
            <w:pPr>
              <w:pStyle w:val="TableBody"/>
            </w:pPr>
            <w:r w:rsidRPr="006C55BA">
              <w:t>2019</w:t>
            </w:r>
          </w:p>
        </w:tc>
        <w:tc>
          <w:tcPr>
            <w:tcW w:w="2794" w:type="pct"/>
            <w:noWrap/>
            <w:hideMark/>
          </w:tcPr>
          <w:p w14:paraId="4F9938E6" w14:textId="77777777" w:rsidR="00874F1D" w:rsidRPr="006C55BA" w:rsidRDefault="00874F1D" w:rsidP="00644D19">
            <w:pPr>
              <w:pStyle w:val="TableBody"/>
            </w:pPr>
            <w:r w:rsidRPr="006C55BA">
              <w:t>425</w:t>
            </w:r>
          </w:p>
        </w:tc>
      </w:tr>
    </w:tbl>
    <w:p w14:paraId="4C5DA9E3" w14:textId="77777777" w:rsidR="00EF5C25" w:rsidRPr="007F530F" w:rsidRDefault="00EF5C25" w:rsidP="00E91615">
      <w:pPr>
        <w:pStyle w:val="Numbered"/>
      </w:pPr>
      <w:r w:rsidRPr="007F530F">
        <w:t>In that same timeframe, 1,110 incest charges were sentenced in 367 cases involving 354 offenders (Figure 15),</w:t>
      </w:r>
      <w:r w:rsidRPr="007F530F">
        <w:rPr>
          <w:rStyle w:val="Superscript"/>
        </w:rPr>
        <w:footnoteReference w:id="136"/>
      </w:r>
      <w:r w:rsidRPr="007F530F">
        <w:t xml:space="preserve"> just 15 of whom were female (4%). Almost all cases were sentenced in the higher courts, but 5 cases with charges of incest with either a sibling (6 charges) or a half-sibling (7 charges) were sentenced in the Magistrates’ Court, all in 2013 and 2015.</w:t>
      </w:r>
    </w:p>
    <w:p w14:paraId="404B4E78" w14:textId="77777777" w:rsidR="00EF5C25" w:rsidRPr="007F530F" w:rsidRDefault="00EF5C25" w:rsidP="00D00197">
      <w:pPr>
        <w:pStyle w:val="Caption"/>
      </w:pPr>
      <w:r w:rsidRPr="00D00197">
        <w:t>Figure 15:</w:t>
      </w:r>
      <w:r w:rsidRPr="007F530F">
        <w:t xml:space="preserve"> Number of incest charges and cases sentenced in Victoria, by year (1,110 charges and 367 cases)</w:t>
      </w:r>
    </w:p>
    <w:tbl>
      <w:tblPr>
        <w:tblStyle w:val="Table"/>
        <w:tblW w:w="5000" w:type="pct"/>
        <w:tblLook w:val="04A0" w:firstRow="1" w:lastRow="0" w:firstColumn="1" w:lastColumn="0" w:noHBand="0" w:noVBand="1"/>
      </w:tblPr>
      <w:tblGrid>
        <w:gridCol w:w="2840"/>
        <w:gridCol w:w="3336"/>
        <w:gridCol w:w="2840"/>
      </w:tblGrid>
      <w:tr w:rsidR="009A1A3D" w:rsidRPr="009A1A3D" w14:paraId="62CF7601" w14:textId="77777777" w:rsidTr="004B7D40">
        <w:trPr>
          <w:trHeight w:val="290"/>
        </w:trPr>
        <w:tc>
          <w:tcPr>
            <w:tcW w:w="1575" w:type="pct"/>
            <w:noWrap/>
            <w:hideMark/>
          </w:tcPr>
          <w:p w14:paraId="6D220C50" w14:textId="77777777" w:rsidR="009A1A3D" w:rsidRPr="009A1A3D" w:rsidRDefault="009A1A3D" w:rsidP="004B7D40">
            <w:pPr>
              <w:pStyle w:val="TableHeading"/>
            </w:pPr>
            <w:r w:rsidRPr="009A1A3D">
              <w:t>Year</w:t>
            </w:r>
          </w:p>
        </w:tc>
        <w:tc>
          <w:tcPr>
            <w:tcW w:w="1850" w:type="pct"/>
            <w:noWrap/>
            <w:hideMark/>
          </w:tcPr>
          <w:p w14:paraId="4E3F4F13" w14:textId="77777777" w:rsidR="009A1A3D" w:rsidRPr="009A1A3D" w:rsidRDefault="009A1A3D" w:rsidP="004B7D40">
            <w:pPr>
              <w:pStyle w:val="TableHeading"/>
            </w:pPr>
            <w:r w:rsidRPr="009A1A3D">
              <w:t>Charges</w:t>
            </w:r>
          </w:p>
        </w:tc>
        <w:tc>
          <w:tcPr>
            <w:tcW w:w="1575" w:type="pct"/>
            <w:noWrap/>
            <w:hideMark/>
          </w:tcPr>
          <w:p w14:paraId="6DC96909" w14:textId="77777777" w:rsidR="009A1A3D" w:rsidRPr="009A1A3D" w:rsidRDefault="009A1A3D" w:rsidP="004B7D40">
            <w:pPr>
              <w:pStyle w:val="TableHeading"/>
            </w:pPr>
            <w:r w:rsidRPr="009A1A3D">
              <w:t>Cases</w:t>
            </w:r>
          </w:p>
        </w:tc>
      </w:tr>
      <w:tr w:rsidR="009A1A3D" w:rsidRPr="009A1A3D" w14:paraId="44D6CE31" w14:textId="77777777" w:rsidTr="004B7D40">
        <w:trPr>
          <w:trHeight w:val="290"/>
        </w:trPr>
        <w:tc>
          <w:tcPr>
            <w:tcW w:w="1575" w:type="pct"/>
            <w:noWrap/>
            <w:hideMark/>
          </w:tcPr>
          <w:p w14:paraId="4BEEE864" w14:textId="77777777" w:rsidR="009A1A3D" w:rsidRPr="009A1A3D" w:rsidRDefault="009A1A3D" w:rsidP="004B7D40">
            <w:pPr>
              <w:pStyle w:val="TableBody"/>
            </w:pPr>
            <w:r w:rsidRPr="009A1A3D">
              <w:t>2010</w:t>
            </w:r>
          </w:p>
        </w:tc>
        <w:tc>
          <w:tcPr>
            <w:tcW w:w="1850" w:type="pct"/>
            <w:noWrap/>
            <w:hideMark/>
          </w:tcPr>
          <w:p w14:paraId="275630FA" w14:textId="77777777" w:rsidR="009A1A3D" w:rsidRPr="009A1A3D" w:rsidRDefault="009A1A3D" w:rsidP="004B7D40">
            <w:pPr>
              <w:pStyle w:val="TableBody"/>
            </w:pPr>
            <w:r w:rsidRPr="009A1A3D">
              <w:t>183</w:t>
            </w:r>
          </w:p>
        </w:tc>
        <w:tc>
          <w:tcPr>
            <w:tcW w:w="1575" w:type="pct"/>
            <w:noWrap/>
            <w:hideMark/>
          </w:tcPr>
          <w:p w14:paraId="30A1A8D5" w14:textId="77777777" w:rsidR="009A1A3D" w:rsidRPr="009A1A3D" w:rsidRDefault="009A1A3D" w:rsidP="004B7D40">
            <w:pPr>
              <w:pStyle w:val="TableBody"/>
            </w:pPr>
            <w:r w:rsidRPr="009A1A3D">
              <w:t>38</w:t>
            </w:r>
          </w:p>
        </w:tc>
      </w:tr>
      <w:tr w:rsidR="009A1A3D" w:rsidRPr="009A1A3D" w14:paraId="197410F5" w14:textId="77777777" w:rsidTr="004B7D40">
        <w:trPr>
          <w:trHeight w:val="290"/>
        </w:trPr>
        <w:tc>
          <w:tcPr>
            <w:tcW w:w="1575" w:type="pct"/>
            <w:noWrap/>
            <w:hideMark/>
          </w:tcPr>
          <w:p w14:paraId="7FB10D55" w14:textId="77777777" w:rsidR="009A1A3D" w:rsidRPr="009A1A3D" w:rsidRDefault="009A1A3D" w:rsidP="004B7D40">
            <w:pPr>
              <w:pStyle w:val="TableBody"/>
            </w:pPr>
            <w:r w:rsidRPr="009A1A3D">
              <w:t>2011</w:t>
            </w:r>
          </w:p>
        </w:tc>
        <w:tc>
          <w:tcPr>
            <w:tcW w:w="1850" w:type="pct"/>
            <w:noWrap/>
            <w:hideMark/>
          </w:tcPr>
          <w:p w14:paraId="4659666C" w14:textId="77777777" w:rsidR="009A1A3D" w:rsidRPr="009A1A3D" w:rsidRDefault="009A1A3D" w:rsidP="004B7D40">
            <w:pPr>
              <w:pStyle w:val="TableBody"/>
            </w:pPr>
            <w:r w:rsidRPr="009A1A3D">
              <w:t>100</w:t>
            </w:r>
          </w:p>
        </w:tc>
        <w:tc>
          <w:tcPr>
            <w:tcW w:w="1575" w:type="pct"/>
            <w:noWrap/>
            <w:hideMark/>
          </w:tcPr>
          <w:p w14:paraId="6EBB107A" w14:textId="77777777" w:rsidR="009A1A3D" w:rsidRPr="009A1A3D" w:rsidRDefault="009A1A3D" w:rsidP="004B7D40">
            <w:pPr>
              <w:pStyle w:val="TableBody"/>
            </w:pPr>
            <w:r w:rsidRPr="009A1A3D">
              <w:t>33</w:t>
            </w:r>
          </w:p>
        </w:tc>
      </w:tr>
      <w:tr w:rsidR="009A1A3D" w:rsidRPr="009A1A3D" w14:paraId="6ADDE64E" w14:textId="77777777" w:rsidTr="004B7D40">
        <w:trPr>
          <w:trHeight w:val="290"/>
        </w:trPr>
        <w:tc>
          <w:tcPr>
            <w:tcW w:w="1575" w:type="pct"/>
            <w:noWrap/>
            <w:hideMark/>
          </w:tcPr>
          <w:p w14:paraId="14BB4B91" w14:textId="77777777" w:rsidR="009A1A3D" w:rsidRPr="009A1A3D" w:rsidRDefault="009A1A3D" w:rsidP="004B7D40">
            <w:pPr>
              <w:pStyle w:val="TableBody"/>
            </w:pPr>
            <w:r w:rsidRPr="009A1A3D">
              <w:t>2012</w:t>
            </w:r>
          </w:p>
        </w:tc>
        <w:tc>
          <w:tcPr>
            <w:tcW w:w="1850" w:type="pct"/>
            <w:noWrap/>
            <w:hideMark/>
          </w:tcPr>
          <w:p w14:paraId="704EB4DE" w14:textId="77777777" w:rsidR="009A1A3D" w:rsidRPr="009A1A3D" w:rsidRDefault="009A1A3D" w:rsidP="004B7D40">
            <w:pPr>
              <w:pStyle w:val="TableBody"/>
            </w:pPr>
            <w:r w:rsidRPr="009A1A3D">
              <w:t>84</w:t>
            </w:r>
          </w:p>
        </w:tc>
        <w:tc>
          <w:tcPr>
            <w:tcW w:w="1575" w:type="pct"/>
            <w:noWrap/>
            <w:hideMark/>
          </w:tcPr>
          <w:p w14:paraId="167D9586" w14:textId="77777777" w:rsidR="009A1A3D" w:rsidRPr="009A1A3D" w:rsidRDefault="009A1A3D" w:rsidP="004B7D40">
            <w:pPr>
              <w:pStyle w:val="TableBody"/>
            </w:pPr>
            <w:r w:rsidRPr="009A1A3D">
              <w:t>30</w:t>
            </w:r>
          </w:p>
        </w:tc>
      </w:tr>
      <w:tr w:rsidR="009A1A3D" w:rsidRPr="009A1A3D" w14:paraId="256EC87C" w14:textId="77777777" w:rsidTr="004B7D40">
        <w:trPr>
          <w:trHeight w:val="290"/>
        </w:trPr>
        <w:tc>
          <w:tcPr>
            <w:tcW w:w="1575" w:type="pct"/>
            <w:noWrap/>
            <w:hideMark/>
          </w:tcPr>
          <w:p w14:paraId="5DD93A1E" w14:textId="77777777" w:rsidR="009A1A3D" w:rsidRPr="009A1A3D" w:rsidRDefault="009A1A3D" w:rsidP="004B7D40">
            <w:pPr>
              <w:pStyle w:val="TableBody"/>
            </w:pPr>
            <w:r w:rsidRPr="009A1A3D">
              <w:t>2013</w:t>
            </w:r>
          </w:p>
        </w:tc>
        <w:tc>
          <w:tcPr>
            <w:tcW w:w="1850" w:type="pct"/>
            <w:noWrap/>
            <w:hideMark/>
          </w:tcPr>
          <w:p w14:paraId="71976D6F" w14:textId="77777777" w:rsidR="009A1A3D" w:rsidRPr="009A1A3D" w:rsidRDefault="009A1A3D" w:rsidP="004B7D40">
            <w:pPr>
              <w:pStyle w:val="TableBody"/>
            </w:pPr>
            <w:r w:rsidRPr="009A1A3D">
              <w:t>105</w:t>
            </w:r>
          </w:p>
        </w:tc>
        <w:tc>
          <w:tcPr>
            <w:tcW w:w="1575" w:type="pct"/>
            <w:noWrap/>
            <w:hideMark/>
          </w:tcPr>
          <w:p w14:paraId="594E21AD" w14:textId="77777777" w:rsidR="009A1A3D" w:rsidRPr="009A1A3D" w:rsidRDefault="009A1A3D" w:rsidP="004B7D40">
            <w:pPr>
              <w:pStyle w:val="TableBody"/>
            </w:pPr>
            <w:r w:rsidRPr="009A1A3D">
              <w:t>36</w:t>
            </w:r>
          </w:p>
        </w:tc>
      </w:tr>
      <w:tr w:rsidR="009A1A3D" w:rsidRPr="009A1A3D" w14:paraId="36B3B901" w14:textId="77777777" w:rsidTr="004B7D40">
        <w:trPr>
          <w:trHeight w:val="290"/>
        </w:trPr>
        <w:tc>
          <w:tcPr>
            <w:tcW w:w="1575" w:type="pct"/>
            <w:noWrap/>
            <w:hideMark/>
          </w:tcPr>
          <w:p w14:paraId="260E0056" w14:textId="77777777" w:rsidR="009A1A3D" w:rsidRPr="009A1A3D" w:rsidRDefault="009A1A3D" w:rsidP="004B7D40">
            <w:pPr>
              <w:pStyle w:val="TableBody"/>
            </w:pPr>
            <w:r w:rsidRPr="009A1A3D">
              <w:t>2014</w:t>
            </w:r>
          </w:p>
        </w:tc>
        <w:tc>
          <w:tcPr>
            <w:tcW w:w="1850" w:type="pct"/>
            <w:noWrap/>
            <w:hideMark/>
          </w:tcPr>
          <w:p w14:paraId="022F9B11" w14:textId="77777777" w:rsidR="009A1A3D" w:rsidRPr="009A1A3D" w:rsidRDefault="009A1A3D" w:rsidP="004B7D40">
            <w:pPr>
              <w:pStyle w:val="TableBody"/>
            </w:pPr>
            <w:r w:rsidRPr="009A1A3D">
              <w:t>131</w:t>
            </w:r>
          </w:p>
        </w:tc>
        <w:tc>
          <w:tcPr>
            <w:tcW w:w="1575" w:type="pct"/>
            <w:noWrap/>
            <w:hideMark/>
          </w:tcPr>
          <w:p w14:paraId="775C9B03" w14:textId="77777777" w:rsidR="009A1A3D" w:rsidRPr="009A1A3D" w:rsidRDefault="009A1A3D" w:rsidP="004B7D40">
            <w:pPr>
              <w:pStyle w:val="TableBody"/>
            </w:pPr>
            <w:r w:rsidRPr="009A1A3D">
              <w:t>47</w:t>
            </w:r>
          </w:p>
        </w:tc>
      </w:tr>
      <w:tr w:rsidR="009A1A3D" w:rsidRPr="009A1A3D" w14:paraId="51BDF76C" w14:textId="77777777" w:rsidTr="004B7D40">
        <w:trPr>
          <w:trHeight w:val="290"/>
        </w:trPr>
        <w:tc>
          <w:tcPr>
            <w:tcW w:w="1575" w:type="pct"/>
            <w:noWrap/>
            <w:hideMark/>
          </w:tcPr>
          <w:p w14:paraId="27CD2FF6" w14:textId="77777777" w:rsidR="009A1A3D" w:rsidRPr="009A1A3D" w:rsidRDefault="009A1A3D" w:rsidP="004B7D40">
            <w:pPr>
              <w:pStyle w:val="TableBody"/>
            </w:pPr>
            <w:r w:rsidRPr="009A1A3D">
              <w:t>2015</w:t>
            </w:r>
          </w:p>
        </w:tc>
        <w:tc>
          <w:tcPr>
            <w:tcW w:w="1850" w:type="pct"/>
            <w:noWrap/>
            <w:hideMark/>
          </w:tcPr>
          <w:p w14:paraId="05B5A69F" w14:textId="77777777" w:rsidR="009A1A3D" w:rsidRPr="009A1A3D" w:rsidRDefault="009A1A3D" w:rsidP="004B7D40">
            <w:pPr>
              <w:pStyle w:val="TableBody"/>
            </w:pPr>
            <w:r w:rsidRPr="009A1A3D">
              <w:t>123</w:t>
            </w:r>
          </w:p>
        </w:tc>
        <w:tc>
          <w:tcPr>
            <w:tcW w:w="1575" w:type="pct"/>
            <w:noWrap/>
            <w:hideMark/>
          </w:tcPr>
          <w:p w14:paraId="24C5C25C" w14:textId="77777777" w:rsidR="009A1A3D" w:rsidRPr="009A1A3D" w:rsidRDefault="009A1A3D" w:rsidP="004B7D40">
            <w:pPr>
              <w:pStyle w:val="TableBody"/>
            </w:pPr>
            <w:r w:rsidRPr="009A1A3D">
              <w:t>42</w:t>
            </w:r>
          </w:p>
        </w:tc>
      </w:tr>
      <w:tr w:rsidR="009A1A3D" w:rsidRPr="009A1A3D" w14:paraId="58E74E21" w14:textId="77777777" w:rsidTr="004B7D40">
        <w:trPr>
          <w:trHeight w:val="290"/>
        </w:trPr>
        <w:tc>
          <w:tcPr>
            <w:tcW w:w="1575" w:type="pct"/>
            <w:noWrap/>
            <w:hideMark/>
          </w:tcPr>
          <w:p w14:paraId="7FC9C651" w14:textId="77777777" w:rsidR="009A1A3D" w:rsidRPr="009A1A3D" w:rsidRDefault="009A1A3D" w:rsidP="004B7D40">
            <w:pPr>
              <w:pStyle w:val="TableBody"/>
            </w:pPr>
            <w:r w:rsidRPr="009A1A3D">
              <w:t>2016</w:t>
            </w:r>
          </w:p>
        </w:tc>
        <w:tc>
          <w:tcPr>
            <w:tcW w:w="1850" w:type="pct"/>
            <w:noWrap/>
            <w:hideMark/>
          </w:tcPr>
          <w:p w14:paraId="7ACA1AB1" w14:textId="77777777" w:rsidR="009A1A3D" w:rsidRPr="009A1A3D" w:rsidRDefault="009A1A3D" w:rsidP="004B7D40">
            <w:pPr>
              <w:pStyle w:val="TableBody"/>
            </w:pPr>
            <w:r w:rsidRPr="009A1A3D">
              <w:t>123</w:t>
            </w:r>
          </w:p>
        </w:tc>
        <w:tc>
          <w:tcPr>
            <w:tcW w:w="1575" w:type="pct"/>
            <w:noWrap/>
            <w:hideMark/>
          </w:tcPr>
          <w:p w14:paraId="366EEF83" w14:textId="77777777" w:rsidR="009A1A3D" w:rsidRPr="009A1A3D" w:rsidRDefault="009A1A3D" w:rsidP="004B7D40">
            <w:pPr>
              <w:pStyle w:val="TableBody"/>
            </w:pPr>
            <w:r w:rsidRPr="009A1A3D">
              <w:t>45</w:t>
            </w:r>
          </w:p>
        </w:tc>
      </w:tr>
      <w:tr w:rsidR="009A1A3D" w:rsidRPr="009A1A3D" w14:paraId="7FF63B06" w14:textId="77777777" w:rsidTr="004B7D40">
        <w:trPr>
          <w:trHeight w:val="290"/>
        </w:trPr>
        <w:tc>
          <w:tcPr>
            <w:tcW w:w="1575" w:type="pct"/>
            <w:noWrap/>
            <w:hideMark/>
          </w:tcPr>
          <w:p w14:paraId="3CAD2427" w14:textId="77777777" w:rsidR="009A1A3D" w:rsidRPr="009A1A3D" w:rsidRDefault="009A1A3D" w:rsidP="004B7D40">
            <w:pPr>
              <w:pStyle w:val="TableBody"/>
            </w:pPr>
            <w:r w:rsidRPr="009A1A3D">
              <w:t>2017</w:t>
            </w:r>
          </w:p>
        </w:tc>
        <w:tc>
          <w:tcPr>
            <w:tcW w:w="1850" w:type="pct"/>
            <w:noWrap/>
            <w:hideMark/>
          </w:tcPr>
          <w:p w14:paraId="5950AFAD" w14:textId="77777777" w:rsidR="009A1A3D" w:rsidRPr="009A1A3D" w:rsidRDefault="009A1A3D" w:rsidP="004B7D40">
            <w:pPr>
              <w:pStyle w:val="TableBody"/>
            </w:pPr>
            <w:r w:rsidRPr="009A1A3D">
              <w:t>69</w:t>
            </w:r>
          </w:p>
        </w:tc>
        <w:tc>
          <w:tcPr>
            <w:tcW w:w="1575" w:type="pct"/>
            <w:noWrap/>
            <w:hideMark/>
          </w:tcPr>
          <w:p w14:paraId="077072F1" w14:textId="77777777" w:rsidR="009A1A3D" w:rsidRPr="009A1A3D" w:rsidRDefault="009A1A3D" w:rsidP="004B7D40">
            <w:pPr>
              <w:pStyle w:val="TableBody"/>
            </w:pPr>
            <w:r w:rsidRPr="009A1A3D">
              <w:t>31</w:t>
            </w:r>
          </w:p>
        </w:tc>
      </w:tr>
      <w:tr w:rsidR="009A1A3D" w:rsidRPr="009A1A3D" w14:paraId="13072432" w14:textId="77777777" w:rsidTr="004B7D40">
        <w:trPr>
          <w:trHeight w:val="290"/>
        </w:trPr>
        <w:tc>
          <w:tcPr>
            <w:tcW w:w="1575" w:type="pct"/>
            <w:noWrap/>
            <w:hideMark/>
          </w:tcPr>
          <w:p w14:paraId="24434D38" w14:textId="77777777" w:rsidR="009A1A3D" w:rsidRPr="009A1A3D" w:rsidRDefault="009A1A3D" w:rsidP="004B7D40">
            <w:pPr>
              <w:pStyle w:val="TableBody"/>
            </w:pPr>
            <w:r w:rsidRPr="009A1A3D">
              <w:t>2018</w:t>
            </w:r>
          </w:p>
        </w:tc>
        <w:tc>
          <w:tcPr>
            <w:tcW w:w="1850" w:type="pct"/>
            <w:noWrap/>
            <w:hideMark/>
          </w:tcPr>
          <w:p w14:paraId="44F61085" w14:textId="77777777" w:rsidR="009A1A3D" w:rsidRPr="009A1A3D" w:rsidRDefault="009A1A3D" w:rsidP="004B7D40">
            <w:pPr>
              <w:pStyle w:val="TableBody"/>
            </w:pPr>
            <w:r w:rsidRPr="009A1A3D">
              <w:t>77</w:t>
            </w:r>
          </w:p>
        </w:tc>
        <w:tc>
          <w:tcPr>
            <w:tcW w:w="1575" w:type="pct"/>
            <w:noWrap/>
            <w:hideMark/>
          </w:tcPr>
          <w:p w14:paraId="2EE49A7B" w14:textId="77777777" w:rsidR="009A1A3D" w:rsidRPr="009A1A3D" w:rsidRDefault="009A1A3D" w:rsidP="004B7D40">
            <w:pPr>
              <w:pStyle w:val="TableBody"/>
            </w:pPr>
            <w:r w:rsidRPr="009A1A3D">
              <w:t>32</w:t>
            </w:r>
          </w:p>
        </w:tc>
      </w:tr>
      <w:tr w:rsidR="009A1A3D" w:rsidRPr="009A1A3D" w14:paraId="7E4C4C22" w14:textId="77777777" w:rsidTr="004B7D40">
        <w:trPr>
          <w:trHeight w:val="290"/>
        </w:trPr>
        <w:tc>
          <w:tcPr>
            <w:tcW w:w="1575" w:type="pct"/>
            <w:noWrap/>
            <w:hideMark/>
          </w:tcPr>
          <w:p w14:paraId="14045EE5" w14:textId="77777777" w:rsidR="009A1A3D" w:rsidRPr="009A1A3D" w:rsidRDefault="009A1A3D" w:rsidP="004B7D40">
            <w:pPr>
              <w:pStyle w:val="TableBody"/>
            </w:pPr>
            <w:r w:rsidRPr="009A1A3D">
              <w:t>2019</w:t>
            </w:r>
          </w:p>
        </w:tc>
        <w:tc>
          <w:tcPr>
            <w:tcW w:w="1850" w:type="pct"/>
            <w:noWrap/>
            <w:hideMark/>
          </w:tcPr>
          <w:p w14:paraId="06B92AAC" w14:textId="77777777" w:rsidR="009A1A3D" w:rsidRPr="009A1A3D" w:rsidRDefault="009A1A3D" w:rsidP="004B7D40">
            <w:pPr>
              <w:pStyle w:val="TableBody"/>
            </w:pPr>
            <w:r w:rsidRPr="009A1A3D">
              <w:t>115</w:t>
            </w:r>
          </w:p>
        </w:tc>
        <w:tc>
          <w:tcPr>
            <w:tcW w:w="1575" w:type="pct"/>
            <w:noWrap/>
            <w:hideMark/>
          </w:tcPr>
          <w:p w14:paraId="08A6B3CC" w14:textId="77777777" w:rsidR="009A1A3D" w:rsidRPr="009A1A3D" w:rsidRDefault="009A1A3D" w:rsidP="004B7D40">
            <w:pPr>
              <w:pStyle w:val="TableBody"/>
            </w:pPr>
            <w:r w:rsidRPr="009A1A3D">
              <w:t>33</w:t>
            </w:r>
          </w:p>
        </w:tc>
      </w:tr>
    </w:tbl>
    <w:p w14:paraId="4DCA9CD3" w14:textId="77777777" w:rsidR="00EF5C25" w:rsidRPr="007F530F" w:rsidRDefault="00EF5C25" w:rsidP="00E91615">
      <w:pPr>
        <w:pStyle w:val="Numbered"/>
      </w:pPr>
      <w:r w:rsidRPr="007F530F">
        <w:t>Table 6 outlines the specific incest offences sentenced during the reference period. Where the relationship between the offender and the victim was known, stepparents (by a slim margin over biological parents) were the most commonly sentenced offenders.</w:t>
      </w:r>
      <w:r w:rsidRPr="007F530F">
        <w:rPr>
          <w:rStyle w:val="Superscript"/>
        </w:rPr>
        <w:footnoteReference w:id="137"/>
      </w:r>
      <w:r w:rsidRPr="007F530F">
        <w:t xml:space="preserve"> About 6% of Australian couples with children involve a stepparent, but stepparents accounted for 51% of incest offences </w:t>
      </w:r>
      <w:r w:rsidRPr="007F530F">
        <w:lastRenderedPageBreak/>
        <w:t>committed by parents of the victim.</w:t>
      </w:r>
      <w:r w:rsidRPr="007F530F">
        <w:rPr>
          <w:rStyle w:val="Superscript"/>
        </w:rPr>
        <w:footnoteReference w:id="138"/>
      </w:r>
      <w:r w:rsidRPr="007F530F">
        <w:t xml:space="preserve"> This suggests that stepparents – more specifically, </w:t>
      </w:r>
      <w:r w:rsidRPr="00D62402">
        <w:rPr>
          <w:rStyle w:val="Emphasis"/>
        </w:rPr>
        <w:t xml:space="preserve">stepfathers </w:t>
      </w:r>
      <w:r w:rsidRPr="007F530F">
        <w:t>given that 96% of incest offenders were male – are much more likely to be incest offenders than biological parents/fathers.</w:t>
      </w:r>
    </w:p>
    <w:p w14:paraId="37725663" w14:textId="77777777" w:rsidR="00DA0418" w:rsidRDefault="00DA0418" w:rsidP="00D00197">
      <w:pPr>
        <w:pStyle w:val="Caption"/>
        <w:sectPr w:rsidR="00DA0418" w:rsidSect="00D6349A">
          <w:pgSz w:w="11906" w:h="16838"/>
          <w:pgMar w:top="1440" w:right="1440" w:bottom="1440" w:left="1440" w:header="720" w:footer="720" w:gutter="0"/>
          <w:cols w:space="720"/>
          <w:noEndnote/>
          <w:docGrid w:linePitch="326"/>
        </w:sectPr>
      </w:pPr>
    </w:p>
    <w:p w14:paraId="70EF2A55" w14:textId="467FFF4F" w:rsidR="00EF5C25" w:rsidRPr="007F530F" w:rsidRDefault="00EF5C25" w:rsidP="00D00197">
      <w:pPr>
        <w:pStyle w:val="Caption"/>
      </w:pPr>
      <w:r w:rsidRPr="00D00197">
        <w:lastRenderedPageBreak/>
        <w:t>Table 6:</w:t>
      </w:r>
      <w:r w:rsidRPr="007F530F">
        <w:t xml:space="preserve"> Number of incest offences and cases sentenced in Victoria, 2010 to 2019, by operational period and statutory reference (1,110 charges and 367 cases)</w:t>
      </w:r>
    </w:p>
    <w:tbl>
      <w:tblPr>
        <w:tblStyle w:val="Table"/>
        <w:tblW w:w="5262" w:type="pct"/>
        <w:tblLook w:val="0020" w:firstRow="1" w:lastRow="0" w:firstColumn="0" w:lastColumn="0" w:noHBand="0" w:noVBand="0"/>
      </w:tblPr>
      <w:tblGrid>
        <w:gridCol w:w="2616"/>
        <w:gridCol w:w="2161"/>
        <w:gridCol w:w="2357"/>
        <w:gridCol w:w="2780"/>
        <w:gridCol w:w="2551"/>
        <w:gridCol w:w="2214"/>
      </w:tblGrid>
      <w:tr w:rsidR="0022086B" w:rsidRPr="007F530F" w14:paraId="3597BDBF" w14:textId="77777777" w:rsidTr="0022086B">
        <w:trPr>
          <w:trHeight w:val="60"/>
          <w:tblHeader/>
        </w:trPr>
        <w:tc>
          <w:tcPr>
            <w:tcW w:w="891" w:type="pct"/>
          </w:tcPr>
          <w:p w14:paraId="2237FD5C" w14:textId="77777777" w:rsidR="00EF5C25" w:rsidRPr="00036A5E" w:rsidRDefault="00EF5C25" w:rsidP="0022086B">
            <w:pPr>
              <w:pStyle w:val="TableHeading"/>
              <w:rPr>
                <w:szCs w:val="20"/>
              </w:rPr>
            </w:pPr>
            <w:r w:rsidRPr="00036A5E">
              <w:rPr>
                <w:szCs w:val="20"/>
              </w:rPr>
              <w:t>Offence</w:t>
            </w:r>
          </w:p>
        </w:tc>
        <w:tc>
          <w:tcPr>
            <w:tcW w:w="736" w:type="pct"/>
          </w:tcPr>
          <w:p w14:paraId="58FF7D46" w14:textId="77777777" w:rsidR="00EF5C25" w:rsidRPr="00036A5E" w:rsidRDefault="00EF5C25" w:rsidP="0022086B">
            <w:pPr>
              <w:pStyle w:val="TableHeading"/>
              <w:rPr>
                <w:szCs w:val="20"/>
              </w:rPr>
            </w:pPr>
            <w:r w:rsidRPr="00036A5E">
              <w:rPr>
                <w:szCs w:val="20"/>
              </w:rPr>
              <w:t xml:space="preserve">Statutory reference </w:t>
            </w:r>
            <w:r w:rsidRPr="00036A5E">
              <w:rPr>
                <w:rStyle w:val="Emphasis"/>
                <w:szCs w:val="20"/>
              </w:rPr>
              <w:t>Crimes Act 1958</w:t>
            </w:r>
            <w:r w:rsidRPr="00036A5E">
              <w:rPr>
                <w:szCs w:val="20"/>
              </w:rPr>
              <w:t xml:space="preserve"> (Vic)</w:t>
            </w:r>
          </w:p>
        </w:tc>
        <w:tc>
          <w:tcPr>
            <w:tcW w:w="803" w:type="pct"/>
          </w:tcPr>
          <w:p w14:paraId="5C75D1E0" w14:textId="77777777" w:rsidR="00EF5C25" w:rsidRPr="00036A5E" w:rsidRDefault="00EF5C25" w:rsidP="0022086B">
            <w:pPr>
              <w:pStyle w:val="TableHeading"/>
              <w:rPr>
                <w:szCs w:val="20"/>
              </w:rPr>
            </w:pPr>
            <w:r w:rsidRPr="00036A5E">
              <w:rPr>
                <w:szCs w:val="20"/>
              </w:rPr>
              <w:t>Operational period</w:t>
            </w:r>
          </w:p>
        </w:tc>
        <w:tc>
          <w:tcPr>
            <w:tcW w:w="947" w:type="pct"/>
          </w:tcPr>
          <w:p w14:paraId="2F016A59" w14:textId="77777777" w:rsidR="00EF5C25" w:rsidRPr="00036A5E" w:rsidRDefault="00EF5C25" w:rsidP="0022086B">
            <w:pPr>
              <w:pStyle w:val="TableHeading"/>
              <w:rPr>
                <w:szCs w:val="20"/>
              </w:rPr>
            </w:pPr>
            <w:r w:rsidRPr="00036A5E">
              <w:rPr>
                <w:szCs w:val="20"/>
              </w:rPr>
              <w:t>Maximum penalty</w:t>
            </w:r>
          </w:p>
        </w:tc>
        <w:tc>
          <w:tcPr>
            <w:tcW w:w="869" w:type="pct"/>
          </w:tcPr>
          <w:p w14:paraId="6459A85B" w14:textId="77777777" w:rsidR="00EF5C25" w:rsidRPr="00036A5E" w:rsidRDefault="00EF5C25" w:rsidP="0022086B">
            <w:pPr>
              <w:pStyle w:val="TableHeading"/>
              <w:rPr>
                <w:szCs w:val="20"/>
              </w:rPr>
            </w:pPr>
            <w:r w:rsidRPr="00036A5E">
              <w:rPr>
                <w:szCs w:val="20"/>
              </w:rPr>
              <w:t>Charges</w:t>
            </w:r>
          </w:p>
        </w:tc>
        <w:tc>
          <w:tcPr>
            <w:tcW w:w="754" w:type="pct"/>
          </w:tcPr>
          <w:p w14:paraId="5E9C8499" w14:textId="77777777" w:rsidR="00EF5C25" w:rsidRPr="00036A5E" w:rsidRDefault="00EF5C25" w:rsidP="0022086B">
            <w:pPr>
              <w:pStyle w:val="TableHeading"/>
              <w:rPr>
                <w:szCs w:val="20"/>
              </w:rPr>
            </w:pPr>
            <w:r w:rsidRPr="00036A5E">
              <w:rPr>
                <w:szCs w:val="20"/>
              </w:rPr>
              <w:t>Cases</w:t>
            </w:r>
          </w:p>
        </w:tc>
      </w:tr>
      <w:tr w:rsidR="0022086B" w:rsidRPr="007F530F" w14:paraId="2B21B1D4" w14:textId="77777777" w:rsidTr="0022086B">
        <w:trPr>
          <w:trHeight w:val="60"/>
        </w:trPr>
        <w:tc>
          <w:tcPr>
            <w:tcW w:w="891" w:type="pct"/>
          </w:tcPr>
          <w:p w14:paraId="19570BE6" w14:textId="77777777" w:rsidR="00EF5C25" w:rsidRPr="00036A5E" w:rsidRDefault="00EF5C25" w:rsidP="0022086B">
            <w:pPr>
              <w:pStyle w:val="TableBody"/>
              <w:rPr>
                <w:szCs w:val="20"/>
              </w:rPr>
            </w:pPr>
            <w:r w:rsidRPr="00036A5E">
              <w:rPr>
                <w:szCs w:val="20"/>
              </w:rPr>
              <w:t>Carnal knowledge of daughter, stepdaughter or lineal descendant aged 10 or over</w:t>
            </w:r>
          </w:p>
        </w:tc>
        <w:tc>
          <w:tcPr>
            <w:tcW w:w="736" w:type="pct"/>
          </w:tcPr>
          <w:p w14:paraId="3B704348" w14:textId="77777777" w:rsidR="00EF5C25" w:rsidRPr="00036A5E" w:rsidRDefault="00EF5C25" w:rsidP="0022086B">
            <w:pPr>
              <w:pStyle w:val="TableBody"/>
              <w:rPr>
                <w:szCs w:val="20"/>
              </w:rPr>
            </w:pPr>
            <w:r w:rsidRPr="00036A5E">
              <w:rPr>
                <w:szCs w:val="20"/>
              </w:rPr>
              <w:t>Section 52(1)</w:t>
            </w:r>
          </w:p>
        </w:tc>
        <w:tc>
          <w:tcPr>
            <w:tcW w:w="803" w:type="pct"/>
          </w:tcPr>
          <w:p w14:paraId="5CD1FAFE"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April 1959</w:t>
            </w:r>
            <w:r w:rsidRPr="00036A5E">
              <w:rPr>
                <w:szCs w:val="20"/>
              </w:rPr>
              <w:br/>
            </w:r>
            <w:r w:rsidRPr="00036A5E">
              <w:rPr>
                <w:rStyle w:val="Strong"/>
                <w:szCs w:val="20"/>
              </w:rPr>
              <w:t>To</w:t>
            </w:r>
            <w:r w:rsidRPr="00036A5E">
              <w:rPr>
                <w:szCs w:val="20"/>
              </w:rPr>
              <w:t xml:space="preserve"> 28 February 1981</w:t>
            </w:r>
          </w:p>
        </w:tc>
        <w:tc>
          <w:tcPr>
            <w:tcW w:w="947" w:type="pct"/>
          </w:tcPr>
          <w:p w14:paraId="7E96DA4E" w14:textId="77777777" w:rsidR="00EF5C25" w:rsidRPr="00036A5E" w:rsidRDefault="00EF5C25" w:rsidP="0022086B">
            <w:pPr>
              <w:pStyle w:val="TableBody"/>
              <w:rPr>
                <w:szCs w:val="20"/>
              </w:rPr>
            </w:pPr>
            <w:r w:rsidRPr="00036A5E">
              <w:rPr>
                <w:szCs w:val="20"/>
              </w:rPr>
              <w:t>20 years</w:t>
            </w:r>
          </w:p>
        </w:tc>
        <w:tc>
          <w:tcPr>
            <w:tcW w:w="869" w:type="pct"/>
          </w:tcPr>
          <w:p w14:paraId="7C41E216" w14:textId="77777777" w:rsidR="00EF5C25" w:rsidRPr="00036A5E" w:rsidRDefault="00EF5C25" w:rsidP="0022086B">
            <w:pPr>
              <w:pStyle w:val="TableBody"/>
              <w:rPr>
                <w:rStyle w:val="Strong"/>
                <w:szCs w:val="20"/>
              </w:rPr>
            </w:pPr>
            <w:r w:rsidRPr="00036A5E">
              <w:rPr>
                <w:rStyle w:val="Strong"/>
                <w:szCs w:val="20"/>
              </w:rPr>
              <w:t>9</w:t>
            </w:r>
          </w:p>
        </w:tc>
        <w:tc>
          <w:tcPr>
            <w:tcW w:w="754" w:type="pct"/>
          </w:tcPr>
          <w:p w14:paraId="068B5AA9" w14:textId="77777777" w:rsidR="00EF5C25" w:rsidRPr="00036A5E" w:rsidRDefault="00EF5C25" w:rsidP="0022086B">
            <w:pPr>
              <w:pStyle w:val="TableBody"/>
              <w:rPr>
                <w:rStyle w:val="Strong"/>
                <w:szCs w:val="20"/>
              </w:rPr>
            </w:pPr>
            <w:r w:rsidRPr="00036A5E">
              <w:rPr>
                <w:rStyle w:val="Strong"/>
                <w:szCs w:val="20"/>
              </w:rPr>
              <w:t>4</w:t>
            </w:r>
          </w:p>
        </w:tc>
      </w:tr>
      <w:tr w:rsidR="0022086B" w:rsidRPr="007F530F" w14:paraId="627FA9ED" w14:textId="77777777" w:rsidTr="0022086B">
        <w:trPr>
          <w:trHeight w:val="60"/>
        </w:trPr>
        <w:tc>
          <w:tcPr>
            <w:tcW w:w="891" w:type="pct"/>
          </w:tcPr>
          <w:p w14:paraId="46AFE0D7" w14:textId="77777777" w:rsidR="00EF5C25" w:rsidRPr="00036A5E" w:rsidRDefault="00EF5C25" w:rsidP="0022086B">
            <w:pPr>
              <w:pStyle w:val="TableBody"/>
              <w:rPr>
                <w:szCs w:val="20"/>
              </w:rPr>
            </w:pPr>
            <w:r w:rsidRPr="00036A5E">
              <w:rPr>
                <w:szCs w:val="20"/>
              </w:rPr>
              <w:t>Carnal knowledge of mother or sister</w:t>
            </w:r>
          </w:p>
        </w:tc>
        <w:tc>
          <w:tcPr>
            <w:tcW w:w="736" w:type="pct"/>
          </w:tcPr>
          <w:p w14:paraId="6451753D" w14:textId="77777777" w:rsidR="00EF5C25" w:rsidRPr="00036A5E" w:rsidRDefault="00EF5C25" w:rsidP="0022086B">
            <w:pPr>
              <w:pStyle w:val="TableBody"/>
              <w:rPr>
                <w:szCs w:val="20"/>
              </w:rPr>
            </w:pPr>
            <w:r w:rsidRPr="00036A5E">
              <w:rPr>
                <w:szCs w:val="20"/>
              </w:rPr>
              <w:t>Section 52(3)</w:t>
            </w:r>
          </w:p>
        </w:tc>
        <w:tc>
          <w:tcPr>
            <w:tcW w:w="803" w:type="pct"/>
          </w:tcPr>
          <w:p w14:paraId="240B9CE6"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April 1959</w:t>
            </w:r>
            <w:r w:rsidRPr="00036A5E">
              <w:rPr>
                <w:szCs w:val="20"/>
              </w:rPr>
              <w:br/>
            </w:r>
            <w:r w:rsidRPr="00036A5E">
              <w:rPr>
                <w:rStyle w:val="Strong"/>
                <w:szCs w:val="20"/>
              </w:rPr>
              <w:t>To</w:t>
            </w:r>
            <w:r w:rsidRPr="00036A5E">
              <w:rPr>
                <w:szCs w:val="20"/>
              </w:rPr>
              <w:t xml:space="preserve"> 28 February 1981</w:t>
            </w:r>
          </w:p>
        </w:tc>
        <w:tc>
          <w:tcPr>
            <w:tcW w:w="947" w:type="pct"/>
          </w:tcPr>
          <w:p w14:paraId="6C8EE112" w14:textId="77777777" w:rsidR="00EF5C25" w:rsidRPr="00036A5E" w:rsidRDefault="00EF5C25" w:rsidP="0022086B">
            <w:pPr>
              <w:pStyle w:val="TableBody"/>
              <w:rPr>
                <w:szCs w:val="20"/>
              </w:rPr>
            </w:pPr>
            <w:r w:rsidRPr="00036A5E">
              <w:rPr>
                <w:szCs w:val="20"/>
              </w:rPr>
              <w:t>7 years</w:t>
            </w:r>
          </w:p>
        </w:tc>
        <w:tc>
          <w:tcPr>
            <w:tcW w:w="869" w:type="pct"/>
          </w:tcPr>
          <w:p w14:paraId="405D4E40" w14:textId="77777777" w:rsidR="00EF5C25" w:rsidRPr="00036A5E" w:rsidRDefault="00EF5C25" w:rsidP="0022086B">
            <w:pPr>
              <w:pStyle w:val="TableBody"/>
              <w:rPr>
                <w:rStyle w:val="Strong"/>
                <w:szCs w:val="20"/>
              </w:rPr>
            </w:pPr>
            <w:r w:rsidRPr="00036A5E">
              <w:rPr>
                <w:rStyle w:val="Strong"/>
                <w:szCs w:val="20"/>
              </w:rPr>
              <w:t>8</w:t>
            </w:r>
          </w:p>
        </w:tc>
        <w:tc>
          <w:tcPr>
            <w:tcW w:w="754" w:type="pct"/>
          </w:tcPr>
          <w:p w14:paraId="568FB781" w14:textId="77777777" w:rsidR="00EF5C25" w:rsidRPr="00036A5E" w:rsidRDefault="00EF5C25" w:rsidP="0022086B">
            <w:pPr>
              <w:pStyle w:val="TableBody"/>
              <w:rPr>
                <w:rStyle w:val="Strong"/>
                <w:szCs w:val="20"/>
              </w:rPr>
            </w:pPr>
            <w:r w:rsidRPr="00036A5E">
              <w:rPr>
                <w:rStyle w:val="Strong"/>
                <w:szCs w:val="20"/>
              </w:rPr>
              <w:t>5</w:t>
            </w:r>
          </w:p>
        </w:tc>
      </w:tr>
      <w:tr w:rsidR="0022086B" w:rsidRPr="007F530F" w14:paraId="62F98BCF" w14:textId="77777777" w:rsidTr="0022086B">
        <w:trPr>
          <w:trHeight w:val="60"/>
        </w:trPr>
        <w:tc>
          <w:tcPr>
            <w:tcW w:w="891" w:type="pct"/>
          </w:tcPr>
          <w:p w14:paraId="56A6CFAC" w14:textId="77777777" w:rsidR="00EF5C25" w:rsidRPr="00036A5E" w:rsidRDefault="00EF5C25" w:rsidP="0022086B">
            <w:pPr>
              <w:pStyle w:val="TableBody"/>
              <w:rPr>
                <w:szCs w:val="20"/>
              </w:rPr>
            </w:pPr>
            <w:r w:rsidRPr="00036A5E">
              <w:rPr>
                <w:szCs w:val="20"/>
              </w:rPr>
              <w:t>Incest with a child, stepchild or lineal descendant aged 10 or over</w:t>
            </w:r>
            <w:r w:rsidRPr="00036A5E">
              <w:rPr>
                <w:szCs w:val="20"/>
                <w:vertAlign w:val="superscript"/>
              </w:rPr>
              <w:t>a</w:t>
            </w:r>
          </w:p>
        </w:tc>
        <w:tc>
          <w:tcPr>
            <w:tcW w:w="736" w:type="pct"/>
          </w:tcPr>
          <w:p w14:paraId="5879ECDF" w14:textId="77777777" w:rsidR="00EF5C25" w:rsidRPr="00036A5E" w:rsidRDefault="00EF5C25" w:rsidP="0022086B">
            <w:pPr>
              <w:pStyle w:val="TableBody"/>
              <w:rPr>
                <w:szCs w:val="20"/>
              </w:rPr>
            </w:pPr>
            <w:r w:rsidRPr="00036A5E">
              <w:rPr>
                <w:szCs w:val="20"/>
              </w:rPr>
              <w:t>Section 52(1)</w:t>
            </w:r>
          </w:p>
        </w:tc>
        <w:tc>
          <w:tcPr>
            <w:tcW w:w="803" w:type="pct"/>
          </w:tcPr>
          <w:p w14:paraId="58811CB9"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March 1981</w:t>
            </w:r>
            <w:r w:rsidRPr="00036A5E">
              <w:rPr>
                <w:szCs w:val="20"/>
              </w:rPr>
              <w:br/>
            </w:r>
            <w:r w:rsidRPr="00036A5E">
              <w:rPr>
                <w:rStyle w:val="Strong"/>
                <w:szCs w:val="20"/>
              </w:rPr>
              <w:t>To</w:t>
            </w:r>
            <w:r w:rsidRPr="00036A5E">
              <w:rPr>
                <w:szCs w:val="20"/>
              </w:rPr>
              <w:t xml:space="preserve"> 4 August 1991</w:t>
            </w:r>
          </w:p>
        </w:tc>
        <w:tc>
          <w:tcPr>
            <w:tcW w:w="947" w:type="pct"/>
          </w:tcPr>
          <w:p w14:paraId="6C37CCC1" w14:textId="77777777" w:rsidR="00EF5C25" w:rsidRPr="00036A5E" w:rsidRDefault="00EF5C25" w:rsidP="0022086B">
            <w:pPr>
              <w:pStyle w:val="TableBody"/>
              <w:rPr>
                <w:szCs w:val="20"/>
              </w:rPr>
            </w:pPr>
            <w:r w:rsidRPr="00036A5E">
              <w:rPr>
                <w:szCs w:val="20"/>
              </w:rPr>
              <w:t>20 years</w:t>
            </w:r>
          </w:p>
        </w:tc>
        <w:tc>
          <w:tcPr>
            <w:tcW w:w="869" w:type="pct"/>
          </w:tcPr>
          <w:p w14:paraId="33B7095E" w14:textId="77777777" w:rsidR="00EF5C25" w:rsidRPr="00036A5E" w:rsidRDefault="00EF5C25" w:rsidP="0022086B">
            <w:pPr>
              <w:pStyle w:val="TableBody"/>
              <w:rPr>
                <w:szCs w:val="20"/>
              </w:rPr>
            </w:pPr>
            <w:r w:rsidRPr="00036A5E">
              <w:rPr>
                <w:rStyle w:val="Strong"/>
                <w:szCs w:val="20"/>
              </w:rPr>
              <w:t>51</w:t>
            </w:r>
            <w:r w:rsidRPr="00036A5E">
              <w:rPr>
                <w:szCs w:val="20"/>
              </w:rPr>
              <w:br/>
              <w:t>Stepchild: 23</w:t>
            </w:r>
            <w:r w:rsidRPr="00036A5E">
              <w:rPr>
                <w:szCs w:val="20"/>
              </w:rPr>
              <w:br/>
              <w:t>Child: 21</w:t>
            </w:r>
            <w:r w:rsidRPr="00036A5E">
              <w:rPr>
                <w:szCs w:val="20"/>
              </w:rPr>
              <w:br/>
              <w:t>Unclear: 7</w:t>
            </w:r>
          </w:p>
        </w:tc>
        <w:tc>
          <w:tcPr>
            <w:tcW w:w="754" w:type="pct"/>
          </w:tcPr>
          <w:p w14:paraId="0FEF1B5E" w14:textId="77777777" w:rsidR="00EF5C25" w:rsidRPr="00036A5E" w:rsidRDefault="00EF5C25" w:rsidP="0022086B">
            <w:pPr>
              <w:pStyle w:val="TableBody"/>
              <w:rPr>
                <w:szCs w:val="20"/>
              </w:rPr>
            </w:pPr>
            <w:r w:rsidRPr="00036A5E">
              <w:rPr>
                <w:rStyle w:val="Strong"/>
                <w:szCs w:val="20"/>
              </w:rPr>
              <w:t>31</w:t>
            </w:r>
            <w:r w:rsidRPr="00696ADB">
              <w:rPr>
                <w:rStyle w:val="Strong"/>
                <w:vertAlign w:val="superscript"/>
              </w:rPr>
              <w:t>c</w:t>
            </w:r>
            <w:r w:rsidRPr="00036A5E">
              <w:rPr>
                <w:szCs w:val="20"/>
              </w:rPr>
              <w:br/>
              <w:t>Stepchild: 14</w:t>
            </w:r>
            <w:r w:rsidRPr="00036A5E">
              <w:rPr>
                <w:szCs w:val="20"/>
              </w:rPr>
              <w:br/>
              <w:t>Child: 17</w:t>
            </w:r>
            <w:r w:rsidRPr="00036A5E">
              <w:rPr>
                <w:szCs w:val="20"/>
              </w:rPr>
              <w:br/>
              <w:t>Unclear: 2</w:t>
            </w:r>
          </w:p>
        </w:tc>
      </w:tr>
      <w:tr w:rsidR="0022086B" w:rsidRPr="007F530F" w14:paraId="4B0A90AE" w14:textId="77777777" w:rsidTr="0022086B">
        <w:trPr>
          <w:trHeight w:val="60"/>
        </w:trPr>
        <w:tc>
          <w:tcPr>
            <w:tcW w:w="891" w:type="pct"/>
          </w:tcPr>
          <w:p w14:paraId="1A7579EA" w14:textId="77777777" w:rsidR="00EF5C25" w:rsidRPr="00036A5E" w:rsidRDefault="00EF5C25" w:rsidP="0022086B">
            <w:pPr>
              <w:pStyle w:val="TableBody"/>
              <w:rPr>
                <w:szCs w:val="20"/>
              </w:rPr>
            </w:pPr>
            <w:r w:rsidRPr="00036A5E">
              <w:rPr>
                <w:szCs w:val="20"/>
              </w:rPr>
              <w:t>Incest with a sibling or half-sibling</w:t>
            </w:r>
          </w:p>
        </w:tc>
        <w:tc>
          <w:tcPr>
            <w:tcW w:w="736" w:type="pct"/>
          </w:tcPr>
          <w:p w14:paraId="27D2C732" w14:textId="77777777" w:rsidR="00EF5C25" w:rsidRPr="00036A5E" w:rsidRDefault="00EF5C25" w:rsidP="0022086B">
            <w:pPr>
              <w:pStyle w:val="TableBody"/>
              <w:rPr>
                <w:szCs w:val="20"/>
              </w:rPr>
            </w:pPr>
            <w:r w:rsidRPr="00036A5E">
              <w:rPr>
                <w:szCs w:val="20"/>
              </w:rPr>
              <w:t>Section 52(4)</w:t>
            </w:r>
          </w:p>
        </w:tc>
        <w:tc>
          <w:tcPr>
            <w:tcW w:w="803" w:type="pct"/>
          </w:tcPr>
          <w:p w14:paraId="5C30A40D"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March 1981</w:t>
            </w:r>
            <w:r w:rsidRPr="00036A5E">
              <w:rPr>
                <w:szCs w:val="20"/>
              </w:rPr>
              <w:br/>
            </w:r>
            <w:r w:rsidRPr="00036A5E">
              <w:rPr>
                <w:rStyle w:val="Strong"/>
                <w:szCs w:val="20"/>
              </w:rPr>
              <w:t>To</w:t>
            </w:r>
            <w:r w:rsidRPr="00036A5E">
              <w:rPr>
                <w:szCs w:val="20"/>
              </w:rPr>
              <w:t xml:space="preserve"> 4 August 1991</w:t>
            </w:r>
          </w:p>
        </w:tc>
        <w:tc>
          <w:tcPr>
            <w:tcW w:w="947" w:type="pct"/>
          </w:tcPr>
          <w:p w14:paraId="51126D39" w14:textId="77777777" w:rsidR="00EF5C25" w:rsidRPr="00036A5E" w:rsidRDefault="00EF5C25" w:rsidP="0022086B">
            <w:pPr>
              <w:pStyle w:val="TableBody"/>
              <w:rPr>
                <w:szCs w:val="20"/>
              </w:rPr>
            </w:pPr>
            <w:r w:rsidRPr="00036A5E">
              <w:rPr>
                <w:szCs w:val="20"/>
              </w:rPr>
              <w:t>7 years</w:t>
            </w:r>
          </w:p>
        </w:tc>
        <w:tc>
          <w:tcPr>
            <w:tcW w:w="869" w:type="pct"/>
          </w:tcPr>
          <w:p w14:paraId="4AF51021" w14:textId="77777777" w:rsidR="00EF5C25" w:rsidRPr="00036A5E" w:rsidRDefault="00EF5C25" w:rsidP="0022086B">
            <w:pPr>
              <w:pStyle w:val="TableBody"/>
              <w:rPr>
                <w:szCs w:val="20"/>
              </w:rPr>
            </w:pPr>
            <w:r w:rsidRPr="00036A5E">
              <w:rPr>
                <w:rStyle w:val="Strong"/>
                <w:szCs w:val="20"/>
              </w:rPr>
              <w:t>12</w:t>
            </w:r>
            <w:r w:rsidRPr="00036A5E">
              <w:rPr>
                <w:szCs w:val="20"/>
              </w:rPr>
              <w:br/>
              <w:t>Sibling: 6</w:t>
            </w:r>
            <w:r w:rsidRPr="00036A5E">
              <w:rPr>
                <w:szCs w:val="20"/>
              </w:rPr>
              <w:br/>
              <w:t>Half-sibling: 6</w:t>
            </w:r>
          </w:p>
        </w:tc>
        <w:tc>
          <w:tcPr>
            <w:tcW w:w="754" w:type="pct"/>
          </w:tcPr>
          <w:p w14:paraId="36789576" w14:textId="77777777" w:rsidR="00EF5C25" w:rsidRPr="00036A5E" w:rsidRDefault="00EF5C25" w:rsidP="0022086B">
            <w:pPr>
              <w:pStyle w:val="TableBody"/>
              <w:rPr>
                <w:szCs w:val="20"/>
              </w:rPr>
            </w:pPr>
            <w:r w:rsidRPr="00036A5E">
              <w:rPr>
                <w:rStyle w:val="Strong"/>
                <w:szCs w:val="20"/>
              </w:rPr>
              <w:t>7</w:t>
            </w:r>
            <w:r w:rsidRPr="00036A5E">
              <w:rPr>
                <w:szCs w:val="20"/>
              </w:rPr>
              <w:br/>
              <w:t>Sibling: 5</w:t>
            </w:r>
            <w:r w:rsidRPr="00036A5E">
              <w:rPr>
                <w:szCs w:val="20"/>
              </w:rPr>
              <w:br/>
              <w:t>Half-sibling: 2</w:t>
            </w:r>
          </w:p>
        </w:tc>
      </w:tr>
      <w:tr w:rsidR="0022086B" w:rsidRPr="007F530F" w14:paraId="3BDC2F4E" w14:textId="77777777" w:rsidTr="0022086B">
        <w:trPr>
          <w:trHeight w:val="60"/>
        </w:trPr>
        <w:tc>
          <w:tcPr>
            <w:tcW w:w="891" w:type="pct"/>
          </w:tcPr>
          <w:p w14:paraId="6F5D419E" w14:textId="77777777" w:rsidR="00EF5C25" w:rsidRPr="00036A5E" w:rsidRDefault="00EF5C25" w:rsidP="0022086B">
            <w:pPr>
              <w:pStyle w:val="TableBody"/>
              <w:rPr>
                <w:szCs w:val="20"/>
              </w:rPr>
            </w:pPr>
            <w:r w:rsidRPr="00036A5E">
              <w:rPr>
                <w:szCs w:val="20"/>
              </w:rPr>
              <w:t>Incest with a child, stepchild or lineal descendant</w:t>
            </w:r>
            <w:r w:rsidRPr="00036A5E">
              <w:rPr>
                <w:szCs w:val="20"/>
                <w:vertAlign w:val="superscript"/>
              </w:rPr>
              <w:t>b</w:t>
            </w:r>
          </w:p>
        </w:tc>
        <w:tc>
          <w:tcPr>
            <w:tcW w:w="736" w:type="pct"/>
          </w:tcPr>
          <w:p w14:paraId="67AB4581" w14:textId="77777777" w:rsidR="00EF5C25" w:rsidRPr="00036A5E" w:rsidRDefault="00EF5C25" w:rsidP="0022086B">
            <w:pPr>
              <w:pStyle w:val="TableBody"/>
              <w:rPr>
                <w:szCs w:val="20"/>
              </w:rPr>
            </w:pPr>
            <w:r w:rsidRPr="00036A5E">
              <w:rPr>
                <w:szCs w:val="20"/>
              </w:rPr>
              <w:t>Sections 44(1)</w:t>
            </w:r>
            <w:r w:rsidRPr="00036A5E">
              <w:rPr>
                <w:szCs w:val="20"/>
              </w:rPr>
              <w:br/>
              <w:t>44(2)</w:t>
            </w:r>
          </w:p>
        </w:tc>
        <w:tc>
          <w:tcPr>
            <w:tcW w:w="803" w:type="pct"/>
          </w:tcPr>
          <w:p w14:paraId="3096507D"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5 August 1991</w:t>
            </w:r>
            <w:r w:rsidRPr="00036A5E">
              <w:rPr>
                <w:szCs w:val="20"/>
              </w:rPr>
              <w:br/>
            </w:r>
            <w:r w:rsidRPr="00036A5E">
              <w:rPr>
                <w:rStyle w:val="Strong"/>
                <w:szCs w:val="20"/>
              </w:rPr>
              <w:t>To</w:t>
            </w:r>
            <w:r w:rsidRPr="00036A5E">
              <w:rPr>
                <w:szCs w:val="20"/>
              </w:rPr>
              <w:t xml:space="preserve"> 30 June 2017</w:t>
            </w:r>
          </w:p>
        </w:tc>
        <w:tc>
          <w:tcPr>
            <w:tcW w:w="947" w:type="pct"/>
          </w:tcPr>
          <w:p w14:paraId="119A9119" w14:textId="77777777" w:rsidR="00EF5C25" w:rsidRPr="00036A5E" w:rsidRDefault="00EF5C25" w:rsidP="0022086B">
            <w:pPr>
              <w:pStyle w:val="TableBody"/>
              <w:rPr>
                <w:szCs w:val="20"/>
              </w:rPr>
            </w:pPr>
            <w:r w:rsidRPr="00036A5E">
              <w:rPr>
                <w:rStyle w:val="Strong"/>
                <w:szCs w:val="20"/>
              </w:rPr>
              <w:t>Before</w:t>
            </w:r>
            <w:r w:rsidRPr="00036A5E">
              <w:rPr>
                <w:szCs w:val="20"/>
              </w:rPr>
              <w:t xml:space="preserve"> </w:t>
            </w:r>
            <w:r w:rsidRPr="00036A5E">
              <w:rPr>
                <w:rStyle w:val="Strong"/>
                <w:szCs w:val="20"/>
              </w:rPr>
              <w:t>1 September 1997</w:t>
            </w:r>
            <w:r w:rsidRPr="00036A5E">
              <w:rPr>
                <w:szCs w:val="20"/>
              </w:rPr>
              <w:br/>
              <w:t>20 years</w:t>
            </w:r>
            <w:r w:rsidRPr="00036A5E">
              <w:rPr>
                <w:szCs w:val="20"/>
              </w:rPr>
              <w:br/>
            </w:r>
            <w:r w:rsidRPr="00036A5E">
              <w:rPr>
                <w:rStyle w:val="Strong"/>
                <w:szCs w:val="20"/>
              </w:rPr>
              <w:t>From 1 September 1997</w:t>
            </w:r>
            <w:r w:rsidRPr="00036A5E">
              <w:rPr>
                <w:szCs w:val="20"/>
              </w:rPr>
              <w:br/>
              <w:t>25 years</w:t>
            </w:r>
          </w:p>
        </w:tc>
        <w:tc>
          <w:tcPr>
            <w:tcW w:w="869" w:type="pct"/>
          </w:tcPr>
          <w:p w14:paraId="71BD1CB5" w14:textId="110119F0" w:rsidR="00EF5C25" w:rsidRPr="00036A5E" w:rsidRDefault="00EF5C25" w:rsidP="0022086B">
            <w:pPr>
              <w:pStyle w:val="TableBody"/>
              <w:rPr>
                <w:szCs w:val="20"/>
              </w:rPr>
            </w:pPr>
            <w:r w:rsidRPr="00036A5E">
              <w:rPr>
                <w:rStyle w:val="Strong"/>
                <w:szCs w:val="20"/>
              </w:rPr>
              <w:t>925</w:t>
            </w:r>
            <w:r w:rsidRPr="00036A5E">
              <w:rPr>
                <w:szCs w:val="20"/>
              </w:rPr>
              <w:br/>
              <w:t>Stepchild: 427</w:t>
            </w:r>
            <w:r w:rsidRPr="00036A5E">
              <w:rPr>
                <w:szCs w:val="20"/>
              </w:rPr>
              <w:br/>
              <w:t>Child: 418</w:t>
            </w:r>
            <w:r w:rsidRPr="00036A5E">
              <w:rPr>
                <w:szCs w:val="20"/>
              </w:rPr>
              <w:br/>
              <w:t>Lineal descendant</w:t>
            </w:r>
            <w:r w:rsidR="0098379F" w:rsidRPr="00036A5E">
              <w:rPr>
                <w:szCs w:val="20"/>
              </w:rPr>
              <w:t>:1</w:t>
            </w:r>
            <w:r w:rsidRPr="00036A5E">
              <w:rPr>
                <w:szCs w:val="20"/>
              </w:rPr>
              <w:t xml:space="preserve">74 </w:t>
            </w:r>
            <w:r w:rsidRPr="00036A5E">
              <w:rPr>
                <w:szCs w:val="20"/>
              </w:rPr>
              <w:br/>
              <w:t>Unclear: 6</w:t>
            </w:r>
          </w:p>
        </w:tc>
        <w:tc>
          <w:tcPr>
            <w:tcW w:w="754" w:type="pct"/>
          </w:tcPr>
          <w:p w14:paraId="7F034788" w14:textId="4FFB3D3D" w:rsidR="00EF5C25" w:rsidRPr="00036A5E" w:rsidRDefault="00EF5C25" w:rsidP="0022086B">
            <w:pPr>
              <w:pStyle w:val="TableBody"/>
              <w:rPr>
                <w:szCs w:val="20"/>
              </w:rPr>
            </w:pPr>
            <w:r w:rsidRPr="00036A5E">
              <w:rPr>
                <w:rStyle w:val="Strong"/>
                <w:szCs w:val="20"/>
              </w:rPr>
              <w:t>286</w:t>
            </w:r>
            <w:r w:rsidRPr="00036A5E">
              <w:rPr>
                <w:szCs w:val="20"/>
              </w:rPr>
              <w:br/>
              <w:t>Stepchild:</w:t>
            </w:r>
            <w:r w:rsidR="00256D64" w:rsidRPr="00036A5E">
              <w:rPr>
                <w:szCs w:val="20"/>
              </w:rPr>
              <w:t xml:space="preserve"> </w:t>
            </w:r>
            <w:r w:rsidRPr="00036A5E">
              <w:rPr>
                <w:szCs w:val="20"/>
              </w:rPr>
              <w:t>138</w:t>
            </w:r>
            <w:r w:rsidRPr="00036A5E">
              <w:rPr>
                <w:szCs w:val="20"/>
              </w:rPr>
              <w:br/>
              <w:t>Child: 134</w:t>
            </w:r>
            <w:r w:rsidRPr="00036A5E">
              <w:rPr>
                <w:szCs w:val="20"/>
              </w:rPr>
              <w:br/>
              <w:t>Lineal descendant:</w:t>
            </w:r>
            <w:r w:rsidR="00256D64" w:rsidRPr="00036A5E">
              <w:rPr>
                <w:szCs w:val="20"/>
              </w:rPr>
              <w:t xml:space="preserve"> </w:t>
            </w:r>
            <w:r w:rsidRPr="00036A5E">
              <w:rPr>
                <w:szCs w:val="20"/>
              </w:rPr>
              <w:t>31</w:t>
            </w:r>
            <w:r w:rsidRPr="00036A5E">
              <w:rPr>
                <w:szCs w:val="20"/>
              </w:rPr>
              <w:br/>
              <w:t>Unclear: 3</w:t>
            </w:r>
          </w:p>
        </w:tc>
      </w:tr>
      <w:tr w:rsidR="0022086B" w:rsidRPr="007F530F" w14:paraId="080D0B98" w14:textId="77777777" w:rsidTr="0022086B">
        <w:trPr>
          <w:trHeight w:val="60"/>
        </w:trPr>
        <w:tc>
          <w:tcPr>
            <w:tcW w:w="891" w:type="pct"/>
          </w:tcPr>
          <w:p w14:paraId="090FA9C4" w14:textId="77777777" w:rsidR="00EF5C25" w:rsidRPr="00036A5E" w:rsidRDefault="00EF5C25" w:rsidP="0022086B">
            <w:pPr>
              <w:pStyle w:val="TableBody"/>
              <w:rPr>
                <w:szCs w:val="20"/>
              </w:rPr>
            </w:pPr>
            <w:r w:rsidRPr="00036A5E">
              <w:rPr>
                <w:szCs w:val="20"/>
              </w:rPr>
              <w:t>Incest with a parent, stepparent or lineal ancestor</w:t>
            </w:r>
          </w:p>
        </w:tc>
        <w:tc>
          <w:tcPr>
            <w:tcW w:w="736" w:type="pct"/>
          </w:tcPr>
          <w:p w14:paraId="38F0834B" w14:textId="77777777" w:rsidR="00EF5C25" w:rsidRPr="00036A5E" w:rsidRDefault="00EF5C25" w:rsidP="0022086B">
            <w:pPr>
              <w:pStyle w:val="TableBody"/>
              <w:rPr>
                <w:szCs w:val="20"/>
              </w:rPr>
            </w:pPr>
            <w:r w:rsidRPr="00036A5E">
              <w:rPr>
                <w:szCs w:val="20"/>
              </w:rPr>
              <w:t>Section 44(3)</w:t>
            </w:r>
          </w:p>
        </w:tc>
        <w:tc>
          <w:tcPr>
            <w:tcW w:w="803" w:type="pct"/>
          </w:tcPr>
          <w:p w14:paraId="7DE9ABD5"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5 August 1991</w:t>
            </w:r>
            <w:r w:rsidRPr="00036A5E">
              <w:rPr>
                <w:szCs w:val="20"/>
              </w:rPr>
              <w:br/>
            </w:r>
            <w:r w:rsidRPr="00036A5E">
              <w:rPr>
                <w:rStyle w:val="Strong"/>
                <w:szCs w:val="20"/>
              </w:rPr>
              <w:t>To</w:t>
            </w:r>
            <w:r w:rsidRPr="00036A5E">
              <w:rPr>
                <w:szCs w:val="20"/>
              </w:rPr>
              <w:t xml:space="preserve"> 30 June 2017</w:t>
            </w:r>
          </w:p>
        </w:tc>
        <w:tc>
          <w:tcPr>
            <w:tcW w:w="947" w:type="pct"/>
          </w:tcPr>
          <w:p w14:paraId="0872178C" w14:textId="77777777" w:rsidR="00EF5C25" w:rsidRPr="00036A5E" w:rsidRDefault="00EF5C25" w:rsidP="0022086B">
            <w:pPr>
              <w:pStyle w:val="TableBody"/>
              <w:rPr>
                <w:szCs w:val="20"/>
              </w:rPr>
            </w:pPr>
            <w:r w:rsidRPr="00036A5E">
              <w:rPr>
                <w:rStyle w:val="Strong"/>
                <w:szCs w:val="20"/>
              </w:rPr>
              <w:t>Before 24 April 1992</w:t>
            </w:r>
            <w:r w:rsidRPr="00036A5E">
              <w:rPr>
                <w:szCs w:val="20"/>
              </w:rPr>
              <w:br/>
              <w:t>5 years</w:t>
            </w:r>
            <w:r w:rsidRPr="00036A5E">
              <w:rPr>
                <w:szCs w:val="20"/>
              </w:rPr>
              <w:br/>
            </w:r>
            <w:r w:rsidRPr="00036A5E">
              <w:rPr>
                <w:rStyle w:val="Strong"/>
                <w:szCs w:val="20"/>
              </w:rPr>
              <w:t>24 April 1992 to 30 August 1997</w:t>
            </w:r>
            <w:r w:rsidRPr="00036A5E">
              <w:rPr>
                <w:rStyle w:val="Strong"/>
                <w:szCs w:val="20"/>
              </w:rPr>
              <w:br/>
            </w:r>
            <w:r w:rsidRPr="00036A5E">
              <w:rPr>
                <w:szCs w:val="20"/>
              </w:rPr>
              <w:t xml:space="preserve">7 years and 6 months </w:t>
            </w:r>
            <w:r w:rsidRPr="00036A5E">
              <w:rPr>
                <w:szCs w:val="20"/>
              </w:rPr>
              <w:br/>
            </w:r>
            <w:r w:rsidRPr="00036A5E">
              <w:rPr>
                <w:rStyle w:val="Strong"/>
                <w:szCs w:val="20"/>
              </w:rPr>
              <w:t>From 1 September 1997</w:t>
            </w:r>
            <w:r w:rsidRPr="00036A5E">
              <w:rPr>
                <w:szCs w:val="20"/>
              </w:rPr>
              <w:br/>
              <w:t>5 years</w:t>
            </w:r>
          </w:p>
        </w:tc>
        <w:tc>
          <w:tcPr>
            <w:tcW w:w="869" w:type="pct"/>
          </w:tcPr>
          <w:p w14:paraId="1BFE116E" w14:textId="77777777" w:rsidR="00EF5C25" w:rsidRPr="00036A5E" w:rsidRDefault="00EF5C25" w:rsidP="0022086B">
            <w:pPr>
              <w:pStyle w:val="TableBody"/>
              <w:rPr>
                <w:szCs w:val="20"/>
              </w:rPr>
            </w:pPr>
            <w:r w:rsidRPr="00036A5E">
              <w:rPr>
                <w:rStyle w:val="Strong"/>
                <w:szCs w:val="20"/>
              </w:rPr>
              <w:t>4</w:t>
            </w:r>
            <w:r w:rsidRPr="00036A5E">
              <w:rPr>
                <w:szCs w:val="20"/>
              </w:rPr>
              <w:br/>
              <w:t>Parent: 4</w:t>
            </w:r>
          </w:p>
        </w:tc>
        <w:tc>
          <w:tcPr>
            <w:tcW w:w="754" w:type="pct"/>
          </w:tcPr>
          <w:p w14:paraId="7CEF6BF2" w14:textId="77777777" w:rsidR="00EF5C25" w:rsidRPr="00036A5E" w:rsidRDefault="00EF5C25" w:rsidP="0022086B">
            <w:pPr>
              <w:pStyle w:val="TableBody"/>
              <w:rPr>
                <w:szCs w:val="20"/>
              </w:rPr>
            </w:pPr>
            <w:r w:rsidRPr="00036A5E">
              <w:rPr>
                <w:rStyle w:val="Strong"/>
                <w:szCs w:val="20"/>
              </w:rPr>
              <w:t>3</w:t>
            </w:r>
            <w:r w:rsidRPr="00036A5E">
              <w:rPr>
                <w:szCs w:val="20"/>
              </w:rPr>
              <w:br/>
              <w:t>Parent: 3</w:t>
            </w:r>
          </w:p>
        </w:tc>
      </w:tr>
      <w:tr w:rsidR="0022086B" w:rsidRPr="007F530F" w14:paraId="3441CAF3" w14:textId="77777777" w:rsidTr="0022086B">
        <w:trPr>
          <w:trHeight w:val="60"/>
        </w:trPr>
        <w:tc>
          <w:tcPr>
            <w:tcW w:w="891" w:type="pct"/>
          </w:tcPr>
          <w:p w14:paraId="77827040" w14:textId="77777777" w:rsidR="00EF5C25" w:rsidRPr="00036A5E" w:rsidRDefault="00EF5C25" w:rsidP="0022086B">
            <w:pPr>
              <w:pStyle w:val="TableBody"/>
              <w:rPr>
                <w:szCs w:val="20"/>
              </w:rPr>
            </w:pPr>
            <w:r w:rsidRPr="00036A5E">
              <w:rPr>
                <w:szCs w:val="20"/>
              </w:rPr>
              <w:lastRenderedPageBreak/>
              <w:t>Incest with a sibling or half-sibling</w:t>
            </w:r>
          </w:p>
        </w:tc>
        <w:tc>
          <w:tcPr>
            <w:tcW w:w="736" w:type="pct"/>
          </w:tcPr>
          <w:p w14:paraId="621943A1" w14:textId="77777777" w:rsidR="00EF5C25" w:rsidRPr="00036A5E" w:rsidRDefault="00EF5C25" w:rsidP="0022086B">
            <w:pPr>
              <w:pStyle w:val="TableBody"/>
              <w:rPr>
                <w:szCs w:val="20"/>
              </w:rPr>
            </w:pPr>
            <w:r w:rsidRPr="00036A5E">
              <w:rPr>
                <w:szCs w:val="20"/>
              </w:rPr>
              <w:t>Section 44(4)</w:t>
            </w:r>
          </w:p>
        </w:tc>
        <w:tc>
          <w:tcPr>
            <w:tcW w:w="803" w:type="pct"/>
          </w:tcPr>
          <w:p w14:paraId="7E446568"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5 August 1991</w:t>
            </w:r>
            <w:r w:rsidRPr="00036A5E">
              <w:rPr>
                <w:szCs w:val="20"/>
              </w:rPr>
              <w:br/>
            </w:r>
            <w:r w:rsidRPr="00036A5E">
              <w:rPr>
                <w:rStyle w:val="Strong"/>
                <w:szCs w:val="20"/>
              </w:rPr>
              <w:t>To</w:t>
            </w:r>
            <w:r w:rsidRPr="00036A5E">
              <w:rPr>
                <w:szCs w:val="20"/>
              </w:rPr>
              <w:t xml:space="preserve"> 30 June 2017</w:t>
            </w:r>
          </w:p>
        </w:tc>
        <w:tc>
          <w:tcPr>
            <w:tcW w:w="947" w:type="pct"/>
          </w:tcPr>
          <w:p w14:paraId="20F33288" w14:textId="77777777" w:rsidR="00EF5C25" w:rsidRPr="00036A5E" w:rsidRDefault="00EF5C25" w:rsidP="0022086B">
            <w:pPr>
              <w:pStyle w:val="TableBody"/>
              <w:rPr>
                <w:szCs w:val="20"/>
              </w:rPr>
            </w:pPr>
            <w:r w:rsidRPr="00036A5E">
              <w:rPr>
                <w:rStyle w:val="Strong"/>
                <w:szCs w:val="20"/>
              </w:rPr>
              <w:t>Before 24 April 1992</w:t>
            </w:r>
            <w:r w:rsidRPr="00036A5E">
              <w:rPr>
                <w:szCs w:val="20"/>
              </w:rPr>
              <w:br/>
              <w:t>5 years</w:t>
            </w:r>
            <w:r w:rsidRPr="00036A5E">
              <w:rPr>
                <w:szCs w:val="20"/>
              </w:rPr>
              <w:br/>
            </w:r>
            <w:r w:rsidRPr="00036A5E">
              <w:rPr>
                <w:rStyle w:val="Strong"/>
                <w:szCs w:val="20"/>
              </w:rPr>
              <w:t>24 April 1992 to 30 August 1997</w:t>
            </w:r>
            <w:r w:rsidRPr="00036A5E">
              <w:rPr>
                <w:szCs w:val="20"/>
              </w:rPr>
              <w:br/>
              <w:t xml:space="preserve">7 years and 6 months </w:t>
            </w:r>
            <w:r w:rsidRPr="00036A5E">
              <w:rPr>
                <w:szCs w:val="20"/>
              </w:rPr>
              <w:br/>
            </w:r>
            <w:r w:rsidRPr="00036A5E">
              <w:rPr>
                <w:rStyle w:val="Strong"/>
                <w:szCs w:val="20"/>
              </w:rPr>
              <w:t>From 1 September 1997</w:t>
            </w:r>
            <w:r w:rsidRPr="00036A5E">
              <w:rPr>
                <w:szCs w:val="20"/>
              </w:rPr>
              <w:br/>
              <w:t>5 years</w:t>
            </w:r>
          </w:p>
        </w:tc>
        <w:tc>
          <w:tcPr>
            <w:tcW w:w="869" w:type="pct"/>
          </w:tcPr>
          <w:p w14:paraId="2CE646AD" w14:textId="539FAF41" w:rsidR="00EF5C25" w:rsidRPr="00036A5E" w:rsidRDefault="00EF5C25" w:rsidP="0022086B">
            <w:pPr>
              <w:pStyle w:val="TableBody"/>
              <w:rPr>
                <w:szCs w:val="20"/>
              </w:rPr>
            </w:pPr>
            <w:r w:rsidRPr="00036A5E">
              <w:rPr>
                <w:rStyle w:val="Strong"/>
                <w:szCs w:val="20"/>
              </w:rPr>
              <w:t>85</w:t>
            </w:r>
            <w:r w:rsidRPr="00036A5E">
              <w:rPr>
                <w:szCs w:val="20"/>
              </w:rPr>
              <w:br/>
              <w:t>Sibling: 61</w:t>
            </w:r>
            <w:r w:rsidRPr="00036A5E">
              <w:rPr>
                <w:szCs w:val="20"/>
              </w:rPr>
              <w:br/>
              <w:t>Half-sibling:</w:t>
            </w:r>
            <w:r w:rsidR="00DD1A24" w:rsidRPr="00036A5E">
              <w:rPr>
                <w:szCs w:val="20"/>
              </w:rPr>
              <w:t>1</w:t>
            </w:r>
            <w:r w:rsidRPr="00036A5E">
              <w:rPr>
                <w:szCs w:val="20"/>
              </w:rPr>
              <w:t>24</w:t>
            </w:r>
          </w:p>
        </w:tc>
        <w:tc>
          <w:tcPr>
            <w:tcW w:w="754" w:type="pct"/>
          </w:tcPr>
          <w:p w14:paraId="19322854" w14:textId="6A17B273" w:rsidR="00EF5C25" w:rsidRPr="00036A5E" w:rsidRDefault="00EF5C25" w:rsidP="0022086B">
            <w:pPr>
              <w:pStyle w:val="TableBody"/>
              <w:rPr>
                <w:szCs w:val="20"/>
              </w:rPr>
            </w:pPr>
            <w:r w:rsidRPr="00036A5E">
              <w:rPr>
                <w:rStyle w:val="Strong"/>
                <w:szCs w:val="20"/>
              </w:rPr>
              <w:t>34</w:t>
            </w:r>
            <w:r w:rsidRPr="00036A5E">
              <w:rPr>
                <w:szCs w:val="20"/>
              </w:rPr>
              <w:br/>
              <w:t>Sibling: 23</w:t>
            </w:r>
            <w:r w:rsidRPr="00036A5E">
              <w:rPr>
                <w:szCs w:val="20"/>
              </w:rPr>
              <w:br/>
              <w:t>Half-sibling:</w:t>
            </w:r>
            <w:r w:rsidR="0008323E" w:rsidRPr="00036A5E">
              <w:rPr>
                <w:szCs w:val="20"/>
              </w:rPr>
              <w:t xml:space="preserve"> </w:t>
            </w:r>
            <w:r w:rsidRPr="00036A5E">
              <w:rPr>
                <w:szCs w:val="20"/>
              </w:rPr>
              <w:t>11</w:t>
            </w:r>
          </w:p>
        </w:tc>
      </w:tr>
      <w:tr w:rsidR="0022086B" w:rsidRPr="007F530F" w14:paraId="10624A79" w14:textId="77777777" w:rsidTr="0022086B">
        <w:trPr>
          <w:trHeight w:val="60"/>
        </w:trPr>
        <w:tc>
          <w:tcPr>
            <w:tcW w:w="891" w:type="pct"/>
          </w:tcPr>
          <w:p w14:paraId="5B139B1A" w14:textId="77777777" w:rsidR="00EF5C25" w:rsidRPr="00036A5E" w:rsidRDefault="00EF5C25" w:rsidP="0022086B">
            <w:pPr>
              <w:pStyle w:val="TableBody"/>
              <w:rPr>
                <w:szCs w:val="20"/>
              </w:rPr>
            </w:pPr>
            <w:r w:rsidRPr="00036A5E">
              <w:rPr>
                <w:szCs w:val="20"/>
              </w:rPr>
              <w:t>Sexual penetration with a child, stepchild or lineal descendant</w:t>
            </w:r>
          </w:p>
        </w:tc>
        <w:tc>
          <w:tcPr>
            <w:tcW w:w="736" w:type="pct"/>
          </w:tcPr>
          <w:p w14:paraId="1A321195" w14:textId="77777777" w:rsidR="00EF5C25" w:rsidRPr="00036A5E" w:rsidRDefault="00EF5C25" w:rsidP="0022086B">
            <w:pPr>
              <w:pStyle w:val="TableBody"/>
              <w:rPr>
                <w:szCs w:val="20"/>
              </w:rPr>
            </w:pPr>
            <w:r w:rsidRPr="00036A5E">
              <w:rPr>
                <w:szCs w:val="20"/>
              </w:rPr>
              <w:t>Sections 50C</w:t>
            </w:r>
            <w:r w:rsidRPr="00036A5E">
              <w:rPr>
                <w:szCs w:val="20"/>
              </w:rPr>
              <w:br/>
              <w:t>50D</w:t>
            </w:r>
          </w:p>
        </w:tc>
        <w:tc>
          <w:tcPr>
            <w:tcW w:w="803" w:type="pct"/>
          </w:tcPr>
          <w:p w14:paraId="0DD95281"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July 2017</w:t>
            </w:r>
            <w:r w:rsidRPr="00036A5E">
              <w:rPr>
                <w:szCs w:val="20"/>
              </w:rPr>
              <w:br/>
            </w:r>
            <w:r w:rsidRPr="00036A5E">
              <w:rPr>
                <w:rStyle w:val="Strong"/>
                <w:szCs w:val="20"/>
              </w:rPr>
              <w:t>To</w:t>
            </w:r>
            <w:r w:rsidRPr="00036A5E">
              <w:rPr>
                <w:szCs w:val="20"/>
              </w:rPr>
              <w:t xml:space="preserve"> present</w:t>
            </w:r>
          </w:p>
        </w:tc>
        <w:tc>
          <w:tcPr>
            <w:tcW w:w="947" w:type="pct"/>
          </w:tcPr>
          <w:p w14:paraId="653EDC61" w14:textId="77777777" w:rsidR="00EF5C25" w:rsidRPr="00036A5E" w:rsidRDefault="00EF5C25" w:rsidP="0022086B">
            <w:pPr>
              <w:pStyle w:val="TableBody"/>
              <w:rPr>
                <w:szCs w:val="20"/>
              </w:rPr>
            </w:pPr>
            <w:r w:rsidRPr="00036A5E">
              <w:rPr>
                <w:szCs w:val="20"/>
              </w:rPr>
              <w:t>25 years</w:t>
            </w:r>
          </w:p>
        </w:tc>
        <w:tc>
          <w:tcPr>
            <w:tcW w:w="869" w:type="pct"/>
          </w:tcPr>
          <w:p w14:paraId="379953F3" w14:textId="77777777" w:rsidR="00EF5C25" w:rsidRPr="00036A5E" w:rsidRDefault="00EF5C25" w:rsidP="0022086B">
            <w:pPr>
              <w:pStyle w:val="TableBody"/>
              <w:rPr>
                <w:szCs w:val="20"/>
              </w:rPr>
            </w:pPr>
            <w:r w:rsidRPr="00036A5E">
              <w:rPr>
                <w:rStyle w:val="Strong"/>
                <w:szCs w:val="20"/>
              </w:rPr>
              <w:t>16</w:t>
            </w:r>
            <w:r w:rsidRPr="00036A5E">
              <w:rPr>
                <w:szCs w:val="20"/>
              </w:rPr>
              <w:br/>
              <w:t>Stepchild: 6</w:t>
            </w:r>
            <w:r w:rsidRPr="00036A5E">
              <w:rPr>
                <w:szCs w:val="20"/>
              </w:rPr>
              <w:br/>
              <w:t>Child: 4</w:t>
            </w:r>
            <w:r w:rsidRPr="00036A5E">
              <w:rPr>
                <w:szCs w:val="20"/>
              </w:rPr>
              <w:br/>
              <w:t xml:space="preserve">Lineal descendant: 6 </w:t>
            </w:r>
          </w:p>
        </w:tc>
        <w:tc>
          <w:tcPr>
            <w:tcW w:w="754" w:type="pct"/>
          </w:tcPr>
          <w:p w14:paraId="10365B89" w14:textId="77777777" w:rsidR="00EF5C25" w:rsidRPr="00036A5E" w:rsidRDefault="00EF5C25" w:rsidP="0022086B">
            <w:pPr>
              <w:pStyle w:val="TableBody"/>
              <w:rPr>
                <w:szCs w:val="20"/>
              </w:rPr>
            </w:pPr>
            <w:r w:rsidRPr="00036A5E">
              <w:rPr>
                <w:rStyle w:val="Strong"/>
                <w:szCs w:val="20"/>
              </w:rPr>
              <w:t>7</w:t>
            </w:r>
            <w:r w:rsidRPr="00036A5E">
              <w:rPr>
                <w:szCs w:val="20"/>
              </w:rPr>
              <w:br/>
              <w:t>Stepchild: 3</w:t>
            </w:r>
            <w:r w:rsidRPr="00036A5E">
              <w:rPr>
                <w:szCs w:val="20"/>
              </w:rPr>
              <w:br/>
              <w:t>Child: 1</w:t>
            </w:r>
            <w:r w:rsidRPr="00036A5E">
              <w:rPr>
                <w:szCs w:val="20"/>
              </w:rPr>
              <w:br/>
              <w:t>Lineal descendant: 3</w:t>
            </w:r>
          </w:p>
        </w:tc>
      </w:tr>
      <w:tr w:rsidR="0022086B" w:rsidRPr="007F530F" w14:paraId="1E9B9C37" w14:textId="77777777" w:rsidTr="0022086B">
        <w:trPr>
          <w:trHeight w:val="60"/>
        </w:trPr>
        <w:tc>
          <w:tcPr>
            <w:tcW w:w="891" w:type="pct"/>
          </w:tcPr>
          <w:p w14:paraId="25CFC42C" w14:textId="77777777" w:rsidR="00EF5C25" w:rsidRPr="00036A5E" w:rsidRDefault="00EF5C25" w:rsidP="0022086B">
            <w:pPr>
              <w:pStyle w:val="TableBody"/>
              <w:rPr>
                <w:szCs w:val="20"/>
              </w:rPr>
            </w:pPr>
            <w:r w:rsidRPr="00036A5E">
              <w:rPr>
                <w:szCs w:val="20"/>
              </w:rPr>
              <w:t xml:space="preserve">Sexual penetration with a parent, stepparent or lineal ancestor </w:t>
            </w:r>
          </w:p>
        </w:tc>
        <w:tc>
          <w:tcPr>
            <w:tcW w:w="736" w:type="pct"/>
          </w:tcPr>
          <w:p w14:paraId="2EA59903" w14:textId="77777777" w:rsidR="00EF5C25" w:rsidRPr="00036A5E" w:rsidRDefault="00EF5C25" w:rsidP="0022086B">
            <w:pPr>
              <w:pStyle w:val="TableBody"/>
              <w:rPr>
                <w:szCs w:val="20"/>
              </w:rPr>
            </w:pPr>
            <w:r w:rsidRPr="00036A5E">
              <w:rPr>
                <w:szCs w:val="20"/>
              </w:rPr>
              <w:t>Section 50E</w:t>
            </w:r>
          </w:p>
        </w:tc>
        <w:tc>
          <w:tcPr>
            <w:tcW w:w="803" w:type="pct"/>
          </w:tcPr>
          <w:p w14:paraId="21EBD771"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July 2017</w:t>
            </w:r>
            <w:r w:rsidRPr="00036A5E">
              <w:rPr>
                <w:szCs w:val="20"/>
              </w:rPr>
              <w:br/>
            </w:r>
            <w:r w:rsidRPr="00036A5E">
              <w:rPr>
                <w:rStyle w:val="Strong"/>
                <w:szCs w:val="20"/>
              </w:rPr>
              <w:t>To</w:t>
            </w:r>
            <w:r w:rsidRPr="00036A5E">
              <w:rPr>
                <w:szCs w:val="20"/>
              </w:rPr>
              <w:t xml:space="preserve"> present</w:t>
            </w:r>
          </w:p>
        </w:tc>
        <w:tc>
          <w:tcPr>
            <w:tcW w:w="947" w:type="pct"/>
          </w:tcPr>
          <w:p w14:paraId="6FB4CB3C" w14:textId="77777777" w:rsidR="00EF5C25" w:rsidRPr="00036A5E" w:rsidRDefault="00EF5C25" w:rsidP="0022086B">
            <w:pPr>
              <w:pStyle w:val="TableBody"/>
              <w:rPr>
                <w:szCs w:val="20"/>
              </w:rPr>
            </w:pPr>
            <w:r w:rsidRPr="00036A5E">
              <w:rPr>
                <w:szCs w:val="20"/>
              </w:rPr>
              <w:t>5 years</w:t>
            </w:r>
          </w:p>
        </w:tc>
        <w:tc>
          <w:tcPr>
            <w:tcW w:w="869" w:type="pct"/>
          </w:tcPr>
          <w:p w14:paraId="05E5BE0D" w14:textId="77777777" w:rsidR="00EF5C25" w:rsidRPr="00036A5E" w:rsidRDefault="00EF5C25" w:rsidP="0022086B">
            <w:pPr>
              <w:pStyle w:val="TableBody"/>
              <w:rPr>
                <w:szCs w:val="20"/>
              </w:rPr>
            </w:pPr>
            <w:r w:rsidRPr="00036A5E">
              <w:rPr>
                <w:szCs w:val="20"/>
              </w:rPr>
              <w:t>–</w:t>
            </w:r>
          </w:p>
        </w:tc>
        <w:tc>
          <w:tcPr>
            <w:tcW w:w="754" w:type="pct"/>
          </w:tcPr>
          <w:p w14:paraId="59B8B8EF" w14:textId="77777777" w:rsidR="00EF5C25" w:rsidRPr="00036A5E" w:rsidRDefault="00EF5C25" w:rsidP="0022086B">
            <w:pPr>
              <w:pStyle w:val="TableBody"/>
              <w:rPr>
                <w:szCs w:val="20"/>
              </w:rPr>
            </w:pPr>
            <w:r w:rsidRPr="00036A5E">
              <w:rPr>
                <w:szCs w:val="20"/>
              </w:rPr>
              <w:t>–</w:t>
            </w:r>
          </w:p>
        </w:tc>
      </w:tr>
      <w:tr w:rsidR="0022086B" w:rsidRPr="007F530F" w14:paraId="64E5B221" w14:textId="77777777" w:rsidTr="0022086B">
        <w:trPr>
          <w:trHeight w:val="60"/>
        </w:trPr>
        <w:tc>
          <w:tcPr>
            <w:tcW w:w="891" w:type="pct"/>
          </w:tcPr>
          <w:p w14:paraId="52C4B954" w14:textId="77777777" w:rsidR="00EF5C25" w:rsidRPr="00036A5E" w:rsidRDefault="00EF5C25" w:rsidP="0022086B">
            <w:pPr>
              <w:pStyle w:val="TableBody"/>
              <w:rPr>
                <w:szCs w:val="20"/>
              </w:rPr>
            </w:pPr>
            <w:r w:rsidRPr="00036A5E">
              <w:rPr>
                <w:szCs w:val="20"/>
              </w:rPr>
              <w:t>Sexual penetration with a sibling or half-sibling</w:t>
            </w:r>
          </w:p>
        </w:tc>
        <w:tc>
          <w:tcPr>
            <w:tcW w:w="736" w:type="pct"/>
          </w:tcPr>
          <w:p w14:paraId="6006B311" w14:textId="77777777" w:rsidR="00EF5C25" w:rsidRPr="00036A5E" w:rsidRDefault="00EF5C25" w:rsidP="0022086B">
            <w:pPr>
              <w:pStyle w:val="TableBody"/>
              <w:rPr>
                <w:szCs w:val="20"/>
              </w:rPr>
            </w:pPr>
            <w:r w:rsidRPr="00036A5E">
              <w:rPr>
                <w:szCs w:val="20"/>
              </w:rPr>
              <w:t>Section 50F</w:t>
            </w:r>
          </w:p>
        </w:tc>
        <w:tc>
          <w:tcPr>
            <w:tcW w:w="803" w:type="pct"/>
          </w:tcPr>
          <w:p w14:paraId="7C106E0F" w14:textId="77777777" w:rsidR="00EF5C25" w:rsidRPr="00036A5E" w:rsidRDefault="00EF5C25" w:rsidP="0022086B">
            <w:pPr>
              <w:pStyle w:val="TableBody"/>
              <w:rPr>
                <w:szCs w:val="20"/>
              </w:rPr>
            </w:pPr>
            <w:r w:rsidRPr="00036A5E">
              <w:rPr>
                <w:rStyle w:val="Strong"/>
                <w:szCs w:val="20"/>
              </w:rPr>
              <w:t>From</w:t>
            </w:r>
            <w:r w:rsidRPr="00036A5E">
              <w:rPr>
                <w:szCs w:val="20"/>
              </w:rPr>
              <w:t xml:space="preserve"> 1 July 2017</w:t>
            </w:r>
            <w:r w:rsidRPr="00036A5E">
              <w:rPr>
                <w:szCs w:val="20"/>
              </w:rPr>
              <w:br/>
            </w:r>
            <w:r w:rsidRPr="00036A5E">
              <w:rPr>
                <w:rStyle w:val="Strong"/>
                <w:szCs w:val="20"/>
              </w:rPr>
              <w:t>To</w:t>
            </w:r>
            <w:r w:rsidRPr="00036A5E">
              <w:rPr>
                <w:szCs w:val="20"/>
              </w:rPr>
              <w:t xml:space="preserve"> present</w:t>
            </w:r>
          </w:p>
        </w:tc>
        <w:tc>
          <w:tcPr>
            <w:tcW w:w="947" w:type="pct"/>
          </w:tcPr>
          <w:p w14:paraId="1D5B4251" w14:textId="77777777" w:rsidR="00EF5C25" w:rsidRPr="00036A5E" w:rsidRDefault="00EF5C25" w:rsidP="0022086B">
            <w:pPr>
              <w:pStyle w:val="TableBody"/>
              <w:rPr>
                <w:szCs w:val="20"/>
              </w:rPr>
            </w:pPr>
            <w:r w:rsidRPr="00036A5E">
              <w:rPr>
                <w:szCs w:val="20"/>
              </w:rPr>
              <w:t>5 years</w:t>
            </w:r>
          </w:p>
        </w:tc>
        <w:tc>
          <w:tcPr>
            <w:tcW w:w="869" w:type="pct"/>
          </w:tcPr>
          <w:p w14:paraId="510BE37C" w14:textId="77777777" w:rsidR="00EF5C25" w:rsidRPr="00036A5E" w:rsidRDefault="00EF5C25" w:rsidP="0022086B">
            <w:pPr>
              <w:pStyle w:val="TableBody"/>
              <w:rPr>
                <w:szCs w:val="20"/>
              </w:rPr>
            </w:pPr>
            <w:r w:rsidRPr="00036A5E">
              <w:rPr>
                <w:szCs w:val="20"/>
              </w:rPr>
              <w:t>–</w:t>
            </w:r>
          </w:p>
        </w:tc>
        <w:tc>
          <w:tcPr>
            <w:tcW w:w="754" w:type="pct"/>
          </w:tcPr>
          <w:p w14:paraId="5022DF84" w14:textId="77777777" w:rsidR="00EF5C25" w:rsidRPr="00036A5E" w:rsidRDefault="00EF5C25" w:rsidP="0022086B">
            <w:pPr>
              <w:pStyle w:val="TableBody"/>
              <w:rPr>
                <w:szCs w:val="20"/>
              </w:rPr>
            </w:pPr>
            <w:r w:rsidRPr="00036A5E">
              <w:rPr>
                <w:szCs w:val="20"/>
              </w:rPr>
              <w:t>–</w:t>
            </w:r>
          </w:p>
        </w:tc>
      </w:tr>
      <w:tr w:rsidR="0022086B" w:rsidRPr="007F530F" w14:paraId="18079360" w14:textId="77777777" w:rsidTr="0022086B">
        <w:trPr>
          <w:trHeight w:val="60"/>
        </w:trPr>
        <w:tc>
          <w:tcPr>
            <w:tcW w:w="891" w:type="pct"/>
          </w:tcPr>
          <w:p w14:paraId="5AEF7A66" w14:textId="77777777" w:rsidR="00EF5C25" w:rsidRPr="00036A5E" w:rsidRDefault="00EF5C25" w:rsidP="0022086B">
            <w:pPr>
              <w:pStyle w:val="TableBody"/>
              <w:rPr>
                <w:rStyle w:val="Strong"/>
                <w:szCs w:val="20"/>
              </w:rPr>
            </w:pPr>
            <w:r w:rsidRPr="00036A5E">
              <w:rPr>
                <w:rStyle w:val="Strong"/>
                <w:szCs w:val="20"/>
              </w:rPr>
              <w:t>Total</w:t>
            </w:r>
          </w:p>
        </w:tc>
        <w:tc>
          <w:tcPr>
            <w:tcW w:w="736" w:type="pct"/>
          </w:tcPr>
          <w:p w14:paraId="30376FCD" w14:textId="38869235" w:rsidR="00EF5C25" w:rsidRPr="00144CD4" w:rsidRDefault="00DA0418" w:rsidP="0022086B">
            <w:pPr>
              <w:pStyle w:val="TableBody"/>
            </w:pPr>
            <w:r w:rsidRPr="00144CD4">
              <w:t>–</w:t>
            </w:r>
          </w:p>
        </w:tc>
        <w:tc>
          <w:tcPr>
            <w:tcW w:w="803" w:type="pct"/>
          </w:tcPr>
          <w:p w14:paraId="59C8CFA8" w14:textId="1DA3D698" w:rsidR="00EF5C25" w:rsidRPr="00144CD4" w:rsidRDefault="00DA0418" w:rsidP="0022086B">
            <w:pPr>
              <w:pStyle w:val="TableBody"/>
            </w:pPr>
            <w:r w:rsidRPr="00144CD4">
              <w:t>–</w:t>
            </w:r>
          </w:p>
        </w:tc>
        <w:tc>
          <w:tcPr>
            <w:tcW w:w="947" w:type="pct"/>
          </w:tcPr>
          <w:p w14:paraId="07D3451D" w14:textId="316C48CE" w:rsidR="00EF5C25" w:rsidRPr="00144CD4" w:rsidRDefault="00DA0418" w:rsidP="0022086B">
            <w:pPr>
              <w:pStyle w:val="TableBody"/>
            </w:pPr>
            <w:r w:rsidRPr="00144CD4">
              <w:t>–</w:t>
            </w:r>
          </w:p>
        </w:tc>
        <w:tc>
          <w:tcPr>
            <w:tcW w:w="869" w:type="pct"/>
          </w:tcPr>
          <w:p w14:paraId="4F0F1E49" w14:textId="77777777" w:rsidR="00EF5C25" w:rsidRPr="00036A5E" w:rsidRDefault="00EF5C25" w:rsidP="0022086B">
            <w:pPr>
              <w:pStyle w:val="TableBody"/>
              <w:rPr>
                <w:rStyle w:val="Strong"/>
                <w:szCs w:val="20"/>
              </w:rPr>
            </w:pPr>
            <w:r w:rsidRPr="00036A5E">
              <w:rPr>
                <w:rStyle w:val="Strong"/>
                <w:szCs w:val="20"/>
              </w:rPr>
              <w:t>1,110</w:t>
            </w:r>
          </w:p>
        </w:tc>
        <w:tc>
          <w:tcPr>
            <w:tcW w:w="754" w:type="pct"/>
          </w:tcPr>
          <w:p w14:paraId="1209AB91" w14:textId="77777777" w:rsidR="00EF5C25" w:rsidRPr="00036A5E" w:rsidRDefault="00EF5C25" w:rsidP="0022086B">
            <w:pPr>
              <w:pStyle w:val="TableBody"/>
              <w:rPr>
                <w:rStyle w:val="Strong"/>
                <w:szCs w:val="20"/>
              </w:rPr>
            </w:pPr>
            <w:r w:rsidRPr="00036A5E">
              <w:rPr>
                <w:rStyle w:val="Strong"/>
                <w:szCs w:val="20"/>
              </w:rPr>
              <w:t>367</w:t>
            </w:r>
            <w:r w:rsidRPr="00696ADB">
              <w:rPr>
                <w:rStyle w:val="Strong"/>
                <w:vertAlign w:val="superscript"/>
              </w:rPr>
              <w:t>d</w:t>
            </w:r>
          </w:p>
        </w:tc>
      </w:tr>
    </w:tbl>
    <w:p w14:paraId="1AE5806C" w14:textId="77777777" w:rsidR="00EF5C25" w:rsidRPr="007F530F" w:rsidRDefault="00EF5C25" w:rsidP="00C10631">
      <w:pPr>
        <w:pStyle w:val="Footnote"/>
      </w:pPr>
      <w:r w:rsidRPr="007F530F">
        <w:t>a.</w:t>
      </w:r>
      <w:r w:rsidRPr="007F530F">
        <w:tab/>
        <w:t xml:space="preserve">This includes 26 charges that were recorded in the data as incest with a child, stepchild or lineal descendant contrary to section 52(1) of the </w:t>
      </w:r>
      <w:r w:rsidRPr="00D62402">
        <w:rPr>
          <w:rStyle w:val="Emphasis"/>
        </w:rPr>
        <w:t>Crimes Act 1957</w:t>
      </w:r>
      <w:r w:rsidRPr="007F530F">
        <w:t xml:space="preserve"> (Vic). A review of available sentencing remarks in some of these cases suggests that this was a data entry error and that these were in fact contraventions of the more recent offence contrary to section 52(1) of the </w:t>
      </w:r>
      <w:r w:rsidRPr="00D62402">
        <w:rPr>
          <w:rStyle w:val="Emphasis"/>
        </w:rPr>
        <w:t xml:space="preserve">Crimes Act 1958 </w:t>
      </w:r>
      <w:r w:rsidRPr="007F530F">
        <w:t>(Vic), which was in effect from 1 March 1981 to 4 August 1991.</w:t>
      </w:r>
    </w:p>
    <w:p w14:paraId="717C7630" w14:textId="77777777" w:rsidR="00EF5C25" w:rsidRPr="007F530F" w:rsidRDefault="00EF5C25" w:rsidP="00C10631">
      <w:pPr>
        <w:pStyle w:val="Footnote"/>
      </w:pPr>
      <w:r w:rsidRPr="007F530F">
        <w:t>b.</w:t>
      </w:r>
      <w:r w:rsidRPr="007F530F">
        <w:tab/>
        <w:t xml:space="preserve">This includes 48 charges that were recorded in the data as incest with a child, stepchild or lineal descendant contrary to section 48(1) of the </w:t>
      </w:r>
      <w:r w:rsidRPr="00D62402">
        <w:rPr>
          <w:rStyle w:val="Emphasis"/>
        </w:rPr>
        <w:t xml:space="preserve">Crimes Act 1928 </w:t>
      </w:r>
      <w:r w:rsidRPr="007F530F">
        <w:t xml:space="preserve">(Vic). A review of available sentencing remarks in some of these cases suggests that this was a data entry error and that these were in fact contraventions of the more recent offence contrary to section 44(1) of the </w:t>
      </w:r>
      <w:r w:rsidRPr="00D62402">
        <w:rPr>
          <w:rStyle w:val="Emphasis"/>
        </w:rPr>
        <w:t xml:space="preserve">Crimes Act 1958 </w:t>
      </w:r>
      <w:r w:rsidRPr="007F530F">
        <w:t>(Vic), which was in effect from 5 August 1991 to 30 June 2017.</w:t>
      </w:r>
    </w:p>
    <w:p w14:paraId="4ECF102A" w14:textId="77777777" w:rsidR="00EF5C25" w:rsidRPr="007F530F" w:rsidRDefault="00EF5C25" w:rsidP="00C10631">
      <w:pPr>
        <w:pStyle w:val="Footnote"/>
      </w:pPr>
      <w:r w:rsidRPr="007F530F">
        <w:t>c.</w:t>
      </w:r>
      <w:r w:rsidRPr="007F530F">
        <w:tab/>
        <w:t>The total number of cases in each category is less than the sum of the individual relationship values because in some cases multiple incest offences were sentenced together.</w:t>
      </w:r>
    </w:p>
    <w:p w14:paraId="78ABF77E" w14:textId="77777777" w:rsidR="00EF5C25" w:rsidRPr="007F530F" w:rsidRDefault="00EF5C25" w:rsidP="00C10631">
      <w:pPr>
        <w:pStyle w:val="Footnote"/>
      </w:pPr>
      <w:r w:rsidRPr="007F530F">
        <w:t>d.</w:t>
      </w:r>
      <w:r w:rsidRPr="007F530F">
        <w:tab/>
        <w:t>The total number of cases is lower than the sum of the above rows because there were cases in which multiple incest offences under various statutory references were sentenced together.</w:t>
      </w:r>
    </w:p>
    <w:p w14:paraId="2AAEBE12" w14:textId="77777777" w:rsidR="00DA0418" w:rsidRDefault="00DA0418" w:rsidP="006633AA">
      <w:pPr>
        <w:pStyle w:val="Heading2"/>
        <w:sectPr w:rsidR="00DA0418" w:rsidSect="00DA0418">
          <w:pgSz w:w="16838" w:h="11906" w:orient="landscape"/>
          <w:pgMar w:top="1440" w:right="1440" w:bottom="1440" w:left="1440" w:header="720" w:footer="720" w:gutter="0"/>
          <w:cols w:space="720"/>
          <w:noEndnote/>
          <w:docGrid w:linePitch="326"/>
        </w:sectPr>
      </w:pPr>
    </w:p>
    <w:p w14:paraId="78428D9D" w14:textId="3868E1E4" w:rsidR="00EF5C25" w:rsidRPr="007F530F" w:rsidRDefault="00EF5C25" w:rsidP="006633AA">
      <w:pPr>
        <w:pStyle w:val="Heading2"/>
      </w:pPr>
      <w:r w:rsidRPr="007F530F">
        <w:lastRenderedPageBreak/>
        <w:t>Sentence types imposed for incest offences</w:t>
      </w:r>
    </w:p>
    <w:p w14:paraId="2C3FAF28" w14:textId="4CF70767" w:rsidR="00EF5C25" w:rsidRPr="007F530F" w:rsidRDefault="00EF5C25" w:rsidP="00E91615">
      <w:pPr>
        <w:pStyle w:val="Numbered"/>
      </w:pPr>
      <w:r w:rsidRPr="007F530F">
        <w:t>Table 7 shows the sentencing outcomes for charges of incest during the reference period.</w:t>
      </w:r>
      <w:r w:rsidRPr="007F530F">
        <w:rPr>
          <w:rStyle w:val="Superscript"/>
        </w:rPr>
        <w:footnoteReference w:id="139"/>
      </w:r>
      <w:r w:rsidRPr="007F530F">
        <w:t xml:space="preserve"> The vast majority (94%) received an immediate custodial sentence. Of the 72 incest charges that received another sentence type, 62 were offences with maximum penalties of 5 years’ or 7 years’ imprisonment (incest with a parent or sibling). Just 10 incest charges with comparatively higher maximum penalties of 20 years’ or 25 years’ imprisonment (in 8 cases) received a sentence other than an immediate custodial sentence: incest with a child (4), stepchild (2) or lineal descendant (4). </w:t>
      </w:r>
    </w:p>
    <w:p w14:paraId="7B038FA9" w14:textId="77777777" w:rsidR="00073E07" w:rsidRDefault="00073E07" w:rsidP="00D00197">
      <w:pPr>
        <w:pStyle w:val="Caption"/>
        <w:sectPr w:rsidR="00073E07" w:rsidSect="00D6349A">
          <w:pgSz w:w="11906" w:h="16838"/>
          <w:pgMar w:top="1440" w:right="1440" w:bottom="1440" w:left="1440" w:header="720" w:footer="720" w:gutter="0"/>
          <w:cols w:space="720"/>
          <w:noEndnote/>
          <w:docGrid w:linePitch="326"/>
        </w:sectPr>
      </w:pPr>
    </w:p>
    <w:p w14:paraId="721F36B0" w14:textId="4349A31E" w:rsidR="005D0C3A" w:rsidRPr="007F530F" w:rsidRDefault="005D0C3A" w:rsidP="00D00197">
      <w:pPr>
        <w:pStyle w:val="Caption"/>
      </w:pPr>
      <w:r w:rsidRPr="00D00197">
        <w:lastRenderedPageBreak/>
        <w:t>Table 7:</w:t>
      </w:r>
      <w:r w:rsidRPr="007F530F">
        <w:t xml:space="preserve"> Number and proportion of each sentence type imposed for incest offences sentenced in Victoria, 2010 to 2019 (1,110 charges) </w:t>
      </w:r>
    </w:p>
    <w:tbl>
      <w:tblPr>
        <w:tblStyle w:val="Table"/>
        <w:tblW w:w="5022" w:type="pct"/>
        <w:tblLook w:val="0020" w:firstRow="1" w:lastRow="0" w:firstColumn="0" w:lastColumn="0" w:noHBand="0" w:noVBand="0"/>
      </w:tblPr>
      <w:tblGrid>
        <w:gridCol w:w="1753"/>
        <w:gridCol w:w="1101"/>
        <w:gridCol w:w="1104"/>
        <w:gridCol w:w="1104"/>
        <w:gridCol w:w="1104"/>
        <w:gridCol w:w="1104"/>
        <w:gridCol w:w="1104"/>
        <w:gridCol w:w="1104"/>
        <w:gridCol w:w="1104"/>
        <w:gridCol w:w="1104"/>
        <w:gridCol w:w="1104"/>
        <w:gridCol w:w="1219"/>
      </w:tblGrid>
      <w:tr w:rsidR="005D0C3A" w:rsidRPr="00073E07" w14:paraId="4A99EC61" w14:textId="77777777" w:rsidTr="00377374">
        <w:trPr>
          <w:trHeight w:val="60"/>
        </w:trPr>
        <w:tc>
          <w:tcPr>
            <w:tcW w:w="626" w:type="pct"/>
          </w:tcPr>
          <w:p w14:paraId="3281EA96" w14:textId="77777777" w:rsidR="005D0C3A" w:rsidRPr="00073E07" w:rsidRDefault="005D0C3A" w:rsidP="00841071">
            <w:pPr>
              <w:pStyle w:val="TableHeading"/>
              <w:rPr>
                <w:szCs w:val="20"/>
              </w:rPr>
            </w:pPr>
            <w:r w:rsidRPr="00073E07">
              <w:rPr>
                <w:szCs w:val="20"/>
              </w:rPr>
              <w:t>Outcome</w:t>
            </w:r>
          </w:p>
        </w:tc>
        <w:tc>
          <w:tcPr>
            <w:tcW w:w="393" w:type="pct"/>
          </w:tcPr>
          <w:p w14:paraId="3D113EA8" w14:textId="77777777" w:rsidR="005D0C3A" w:rsidRPr="00073E07" w:rsidRDefault="005D0C3A" w:rsidP="00DF5757">
            <w:pPr>
              <w:pStyle w:val="TableHeading"/>
              <w:rPr>
                <w:szCs w:val="20"/>
              </w:rPr>
            </w:pPr>
            <w:r w:rsidRPr="00073E07">
              <w:rPr>
                <w:szCs w:val="20"/>
              </w:rPr>
              <w:t>2010</w:t>
            </w:r>
          </w:p>
        </w:tc>
        <w:tc>
          <w:tcPr>
            <w:tcW w:w="394" w:type="pct"/>
          </w:tcPr>
          <w:p w14:paraId="599D756B" w14:textId="77777777" w:rsidR="005D0C3A" w:rsidRPr="00073E07" w:rsidRDefault="005D0C3A" w:rsidP="00DF5757">
            <w:pPr>
              <w:pStyle w:val="TableHeading"/>
              <w:rPr>
                <w:szCs w:val="20"/>
              </w:rPr>
            </w:pPr>
            <w:r w:rsidRPr="00073E07">
              <w:rPr>
                <w:szCs w:val="20"/>
              </w:rPr>
              <w:t>2011</w:t>
            </w:r>
          </w:p>
        </w:tc>
        <w:tc>
          <w:tcPr>
            <w:tcW w:w="394" w:type="pct"/>
          </w:tcPr>
          <w:p w14:paraId="08AE612B" w14:textId="77777777" w:rsidR="005D0C3A" w:rsidRPr="00073E07" w:rsidRDefault="005D0C3A" w:rsidP="00DF5757">
            <w:pPr>
              <w:pStyle w:val="TableHeading"/>
              <w:rPr>
                <w:szCs w:val="20"/>
              </w:rPr>
            </w:pPr>
            <w:r w:rsidRPr="00073E07">
              <w:rPr>
                <w:szCs w:val="20"/>
              </w:rPr>
              <w:t>2012</w:t>
            </w:r>
          </w:p>
        </w:tc>
        <w:tc>
          <w:tcPr>
            <w:tcW w:w="394" w:type="pct"/>
          </w:tcPr>
          <w:p w14:paraId="24D25330" w14:textId="77777777" w:rsidR="005D0C3A" w:rsidRPr="00073E07" w:rsidRDefault="005D0C3A" w:rsidP="00DF5757">
            <w:pPr>
              <w:pStyle w:val="TableHeading"/>
              <w:rPr>
                <w:szCs w:val="20"/>
              </w:rPr>
            </w:pPr>
            <w:r w:rsidRPr="00073E07">
              <w:rPr>
                <w:szCs w:val="20"/>
              </w:rPr>
              <w:t>2013</w:t>
            </w:r>
          </w:p>
        </w:tc>
        <w:tc>
          <w:tcPr>
            <w:tcW w:w="394" w:type="pct"/>
          </w:tcPr>
          <w:p w14:paraId="33CE247E" w14:textId="77777777" w:rsidR="005D0C3A" w:rsidRPr="00073E07" w:rsidRDefault="005D0C3A" w:rsidP="00DF5757">
            <w:pPr>
              <w:pStyle w:val="TableHeading"/>
              <w:rPr>
                <w:szCs w:val="20"/>
              </w:rPr>
            </w:pPr>
            <w:r w:rsidRPr="00073E07">
              <w:rPr>
                <w:szCs w:val="20"/>
              </w:rPr>
              <w:t>2014</w:t>
            </w:r>
          </w:p>
        </w:tc>
        <w:tc>
          <w:tcPr>
            <w:tcW w:w="394" w:type="pct"/>
          </w:tcPr>
          <w:p w14:paraId="065AB744" w14:textId="77777777" w:rsidR="005D0C3A" w:rsidRPr="00073E07" w:rsidRDefault="005D0C3A" w:rsidP="00DF5757">
            <w:pPr>
              <w:pStyle w:val="TableHeading"/>
              <w:rPr>
                <w:szCs w:val="20"/>
              </w:rPr>
            </w:pPr>
            <w:r w:rsidRPr="00073E07">
              <w:rPr>
                <w:szCs w:val="20"/>
              </w:rPr>
              <w:t>2015</w:t>
            </w:r>
          </w:p>
        </w:tc>
        <w:tc>
          <w:tcPr>
            <w:tcW w:w="394" w:type="pct"/>
          </w:tcPr>
          <w:p w14:paraId="613555BC" w14:textId="77777777" w:rsidR="005D0C3A" w:rsidRPr="00073E07" w:rsidRDefault="005D0C3A" w:rsidP="00DF5757">
            <w:pPr>
              <w:pStyle w:val="TableHeading"/>
              <w:rPr>
                <w:szCs w:val="20"/>
              </w:rPr>
            </w:pPr>
            <w:r w:rsidRPr="00073E07">
              <w:rPr>
                <w:szCs w:val="20"/>
              </w:rPr>
              <w:t>2016</w:t>
            </w:r>
          </w:p>
        </w:tc>
        <w:tc>
          <w:tcPr>
            <w:tcW w:w="394" w:type="pct"/>
          </w:tcPr>
          <w:p w14:paraId="562709AD" w14:textId="77777777" w:rsidR="005D0C3A" w:rsidRPr="00073E07" w:rsidRDefault="005D0C3A" w:rsidP="00DF5757">
            <w:pPr>
              <w:pStyle w:val="TableHeading"/>
              <w:rPr>
                <w:szCs w:val="20"/>
              </w:rPr>
            </w:pPr>
            <w:r w:rsidRPr="00073E07">
              <w:rPr>
                <w:szCs w:val="20"/>
              </w:rPr>
              <w:t>2017</w:t>
            </w:r>
          </w:p>
        </w:tc>
        <w:tc>
          <w:tcPr>
            <w:tcW w:w="394" w:type="pct"/>
          </w:tcPr>
          <w:p w14:paraId="32AB1FC5" w14:textId="77777777" w:rsidR="005D0C3A" w:rsidRPr="00073E07" w:rsidRDefault="005D0C3A" w:rsidP="00DF5757">
            <w:pPr>
              <w:pStyle w:val="TableHeading"/>
              <w:rPr>
                <w:szCs w:val="20"/>
              </w:rPr>
            </w:pPr>
            <w:r w:rsidRPr="00073E07">
              <w:rPr>
                <w:szCs w:val="20"/>
              </w:rPr>
              <w:t>2018</w:t>
            </w:r>
          </w:p>
        </w:tc>
        <w:tc>
          <w:tcPr>
            <w:tcW w:w="394" w:type="pct"/>
          </w:tcPr>
          <w:p w14:paraId="69EE8DF3" w14:textId="77777777" w:rsidR="005D0C3A" w:rsidRPr="00073E07" w:rsidRDefault="005D0C3A" w:rsidP="00DF5757">
            <w:pPr>
              <w:pStyle w:val="TableHeading"/>
              <w:rPr>
                <w:szCs w:val="20"/>
              </w:rPr>
            </w:pPr>
            <w:r w:rsidRPr="00073E07">
              <w:rPr>
                <w:szCs w:val="20"/>
              </w:rPr>
              <w:t>2019</w:t>
            </w:r>
          </w:p>
        </w:tc>
        <w:tc>
          <w:tcPr>
            <w:tcW w:w="437" w:type="pct"/>
          </w:tcPr>
          <w:p w14:paraId="7FC884C1" w14:textId="77777777" w:rsidR="005D0C3A" w:rsidRPr="00073E07" w:rsidRDefault="005D0C3A" w:rsidP="00DF5757">
            <w:pPr>
              <w:pStyle w:val="TableHeading"/>
              <w:rPr>
                <w:szCs w:val="20"/>
              </w:rPr>
            </w:pPr>
            <w:r w:rsidRPr="00073E07">
              <w:rPr>
                <w:szCs w:val="20"/>
              </w:rPr>
              <w:t>Total</w:t>
            </w:r>
          </w:p>
        </w:tc>
      </w:tr>
      <w:tr w:rsidR="005D0C3A" w:rsidRPr="00073E07" w14:paraId="4626A62B" w14:textId="77777777" w:rsidTr="00377374">
        <w:trPr>
          <w:trHeight w:val="60"/>
        </w:trPr>
        <w:tc>
          <w:tcPr>
            <w:tcW w:w="626" w:type="pct"/>
          </w:tcPr>
          <w:p w14:paraId="0E0E2048" w14:textId="77777777" w:rsidR="005D0C3A" w:rsidRPr="00073E07" w:rsidRDefault="005D0C3A" w:rsidP="00DC75F7">
            <w:pPr>
              <w:pStyle w:val="TableBody"/>
              <w:rPr>
                <w:szCs w:val="20"/>
              </w:rPr>
            </w:pPr>
            <w:r w:rsidRPr="00073E07">
              <w:rPr>
                <w:szCs w:val="20"/>
              </w:rPr>
              <w:t>Immediate custodial sentence</w:t>
            </w:r>
          </w:p>
        </w:tc>
        <w:tc>
          <w:tcPr>
            <w:tcW w:w="393" w:type="pct"/>
          </w:tcPr>
          <w:p w14:paraId="4EF911DE" w14:textId="77777777" w:rsidR="005D0C3A" w:rsidRPr="00073E07" w:rsidRDefault="005D0C3A" w:rsidP="00AC34F3">
            <w:pPr>
              <w:pStyle w:val="TableBody"/>
              <w:rPr>
                <w:szCs w:val="20"/>
              </w:rPr>
            </w:pPr>
            <w:r w:rsidRPr="00073E07">
              <w:rPr>
                <w:szCs w:val="20"/>
              </w:rPr>
              <w:t>172</w:t>
            </w:r>
            <w:r w:rsidRPr="00073E07">
              <w:rPr>
                <w:szCs w:val="20"/>
              </w:rPr>
              <w:br/>
              <w:t>(94%)</w:t>
            </w:r>
          </w:p>
        </w:tc>
        <w:tc>
          <w:tcPr>
            <w:tcW w:w="394" w:type="pct"/>
          </w:tcPr>
          <w:p w14:paraId="442F55D4" w14:textId="77777777" w:rsidR="005D0C3A" w:rsidRPr="00073E07" w:rsidRDefault="005D0C3A" w:rsidP="00AC34F3">
            <w:pPr>
              <w:pStyle w:val="TableBody"/>
              <w:rPr>
                <w:szCs w:val="20"/>
              </w:rPr>
            </w:pPr>
            <w:r w:rsidRPr="00073E07">
              <w:rPr>
                <w:szCs w:val="20"/>
              </w:rPr>
              <w:t>98</w:t>
            </w:r>
            <w:r w:rsidRPr="00073E07">
              <w:rPr>
                <w:szCs w:val="20"/>
              </w:rPr>
              <w:br/>
              <w:t>(98%)</w:t>
            </w:r>
          </w:p>
        </w:tc>
        <w:tc>
          <w:tcPr>
            <w:tcW w:w="394" w:type="pct"/>
          </w:tcPr>
          <w:p w14:paraId="66FC7A3C" w14:textId="77777777" w:rsidR="005D0C3A" w:rsidRPr="00073E07" w:rsidRDefault="005D0C3A" w:rsidP="00AC34F3">
            <w:pPr>
              <w:pStyle w:val="TableBody"/>
              <w:rPr>
                <w:szCs w:val="20"/>
              </w:rPr>
            </w:pPr>
            <w:r w:rsidRPr="00073E07">
              <w:rPr>
                <w:szCs w:val="20"/>
              </w:rPr>
              <w:t>82</w:t>
            </w:r>
            <w:r w:rsidRPr="00073E07">
              <w:rPr>
                <w:szCs w:val="20"/>
              </w:rPr>
              <w:br/>
              <w:t>(98%)</w:t>
            </w:r>
          </w:p>
        </w:tc>
        <w:tc>
          <w:tcPr>
            <w:tcW w:w="394" w:type="pct"/>
          </w:tcPr>
          <w:p w14:paraId="7EEA2FED" w14:textId="77777777" w:rsidR="005D0C3A" w:rsidRPr="00073E07" w:rsidRDefault="005D0C3A" w:rsidP="00AC34F3">
            <w:pPr>
              <w:pStyle w:val="TableBody"/>
              <w:rPr>
                <w:szCs w:val="20"/>
              </w:rPr>
            </w:pPr>
            <w:r w:rsidRPr="00073E07">
              <w:rPr>
                <w:szCs w:val="20"/>
              </w:rPr>
              <w:t>92</w:t>
            </w:r>
            <w:r w:rsidRPr="00073E07">
              <w:rPr>
                <w:szCs w:val="20"/>
              </w:rPr>
              <w:br/>
              <w:t>(88%)</w:t>
            </w:r>
          </w:p>
        </w:tc>
        <w:tc>
          <w:tcPr>
            <w:tcW w:w="394" w:type="pct"/>
          </w:tcPr>
          <w:p w14:paraId="793D9905" w14:textId="77777777" w:rsidR="005D0C3A" w:rsidRPr="00073E07" w:rsidRDefault="005D0C3A" w:rsidP="00AC34F3">
            <w:pPr>
              <w:pStyle w:val="TableBody"/>
              <w:rPr>
                <w:szCs w:val="20"/>
              </w:rPr>
            </w:pPr>
            <w:r w:rsidRPr="00073E07">
              <w:rPr>
                <w:szCs w:val="20"/>
              </w:rPr>
              <w:t>127</w:t>
            </w:r>
            <w:r w:rsidRPr="00073E07">
              <w:rPr>
                <w:szCs w:val="20"/>
              </w:rPr>
              <w:br/>
              <w:t>(97%)</w:t>
            </w:r>
          </w:p>
        </w:tc>
        <w:tc>
          <w:tcPr>
            <w:tcW w:w="394" w:type="pct"/>
          </w:tcPr>
          <w:p w14:paraId="4B2453D2" w14:textId="77777777" w:rsidR="005D0C3A" w:rsidRPr="00073E07" w:rsidRDefault="005D0C3A" w:rsidP="00AC34F3">
            <w:pPr>
              <w:pStyle w:val="TableBody"/>
              <w:rPr>
                <w:szCs w:val="20"/>
              </w:rPr>
            </w:pPr>
            <w:r w:rsidRPr="00073E07">
              <w:rPr>
                <w:szCs w:val="20"/>
              </w:rPr>
              <w:t>106</w:t>
            </w:r>
            <w:r w:rsidRPr="00073E07">
              <w:rPr>
                <w:szCs w:val="20"/>
              </w:rPr>
              <w:br/>
              <w:t>(86%)</w:t>
            </w:r>
          </w:p>
        </w:tc>
        <w:tc>
          <w:tcPr>
            <w:tcW w:w="394" w:type="pct"/>
          </w:tcPr>
          <w:p w14:paraId="4BB074A2" w14:textId="77777777" w:rsidR="005D0C3A" w:rsidRPr="00073E07" w:rsidRDefault="005D0C3A" w:rsidP="00AC34F3">
            <w:pPr>
              <w:pStyle w:val="TableBody"/>
              <w:rPr>
                <w:szCs w:val="20"/>
              </w:rPr>
            </w:pPr>
            <w:r w:rsidRPr="00073E07">
              <w:rPr>
                <w:szCs w:val="20"/>
              </w:rPr>
              <w:t>119</w:t>
            </w:r>
            <w:r w:rsidRPr="00073E07">
              <w:rPr>
                <w:szCs w:val="20"/>
              </w:rPr>
              <w:br/>
              <w:t>(97%)</w:t>
            </w:r>
          </w:p>
        </w:tc>
        <w:tc>
          <w:tcPr>
            <w:tcW w:w="394" w:type="pct"/>
          </w:tcPr>
          <w:p w14:paraId="4B77406B" w14:textId="77777777" w:rsidR="005D0C3A" w:rsidRPr="00073E07" w:rsidRDefault="005D0C3A" w:rsidP="00AC34F3">
            <w:pPr>
              <w:pStyle w:val="TableBody"/>
              <w:rPr>
                <w:szCs w:val="20"/>
              </w:rPr>
            </w:pPr>
            <w:r w:rsidRPr="00073E07">
              <w:rPr>
                <w:szCs w:val="20"/>
              </w:rPr>
              <w:t>59</w:t>
            </w:r>
            <w:r w:rsidRPr="00073E07">
              <w:rPr>
                <w:szCs w:val="20"/>
              </w:rPr>
              <w:br/>
              <w:t>(86%)</w:t>
            </w:r>
          </w:p>
        </w:tc>
        <w:tc>
          <w:tcPr>
            <w:tcW w:w="394" w:type="pct"/>
          </w:tcPr>
          <w:p w14:paraId="38EF3358" w14:textId="77777777" w:rsidR="005D0C3A" w:rsidRPr="00073E07" w:rsidRDefault="005D0C3A" w:rsidP="00AC34F3">
            <w:pPr>
              <w:pStyle w:val="TableBody"/>
              <w:rPr>
                <w:szCs w:val="20"/>
              </w:rPr>
            </w:pPr>
            <w:r w:rsidRPr="00073E07">
              <w:rPr>
                <w:szCs w:val="20"/>
              </w:rPr>
              <w:t>73</w:t>
            </w:r>
            <w:r w:rsidRPr="00073E07">
              <w:rPr>
                <w:szCs w:val="20"/>
              </w:rPr>
              <w:br/>
              <w:t>(95%)</w:t>
            </w:r>
          </w:p>
        </w:tc>
        <w:tc>
          <w:tcPr>
            <w:tcW w:w="394" w:type="pct"/>
          </w:tcPr>
          <w:p w14:paraId="4B919514" w14:textId="77777777" w:rsidR="005D0C3A" w:rsidRPr="00073E07" w:rsidRDefault="005D0C3A" w:rsidP="00AC34F3">
            <w:pPr>
              <w:pStyle w:val="TableBody"/>
              <w:rPr>
                <w:szCs w:val="20"/>
              </w:rPr>
            </w:pPr>
            <w:r w:rsidRPr="00073E07">
              <w:rPr>
                <w:szCs w:val="20"/>
              </w:rPr>
              <w:t>110</w:t>
            </w:r>
            <w:r w:rsidRPr="00073E07">
              <w:rPr>
                <w:szCs w:val="20"/>
              </w:rPr>
              <w:br/>
              <w:t>(96%)</w:t>
            </w:r>
          </w:p>
        </w:tc>
        <w:tc>
          <w:tcPr>
            <w:tcW w:w="437" w:type="pct"/>
          </w:tcPr>
          <w:p w14:paraId="2B10FF80" w14:textId="77777777" w:rsidR="005D0C3A" w:rsidRPr="00073E07" w:rsidRDefault="005D0C3A" w:rsidP="00AC34F3">
            <w:pPr>
              <w:pStyle w:val="TableBody"/>
              <w:rPr>
                <w:rStyle w:val="Strong"/>
                <w:szCs w:val="20"/>
              </w:rPr>
            </w:pPr>
            <w:r w:rsidRPr="00073E07">
              <w:rPr>
                <w:rStyle w:val="Strong"/>
                <w:szCs w:val="20"/>
              </w:rPr>
              <w:t>1,038</w:t>
            </w:r>
            <w:r w:rsidRPr="00073E07">
              <w:rPr>
                <w:rStyle w:val="Strong"/>
                <w:szCs w:val="20"/>
              </w:rPr>
              <w:br/>
              <w:t>(94%)</w:t>
            </w:r>
          </w:p>
        </w:tc>
      </w:tr>
      <w:tr w:rsidR="005D0C3A" w:rsidRPr="00073E07" w14:paraId="7D5481F9" w14:textId="77777777" w:rsidTr="00377374">
        <w:trPr>
          <w:trHeight w:val="60"/>
        </w:trPr>
        <w:tc>
          <w:tcPr>
            <w:tcW w:w="626" w:type="pct"/>
          </w:tcPr>
          <w:p w14:paraId="53C1A333" w14:textId="77777777" w:rsidR="005D0C3A" w:rsidRPr="00073E07" w:rsidRDefault="005D0C3A" w:rsidP="00DC75F7">
            <w:pPr>
              <w:pStyle w:val="TableBody"/>
              <w:rPr>
                <w:szCs w:val="20"/>
              </w:rPr>
            </w:pPr>
            <w:r w:rsidRPr="00073E07">
              <w:rPr>
                <w:szCs w:val="20"/>
              </w:rPr>
              <w:t>Community order</w:t>
            </w:r>
          </w:p>
        </w:tc>
        <w:tc>
          <w:tcPr>
            <w:tcW w:w="393" w:type="pct"/>
          </w:tcPr>
          <w:p w14:paraId="469EC4BA" w14:textId="77777777" w:rsidR="005D0C3A" w:rsidRPr="00073E07" w:rsidRDefault="005D0C3A" w:rsidP="00AC34F3">
            <w:pPr>
              <w:pStyle w:val="TableBody"/>
              <w:rPr>
                <w:szCs w:val="20"/>
              </w:rPr>
            </w:pPr>
            <w:r w:rsidRPr="00073E07">
              <w:rPr>
                <w:szCs w:val="20"/>
              </w:rPr>
              <w:t>–</w:t>
            </w:r>
          </w:p>
        </w:tc>
        <w:tc>
          <w:tcPr>
            <w:tcW w:w="394" w:type="pct"/>
          </w:tcPr>
          <w:p w14:paraId="53EDEE4F" w14:textId="77777777" w:rsidR="005D0C3A" w:rsidRPr="00073E07" w:rsidRDefault="005D0C3A" w:rsidP="00AC34F3">
            <w:pPr>
              <w:pStyle w:val="TableBody"/>
              <w:rPr>
                <w:szCs w:val="20"/>
              </w:rPr>
            </w:pPr>
            <w:r w:rsidRPr="00073E07">
              <w:rPr>
                <w:szCs w:val="20"/>
              </w:rPr>
              <w:t>–</w:t>
            </w:r>
          </w:p>
        </w:tc>
        <w:tc>
          <w:tcPr>
            <w:tcW w:w="394" w:type="pct"/>
          </w:tcPr>
          <w:p w14:paraId="69DC2543" w14:textId="77777777" w:rsidR="005D0C3A" w:rsidRPr="00073E07" w:rsidRDefault="005D0C3A" w:rsidP="00AC34F3">
            <w:pPr>
              <w:pStyle w:val="TableBody"/>
              <w:rPr>
                <w:szCs w:val="20"/>
              </w:rPr>
            </w:pPr>
            <w:r w:rsidRPr="00073E07">
              <w:rPr>
                <w:szCs w:val="20"/>
              </w:rPr>
              <w:t>–</w:t>
            </w:r>
          </w:p>
        </w:tc>
        <w:tc>
          <w:tcPr>
            <w:tcW w:w="394" w:type="pct"/>
          </w:tcPr>
          <w:p w14:paraId="3D8E7001" w14:textId="77777777" w:rsidR="005D0C3A" w:rsidRPr="00073E07" w:rsidRDefault="005D0C3A" w:rsidP="00AC34F3">
            <w:pPr>
              <w:pStyle w:val="TableBody"/>
              <w:rPr>
                <w:szCs w:val="20"/>
              </w:rPr>
            </w:pPr>
            <w:r w:rsidRPr="00073E07">
              <w:rPr>
                <w:szCs w:val="20"/>
              </w:rPr>
              <w:t>2</w:t>
            </w:r>
            <w:r w:rsidRPr="00073E07">
              <w:rPr>
                <w:szCs w:val="20"/>
              </w:rPr>
              <w:br/>
              <w:t>(2%)</w:t>
            </w:r>
          </w:p>
        </w:tc>
        <w:tc>
          <w:tcPr>
            <w:tcW w:w="394" w:type="pct"/>
          </w:tcPr>
          <w:p w14:paraId="1C6BA916" w14:textId="77777777" w:rsidR="005D0C3A" w:rsidRPr="00073E07" w:rsidRDefault="005D0C3A" w:rsidP="00AC34F3">
            <w:pPr>
              <w:pStyle w:val="TableBody"/>
              <w:rPr>
                <w:szCs w:val="20"/>
              </w:rPr>
            </w:pPr>
            <w:r w:rsidRPr="00073E07">
              <w:rPr>
                <w:szCs w:val="20"/>
              </w:rPr>
              <w:t>1</w:t>
            </w:r>
            <w:r w:rsidRPr="00073E07">
              <w:rPr>
                <w:szCs w:val="20"/>
              </w:rPr>
              <w:br/>
              <w:t>(1%)</w:t>
            </w:r>
          </w:p>
        </w:tc>
        <w:tc>
          <w:tcPr>
            <w:tcW w:w="394" w:type="pct"/>
          </w:tcPr>
          <w:p w14:paraId="694278D9" w14:textId="77777777" w:rsidR="005D0C3A" w:rsidRPr="00073E07" w:rsidRDefault="005D0C3A" w:rsidP="00AC34F3">
            <w:pPr>
              <w:pStyle w:val="TableBody"/>
              <w:rPr>
                <w:szCs w:val="20"/>
              </w:rPr>
            </w:pPr>
            <w:r w:rsidRPr="00073E07">
              <w:rPr>
                <w:szCs w:val="20"/>
              </w:rPr>
              <w:t>12</w:t>
            </w:r>
            <w:r w:rsidRPr="00073E07">
              <w:rPr>
                <w:szCs w:val="20"/>
              </w:rPr>
              <w:br/>
              <w:t>(10%)</w:t>
            </w:r>
          </w:p>
        </w:tc>
        <w:tc>
          <w:tcPr>
            <w:tcW w:w="394" w:type="pct"/>
          </w:tcPr>
          <w:p w14:paraId="3622FE17" w14:textId="77777777" w:rsidR="005D0C3A" w:rsidRPr="00073E07" w:rsidRDefault="005D0C3A" w:rsidP="00AC34F3">
            <w:pPr>
              <w:pStyle w:val="TableBody"/>
              <w:rPr>
                <w:szCs w:val="20"/>
              </w:rPr>
            </w:pPr>
            <w:r w:rsidRPr="00073E07">
              <w:rPr>
                <w:szCs w:val="20"/>
              </w:rPr>
              <w:t>4</w:t>
            </w:r>
            <w:r w:rsidRPr="00073E07">
              <w:rPr>
                <w:szCs w:val="20"/>
              </w:rPr>
              <w:br/>
              <w:t>(3%)</w:t>
            </w:r>
          </w:p>
        </w:tc>
        <w:tc>
          <w:tcPr>
            <w:tcW w:w="394" w:type="pct"/>
          </w:tcPr>
          <w:p w14:paraId="777A895A" w14:textId="77777777" w:rsidR="005D0C3A" w:rsidRPr="00073E07" w:rsidRDefault="005D0C3A" w:rsidP="00AC34F3">
            <w:pPr>
              <w:pStyle w:val="TableBody"/>
              <w:rPr>
                <w:szCs w:val="20"/>
              </w:rPr>
            </w:pPr>
            <w:r w:rsidRPr="00073E07">
              <w:rPr>
                <w:szCs w:val="20"/>
              </w:rPr>
              <w:t>8</w:t>
            </w:r>
            <w:r w:rsidRPr="00073E07">
              <w:rPr>
                <w:szCs w:val="20"/>
              </w:rPr>
              <w:br/>
              <w:t>(12%)</w:t>
            </w:r>
          </w:p>
        </w:tc>
        <w:tc>
          <w:tcPr>
            <w:tcW w:w="394" w:type="pct"/>
          </w:tcPr>
          <w:p w14:paraId="32F42919" w14:textId="77777777" w:rsidR="005D0C3A" w:rsidRPr="00073E07" w:rsidRDefault="005D0C3A" w:rsidP="00AC34F3">
            <w:pPr>
              <w:pStyle w:val="TableBody"/>
              <w:rPr>
                <w:szCs w:val="20"/>
              </w:rPr>
            </w:pPr>
            <w:r w:rsidRPr="00073E07">
              <w:rPr>
                <w:szCs w:val="20"/>
              </w:rPr>
              <w:t>2</w:t>
            </w:r>
            <w:r w:rsidRPr="00073E07">
              <w:rPr>
                <w:szCs w:val="20"/>
              </w:rPr>
              <w:br/>
              <w:t>(3%)</w:t>
            </w:r>
          </w:p>
        </w:tc>
        <w:tc>
          <w:tcPr>
            <w:tcW w:w="394" w:type="pct"/>
          </w:tcPr>
          <w:p w14:paraId="5BD97108" w14:textId="77777777" w:rsidR="005D0C3A" w:rsidRPr="00073E07" w:rsidRDefault="005D0C3A" w:rsidP="00AC34F3">
            <w:pPr>
              <w:pStyle w:val="TableBody"/>
              <w:rPr>
                <w:szCs w:val="20"/>
              </w:rPr>
            </w:pPr>
            <w:r w:rsidRPr="00073E07">
              <w:rPr>
                <w:szCs w:val="20"/>
              </w:rPr>
              <w:t>3</w:t>
            </w:r>
            <w:r w:rsidRPr="00073E07">
              <w:rPr>
                <w:szCs w:val="20"/>
              </w:rPr>
              <w:br/>
              <w:t>(3%)</w:t>
            </w:r>
          </w:p>
        </w:tc>
        <w:tc>
          <w:tcPr>
            <w:tcW w:w="437" w:type="pct"/>
          </w:tcPr>
          <w:p w14:paraId="3FD22EA7" w14:textId="77777777" w:rsidR="005D0C3A" w:rsidRPr="00073E07" w:rsidRDefault="005D0C3A" w:rsidP="00AC34F3">
            <w:pPr>
              <w:pStyle w:val="TableBody"/>
              <w:rPr>
                <w:rStyle w:val="Strong"/>
                <w:szCs w:val="20"/>
              </w:rPr>
            </w:pPr>
            <w:r w:rsidRPr="00073E07">
              <w:rPr>
                <w:rStyle w:val="Strong"/>
                <w:szCs w:val="20"/>
              </w:rPr>
              <w:t>32</w:t>
            </w:r>
            <w:r w:rsidRPr="00073E07">
              <w:rPr>
                <w:rStyle w:val="Strong"/>
                <w:szCs w:val="20"/>
              </w:rPr>
              <w:br/>
              <w:t>(3%)</w:t>
            </w:r>
          </w:p>
        </w:tc>
      </w:tr>
      <w:tr w:rsidR="005D0C3A" w:rsidRPr="00073E07" w14:paraId="0FF42D3A" w14:textId="77777777" w:rsidTr="00377374">
        <w:trPr>
          <w:trHeight w:val="60"/>
        </w:trPr>
        <w:tc>
          <w:tcPr>
            <w:tcW w:w="626" w:type="pct"/>
          </w:tcPr>
          <w:p w14:paraId="2E0B2E56" w14:textId="77777777" w:rsidR="005D0C3A" w:rsidRPr="00073E07" w:rsidRDefault="005D0C3A" w:rsidP="00DC75F7">
            <w:pPr>
              <w:pStyle w:val="TableBody"/>
              <w:rPr>
                <w:szCs w:val="20"/>
              </w:rPr>
            </w:pPr>
            <w:r w:rsidRPr="00073E07">
              <w:rPr>
                <w:szCs w:val="20"/>
              </w:rPr>
              <w:t>Other</w:t>
            </w:r>
          </w:p>
        </w:tc>
        <w:tc>
          <w:tcPr>
            <w:tcW w:w="393" w:type="pct"/>
          </w:tcPr>
          <w:p w14:paraId="7DFD5CE6" w14:textId="77777777" w:rsidR="005D0C3A" w:rsidRPr="00073E07" w:rsidRDefault="005D0C3A" w:rsidP="00AC34F3">
            <w:pPr>
              <w:pStyle w:val="TableBody"/>
              <w:rPr>
                <w:szCs w:val="20"/>
              </w:rPr>
            </w:pPr>
            <w:r w:rsidRPr="00073E07">
              <w:rPr>
                <w:szCs w:val="20"/>
              </w:rPr>
              <w:t>11</w:t>
            </w:r>
            <w:r w:rsidRPr="00073E07">
              <w:rPr>
                <w:szCs w:val="20"/>
              </w:rPr>
              <w:br/>
              <w:t>(6%)</w:t>
            </w:r>
          </w:p>
        </w:tc>
        <w:tc>
          <w:tcPr>
            <w:tcW w:w="394" w:type="pct"/>
          </w:tcPr>
          <w:p w14:paraId="7BE1E494" w14:textId="77777777" w:rsidR="005D0C3A" w:rsidRPr="00073E07" w:rsidRDefault="005D0C3A" w:rsidP="00AC34F3">
            <w:pPr>
              <w:pStyle w:val="TableBody"/>
              <w:rPr>
                <w:szCs w:val="20"/>
              </w:rPr>
            </w:pPr>
            <w:r w:rsidRPr="00073E07">
              <w:rPr>
                <w:szCs w:val="20"/>
              </w:rPr>
              <w:t>2</w:t>
            </w:r>
            <w:r w:rsidRPr="00073E07">
              <w:rPr>
                <w:szCs w:val="20"/>
              </w:rPr>
              <w:br/>
              <w:t>(2%)</w:t>
            </w:r>
          </w:p>
        </w:tc>
        <w:tc>
          <w:tcPr>
            <w:tcW w:w="394" w:type="pct"/>
          </w:tcPr>
          <w:p w14:paraId="240AF9E1" w14:textId="77777777" w:rsidR="005D0C3A" w:rsidRPr="00073E07" w:rsidRDefault="005D0C3A" w:rsidP="00AC34F3">
            <w:pPr>
              <w:pStyle w:val="TableBody"/>
              <w:rPr>
                <w:szCs w:val="20"/>
              </w:rPr>
            </w:pPr>
            <w:r w:rsidRPr="00073E07">
              <w:rPr>
                <w:szCs w:val="20"/>
              </w:rPr>
              <w:t>2</w:t>
            </w:r>
            <w:r w:rsidRPr="00073E07">
              <w:rPr>
                <w:szCs w:val="20"/>
              </w:rPr>
              <w:br/>
              <w:t>(2%)</w:t>
            </w:r>
          </w:p>
        </w:tc>
        <w:tc>
          <w:tcPr>
            <w:tcW w:w="394" w:type="pct"/>
          </w:tcPr>
          <w:p w14:paraId="5420E6CF" w14:textId="77777777" w:rsidR="005D0C3A" w:rsidRPr="00073E07" w:rsidRDefault="005D0C3A" w:rsidP="00AC34F3">
            <w:pPr>
              <w:pStyle w:val="TableBody"/>
              <w:rPr>
                <w:szCs w:val="20"/>
              </w:rPr>
            </w:pPr>
            <w:r w:rsidRPr="00073E07">
              <w:rPr>
                <w:szCs w:val="20"/>
              </w:rPr>
              <w:t>11</w:t>
            </w:r>
            <w:r w:rsidRPr="00073E07">
              <w:rPr>
                <w:szCs w:val="20"/>
              </w:rPr>
              <w:br/>
              <w:t>(10%)</w:t>
            </w:r>
          </w:p>
        </w:tc>
        <w:tc>
          <w:tcPr>
            <w:tcW w:w="394" w:type="pct"/>
          </w:tcPr>
          <w:p w14:paraId="0D436446" w14:textId="77777777" w:rsidR="005D0C3A" w:rsidRPr="00073E07" w:rsidRDefault="005D0C3A" w:rsidP="00AC34F3">
            <w:pPr>
              <w:pStyle w:val="TableBody"/>
              <w:rPr>
                <w:szCs w:val="20"/>
              </w:rPr>
            </w:pPr>
            <w:r w:rsidRPr="00073E07">
              <w:rPr>
                <w:szCs w:val="20"/>
              </w:rPr>
              <w:t>3</w:t>
            </w:r>
            <w:r w:rsidRPr="00073E07">
              <w:rPr>
                <w:szCs w:val="20"/>
              </w:rPr>
              <w:br/>
              <w:t>(2%)</w:t>
            </w:r>
          </w:p>
        </w:tc>
        <w:tc>
          <w:tcPr>
            <w:tcW w:w="394" w:type="pct"/>
          </w:tcPr>
          <w:p w14:paraId="6D6A996F" w14:textId="77777777" w:rsidR="005D0C3A" w:rsidRPr="00073E07" w:rsidRDefault="005D0C3A" w:rsidP="00AC34F3">
            <w:pPr>
              <w:pStyle w:val="TableBody"/>
              <w:rPr>
                <w:szCs w:val="20"/>
              </w:rPr>
            </w:pPr>
            <w:r w:rsidRPr="00073E07">
              <w:rPr>
                <w:szCs w:val="20"/>
              </w:rPr>
              <w:t>5</w:t>
            </w:r>
            <w:r w:rsidRPr="00073E07">
              <w:rPr>
                <w:szCs w:val="20"/>
              </w:rPr>
              <w:br/>
              <w:t>(4%)</w:t>
            </w:r>
          </w:p>
        </w:tc>
        <w:tc>
          <w:tcPr>
            <w:tcW w:w="394" w:type="pct"/>
          </w:tcPr>
          <w:p w14:paraId="2D8D2685" w14:textId="77777777" w:rsidR="005D0C3A" w:rsidRPr="00073E07" w:rsidRDefault="005D0C3A" w:rsidP="00AC34F3">
            <w:pPr>
              <w:pStyle w:val="TableBody"/>
              <w:rPr>
                <w:szCs w:val="20"/>
              </w:rPr>
            </w:pPr>
            <w:r w:rsidRPr="00073E07">
              <w:rPr>
                <w:szCs w:val="20"/>
              </w:rPr>
              <w:t>–</w:t>
            </w:r>
          </w:p>
        </w:tc>
        <w:tc>
          <w:tcPr>
            <w:tcW w:w="394" w:type="pct"/>
          </w:tcPr>
          <w:p w14:paraId="1B0B8513" w14:textId="77777777" w:rsidR="005D0C3A" w:rsidRPr="00073E07" w:rsidRDefault="005D0C3A" w:rsidP="00AC34F3">
            <w:pPr>
              <w:pStyle w:val="TableBody"/>
              <w:rPr>
                <w:szCs w:val="20"/>
              </w:rPr>
            </w:pPr>
            <w:r w:rsidRPr="00073E07">
              <w:rPr>
                <w:szCs w:val="20"/>
              </w:rPr>
              <w:t>2</w:t>
            </w:r>
            <w:r w:rsidRPr="00073E07">
              <w:rPr>
                <w:szCs w:val="20"/>
              </w:rPr>
              <w:br/>
              <w:t>(3%)</w:t>
            </w:r>
          </w:p>
        </w:tc>
        <w:tc>
          <w:tcPr>
            <w:tcW w:w="394" w:type="pct"/>
          </w:tcPr>
          <w:p w14:paraId="23FCEBB1" w14:textId="77777777" w:rsidR="005D0C3A" w:rsidRPr="00073E07" w:rsidRDefault="005D0C3A" w:rsidP="00AC34F3">
            <w:pPr>
              <w:pStyle w:val="TableBody"/>
              <w:rPr>
                <w:szCs w:val="20"/>
              </w:rPr>
            </w:pPr>
            <w:r w:rsidRPr="00073E07">
              <w:rPr>
                <w:szCs w:val="20"/>
              </w:rPr>
              <w:t>2</w:t>
            </w:r>
            <w:r w:rsidRPr="00073E07">
              <w:rPr>
                <w:szCs w:val="20"/>
              </w:rPr>
              <w:br/>
              <w:t>(3%)</w:t>
            </w:r>
          </w:p>
        </w:tc>
        <w:tc>
          <w:tcPr>
            <w:tcW w:w="394" w:type="pct"/>
          </w:tcPr>
          <w:p w14:paraId="38EAAB36" w14:textId="77777777" w:rsidR="005D0C3A" w:rsidRPr="00073E07" w:rsidRDefault="005D0C3A" w:rsidP="00AC34F3">
            <w:pPr>
              <w:pStyle w:val="TableBody"/>
              <w:rPr>
                <w:szCs w:val="20"/>
              </w:rPr>
            </w:pPr>
            <w:r w:rsidRPr="00073E07">
              <w:rPr>
                <w:szCs w:val="20"/>
              </w:rPr>
              <w:t>2</w:t>
            </w:r>
            <w:r w:rsidRPr="00073E07">
              <w:rPr>
                <w:szCs w:val="20"/>
              </w:rPr>
              <w:br/>
              <w:t>(2%)</w:t>
            </w:r>
          </w:p>
        </w:tc>
        <w:tc>
          <w:tcPr>
            <w:tcW w:w="437" w:type="pct"/>
          </w:tcPr>
          <w:p w14:paraId="1DB6FC27" w14:textId="77777777" w:rsidR="005D0C3A" w:rsidRPr="00073E07" w:rsidRDefault="005D0C3A" w:rsidP="00AC34F3">
            <w:pPr>
              <w:pStyle w:val="TableBody"/>
              <w:rPr>
                <w:rStyle w:val="Strong"/>
                <w:szCs w:val="20"/>
              </w:rPr>
            </w:pPr>
            <w:r w:rsidRPr="00073E07">
              <w:rPr>
                <w:rStyle w:val="Strong"/>
                <w:szCs w:val="20"/>
              </w:rPr>
              <w:t>40</w:t>
            </w:r>
            <w:r w:rsidRPr="00073E07">
              <w:rPr>
                <w:rStyle w:val="Strong"/>
                <w:szCs w:val="20"/>
              </w:rPr>
              <w:br/>
              <w:t>(4%)</w:t>
            </w:r>
          </w:p>
        </w:tc>
      </w:tr>
      <w:tr w:rsidR="005D0C3A" w:rsidRPr="00073E07" w14:paraId="49986D2A" w14:textId="77777777" w:rsidTr="00377374">
        <w:trPr>
          <w:trHeight w:val="60"/>
        </w:trPr>
        <w:tc>
          <w:tcPr>
            <w:tcW w:w="626" w:type="pct"/>
          </w:tcPr>
          <w:p w14:paraId="2577C15F" w14:textId="77777777" w:rsidR="005D0C3A" w:rsidRPr="00073E07" w:rsidRDefault="005D0C3A" w:rsidP="00DC75F7">
            <w:pPr>
              <w:pStyle w:val="TableBody"/>
              <w:rPr>
                <w:rStyle w:val="Strong"/>
                <w:szCs w:val="20"/>
              </w:rPr>
            </w:pPr>
            <w:r w:rsidRPr="00073E07">
              <w:rPr>
                <w:rStyle w:val="Strong"/>
                <w:szCs w:val="20"/>
              </w:rPr>
              <w:t>Total</w:t>
            </w:r>
          </w:p>
        </w:tc>
        <w:tc>
          <w:tcPr>
            <w:tcW w:w="393" w:type="pct"/>
          </w:tcPr>
          <w:p w14:paraId="7E420EEF" w14:textId="77777777" w:rsidR="005D0C3A" w:rsidRPr="00073E07" w:rsidRDefault="005D0C3A" w:rsidP="00AC34F3">
            <w:pPr>
              <w:pStyle w:val="TableBody"/>
              <w:rPr>
                <w:rStyle w:val="Strong"/>
                <w:szCs w:val="20"/>
              </w:rPr>
            </w:pPr>
            <w:r w:rsidRPr="00073E07">
              <w:rPr>
                <w:rStyle w:val="Strong"/>
                <w:szCs w:val="20"/>
              </w:rPr>
              <w:t>183</w:t>
            </w:r>
          </w:p>
        </w:tc>
        <w:tc>
          <w:tcPr>
            <w:tcW w:w="394" w:type="pct"/>
          </w:tcPr>
          <w:p w14:paraId="4743D438" w14:textId="77777777" w:rsidR="005D0C3A" w:rsidRPr="00073E07" w:rsidRDefault="005D0C3A" w:rsidP="00AC34F3">
            <w:pPr>
              <w:pStyle w:val="TableBody"/>
              <w:rPr>
                <w:rStyle w:val="Strong"/>
                <w:szCs w:val="20"/>
              </w:rPr>
            </w:pPr>
            <w:r w:rsidRPr="00073E07">
              <w:rPr>
                <w:rStyle w:val="Strong"/>
                <w:szCs w:val="20"/>
              </w:rPr>
              <w:t>100</w:t>
            </w:r>
          </w:p>
        </w:tc>
        <w:tc>
          <w:tcPr>
            <w:tcW w:w="394" w:type="pct"/>
          </w:tcPr>
          <w:p w14:paraId="103149AE" w14:textId="77777777" w:rsidR="005D0C3A" w:rsidRPr="00073E07" w:rsidRDefault="005D0C3A" w:rsidP="00AC34F3">
            <w:pPr>
              <w:pStyle w:val="TableBody"/>
              <w:rPr>
                <w:rStyle w:val="Strong"/>
                <w:szCs w:val="20"/>
              </w:rPr>
            </w:pPr>
            <w:r w:rsidRPr="00073E07">
              <w:rPr>
                <w:rStyle w:val="Strong"/>
                <w:szCs w:val="20"/>
              </w:rPr>
              <w:t>84</w:t>
            </w:r>
          </w:p>
        </w:tc>
        <w:tc>
          <w:tcPr>
            <w:tcW w:w="394" w:type="pct"/>
          </w:tcPr>
          <w:p w14:paraId="4DE449D0" w14:textId="77777777" w:rsidR="005D0C3A" w:rsidRPr="00073E07" w:rsidRDefault="005D0C3A" w:rsidP="00AC34F3">
            <w:pPr>
              <w:pStyle w:val="TableBody"/>
              <w:rPr>
                <w:rStyle w:val="Strong"/>
                <w:szCs w:val="20"/>
              </w:rPr>
            </w:pPr>
            <w:r w:rsidRPr="00073E07">
              <w:rPr>
                <w:rStyle w:val="Strong"/>
                <w:szCs w:val="20"/>
              </w:rPr>
              <w:t>105</w:t>
            </w:r>
          </w:p>
        </w:tc>
        <w:tc>
          <w:tcPr>
            <w:tcW w:w="394" w:type="pct"/>
          </w:tcPr>
          <w:p w14:paraId="49F093D8" w14:textId="77777777" w:rsidR="005D0C3A" w:rsidRPr="00073E07" w:rsidRDefault="005D0C3A" w:rsidP="00AC34F3">
            <w:pPr>
              <w:pStyle w:val="TableBody"/>
              <w:rPr>
                <w:rStyle w:val="Strong"/>
                <w:szCs w:val="20"/>
              </w:rPr>
            </w:pPr>
            <w:r w:rsidRPr="00073E07">
              <w:rPr>
                <w:rStyle w:val="Strong"/>
                <w:szCs w:val="20"/>
              </w:rPr>
              <w:t>131</w:t>
            </w:r>
          </w:p>
        </w:tc>
        <w:tc>
          <w:tcPr>
            <w:tcW w:w="394" w:type="pct"/>
          </w:tcPr>
          <w:p w14:paraId="2D6492CC" w14:textId="77777777" w:rsidR="005D0C3A" w:rsidRPr="00073E07" w:rsidRDefault="005D0C3A" w:rsidP="00AC34F3">
            <w:pPr>
              <w:pStyle w:val="TableBody"/>
              <w:rPr>
                <w:rStyle w:val="Strong"/>
                <w:szCs w:val="20"/>
              </w:rPr>
            </w:pPr>
            <w:r w:rsidRPr="00073E07">
              <w:rPr>
                <w:rStyle w:val="Strong"/>
                <w:szCs w:val="20"/>
              </w:rPr>
              <w:t>123</w:t>
            </w:r>
          </w:p>
        </w:tc>
        <w:tc>
          <w:tcPr>
            <w:tcW w:w="394" w:type="pct"/>
          </w:tcPr>
          <w:p w14:paraId="066060F9" w14:textId="77777777" w:rsidR="005D0C3A" w:rsidRPr="00073E07" w:rsidRDefault="005D0C3A" w:rsidP="00AC34F3">
            <w:pPr>
              <w:pStyle w:val="TableBody"/>
              <w:rPr>
                <w:rStyle w:val="Strong"/>
                <w:szCs w:val="20"/>
              </w:rPr>
            </w:pPr>
            <w:r w:rsidRPr="00073E07">
              <w:rPr>
                <w:rStyle w:val="Strong"/>
                <w:szCs w:val="20"/>
              </w:rPr>
              <w:t>123</w:t>
            </w:r>
          </w:p>
        </w:tc>
        <w:tc>
          <w:tcPr>
            <w:tcW w:w="394" w:type="pct"/>
          </w:tcPr>
          <w:p w14:paraId="3A74E129" w14:textId="77777777" w:rsidR="005D0C3A" w:rsidRPr="00073E07" w:rsidRDefault="005D0C3A" w:rsidP="00AC34F3">
            <w:pPr>
              <w:pStyle w:val="TableBody"/>
              <w:rPr>
                <w:rStyle w:val="Strong"/>
                <w:szCs w:val="20"/>
              </w:rPr>
            </w:pPr>
            <w:r w:rsidRPr="00073E07">
              <w:rPr>
                <w:rStyle w:val="Strong"/>
                <w:szCs w:val="20"/>
              </w:rPr>
              <w:t>69</w:t>
            </w:r>
          </w:p>
        </w:tc>
        <w:tc>
          <w:tcPr>
            <w:tcW w:w="394" w:type="pct"/>
          </w:tcPr>
          <w:p w14:paraId="30EEBE48" w14:textId="77777777" w:rsidR="005D0C3A" w:rsidRPr="00073E07" w:rsidRDefault="005D0C3A" w:rsidP="00AC34F3">
            <w:pPr>
              <w:pStyle w:val="TableBody"/>
              <w:rPr>
                <w:rStyle w:val="Strong"/>
                <w:szCs w:val="20"/>
              </w:rPr>
            </w:pPr>
            <w:r w:rsidRPr="00073E07">
              <w:rPr>
                <w:rStyle w:val="Strong"/>
                <w:szCs w:val="20"/>
              </w:rPr>
              <w:t>77</w:t>
            </w:r>
          </w:p>
        </w:tc>
        <w:tc>
          <w:tcPr>
            <w:tcW w:w="394" w:type="pct"/>
          </w:tcPr>
          <w:p w14:paraId="5206A892" w14:textId="77777777" w:rsidR="005D0C3A" w:rsidRPr="00073E07" w:rsidRDefault="005D0C3A" w:rsidP="00AC34F3">
            <w:pPr>
              <w:pStyle w:val="TableBody"/>
              <w:rPr>
                <w:rStyle w:val="Strong"/>
                <w:szCs w:val="20"/>
              </w:rPr>
            </w:pPr>
            <w:r w:rsidRPr="00073E07">
              <w:rPr>
                <w:rStyle w:val="Strong"/>
                <w:szCs w:val="20"/>
              </w:rPr>
              <w:t>115</w:t>
            </w:r>
          </w:p>
        </w:tc>
        <w:tc>
          <w:tcPr>
            <w:tcW w:w="437" w:type="pct"/>
          </w:tcPr>
          <w:p w14:paraId="647DCFC4" w14:textId="77777777" w:rsidR="005D0C3A" w:rsidRPr="00073E07" w:rsidRDefault="005D0C3A" w:rsidP="00AC34F3">
            <w:pPr>
              <w:pStyle w:val="TableBody"/>
              <w:rPr>
                <w:rStyle w:val="Strong"/>
                <w:szCs w:val="20"/>
              </w:rPr>
            </w:pPr>
            <w:r w:rsidRPr="00073E07">
              <w:rPr>
                <w:rStyle w:val="Strong"/>
                <w:szCs w:val="20"/>
              </w:rPr>
              <w:t>1,110</w:t>
            </w:r>
          </w:p>
        </w:tc>
      </w:tr>
    </w:tbl>
    <w:p w14:paraId="0D7B8775" w14:textId="77777777" w:rsidR="00073E07" w:rsidRDefault="00073E07" w:rsidP="00E91615">
      <w:pPr>
        <w:pStyle w:val="Numbered"/>
        <w:sectPr w:rsidR="00073E07" w:rsidSect="00073E07">
          <w:pgSz w:w="16838" w:h="11906" w:orient="landscape"/>
          <w:pgMar w:top="1440" w:right="1440" w:bottom="1440" w:left="1440" w:header="720" w:footer="720" w:gutter="0"/>
          <w:cols w:space="720"/>
          <w:noEndnote/>
          <w:docGrid w:linePitch="326"/>
        </w:sectPr>
      </w:pPr>
    </w:p>
    <w:p w14:paraId="222F5365" w14:textId="52AB3776" w:rsidR="00EF5C25" w:rsidRPr="007F530F" w:rsidRDefault="00EF5C25" w:rsidP="00E91615">
      <w:pPr>
        <w:pStyle w:val="Numbered"/>
      </w:pPr>
      <w:r w:rsidRPr="007F530F">
        <w:lastRenderedPageBreak/>
        <w:t>Sentencing outcomes for incest with a child, stepchild or lineal descendant already involved a consistently high rate of custodial sentences (99%) prior to the introduction of Category 1 offences.</w:t>
      </w:r>
      <w:r w:rsidRPr="007F530F">
        <w:rPr>
          <w:rStyle w:val="Superscript"/>
        </w:rPr>
        <w:footnoteReference w:id="140"/>
      </w:r>
      <w:r w:rsidRPr="007F530F">
        <w:t xml:space="preserve"> Similarly, all of the 16 charges of incest sentenced as Category 1 offences in 2018 and 2019 (in 7 cases) received a prison sentence. As mentioned at [2.2], there is no minimum sentence for offences attracting Category 1 offence classification, including incest with a child, stepchild or lineal descendant aged under 18. However, the shortest terms of imprisonment imposed for incest offences classified as Category 1 offences were 3 years (1 charge) and 6 years (2 charges). The lengths of these sentences suggest that these offences would have received prison sentences regardless of Category 1 offence classification.</w:t>
      </w:r>
    </w:p>
    <w:p w14:paraId="0C9F1692" w14:textId="77777777" w:rsidR="00EF5C25" w:rsidRPr="007F530F" w:rsidRDefault="00EF5C25" w:rsidP="00E91615">
      <w:pPr>
        <w:pStyle w:val="Numbered"/>
      </w:pPr>
      <w:r w:rsidRPr="007F530F">
        <w:t>Of the eight cases in which an outcome other than an immediate custodial sentence was imposed across the reference period, the victim was aged 18 years or over in 2 cases (the Category 1 offence classification would not have applied), the victim was aged under 18 years in 1 case, and the victim’s age was unknown in 5 cases. The details of the one case involving a victim aged under 18 years are outlined in Case Study 3. On the available data and sentencing remarks, this is the only known case in which classification of incest as a Category 1 offence would have affected the sentence type imposed during the 10-year reference period.</w:t>
      </w:r>
      <w:r w:rsidRPr="007F530F">
        <w:rPr>
          <w:rStyle w:val="Superscript"/>
        </w:rPr>
        <w:footnoteReference w:id="141"/>
      </w:r>
      <w:r w:rsidRPr="007F530F">
        <w:t xml:space="preserve"> The circumstances of this case, in particular, highlight the </w:t>
      </w:r>
      <w:r w:rsidRPr="007F530F">
        <w:lastRenderedPageBreak/>
        <w:t>difficulties that mandatory sentencing schemes may give rise to and the continuing need for judicial discretion in sentencing.</w:t>
      </w:r>
    </w:p>
    <w:p w14:paraId="4E31A073" w14:textId="77777777" w:rsidR="00EF5C25" w:rsidRPr="007F530F" w:rsidRDefault="00EF5C25" w:rsidP="00F9708F">
      <w:pPr>
        <w:pStyle w:val="Heading3"/>
      </w:pPr>
      <w:r w:rsidRPr="007F530F">
        <w:t>Case Study 3: community order for incest with a child aged under 18</w:t>
      </w:r>
    </w:p>
    <w:p w14:paraId="60E54B92" w14:textId="77777777" w:rsidR="00EF5C25" w:rsidRPr="007F530F" w:rsidRDefault="00EF5C25" w:rsidP="00315A0D">
      <w:r w:rsidRPr="007F530F">
        <w:t>The offending in this case occurred over a decade prior to sentencing. The offender’s husband was abusive of both her and their daughter. At the instruction of her husband, she inserted her finger into her daughter’s vagina on a single occasion. Her offending came to police’s attention because she later approached police in connection with her husband abusing her 10-year-old son.</w:t>
      </w:r>
    </w:p>
    <w:p w14:paraId="5790FA2D" w14:textId="77777777" w:rsidR="00EF5C25" w:rsidRPr="007F530F" w:rsidRDefault="00EF5C25" w:rsidP="00315A0D">
      <w:r w:rsidRPr="007F530F">
        <w:t>The offender had a traumatic upbringing, including experiencing residential care and disrupted schooling, and had a low IQ. At the time of sentencing, she was living in commission housing with sole care of her 10-year-old son and had no other immediate or extended family to care for him if she was incarcerated. She had also agreed to testify against her husband.</w:t>
      </w:r>
    </w:p>
    <w:p w14:paraId="6FDA7DE4" w14:textId="77777777" w:rsidR="00EF5C25" w:rsidRPr="007F530F" w:rsidRDefault="00EF5C25" w:rsidP="00315A0D">
      <w:r w:rsidRPr="007F530F">
        <w:t>She received a 3-year community correction order with 250 hours of unpaid community work and a requirement to participate in mental health programs as directed.</w:t>
      </w:r>
    </w:p>
    <w:p w14:paraId="2C1C8319" w14:textId="77777777" w:rsidR="00EF5C25" w:rsidRPr="007F530F" w:rsidRDefault="00EF5C25" w:rsidP="0086780A">
      <w:pPr>
        <w:jc w:val="right"/>
        <w:rPr>
          <w:rStyle w:val="Emphasis"/>
        </w:rPr>
      </w:pPr>
      <w:r w:rsidRPr="007F530F">
        <w:rPr>
          <w:rStyle w:val="Emphasis"/>
        </w:rPr>
        <w:t>Unpublished sentencing remarks provided to the Council</w:t>
      </w:r>
    </w:p>
    <w:p w14:paraId="5CDE25E1" w14:textId="77777777" w:rsidR="00EF5C25" w:rsidRPr="007F530F" w:rsidRDefault="00EF5C25" w:rsidP="006633AA">
      <w:pPr>
        <w:pStyle w:val="Heading2"/>
      </w:pPr>
      <w:r w:rsidRPr="007F530F">
        <w:t>How long were prison sentences for incest?</w:t>
      </w:r>
    </w:p>
    <w:p w14:paraId="516013BC" w14:textId="77777777" w:rsidR="00EF5C25" w:rsidRPr="007F530F" w:rsidRDefault="00EF5C25" w:rsidP="00E91615">
      <w:pPr>
        <w:pStyle w:val="Numbered"/>
      </w:pPr>
      <w:r w:rsidRPr="007F530F">
        <w:t>There were 928 charges of incest with a child, stepchild or lineal descendant that received a non-aggregate sentence of imprisonment.</w:t>
      </w:r>
      <w:r w:rsidRPr="007F530F">
        <w:rPr>
          <w:rStyle w:val="Superscript"/>
        </w:rPr>
        <w:footnoteReference w:id="142"/>
      </w:r>
      <w:r w:rsidRPr="007F530F">
        <w:t xml:space="preserve"> Figure 16 shows the average prison sentence </w:t>
      </w:r>
      <w:r w:rsidRPr="007F530F">
        <w:lastRenderedPageBreak/>
        <w:t>imposed for these offences for each year of the reference period. The shortest prison sentence for those offences was 6 months (stepchild) and the longest was 12 years (1 stepchild and 1 biological child).</w:t>
      </w:r>
      <w:r w:rsidRPr="007F530F">
        <w:rPr>
          <w:rStyle w:val="Superscript"/>
        </w:rPr>
        <w:footnoteReference w:id="143"/>
      </w:r>
      <w:r w:rsidRPr="007F530F">
        <w:t xml:space="preserve"> While the average prison sentence for these offences was relatively stable for the first 6 years, it increased significantly in 2016 and increased even more significantly in 2019.</w:t>
      </w:r>
      <w:r w:rsidRPr="007F530F">
        <w:rPr>
          <w:rStyle w:val="Superscript"/>
        </w:rPr>
        <w:footnoteReference w:id="144"/>
      </w:r>
      <w:r w:rsidRPr="007F530F">
        <w:t xml:space="preserve"> The increase in 2019 seems to have been driven by a combination of four factors:</w:t>
      </w:r>
    </w:p>
    <w:p w14:paraId="6DE1FBD2" w14:textId="77777777" w:rsidR="00EF5C25" w:rsidRPr="007F530F" w:rsidRDefault="00EF5C25" w:rsidP="00315A0D">
      <w:pPr>
        <w:pStyle w:val="Bullets"/>
      </w:pPr>
      <w:r w:rsidRPr="007F530F">
        <w:t>the classification of incest as a standard sentence offence (sentences for these offences were much higher than sentences for non-standard sentence offences);</w:t>
      </w:r>
    </w:p>
    <w:p w14:paraId="1186900B" w14:textId="77777777" w:rsidR="00EF5C25" w:rsidRPr="007F530F" w:rsidRDefault="00EF5C25" w:rsidP="00315A0D">
      <w:pPr>
        <w:pStyle w:val="Bullets"/>
      </w:pPr>
      <w:r w:rsidRPr="007F530F">
        <w:t xml:space="preserve">the influence of the various </w:t>
      </w:r>
      <w:r w:rsidRPr="00D62402">
        <w:rPr>
          <w:rStyle w:val="Emphasis"/>
        </w:rPr>
        <w:t>Dalgliesh</w:t>
      </w:r>
      <w:r w:rsidRPr="007F530F">
        <w:t xml:space="preserve"> decisions calling for an immediate uplift in sentencing practices; </w:t>
      </w:r>
    </w:p>
    <w:p w14:paraId="7250A712" w14:textId="77777777" w:rsidR="00EF5C25" w:rsidRPr="007F530F" w:rsidRDefault="00EF5C25" w:rsidP="00315A0D">
      <w:pPr>
        <w:pStyle w:val="Bullets"/>
      </w:pPr>
      <w:r w:rsidRPr="007F530F">
        <w:t>the influence of allowing certain sex offences to be charged as course of conduct offences (sentences for course of conduct offences were much higher than sentences for non-course of conduct offences); and</w:t>
      </w:r>
    </w:p>
    <w:p w14:paraId="1B265CC5" w14:textId="77777777" w:rsidR="00EF5C25" w:rsidRPr="007F530F" w:rsidRDefault="00EF5C25" w:rsidP="00315A0D">
      <w:pPr>
        <w:pStyle w:val="Bullets"/>
      </w:pPr>
      <w:r w:rsidRPr="007F530F">
        <w:t xml:space="preserve">an anomalous case in which an offender received either 10 years’ or 12 years’ imprisonment for each of the 16 separate charges of incest with his stepchild (without this case, the </w:t>
      </w:r>
      <w:r w:rsidRPr="007F530F">
        <w:lastRenderedPageBreak/>
        <w:t>average prison sentence in 2019 would have been 6 years and 3 months).</w:t>
      </w:r>
    </w:p>
    <w:p w14:paraId="29C1B587" w14:textId="155CBD7E" w:rsidR="00EF5C25" w:rsidRPr="007F530F" w:rsidRDefault="00EF5C25" w:rsidP="002E579A">
      <w:pPr>
        <w:ind w:left="720"/>
      </w:pPr>
      <w:r w:rsidRPr="007F530F">
        <w:t>The first three of these factors are discussed in more detail at [5.11]–[5.14].</w:t>
      </w:r>
    </w:p>
    <w:p w14:paraId="0CBFAD97" w14:textId="77777777" w:rsidR="00AD77B8" w:rsidRPr="007F530F" w:rsidRDefault="00AD77B8" w:rsidP="00D00197">
      <w:pPr>
        <w:pStyle w:val="Caption"/>
      </w:pPr>
      <w:r w:rsidRPr="00D00197">
        <w:t xml:space="preserve">Figure 16: </w:t>
      </w:r>
      <w:r w:rsidRPr="007F530F">
        <w:t xml:space="preserve">Average prison sentence (in years and months) for incest with a child, stepchild or lineal descendant offences contrary to sections 44(1), 44(2), 50C and 50D of the </w:t>
      </w:r>
      <w:r w:rsidRPr="00D931C5">
        <w:rPr>
          <w:rStyle w:val="Emphasis"/>
        </w:rPr>
        <w:t>Crimes Act 1958</w:t>
      </w:r>
      <w:r w:rsidRPr="007F530F">
        <w:t xml:space="preserve"> (Vic), by year (928 charges)</w:t>
      </w:r>
    </w:p>
    <w:tbl>
      <w:tblPr>
        <w:tblStyle w:val="Table"/>
        <w:tblW w:w="5000" w:type="pct"/>
        <w:tblLook w:val="04A0" w:firstRow="1" w:lastRow="0" w:firstColumn="1" w:lastColumn="0" w:noHBand="0" w:noVBand="1"/>
      </w:tblPr>
      <w:tblGrid>
        <w:gridCol w:w="1391"/>
        <w:gridCol w:w="4468"/>
        <w:gridCol w:w="3157"/>
      </w:tblGrid>
      <w:tr w:rsidR="00863168" w:rsidRPr="00863168" w14:paraId="50ABB601" w14:textId="77777777" w:rsidTr="00E926F9">
        <w:trPr>
          <w:trHeight w:val="290"/>
          <w:tblHeader/>
        </w:trPr>
        <w:tc>
          <w:tcPr>
            <w:tcW w:w="771" w:type="pct"/>
            <w:noWrap/>
            <w:hideMark/>
          </w:tcPr>
          <w:p w14:paraId="51130D6B" w14:textId="77777777" w:rsidR="00863168" w:rsidRPr="00863168" w:rsidRDefault="00863168" w:rsidP="00E926F9">
            <w:pPr>
              <w:pStyle w:val="TableHeading"/>
            </w:pPr>
            <w:r w:rsidRPr="00863168">
              <w:t>Years</w:t>
            </w:r>
          </w:p>
        </w:tc>
        <w:tc>
          <w:tcPr>
            <w:tcW w:w="2477" w:type="pct"/>
            <w:noWrap/>
            <w:hideMark/>
          </w:tcPr>
          <w:p w14:paraId="62F6B389" w14:textId="77777777" w:rsidR="00863168" w:rsidRPr="00863168" w:rsidRDefault="00863168" w:rsidP="00E926F9">
            <w:pPr>
              <w:pStyle w:val="TableHeading"/>
            </w:pPr>
            <w:r w:rsidRPr="00863168">
              <w:t>Number of charges sentenced</w:t>
            </w:r>
          </w:p>
        </w:tc>
        <w:tc>
          <w:tcPr>
            <w:tcW w:w="1751" w:type="pct"/>
            <w:noWrap/>
            <w:hideMark/>
          </w:tcPr>
          <w:p w14:paraId="2D527DAA" w14:textId="77777777" w:rsidR="00863168" w:rsidRPr="00863168" w:rsidRDefault="00863168" w:rsidP="00E926F9">
            <w:pPr>
              <w:pStyle w:val="TableHeading"/>
            </w:pPr>
            <w:r w:rsidRPr="00863168">
              <w:t>Average sentence</w:t>
            </w:r>
          </w:p>
        </w:tc>
      </w:tr>
      <w:tr w:rsidR="00863168" w:rsidRPr="00863168" w14:paraId="05C0CE24" w14:textId="77777777" w:rsidTr="00E926F9">
        <w:trPr>
          <w:trHeight w:val="290"/>
        </w:trPr>
        <w:tc>
          <w:tcPr>
            <w:tcW w:w="771" w:type="pct"/>
            <w:noWrap/>
            <w:hideMark/>
          </w:tcPr>
          <w:p w14:paraId="667216A2" w14:textId="77777777" w:rsidR="00863168" w:rsidRPr="00863168" w:rsidRDefault="00863168" w:rsidP="00E926F9">
            <w:pPr>
              <w:pStyle w:val="TableBody"/>
            </w:pPr>
            <w:r w:rsidRPr="00863168">
              <w:t>2010</w:t>
            </w:r>
          </w:p>
        </w:tc>
        <w:tc>
          <w:tcPr>
            <w:tcW w:w="2477" w:type="pct"/>
            <w:noWrap/>
            <w:hideMark/>
          </w:tcPr>
          <w:p w14:paraId="41DB2FA0" w14:textId="77777777" w:rsidR="00863168" w:rsidRPr="00863168" w:rsidRDefault="00863168" w:rsidP="00E926F9">
            <w:pPr>
              <w:pStyle w:val="TableBody"/>
            </w:pPr>
            <w:r w:rsidRPr="00863168">
              <w:t>168</w:t>
            </w:r>
          </w:p>
        </w:tc>
        <w:tc>
          <w:tcPr>
            <w:tcW w:w="1751" w:type="pct"/>
            <w:noWrap/>
            <w:hideMark/>
          </w:tcPr>
          <w:p w14:paraId="10BEE0C0" w14:textId="77777777" w:rsidR="00863168" w:rsidRPr="00863168" w:rsidRDefault="00863168" w:rsidP="00E926F9">
            <w:pPr>
              <w:pStyle w:val="TableBody"/>
            </w:pPr>
            <w:r w:rsidRPr="00863168">
              <w:t>4 years and 2 months</w:t>
            </w:r>
          </w:p>
        </w:tc>
      </w:tr>
      <w:tr w:rsidR="00863168" w:rsidRPr="00863168" w14:paraId="496F7A70" w14:textId="77777777" w:rsidTr="00E926F9">
        <w:trPr>
          <w:trHeight w:val="290"/>
        </w:trPr>
        <w:tc>
          <w:tcPr>
            <w:tcW w:w="771" w:type="pct"/>
            <w:noWrap/>
            <w:hideMark/>
          </w:tcPr>
          <w:p w14:paraId="50B0EAE2" w14:textId="77777777" w:rsidR="00863168" w:rsidRPr="00863168" w:rsidRDefault="00863168" w:rsidP="00E926F9">
            <w:pPr>
              <w:pStyle w:val="TableBody"/>
            </w:pPr>
            <w:r w:rsidRPr="00863168">
              <w:t>2011</w:t>
            </w:r>
          </w:p>
        </w:tc>
        <w:tc>
          <w:tcPr>
            <w:tcW w:w="2477" w:type="pct"/>
            <w:noWrap/>
            <w:hideMark/>
          </w:tcPr>
          <w:p w14:paraId="2E2FB599" w14:textId="77777777" w:rsidR="00863168" w:rsidRPr="00863168" w:rsidRDefault="00863168" w:rsidP="00E926F9">
            <w:pPr>
              <w:pStyle w:val="TableBody"/>
            </w:pPr>
            <w:r w:rsidRPr="00863168">
              <w:t>87</w:t>
            </w:r>
          </w:p>
        </w:tc>
        <w:tc>
          <w:tcPr>
            <w:tcW w:w="1751" w:type="pct"/>
            <w:noWrap/>
            <w:hideMark/>
          </w:tcPr>
          <w:p w14:paraId="77566BB8" w14:textId="77777777" w:rsidR="00863168" w:rsidRPr="00863168" w:rsidRDefault="00863168" w:rsidP="00E926F9">
            <w:pPr>
              <w:pStyle w:val="TableBody"/>
            </w:pPr>
            <w:r w:rsidRPr="00863168">
              <w:t>4 years and 6 months</w:t>
            </w:r>
          </w:p>
        </w:tc>
      </w:tr>
      <w:tr w:rsidR="00863168" w:rsidRPr="00863168" w14:paraId="3C5DC807" w14:textId="77777777" w:rsidTr="00E926F9">
        <w:trPr>
          <w:trHeight w:val="290"/>
        </w:trPr>
        <w:tc>
          <w:tcPr>
            <w:tcW w:w="771" w:type="pct"/>
            <w:noWrap/>
            <w:hideMark/>
          </w:tcPr>
          <w:p w14:paraId="54B8F99F" w14:textId="77777777" w:rsidR="00863168" w:rsidRPr="00863168" w:rsidRDefault="00863168" w:rsidP="00E926F9">
            <w:pPr>
              <w:pStyle w:val="TableBody"/>
            </w:pPr>
            <w:r w:rsidRPr="00863168">
              <w:t>2012</w:t>
            </w:r>
          </w:p>
        </w:tc>
        <w:tc>
          <w:tcPr>
            <w:tcW w:w="2477" w:type="pct"/>
            <w:noWrap/>
            <w:hideMark/>
          </w:tcPr>
          <w:p w14:paraId="574D27EB" w14:textId="77777777" w:rsidR="00863168" w:rsidRPr="00863168" w:rsidRDefault="00863168" w:rsidP="00E926F9">
            <w:pPr>
              <w:pStyle w:val="TableBody"/>
            </w:pPr>
            <w:r w:rsidRPr="00863168">
              <w:t>79</w:t>
            </w:r>
          </w:p>
        </w:tc>
        <w:tc>
          <w:tcPr>
            <w:tcW w:w="1751" w:type="pct"/>
            <w:noWrap/>
            <w:hideMark/>
          </w:tcPr>
          <w:p w14:paraId="4601566F" w14:textId="77777777" w:rsidR="00863168" w:rsidRPr="00863168" w:rsidRDefault="00863168" w:rsidP="00E926F9">
            <w:pPr>
              <w:pStyle w:val="TableBody"/>
            </w:pPr>
            <w:r w:rsidRPr="00863168">
              <w:t>4 years and 3 months</w:t>
            </w:r>
          </w:p>
        </w:tc>
      </w:tr>
      <w:tr w:rsidR="00863168" w:rsidRPr="00863168" w14:paraId="334193FE" w14:textId="77777777" w:rsidTr="00E926F9">
        <w:trPr>
          <w:trHeight w:val="290"/>
        </w:trPr>
        <w:tc>
          <w:tcPr>
            <w:tcW w:w="771" w:type="pct"/>
            <w:noWrap/>
            <w:hideMark/>
          </w:tcPr>
          <w:p w14:paraId="74CF7700" w14:textId="77777777" w:rsidR="00863168" w:rsidRPr="00863168" w:rsidRDefault="00863168" w:rsidP="00E926F9">
            <w:pPr>
              <w:pStyle w:val="TableBody"/>
            </w:pPr>
            <w:r w:rsidRPr="00863168">
              <w:t>2013</w:t>
            </w:r>
          </w:p>
        </w:tc>
        <w:tc>
          <w:tcPr>
            <w:tcW w:w="2477" w:type="pct"/>
            <w:noWrap/>
            <w:hideMark/>
          </w:tcPr>
          <w:p w14:paraId="56153F9F" w14:textId="77777777" w:rsidR="00863168" w:rsidRPr="00863168" w:rsidRDefault="00863168" w:rsidP="00E926F9">
            <w:pPr>
              <w:pStyle w:val="TableBody"/>
            </w:pPr>
            <w:r w:rsidRPr="00863168">
              <w:t>78</w:t>
            </w:r>
          </w:p>
        </w:tc>
        <w:tc>
          <w:tcPr>
            <w:tcW w:w="1751" w:type="pct"/>
            <w:noWrap/>
            <w:hideMark/>
          </w:tcPr>
          <w:p w14:paraId="0836A416" w14:textId="77777777" w:rsidR="00863168" w:rsidRPr="00863168" w:rsidRDefault="00863168" w:rsidP="00E926F9">
            <w:pPr>
              <w:pStyle w:val="TableBody"/>
            </w:pPr>
            <w:r w:rsidRPr="00863168">
              <w:t>4 years and 8 months</w:t>
            </w:r>
          </w:p>
        </w:tc>
      </w:tr>
      <w:tr w:rsidR="00863168" w:rsidRPr="00863168" w14:paraId="7498DF3F" w14:textId="77777777" w:rsidTr="00E926F9">
        <w:trPr>
          <w:trHeight w:val="290"/>
        </w:trPr>
        <w:tc>
          <w:tcPr>
            <w:tcW w:w="771" w:type="pct"/>
            <w:noWrap/>
            <w:hideMark/>
          </w:tcPr>
          <w:p w14:paraId="75D7535B" w14:textId="77777777" w:rsidR="00863168" w:rsidRPr="00863168" w:rsidRDefault="00863168" w:rsidP="00E926F9">
            <w:pPr>
              <w:pStyle w:val="TableBody"/>
            </w:pPr>
            <w:r w:rsidRPr="00863168">
              <w:t>2014</w:t>
            </w:r>
          </w:p>
        </w:tc>
        <w:tc>
          <w:tcPr>
            <w:tcW w:w="2477" w:type="pct"/>
            <w:noWrap/>
            <w:hideMark/>
          </w:tcPr>
          <w:p w14:paraId="60A5D353" w14:textId="77777777" w:rsidR="00863168" w:rsidRPr="00863168" w:rsidRDefault="00863168" w:rsidP="00E926F9">
            <w:pPr>
              <w:pStyle w:val="TableBody"/>
            </w:pPr>
            <w:r w:rsidRPr="00863168">
              <w:t>114</w:t>
            </w:r>
          </w:p>
        </w:tc>
        <w:tc>
          <w:tcPr>
            <w:tcW w:w="1751" w:type="pct"/>
            <w:noWrap/>
            <w:hideMark/>
          </w:tcPr>
          <w:p w14:paraId="54A90E5D" w14:textId="77777777" w:rsidR="00863168" w:rsidRPr="00863168" w:rsidRDefault="00863168" w:rsidP="00E926F9">
            <w:pPr>
              <w:pStyle w:val="TableBody"/>
            </w:pPr>
            <w:r w:rsidRPr="00863168">
              <w:t>4 years and 4 months</w:t>
            </w:r>
          </w:p>
        </w:tc>
      </w:tr>
      <w:tr w:rsidR="00377374" w:rsidRPr="00863168" w14:paraId="4B297DCD" w14:textId="77777777" w:rsidTr="00E926F9">
        <w:trPr>
          <w:trHeight w:val="290"/>
        </w:trPr>
        <w:tc>
          <w:tcPr>
            <w:tcW w:w="771" w:type="pct"/>
            <w:noWrap/>
            <w:hideMark/>
          </w:tcPr>
          <w:p w14:paraId="27B96F72" w14:textId="77777777" w:rsidR="00377374" w:rsidRPr="00863168" w:rsidRDefault="00377374" w:rsidP="00E926F9">
            <w:pPr>
              <w:pStyle w:val="TableBody"/>
            </w:pPr>
            <w:r w:rsidRPr="00863168">
              <w:t>2015</w:t>
            </w:r>
          </w:p>
        </w:tc>
        <w:tc>
          <w:tcPr>
            <w:tcW w:w="2477" w:type="pct"/>
            <w:noWrap/>
            <w:hideMark/>
          </w:tcPr>
          <w:p w14:paraId="0FF53020" w14:textId="77777777" w:rsidR="00377374" w:rsidRPr="00863168" w:rsidRDefault="00377374" w:rsidP="00E926F9">
            <w:pPr>
              <w:pStyle w:val="TableBody"/>
            </w:pPr>
            <w:r w:rsidRPr="00863168">
              <w:t>86</w:t>
            </w:r>
          </w:p>
        </w:tc>
        <w:tc>
          <w:tcPr>
            <w:tcW w:w="1751" w:type="pct"/>
            <w:noWrap/>
            <w:hideMark/>
          </w:tcPr>
          <w:p w14:paraId="643E755E" w14:textId="4B9FFA0D" w:rsidR="00377374" w:rsidRPr="00863168" w:rsidRDefault="00377374" w:rsidP="00E926F9">
            <w:pPr>
              <w:pStyle w:val="TableBody"/>
            </w:pPr>
            <w:r w:rsidRPr="00863168">
              <w:t>4 years</w:t>
            </w:r>
          </w:p>
        </w:tc>
      </w:tr>
      <w:tr w:rsidR="00863168" w:rsidRPr="00863168" w14:paraId="6D2F3458" w14:textId="77777777" w:rsidTr="00E926F9">
        <w:trPr>
          <w:trHeight w:val="290"/>
        </w:trPr>
        <w:tc>
          <w:tcPr>
            <w:tcW w:w="771" w:type="pct"/>
            <w:noWrap/>
            <w:hideMark/>
          </w:tcPr>
          <w:p w14:paraId="11CBF578" w14:textId="77777777" w:rsidR="00863168" w:rsidRPr="00863168" w:rsidRDefault="00863168" w:rsidP="00E926F9">
            <w:pPr>
              <w:pStyle w:val="TableBody"/>
            </w:pPr>
            <w:r w:rsidRPr="00863168">
              <w:t>2016</w:t>
            </w:r>
          </w:p>
        </w:tc>
        <w:tc>
          <w:tcPr>
            <w:tcW w:w="2477" w:type="pct"/>
            <w:noWrap/>
            <w:hideMark/>
          </w:tcPr>
          <w:p w14:paraId="5894C7D2" w14:textId="77777777" w:rsidR="00863168" w:rsidRPr="00863168" w:rsidRDefault="00863168" w:rsidP="00E926F9">
            <w:pPr>
              <w:pStyle w:val="TableBody"/>
            </w:pPr>
            <w:r w:rsidRPr="00863168">
              <w:t>101</w:t>
            </w:r>
          </w:p>
        </w:tc>
        <w:tc>
          <w:tcPr>
            <w:tcW w:w="1751" w:type="pct"/>
            <w:noWrap/>
            <w:hideMark/>
          </w:tcPr>
          <w:p w14:paraId="5EC2AB37" w14:textId="77777777" w:rsidR="00863168" w:rsidRPr="00863168" w:rsidRDefault="00863168" w:rsidP="00E926F9">
            <w:pPr>
              <w:pStyle w:val="TableBody"/>
            </w:pPr>
            <w:r w:rsidRPr="00863168">
              <w:t>5 years and 2 months</w:t>
            </w:r>
          </w:p>
        </w:tc>
      </w:tr>
      <w:tr w:rsidR="00863168" w:rsidRPr="00863168" w14:paraId="49B934DB" w14:textId="77777777" w:rsidTr="00E926F9">
        <w:trPr>
          <w:trHeight w:val="290"/>
        </w:trPr>
        <w:tc>
          <w:tcPr>
            <w:tcW w:w="771" w:type="pct"/>
            <w:noWrap/>
            <w:hideMark/>
          </w:tcPr>
          <w:p w14:paraId="46F80C3B" w14:textId="77777777" w:rsidR="00863168" w:rsidRPr="00863168" w:rsidRDefault="00863168" w:rsidP="00E926F9">
            <w:pPr>
              <w:pStyle w:val="TableBody"/>
            </w:pPr>
            <w:r w:rsidRPr="00863168">
              <w:t>2017</w:t>
            </w:r>
          </w:p>
        </w:tc>
        <w:tc>
          <w:tcPr>
            <w:tcW w:w="2477" w:type="pct"/>
            <w:noWrap/>
            <w:hideMark/>
          </w:tcPr>
          <w:p w14:paraId="34F9FB71" w14:textId="77777777" w:rsidR="00863168" w:rsidRPr="00863168" w:rsidRDefault="00863168" w:rsidP="00E926F9">
            <w:pPr>
              <w:pStyle w:val="TableBody"/>
            </w:pPr>
            <w:r w:rsidRPr="00863168">
              <w:t>54</w:t>
            </w:r>
          </w:p>
        </w:tc>
        <w:tc>
          <w:tcPr>
            <w:tcW w:w="1751" w:type="pct"/>
            <w:noWrap/>
            <w:hideMark/>
          </w:tcPr>
          <w:p w14:paraId="752FE6E1" w14:textId="77777777" w:rsidR="00863168" w:rsidRPr="00863168" w:rsidRDefault="00863168" w:rsidP="00E926F9">
            <w:pPr>
              <w:pStyle w:val="TableBody"/>
            </w:pPr>
            <w:r w:rsidRPr="00863168">
              <w:t>5 years and 3 months</w:t>
            </w:r>
          </w:p>
        </w:tc>
      </w:tr>
      <w:tr w:rsidR="00863168" w:rsidRPr="00863168" w14:paraId="4666DF86" w14:textId="77777777" w:rsidTr="00E926F9">
        <w:trPr>
          <w:trHeight w:val="290"/>
        </w:trPr>
        <w:tc>
          <w:tcPr>
            <w:tcW w:w="771" w:type="pct"/>
            <w:noWrap/>
            <w:hideMark/>
          </w:tcPr>
          <w:p w14:paraId="612D9DC8" w14:textId="77777777" w:rsidR="00863168" w:rsidRPr="00863168" w:rsidRDefault="00863168" w:rsidP="00E926F9">
            <w:pPr>
              <w:pStyle w:val="TableBody"/>
            </w:pPr>
            <w:r w:rsidRPr="00863168">
              <w:t>2018</w:t>
            </w:r>
          </w:p>
        </w:tc>
        <w:tc>
          <w:tcPr>
            <w:tcW w:w="2477" w:type="pct"/>
            <w:noWrap/>
            <w:hideMark/>
          </w:tcPr>
          <w:p w14:paraId="2E0AF4E6" w14:textId="77777777" w:rsidR="00863168" w:rsidRPr="00863168" w:rsidRDefault="00863168" w:rsidP="00E926F9">
            <w:pPr>
              <w:pStyle w:val="TableBody"/>
            </w:pPr>
            <w:r w:rsidRPr="00863168">
              <w:t>60</w:t>
            </w:r>
          </w:p>
        </w:tc>
        <w:tc>
          <w:tcPr>
            <w:tcW w:w="1751" w:type="pct"/>
            <w:noWrap/>
            <w:hideMark/>
          </w:tcPr>
          <w:p w14:paraId="7561DCF7" w14:textId="77777777" w:rsidR="00863168" w:rsidRPr="00863168" w:rsidRDefault="00863168" w:rsidP="00E926F9">
            <w:pPr>
              <w:pStyle w:val="TableBody"/>
            </w:pPr>
            <w:r w:rsidRPr="00863168">
              <w:t>5 years and 7 months</w:t>
            </w:r>
          </w:p>
        </w:tc>
      </w:tr>
      <w:tr w:rsidR="00863168" w:rsidRPr="00863168" w14:paraId="36B4DBD3" w14:textId="77777777" w:rsidTr="00E926F9">
        <w:trPr>
          <w:trHeight w:val="290"/>
        </w:trPr>
        <w:tc>
          <w:tcPr>
            <w:tcW w:w="771" w:type="pct"/>
            <w:noWrap/>
            <w:hideMark/>
          </w:tcPr>
          <w:p w14:paraId="7399F1D1" w14:textId="77777777" w:rsidR="00863168" w:rsidRPr="00863168" w:rsidRDefault="00863168" w:rsidP="00E926F9">
            <w:pPr>
              <w:pStyle w:val="TableBody"/>
            </w:pPr>
            <w:r w:rsidRPr="00863168">
              <w:t>2019</w:t>
            </w:r>
          </w:p>
        </w:tc>
        <w:tc>
          <w:tcPr>
            <w:tcW w:w="2477" w:type="pct"/>
            <w:noWrap/>
            <w:hideMark/>
          </w:tcPr>
          <w:p w14:paraId="73DECC78" w14:textId="77777777" w:rsidR="00863168" w:rsidRPr="00863168" w:rsidRDefault="00863168" w:rsidP="00E926F9">
            <w:pPr>
              <w:pStyle w:val="TableBody"/>
            </w:pPr>
            <w:r w:rsidRPr="00863168">
              <w:t>101</w:t>
            </w:r>
          </w:p>
        </w:tc>
        <w:tc>
          <w:tcPr>
            <w:tcW w:w="1751" w:type="pct"/>
            <w:noWrap/>
            <w:hideMark/>
          </w:tcPr>
          <w:p w14:paraId="45570703" w14:textId="77777777" w:rsidR="00863168" w:rsidRPr="00863168" w:rsidRDefault="00863168" w:rsidP="00E926F9">
            <w:pPr>
              <w:pStyle w:val="TableBody"/>
            </w:pPr>
            <w:r w:rsidRPr="00863168">
              <w:t>6 years and 11 months</w:t>
            </w:r>
          </w:p>
        </w:tc>
      </w:tr>
    </w:tbl>
    <w:p w14:paraId="075DCC38" w14:textId="4633CF84" w:rsidR="00EF5C25" w:rsidRPr="007F530F" w:rsidRDefault="00EF5C25" w:rsidP="00E91615">
      <w:pPr>
        <w:pStyle w:val="Numbered"/>
      </w:pPr>
      <w:r w:rsidRPr="007F530F">
        <w:t>Between 2010 and 2019, there were 254 cases in which a charge of incest with a child, stepchild or lineal descendant was the principal proven offence and the offender received a prison sentence. Figure 17 shows the average total effective sentence in these cases for each year of the reference period.</w:t>
      </w:r>
      <w:r w:rsidRPr="007F530F">
        <w:rPr>
          <w:rStyle w:val="Superscript"/>
        </w:rPr>
        <w:footnoteReference w:id="145"/>
      </w:r>
      <w:r w:rsidRPr="007F530F">
        <w:t xml:space="preserve"> The longest prison sentence was 25 years (in a case with 26 charges of physical or sexual violence against the offender’s stepchild), and the shortest was 12 months (imposed on a 79-year-old offender found guilty of incest with a lineal descendant), which was also the only total effective sentence of less than 3 years. The average over the reference period was 8 years and 3 months.</w:t>
      </w:r>
    </w:p>
    <w:p w14:paraId="7B54C98E" w14:textId="77777777" w:rsidR="009D798F" w:rsidRPr="007F530F" w:rsidRDefault="009D798F" w:rsidP="00E926F9">
      <w:pPr>
        <w:pStyle w:val="Caption"/>
        <w:keepLines/>
      </w:pPr>
      <w:r w:rsidRPr="00D00197">
        <w:lastRenderedPageBreak/>
        <w:t xml:space="preserve">Figure 17: </w:t>
      </w:r>
      <w:r w:rsidRPr="007F530F">
        <w:t xml:space="preserve">Average total effective sentence (in years and months) in cases involving incest with a child, stepchild or lineal descendant contrary to sections 44(1), 44(2), 50C and 50D of the </w:t>
      </w:r>
      <w:r w:rsidRPr="00D931C5">
        <w:rPr>
          <w:rStyle w:val="Emphasis"/>
        </w:rPr>
        <w:t>Crimes Act 1958</w:t>
      </w:r>
      <w:r w:rsidRPr="007F530F">
        <w:t xml:space="preserve"> (Vic) as the principal proven offence, by year (254 cases)</w:t>
      </w:r>
    </w:p>
    <w:tbl>
      <w:tblPr>
        <w:tblStyle w:val="Table"/>
        <w:tblW w:w="5000" w:type="pct"/>
        <w:tblLook w:val="04A0" w:firstRow="1" w:lastRow="0" w:firstColumn="1" w:lastColumn="0" w:noHBand="0" w:noVBand="1"/>
      </w:tblPr>
      <w:tblGrid>
        <w:gridCol w:w="1707"/>
        <w:gridCol w:w="3311"/>
        <w:gridCol w:w="3998"/>
      </w:tblGrid>
      <w:tr w:rsidR="00564927" w:rsidRPr="00564927" w14:paraId="75D876B7" w14:textId="77777777" w:rsidTr="00BD50FC">
        <w:trPr>
          <w:trHeight w:val="290"/>
        </w:trPr>
        <w:tc>
          <w:tcPr>
            <w:tcW w:w="947" w:type="pct"/>
            <w:noWrap/>
            <w:hideMark/>
          </w:tcPr>
          <w:p w14:paraId="4ACB9287" w14:textId="77777777" w:rsidR="00564927" w:rsidRPr="00110BBE" w:rsidRDefault="00564927" w:rsidP="00110BBE">
            <w:pPr>
              <w:pStyle w:val="TableHeading"/>
            </w:pPr>
            <w:r w:rsidRPr="00110BBE">
              <w:t>Year</w:t>
            </w:r>
          </w:p>
        </w:tc>
        <w:tc>
          <w:tcPr>
            <w:tcW w:w="1836" w:type="pct"/>
            <w:noWrap/>
            <w:hideMark/>
          </w:tcPr>
          <w:p w14:paraId="7EC11510" w14:textId="77777777" w:rsidR="00564927" w:rsidRPr="00110BBE" w:rsidRDefault="00564927" w:rsidP="00110BBE">
            <w:pPr>
              <w:pStyle w:val="TableHeading"/>
            </w:pPr>
            <w:r w:rsidRPr="00110BBE">
              <w:t>Number of cases sentenced</w:t>
            </w:r>
          </w:p>
        </w:tc>
        <w:tc>
          <w:tcPr>
            <w:tcW w:w="2217" w:type="pct"/>
            <w:noWrap/>
            <w:hideMark/>
          </w:tcPr>
          <w:p w14:paraId="505206B7" w14:textId="77777777" w:rsidR="00564927" w:rsidRPr="00110BBE" w:rsidRDefault="00564927" w:rsidP="00110BBE">
            <w:pPr>
              <w:pStyle w:val="TableHeading"/>
            </w:pPr>
            <w:r w:rsidRPr="00110BBE">
              <w:t>Average sentence</w:t>
            </w:r>
          </w:p>
        </w:tc>
      </w:tr>
      <w:tr w:rsidR="00564927" w:rsidRPr="00564927" w14:paraId="00C0033D" w14:textId="77777777" w:rsidTr="00BD50FC">
        <w:trPr>
          <w:trHeight w:val="290"/>
        </w:trPr>
        <w:tc>
          <w:tcPr>
            <w:tcW w:w="947" w:type="pct"/>
            <w:noWrap/>
            <w:hideMark/>
          </w:tcPr>
          <w:p w14:paraId="0C4F3B53" w14:textId="77777777" w:rsidR="00564927" w:rsidRPr="00110BBE" w:rsidRDefault="00564927" w:rsidP="00110BBE">
            <w:pPr>
              <w:pStyle w:val="TableBody"/>
            </w:pPr>
            <w:r w:rsidRPr="00110BBE">
              <w:t>2010</w:t>
            </w:r>
          </w:p>
        </w:tc>
        <w:tc>
          <w:tcPr>
            <w:tcW w:w="1836" w:type="pct"/>
            <w:noWrap/>
            <w:hideMark/>
          </w:tcPr>
          <w:p w14:paraId="56A3A7E8" w14:textId="77777777" w:rsidR="00564927" w:rsidRPr="00110BBE" w:rsidRDefault="00564927" w:rsidP="00110BBE">
            <w:pPr>
              <w:pStyle w:val="TableBody"/>
            </w:pPr>
            <w:r w:rsidRPr="00110BBE">
              <w:t>31</w:t>
            </w:r>
          </w:p>
        </w:tc>
        <w:tc>
          <w:tcPr>
            <w:tcW w:w="2217" w:type="pct"/>
            <w:noWrap/>
            <w:hideMark/>
          </w:tcPr>
          <w:p w14:paraId="5F6D576E" w14:textId="77777777" w:rsidR="00564927" w:rsidRPr="00110BBE" w:rsidRDefault="00564927" w:rsidP="00110BBE">
            <w:pPr>
              <w:pStyle w:val="TableBody"/>
            </w:pPr>
            <w:r w:rsidRPr="00110BBE">
              <w:t>9 years and 2 months</w:t>
            </w:r>
          </w:p>
        </w:tc>
      </w:tr>
      <w:tr w:rsidR="00564927" w:rsidRPr="00564927" w14:paraId="0F51220D" w14:textId="77777777" w:rsidTr="00BD50FC">
        <w:trPr>
          <w:trHeight w:val="290"/>
        </w:trPr>
        <w:tc>
          <w:tcPr>
            <w:tcW w:w="947" w:type="pct"/>
            <w:noWrap/>
            <w:hideMark/>
          </w:tcPr>
          <w:p w14:paraId="6148DA54" w14:textId="77777777" w:rsidR="00564927" w:rsidRPr="00110BBE" w:rsidRDefault="00564927" w:rsidP="00110BBE">
            <w:pPr>
              <w:pStyle w:val="TableBody"/>
            </w:pPr>
            <w:r w:rsidRPr="00110BBE">
              <w:t>2011</w:t>
            </w:r>
          </w:p>
        </w:tc>
        <w:tc>
          <w:tcPr>
            <w:tcW w:w="1836" w:type="pct"/>
            <w:noWrap/>
            <w:hideMark/>
          </w:tcPr>
          <w:p w14:paraId="42ECB7EF" w14:textId="77777777" w:rsidR="00564927" w:rsidRPr="00110BBE" w:rsidRDefault="00564927" w:rsidP="00110BBE">
            <w:pPr>
              <w:pStyle w:val="TableBody"/>
            </w:pPr>
            <w:r w:rsidRPr="00110BBE">
              <w:t>25</w:t>
            </w:r>
          </w:p>
        </w:tc>
        <w:tc>
          <w:tcPr>
            <w:tcW w:w="2217" w:type="pct"/>
            <w:noWrap/>
            <w:hideMark/>
          </w:tcPr>
          <w:p w14:paraId="0E5934F4" w14:textId="77777777" w:rsidR="00564927" w:rsidRPr="00110BBE" w:rsidRDefault="00564927" w:rsidP="00110BBE">
            <w:pPr>
              <w:pStyle w:val="TableBody"/>
            </w:pPr>
            <w:r w:rsidRPr="00110BBE">
              <w:t>8 years and 3 months</w:t>
            </w:r>
          </w:p>
        </w:tc>
      </w:tr>
      <w:tr w:rsidR="00564927" w:rsidRPr="00564927" w14:paraId="1295FC4E" w14:textId="77777777" w:rsidTr="00BD50FC">
        <w:trPr>
          <w:trHeight w:val="290"/>
        </w:trPr>
        <w:tc>
          <w:tcPr>
            <w:tcW w:w="947" w:type="pct"/>
            <w:noWrap/>
            <w:hideMark/>
          </w:tcPr>
          <w:p w14:paraId="3694030C" w14:textId="77777777" w:rsidR="00564927" w:rsidRPr="00110BBE" w:rsidRDefault="00564927" w:rsidP="00110BBE">
            <w:pPr>
              <w:pStyle w:val="TableBody"/>
            </w:pPr>
            <w:r w:rsidRPr="00110BBE">
              <w:t>2012</w:t>
            </w:r>
          </w:p>
        </w:tc>
        <w:tc>
          <w:tcPr>
            <w:tcW w:w="1836" w:type="pct"/>
            <w:noWrap/>
            <w:hideMark/>
          </w:tcPr>
          <w:p w14:paraId="6745B148" w14:textId="77777777" w:rsidR="00564927" w:rsidRPr="00110BBE" w:rsidRDefault="00564927" w:rsidP="00110BBE">
            <w:pPr>
              <w:pStyle w:val="TableBody"/>
            </w:pPr>
            <w:r w:rsidRPr="00110BBE">
              <w:t>25</w:t>
            </w:r>
          </w:p>
        </w:tc>
        <w:tc>
          <w:tcPr>
            <w:tcW w:w="2217" w:type="pct"/>
            <w:noWrap/>
            <w:hideMark/>
          </w:tcPr>
          <w:p w14:paraId="77AF13C2" w14:textId="77777777" w:rsidR="00564927" w:rsidRPr="00110BBE" w:rsidRDefault="00564927" w:rsidP="00110BBE">
            <w:pPr>
              <w:pStyle w:val="TableBody"/>
            </w:pPr>
            <w:r w:rsidRPr="00110BBE">
              <w:t>7 years and 1 month</w:t>
            </w:r>
          </w:p>
        </w:tc>
      </w:tr>
      <w:tr w:rsidR="00BD50FC" w:rsidRPr="00564927" w14:paraId="0B10B78F" w14:textId="77777777" w:rsidTr="00BD50FC">
        <w:trPr>
          <w:trHeight w:val="290"/>
        </w:trPr>
        <w:tc>
          <w:tcPr>
            <w:tcW w:w="947" w:type="pct"/>
            <w:noWrap/>
            <w:hideMark/>
          </w:tcPr>
          <w:p w14:paraId="1EFCF582" w14:textId="77777777" w:rsidR="00BD50FC" w:rsidRPr="00110BBE" w:rsidRDefault="00BD50FC" w:rsidP="00110BBE">
            <w:pPr>
              <w:pStyle w:val="TableBody"/>
            </w:pPr>
            <w:r w:rsidRPr="00110BBE">
              <w:t>2013</w:t>
            </w:r>
          </w:p>
        </w:tc>
        <w:tc>
          <w:tcPr>
            <w:tcW w:w="1836" w:type="pct"/>
            <w:noWrap/>
            <w:hideMark/>
          </w:tcPr>
          <w:p w14:paraId="69634667" w14:textId="77777777" w:rsidR="00BD50FC" w:rsidRPr="00110BBE" w:rsidRDefault="00BD50FC" w:rsidP="00110BBE">
            <w:pPr>
              <w:pStyle w:val="TableBody"/>
            </w:pPr>
            <w:r w:rsidRPr="00110BBE">
              <w:t>20</w:t>
            </w:r>
          </w:p>
        </w:tc>
        <w:tc>
          <w:tcPr>
            <w:tcW w:w="2217" w:type="pct"/>
            <w:noWrap/>
            <w:hideMark/>
          </w:tcPr>
          <w:p w14:paraId="6F903A12" w14:textId="107D629F" w:rsidR="00BD50FC" w:rsidRPr="00110BBE" w:rsidRDefault="00BD50FC" w:rsidP="00110BBE">
            <w:pPr>
              <w:pStyle w:val="TableBody"/>
            </w:pPr>
            <w:r w:rsidRPr="00110BBE">
              <w:t>8 years</w:t>
            </w:r>
          </w:p>
        </w:tc>
      </w:tr>
      <w:tr w:rsidR="00BD50FC" w:rsidRPr="00564927" w14:paraId="23D478BE" w14:textId="77777777" w:rsidTr="00BD50FC">
        <w:trPr>
          <w:trHeight w:val="290"/>
        </w:trPr>
        <w:tc>
          <w:tcPr>
            <w:tcW w:w="947" w:type="pct"/>
            <w:noWrap/>
            <w:hideMark/>
          </w:tcPr>
          <w:p w14:paraId="1B5E9589" w14:textId="77777777" w:rsidR="00BD50FC" w:rsidRPr="00110BBE" w:rsidRDefault="00BD50FC" w:rsidP="00110BBE">
            <w:pPr>
              <w:pStyle w:val="TableBody"/>
            </w:pPr>
            <w:r w:rsidRPr="00110BBE">
              <w:t>2014</w:t>
            </w:r>
          </w:p>
        </w:tc>
        <w:tc>
          <w:tcPr>
            <w:tcW w:w="1836" w:type="pct"/>
            <w:noWrap/>
            <w:hideMark/>
          </w:tcPr>
          <w:p w14:paraId="169B5F2C" w14:textId="77777777" w:rsidR="00BD50FC" w:rsidRPr="00110BBE" w:rsidRDefault="00BD50FC" w:rsidP="00110BBE">
            <w:pPr>
              <w:pStyle w:val="TableBody"/>
            </w:pPr>
            <w:r w:rsidRPr="00110BBE">
              <w:t>31</w:t>
            </w:r>
          </w:p>
        </w:tc>
        <w:tc>
          <w:tcPr>
            <w:tcW w:w="2217" w:type="pct"/>
            <w:noWrap/>
            <w:hideMark/>
          </w:tcPr>
          <w:p w14:paraId="23A59F14" w14:textId="273F1A27" w:rsidR="00BD50FC" w:rsidRPr="00110BBE" w:rsidRDefault="00BD50FC" w:rsidP="00110BBE">
            <w:pPr>
              <w:pStyle w:val="TableBody"/>
            </w:pPr>
            <w:r w:rsidRPr="00110BBE">
              <w:t>7 years</w:t>
            </w:r>
          </w:p>
        </w:tc>
      </w:tr>
      <w:tr w:rsidR="00564927" w:rsidRPr="00564927" w14:paraId="4C098793" w14:textId="77777777" w:rsidTr="00BD50FC">
        <w:trPr>
          <w:trHeight w:val="290"/>
        </w:trPr>
        <w:tc>
          <w:tcPr>
            <w:tcW w:w="947" w:type="pct"/>
            <w:noWrap/>
            <w:hideMark/>
          </w:tcPr>
          <w:p w14:paraId="2928C686" w14:textId="77777777" w:rsidR="00564927" w:rsidRPr="00110BBE" w:rsidRDefault="00564927" w:rsidP="00110BBE">
            <w:pPr>
              <w:pStyle w:val="TableBody"/>
            </w:pPr>
            <w:r w:rsidRPr="00110BBE">
              <w:t>2015</w:t>
            </w:r>
          </w:p>
        </w:tc>
        <w:tc>
          <w:tcPr>
            <w:tcW w:w="1836" w:type="pct"/>
            <w:noWrap/>
            <w:hideMark/>
          </w:tcPr>
          <w:p w14:paraId="1C54D0AF" w14:textId="77777777" w:rsidR="00564927" w:rsidRPr="00110BBE" w:rsidRDefault="00564927" w:rsidP="00110BBE">
            <w:pPr>
              <w:pStyle w:val="TableBody"/>
            </w:pPr>
            <w:r w:rsidRPr="00110BBE">
              <w:t>27</w:t>
            </w:r>
          </w:p>
        </w:tc>
        <w:tc>
          <w:tcPr>
            <w:tcW w:w="2217" w:type="pct"/>
            <w:noWrap/>
            <w:hideMark/>
          </w:tcPr>
          <w:p w14:paraId="7CD6806B" w14:textId="77777777" w:rsidR="00564927" w:rsidRPr="00110BBE" w:rsidRDefault="00564927" w:rsidP="00110BBE">
            <w:pPr>
              <w:pStyle w:val="TableBody"/>
            </w:pPr>
            <w:r w:rsidRPr="00110BBE">
              <w:t>6 years and 10 months</w:t>
            </w:r>
          </w:p>
        </w:tc>
      </w:tr>
      <w:tr w:rsidR="00564927" w:rsidRPr="00564927" w14:paraId="7CDF5907" w14:textId="77777777" w:rsidTr="00BD50FC">
        <w:trPr>
          <w:trHeight w:val="290"/>
        </w:trPr>
        <w:tc>
          <w:tcPr>
            <w:tcW w:w="947" w:type="pct"/>
            <w:noWrap/>
            <w:hideMark/>
          </w:tcPr>
          <w:p w14:paraId="24A2F23D" w14:textId="77777777" w:rsidR="00564927" w:rsidRPr="00110BBE" w:rsidRDefault="00564927" w:rsidP="00110BBE">
            <w:pPr>
              <w:pStyle w:val="TableBody"/>
            </w:pPr>
            <w:r w:rsidRPr="00110BBE">
              <w:t>2016</w:t>
            </w:r>
          </w:p>
        </w:tc>
        <w:tc>
          <w:tcPr>
            <w:tcW w:w="1836" w:type="pct"/>
            <w:noWrap/>
            <w:hideMark/>
          </w:tcPr>
          <w:p w14:paraId="1A33CDDA" w14:textId="77777777" w:rsidR="00564927" w:rsidRPr="00110BBE" w:rsidRDefault="00564927" w:rsidP="00110BBE">
            <w:pPr>
              <w:pStyle w:val="TableBody"/>
            </w:pPr>
            <w:r w:rsidRPr="00110BBE">
              <w:t>31</w:t>
            </w:r>
          </w:p>
        </w:tc>
        <w:tc>
          <w:tcPr>
            <w:tcW w:w="2217" w:type="pct"/>
            <w:noWrap/>
            <w:hideMark/>
          </w:tcPr>
          <w:p w14:paraId="506CE6CE" w14:textId="77777777" w:rsidR="00564927" w:rsidRPr="00110BBE" w:rsidRDefault="00564927" w:rsidP="00110BBE">
            <w:pPr>
              <w:pStyle w:val="TableBody"/>
            </w:pPr>
            <w:r w:rsidRPr="00110BBE">
              <w:t>7 years and 5 months</w:t>
            </w:r>
          </w:p>
        </w:tc>
      </w:tr>
      <w:tr w:rsidR="00564927" w:rsidRPr="00564927" w14:paraId="1261243C" w14:textId="77777777" w:rsidTr="00BD50FC">
        <w:trPr>
          <w:trHeight w:val="290"/>
        </w:trPr>
        <w:tc>
          <w:tcPr>
            <w:tcW w:w="947" w:type="pct"/>
            <w:noWrap/>
            <w:hideMark/>
          </w:tcPr>
          <w:p w14:paraId="1F676CD6" w14:textId="77777777" w:rsidR="00564927" w:rsidRPr="00110BBE" w:rsidRDefault="00564927" w:rsidP="00110BBE">
            <w:pPr>
              <w:pStyle w:val="TableBody"/>
            </w:pPr>
            <w:r w:rsidRPr="00110BBE">
              <w:t>2017</w:t>
            </w:r>
          </w:p>
        </w:tc>
        <w:tc>
          <w:tcPr>
            <w:tcW w:w="1836" w:type="pct"/>
            <w:noWrap/>
            <w:hideMark/>
          </w:tcPr>
          <w:p w14:paraId="5DC71AFE" w14:textId="77777777" w:rsidR="00564927" w:rsidRPr="00110BBE" w:rsidRDefault="00564927" w:rsidP="00110BBE">
            <w:pPr>
              <w:pStyle w:val="TableBody"/>
            </w:pPr>
            <w:r w:rsidRPr="00110BBE">
              <w:t>21</w:t>
            </w:r>
          </w:p>
        </w:tc>
        <w:tc>
          <w:tcPr>
            <w:tcW w:w="2217" w:type="pct"/>
            <w:noWrap/>
            <w:hideMark/>
          </w:tcPr>
          <w:p w14:paraId="3A636687" w14:textId="77777777" w:rsidR="00564927" w:rsidRPr="00110BBE" w:rsidRDefault="00564927" w:rsidP="00110BBE">
            <w:pPr>
              <w:pStyle w:val="TableBody"/>
            </w:pPr>
            <w:r w:rsidRPr="00110BBE">
              <w:t>9 years and 9 months</w:t>
            </w:r>
          </w:p>
        </w:tc>
      </w:tr>
      <w:tr w:rsidR="00564927" w:rsidRPr="00564927" w14:paraId="2B39DBD9" w14:textId="77777777" w:rsidTr="00BD50FC">
        <w:trPr>
          <w:trHeight w:val="290"/>
        </w:trPr>
        <w:tc>
          <w:tcPr>
            <w:tcW w:w="947" w:type="pct"/>
            <w:noWrap/>
            <w:hideMark/>
          </w:tcPr>
          <w:p w14:paraId="33B7C772" w14:textId="77777777" w:rsidR="00564927" w:rsidRPr="00110BBE" w:rsidRDefault="00564927" w:rsidP="00110BBE">
            <w:pPr>
              <w:pStyle w:val="TableBody"/>
            </w:pPr>
            <w:r w:rsidRPr="00110BBE">
              <w:t>2018</w:t>
            </w:r>
          </w:p>
        </w:tc>
        <w:tc>
          <w:tcPr>
            <w:tcW w:w="1836" w:type="pct"/>
            <w:noWrap/>
            <w:hideMark/>
          </w:tcPr>
          <w:p w14:paraId="2C6B3C5A" w14:textId="77777777" w:rsidR="00564927" w:rsidRPr="00110BBE" w:rsidRDefault="00564927" w:rsidP="00110BBE">
            <w:pPr>
              <w:pStyle w:val="TableBody"/>
            </w:pPr>
            <w:r w:rsidRPr="00110BBE">
              <w:t>22</w:t>
            </w:r>
          </w:p>
        </w:tc>
        <w:tc>
          <w:tcPr>
            <w:tcW w:w="2217" w:type="pct"/>
            <w:noWrap/>
            <w:hideMark/>
          </w:tcPr>
          <w:p w14:paraId="28F71DAA" w14:textId="77777777" w:rsidR="00564927" w:rsidRPr="00110BBE" w:rsidRDefault="00564927" w:rsidP="00110BBE">
            <w:pPr>
              <w:pStyle w:val="TableBody"/>
            </w:pPr>
            <w:r w:rsidRPr="00110BBE">
              <w:t>8 years and 7 months</w:t>
            </w:r>
          </w:p>
        </w:tc>
      </w:tr>
      <w:tr w:rsidR="00564927" w:rsidRPr="00564927" w14:paraId="27AA8CEB" w14:textId="77777777" w:rsidTr="00BD50FC">
        <w:trPr>
          <w:trHeight w:val="290"/>
        </w:trPr>
        <w:tc>
          <w:tcPr>
            <w:tcW w:w="947" w:type="pct"/>
            <w:noWrap/>
            <w:hideMark/>
          </w:tcPr>
          <w:p w14:paraId="65B3EC8C" w14:textId="77777777" w:rsidR="00564927" w:rsidRPr="00110BBE" w:rsidRDefault="00564927" w:rsidP="00110BBE">
            <w:pPr>
              <w:pStyle w:val="TableBody"/>
            </w:pPr>
            <w:r w:rsidRPr="00110BBE">
              <w:t>2019</w:t>
            </w:r>
          </w:p>
        </w:tc>
        <w:tc>
          <w:tcPr>
            <w:tcW w:w="1836" w:type="pct"/>
            <w:noWrap/>
            <w:hideMark/>
          </w:tcPr>
          <w:p w14:paraId="42869319" w14:textId="77777777" w:rsidR="00564927" w:rsidRPr="00110BBE" w:rsidRDefault="00564927" w:rsidP="00110BBE">
            <w:pPr>
              <w:pStyle w:val="TableBody"/>
            </w:pPr>
            <w:r w:rsidRPr="00110BBE">
              <w:t>21</w:t>
            </w:r>
          </w:p>
        </w:tc>
        <w:tc>
          <w:tcPr>
            <w:tcW w:w="2217" w:type="pct"/>
            <w:noWrap/>
            <w:hideMark/>
          </w:tcPr>
          <w:p w14:paraId="3FC5F090" w14:textId="77777777" w:rsidR="00564927" w:rsidRPr="00110BBE" w:rsidRDefault="00564927" w:rsidP="00110BBE">
            <w:pPr>
              <w:pStyle w:val="TableBody"/>
            </w:pPr>
            <w:r w:rsidRPr="00110BBE">
              <w:t>11 year and 11 months</w:t>
            </w:r>
          </w:p>
        </w:tc>
      </w:tr>
    </w:tbl>
    <w:p w14:paraId="34704175" w14:textId="77777777" w:rsidR="00EF5C25" w:rsidRPr="007F530F" w:rsidRDefault="00EF5C25" w:rsidP="006633AA">
      <w:pPr>
        <w:pStyle w:val="Heading3"/>
      </w:pPr>
      <w:r w:rsidRPr="007F530F">
        <w:t>The influence of standard sentence offence classification</w:t>
      </w:r>
    </w:p>
    <w:p w14:paraId="518BF96C" w14:textId="77777777" w:rsidR="00EF5C25" w:rsidRPr="007F530F" w:rsidRDefault="00EF5C25" w:rsidP="00E91615">
      <w:pPr>
        <w:pStyle w:val="Numbered"/>
      </w:pPr>
      <w:r w:rsidRPr="007F530F">
        <w:t>The standard sentence for incest offences is 10 years. Of the 101 non-aggregate sentences of imprisonment imposed in 2019 for incest with a child, stepchild or lineal descendant, 9 were for standard sentence offences (in 3 cases) and 92 were not.</w:t>
      </w:r>
      <w:r w:rsidRPr="007F530F">
        <w:rPr>
          <w:rStyle w:val="Superscript"/>
        </w:rPr>
        <w:footnoteReference w:id="146"/>
      </w:r>
    </w:p>
    <w:p w14:paraId="01EC8EDD" w14:textId="546EBA62" w:rsidR="00EF5C25" w:rsidRDefault="00EF5C25" w:rsidP="00E91615">
      <w:pPr>
        <w:pStyle w:val="Numbered"/>
      </w:pPr>
      <w:r w:rsidRPr="007F530F">
        <w:t xml:space="preserve">The average prison sentence for standard sentence offences was 7 years and 7 months, 11% (9 months) higher than the average prison sentence for non-standard sentence offences that year. Excluding those 9 standard sentence offences, the average prison sentence for incest offences in 2019 was still much higher in than in the previous year. It is likely that that the introduction of a standard sentence for incest offences, coupled with the changing sentencing practices in those cases, is also influencing sentence </w:t>
      </w:r>
      <w:r w:rsidRPr="007F530F">
        <w:lastRenderedPageBreak/>
        <w:t>lengths in cases of non-standard sentence offences, alongside the other reforms applicable to incest offences discussed below.</w:t>
      </w:r>
      <w:r w:rsidRPr="007F530F">
        <w:rPr>
          <w:rStyle w:val="Superscript"/>
        </w:rPr>
        <w:footnoteReference w:id="147"/>
      </w:r>
    </w:p>
    <w:p w14:paraId="079018C4" w14:textId="39AE375A" w:rsidR="004634D4" w:rsidRPr="007B2C85" w:rsidRDefault="004634D4" w:rsidP="00F63217">
      <w:pPr>
        <w:keepNext/>
        <w:keepLines/>
        <w:pBdr>
          <w:top w:val="single" w:sz="4" w:space="1" w:color="auto"/>
          <w:left w:val="single" w:sz="4" w:space="4" w:color="auto"/>
          <w:bottom w:val="single" w:sz="4" w:space="1" w:color="auto"/>
          <w:right w:val="single" w:sz="4" w:space="4" w:color="auto"/>
        </w:pBdr>
      </w:pPr>
      <w:r w:rsidRPr="007B2C85">
        <w:t>Average prison sentence imposed for incest with a child, stepchild or lineal descendant (sections 44(1), 44(2), 50C and 50D) in the higher courts in 2019</w:t>
      </w:r>
    </w:p>
    <w:p w14:paraId="3E12D3F8" w14:textId="3228620B" w:rsidR="004634D4" w:rsidRPr="007B2C85" w:rsidRDefault="004634D4" w:rsidP="00F63217">
      <w:pPr>
        <w:keepNext/>
        <w:keepLines/>
        <w:pBdr>
          <w:top w:val="single" w:sz="4" w:space="1" w:color="auto"/>
          <w:left w:val="single" w:sz="4" w:space="4" w:color="auto"/>
          <w:bottom w:val="single" w:sz="4" w:space="1" w:color="auto"/>
          <w:right w:val="single" w:sz="4" w:space="4" w:color="auto"/>
        </w:pBdr>
      </w:pPr>
      <w:r w:rsidRPr="007B2C85">
        <w:t>Standard sentence offence (9 offences):</w:t>
      </w:r>
      <w:r w:rsidR="00CD5348" w:rsidRPr="007B2C85">
        <w:t xml:space="preserve"> </w:t>
      </w:r>
      <w:r w:rsidRPr="007B2C85">
        <w:t>7 years and 7 months</w:t>
      </w:r>
    </w:p>
    <w:p w14:paraId="735AB6D8" w14:textId="626905CE" w:rsidR="004634D4" w:rsidRPr="007B2C85" w:rsidRDefault="004634D4" w:rsidP="00F63217">
      <w:pPr>
        <w:keepNext/>
        <w:keepLines/>
        <w:pBdr>
          <w:top w:val="single" w:sz="4" w:space="1" w:color="auto"/>
          <w:left w:val="single" w:sz="4" w:space="4" w:color="auto"/>
          <w:bottom w:val="single" w:sz="4" w:space="1" w:color="auto"/>
          <w:right w:val="single" w:sz="4" w:space="4" w:color="auto"/>
        </w:pBdr>
      </w:pPr>
      <w:r w:rsidRPr="007B2C85">
        <w:t>Non-standard sentence offence (92 offences):</w:t>
      </w:r>
      <w:r w:rsidR="00CD5348" w:rsidRPr="007B2C85">
        <w:t xml:space="preserve"> </w:t>
      </w:r>
      <w:r w:rsidRPr="007B2C85">
        <w:t>6 years and 10 months</w:t>
      </w:r>
    </w:p>
    <w:p w14:paraId="6B31539A" w14:textId="77777777" w:rsidR="00EF5C25" w:rsidRPr="007F530F" w:rsidRDefault="00EF5C25" w:rsidP="00E91615">
      <w:pPr>
        <w:pStyle w:val="Numbered"/>
      </w:pPr>
      <w:r w:rsidRPr="007F530F">
        <w:t>Each of the sentences imposed for standard sentence offences of incest fell below the standard sentence of 10 years.</w:t>
      </w:r>
      <w:r w:rsidRPr="007F530F">
        <w:rPr>
          <w:rStyle w:val="Superscript"/>
        </w:rPr>
        <w:footnoteReference w:id="148"/>
      </w:r>
      <w:r w:rsidRPr="007F530F">
        <w:t xml:space="preserve"> This is, however, not unusual given that the standard sentence does not account for subjective factors relevant to the offender, such as a plea of guilty.</w:t>
      </w:r>
      <w:r w:rsidRPr="007F530F">
        <w:rPr>
          <w:rStyle w:val="Superscript"/>
        </w:rPr>
        <w:footnoteReference w:id="149"/>
      </w:r>
      <w:r w:rsidRPr="007F530F">
        <w:t xml:space="preserve"> As the Court of Appeal recently said in </w:t>
      </w:r>
      <w:r w:rsidRPr="00D62402">
        <w:rPr>
          <w:rStyle w:val="Emphasis"/>
        </w:rPr>
        <w:t>Lockyer (A Pseudonym) v The Queen</w:t>
      </w:r>
      <w:r w:rsidRPr="007F530F">
        <w:t xml:space="preserve">: </w:t>
      </w:r>
    </w:p>
    <w:p w14:paraId="5E61384D" w14:textId="77777777" w:rsidR="00EF5C25" w:rsidRPr="007F530F" w:rsidRDefault="00EF5C25" w:rsidP="005E5687">
      <w:pPr>
        <w:pStyle w:val="Quote"/>
      </w:pPr>
      <w:r w:rsidRPr="007F530F">
        <w:t xml:space="preserve">It must be understood that the standard sentencing regime, so recently introduced, does not in any way diminish the importance of giving proper weight to relevant mitigating factors. These include the personal circumstances of the offender, his or her prospects of </w:t>
      </w:r>
      <w:r w:rsidRPr="007F530F">
        <w:lastRenderedPageBreak/>
        <w:t>rehabilitation and, where appropriate, the need to give due weight to a plea of guilty (particularly if coupled with remorse).</w:t>
      </w:r>
      <w:r w:rsidRPr="007F530F">
        <w:rPr>
          <w:rStyle w:val="Superscript"/>
        </w:rPr>
        <w:footnoteReference w:id="150"/>
      </w:r>
    </w:p>
    <w:p w14:paraId="52B9CE65" w14:textId="77777777" w:rsidR="00EF5C25" w:rsidRPr="007F530F" w:rsidRDefault="00EF5C25" w:rsidP="00E91615">
      <w:pPr>
        <w:pStyle w:val="Numbered"/>
      </w:pPr>
      <w:r w:rsidRPr="007F530F">
        <w:t xml:space="preserve">There are currently few publicly available sentencing remarks about how standard sentences have been taken into account in sentencing incest offending. In </w:t>
      </w:r>
      <w:r w:rsidRPr="00D62402">
        <w:rPr>
          <w:rStyle w:val="Emphasis"/>
        </w:rPr>
        <w:t>DPP v</w:t>
      </w:r>
      <w:r w:rsidRPr="007F530F">
        <w:t xml:space="preserve"> </w:t>
      </w:r>
      <w:r w:rsidRPr="00D62402">
        <w:rPr>
          <w:rStyle w:val="Emphasis"/>
        </w:rPr>
        <w:t>Jarvis (A Pseudonym)</w:t>
      </w:r>
      <w:r w:rsidRPr="007F530F">
        <w:t>, the offender received prison sentences of 8 years each on 2 charges of incest with his biological daughter.</w:t>
      </w:r>
      <w:r w:rsidRPr="007F530F">
        <w:rPr>
          <w:rStyle w:val="Superscript"/>
        </w:rPr>
        <w:footnoteReference w:id="151"/>
      </w:r>
      <w:r w:rsidRPr="007F530F">
        <w:t xml:space="preserve"> As the Court of Appeal intimated in </w:t>
      </w:r>
      <w:r w:rsidRPr="00D62402">
        <w:rPr>
          <w:rStyle w:val="Emphasis"/>
        </w:rPr>
        <w:t>Lockyer</w:t>
      </w:r>
      <w:r w:rsidRPr="007F530F">
        <w:t>, the effect of the offender’s plea of guilty in that case was to drive the actual sentence imposed for the offences below the standard sentence for the offence. The sentencing judge specifically said that were it not for the offender’s plea of guilty, ‘I would have probably given sentences greater than the standard sentence’.</w:t>
      </w:r>
      <w:r w:rsidRPr="007F530F">
        <w:rPr>
          <w:rStyle w:val="Superscript"/>
        </w:rPr>
        <w:footnoteReference w:id="152"/>
      </w:r>
      <w:r w:rsidRPr="007F530F">
        <w:t xml:space="preserve"> And in </w:t>
      </w:r>
      <w:r w:rsidRPr="00D62402">
        <w:rPr>
          <w:rStyle w:val="Emphasis"/>
        </w:rPr>
        <w:t>DPP v</w:t>
      </w:r>
      <w:r w:rsidRPr="007F530F">
        <w:t xml:space="preserve"> </w:t>
      </w:r>
      <w:r w:rsidRPr="00D62402">
        <w:rPr>
          <w:rStyle w:val="Emphasis"/>
        </w:rPr>
        <w:t>Murray (A Pseudonym)</w:t>
      </w:r>
      <w:r w:rsidRPr="007F530F">
        <w:t>, the offender received a 6-year prison sentence for engaging in digital and penile penetration with his stepdaughter.</w:t>
      </w:r>
      <w:r w:rsidRPr="007F530F">
        <w:rPr>
          <w:rStyle w:val="Superscript"/>
        </w:rPr>
        <w:footnoteReference w:id="153"/>
      </w:r>
      <w:r w:rsidRPr="007F530F">
        <w:t xml:space="preserve"> The court in that case noted that because of the current paucity of cases in which incest offences attracted standard sentence offence classification, there are limited, if any, current sentencing practices to which courts can refer.</w:t>
      </w:r>
      <w:r w:rsidRPr="007F530F">
        <w:rPr>
          <w:rStyle w:val="Superscript"/>
        </w:rPr>
        <w:footnoteReference w:id="154"/>
      </w:r>
    </w:p>
    <w:p w14:paraId="3D2FCC29" w14:textId="77777777" w:rsidR="00EF5C25" w:rsidRPr="007F530F" w:rsidRDefault="00EF5C25" w:rsidP="006633AA">
      <w:pPr>
        <w:pStyle w:val="Heading3"/>
      </w:pPr>
      <w:r w:rsidRPr="007F530F">
        <w:t xml:space="preserve">The influence of the various </w:t>
      </w:r>
      <w:r w:rsidRPr="00D931C5">
        <w:rPr>
          <w:rStyle w:val="Emphasis"/>
        </w:rPr>
        <w:t>Dalgliesh</w:t>
      </w:r>
      <w:r w:rsidRPr="00D62402">
        <w:rPr>
          <w:rStyle w:val="Emphasis"/>
        </w:rPr>
        <w:t xml:space="preserve"> </w:t>
      </w:r>
      <w:r w:rsidRPr="007F530F">
        <w:t>decisions</w:t>
      </w:r>
    </w:p>
    <w:p w14:paraId="6DB82811" w14:textId="77777777" w:rsidR="00EF5C25" w:rsidRPr="007F530F" w:rsidRDefault="00EF5C25" w:rsidP="00E91615">
      <w:pPr>
        <w:pStyle w:val="Numbered"/>
      </w:pPr>
      <w:r w:rsidRPr="007F530F">
        <w:t>Although the Court of Appeal has repeatedly and consistently emphasised the seriousness of the crime of incest,</w:t>
      </w:r>
      <w:r w:rsidRPr="007F530F">
        <w:rPr>
          <w:rStyle w:val="Superscript"/>
        </w:rPr>
        <w:footnoteReference w:id="155"/>
      </w:r>
      <w:r w:rsidRPr="007F530F">
        <w:t xml:space="preserve"> sentences for </w:t>
      </w:r>
      <w:r w:rsidRPr="007F530F">
        <w:lastRenderedPageBreak/>
        <w:t xml:space="preserve">such offending prior to the various </w:t>
      </w:r>
      <w:r w:rsidRPr="00D62402">
        <w:rPr>
          <w:rStyle w:val="Emphasis"/>
        </w:rPr>
        <w:t xml:space="preserve">Dalgliesh </w:t>
      </w:r>
      <w:r w:rsidRPr="007F530F">
        <w:t>decisions were said to have ‘devalued the seriousness of it’.</w:t>
      </w:r>
      <w:r w:rsidRPr="007F530F">
        <w:rPr>
          <w:rStyle w:val="Superscript"/>
        </w:rPr>
        <w:footnoteReference w:id="156"/>
      </w:r>
      <w:r w:rsidRPr="007F530F">
        <w:t xml:space="preserve"> As described at [2.6]–[2.11], the Court of Appeal called for an uplift to sentencing practices for these offences in 2016,</w:t>
      </w:r>
      <w:r w:rsidRPr="007F530F">
        <w:rPr>
          <w:rStyle w:val="Superscript"/>
        </w:rPr>
        <w:footnoteReference w:id="157"/>
      </w:r>
      <w:r w:rsidRPr="007F530F">
        <w:t xml:space="preserve"> a call that was affirmed by the High Court a year later (albeit holding that the uplift should be more immediate).</w:t>
      </w:r>
      <w:r w:rsidRPr="007F530F">
        <w:rPr>
          <w:rStyle w:val="Superscript"/>
        </w:rPr>
        <w:footnoteReference w:id="158"/>
      </w:r>
      <w:r w:rsidRPr="007F530F">
        <w:t xml:space="preserve"> </w:t>
      </w:r>
    </w:p>
    <w:p w14:paraId="4CE618F3" w14:textId="77777777" w:rsidR="00EF5C25" w:rsidRPr="007F530F" w:rsidRDefault="00EF5C25" w:rsidP="00E91615">
      <w:pPr>
        <w:pStyle w:val="Numbered"/>
      </w:pPr>
      <w:r w:rsidRPr="007F530F">
        <w:t>The timing of these judgments and the actual changes in sentencing practices warrant closer examination. First, while the Court of Appeal called for an uplift to sentencing practices for incest in 2016, most of the 2016 increase actually preceded the Court of Appeal’s decision in June (see Figure 16). In particular, the 52 charges of incest offences that received prison sentences in the first half of 2016, prior to the court’s decision, had an average prison sentence of 5 years (a year longer than the average prison sentence in 2015), while the average prison sentence for the 49 charges sentenced in the second half of 2016 was only slightly higher, at 5 years and 3 months.</w:t>
      </w:r>
    </w:p>
    <w:p w14:paraId="3257F706" w14:textId="77777777" w:rsidR="00EF5C25" w:rsidRPr="007F530F" w:rsidRDefault="00EF5C25" w:rsidP="00E91615">
      <w:pPr>
        <w:pStyle w:val="Numbered"/>
      </w:pPr>
      <w:r w:rsidRPr="007F530F">
        <w:t xml:space="preserve">Second, though the High Court’s decision and the Court of Appeal’s second </w:t>
      </w:r>
      <w:r w:rsidRPr="00D62402">
        <w:rPr>
          <w:rStyle w:val="Emphasis"/>
        </w:rPr>
        <w:t xml:space="preserve">Dalgliesh </w:t>
      </w:r>
      <w:r w:rsidRPr="007F530F">
        <w:t>decision occurred in late 2017, there was no apparent increase in the average prison sentence in 2018; instead, there was a significant increase in 2019. This could suggest that common law attempts to influence sentencing practices may take time to influence sentencing outcomes. For example, the Council’s previous analysis of sentences for aggravated burglary pre- and post-</w:t>
      </w:r>
      <w:r w:rsidRPr="00D62402">
        <w:rPr>
          <w:rStyle w:val="Emphasis"/>
        </w:rPr>
        <w:t>Hogarth v The Queen</w:t>
      </w:r>
      <w:r w:rsidRPr="007F530F">
        <w:rPr>
          <w:rStyle w:val="Superscript"/>
        </w:rPr>
        <w:footnoteReference w:id="159"/>
      </w:r>
      <w:r w:rsidRPr="007F530F">
        <w:t xml:space="preserve"> (the case called for an uplift in </w:t>
      </w:r>
      <w:r w:rsidRPr="007F530F">
        <w:lastRenderedPageBreak/>
        <w:t>sentencing practices for that type of offending) found that it took about 12 months for the median prison sentence to increase 25% from 2 to 2.5 years.</w:t>
      </w:r>
      <w:r w:rsidRPr="007F530F">
        <w:rPr>
          <w:rStyle w:val="Superscript"/>
        </w:rPr>
        <w:footnoteReference w:id="160"/>
      </w:r>
      <w:r w:rsidRPr="007F530F">
        <w:t xml:space="preserve"> It may also be the case that when there has been a call to uplift sentencing practices, some sentencing courts are cautious about testing the boundaries of that increase until they see the outcomes of appellate review of increased sentences. For example, sentencing courts may have been encouraged by the Court of Appeal’s dismissal of three separate sentence appeals in incest cases in May 2018,</w:t>
      </w:r>
      <w:r w:rsidRPr="007F530F">
        <w:rPr>
          <w:rStyle w:val="Superscript"/>
        </w:rPr>
        <w:footnoteReference w:id="161"/>
      </w:r>
      <w:r w:rsidRPr="007F530F">
        <w:t xml:space="preserve"> finding charge-level prison sentences of 6 years and 5 months, 6 years and 6 months, and 8 years to be ‘well within the range reasonably open’.</w:t>
      </w:r>
      <w:r w:rsidRPr="007F530F">
        <w:rPr>
          <w:rStyle w:val="Superscript"/>
        </w:rPr>
        <w:footnoteReference w:id="162"/>
      </w:r>
      <w:r w:rsidRPr="007F530F">
        <w:t xml:space="preserve"> Similarly, in March 2019 the Court of Appeal held that sentences of 4 years’ imprisonment each for 4 incest offences against the offender’s stepdaughter were manifestly inadequate and ‘fail[ed] to have proper regard to what was said by both the High Court, and by this Court, with regard to sentencing for the offence of incest’; the court thus increased the sentence on each of those charges to 6 years.</w:t>
      </w:r>
      <w:r w:rsidRPr="007F530F">
        <w:rPr>
          <w:rStyle w:val="Superscript"/>
        </w:rPr>
        <w:footnoteReference w:id="163"/>
      </w:r>
    </w:p>
    <w:p w14:paraId="73AC655D" w14:textId="77777777" w:rsidR="00EF5C25" w:rsidRPr="007F530F" w:rsidRDefault="00EF5C25" w:rsidP="00E91615">
      <w:pPr>
        <w:pStyle w:val="Numbered"/>
      </w:pPr>
      <w:r w:rsidRPr="007F530F">
        <w:t xml:space="preserve">The </w:t>
      </w:r>
      <w:r w:rsidRPr="00D62402">
        <w:rPr>
          <w:rStyle w:val="Emphasis"/>
        </w:rPr>
        <w:t xml:space="preserve">Dalgliesh </w:t>
      </w:r>
      <w:r w:rsidRPr="007F530F">
        <w:t>line of authority has affected how Victorian courts sentence incest offences, reducing the weight given to previously inadequate sentencing practices pre-</w:t>
      </w:r>
      <w:r w:rsidRPr="00D62402">
        <w:rPr>
          <w:rStyle w:val="Emphasis"/>
        </w:rPr>
        <w:t>Dalgliesh</w:t>
      </w:r>
      <w:r w:rsidRPr="007F530F">
        <w:t>. One court wrote that ‘[p]re-</w:t>
      </w:r>
      <w:r w:rsidRPr="00D62402">
        <w:rPr>
          <w:rStyle w:val="Emphasis"/>
        </w:rPr>
        <w:t xml:space="preserve">Dalgliesh </w:t>
      </w:r>
      <w:r w:rsidRPr="007F530F">
        <w:t>sentences are of very little weight indeed’.</w:t>
      </w:r>
      <w:r w:rsidRPr="007F530F">
        <w:rPr>
          <w:rStyle w:val="Superscript"/>
        </w:rPr>
        <w:footnoteReference w:id="164"/>
      </w:r>
      <w:r w:rsidRPr="007F530F">
        <w:t xml:space="preserve"> </w:t>
      </w:r>
      <w:r w:rsidRPr="007F530F">
        <w:lastRenderedPageBreak/>
        <w:t>Another wrote of the ‘changing landscape for incest sentencing’.</w:t>
      </w:r>
      <w:r w:rsidRPr="007F530F">
        <w:rPr>
          <w:rStyle w:val="Superscript"/>
        </w:rPr>
        <w:footnoteReference w:id="165"/>
      </w:r>
      <w:r w:rsidRPr="007F530F">
        <w:t xml:space="preserve"> Yet another described the High Court’s decision as having ‘loosened the shackles imposed by the [previous] interpretation of current sentencing practices’.</w:t>
      </w:r>
      <w:r w:rsidRPr="007F530F">
        <w:rPr>
          <w:rStyle w:val="Superscript"/>
        </w:rPr>
        <w:footnoteReference w:id="166"/>
      </w:r>
      <w:r w:rsidRPr="007F530F">
        <w:t xml:space="preserve"> Also, while not a new observation,</w:t>
      </w:r>
      <w:r w:rsidRPr="007F530F">
        <w:rPr>
          <w:rStyle w:val="Superscript"/>
        </w:rPr>
        <w:footnoteReference w:id="167"/>
      </w:r>
      <w:r w:rsidRPr="007F530F">
        <w:t xml:space="preserve"> the various </w:t>
      </w:r>
      <w:r w:rsidRPr="00D62402">
        <w:rPr>
          <w:rStyle w:val="Emphasis"/>
        </w:rPr>
        <w:t xml:space="preserve">Dalgliesh </w:t>
      </w:r>
      <w:r w:rsidRPr="007F530F">
        <w:t>decisions have re-emphasised that ‘incest involving a young child’ is a ‘crime of violence’ of ‘particular repugnance’ that ‘inherently involves a gross breach of trust’,</w:t>
      </w:r>
      <w:r w:rsidRPr="007F530F">
        <w:rPr>
          <w:rStyle w:val="Superscript"/>
        </w:rPr>
        <w:footnoteReference w:id="168"/>
      </w:r>
      <w:r w:rsidRPr="007F530F">
        <w:t xml:space="preserve"> and that ‘offending against children in family situations must be met with heavy punishments’.</w:t>
      </w:r>
      <w:r w:rsidRPr="007F530F">
        <w:rPr>
          <w:rStyle w:val="Superscript"/>
        </w:rPr>
        <w:footnoteReference w:id="169"/>
      </w:r>
    </w:p>
    <w:p w14:paraId="37B985DD" w14:textId="77777777" w:rsidR="00EF5C25" w:rsidRPr="007F530F" w:rsidRDefault="00EF5C25" w:rsidP="00E91615">
      <w:pPr>
        <w:pStyle w:val="Numbered"/>
      </w:pPr>
      <w:r w:rsidRPr="007F530F">
        <w:t xml:space="preserve">Some courts have, though, cautioned against allowing the </w:t>
      </w:r>
      <w:r w:rsidRPr="00D62402">
        <w:rPr>
          <w:rStyle w:val="Emphasis"/>
        </w:rPr>
        <w:t xml:space="preserve">Dalgliesh </w:t>
      </w:r>
      <w:r w:rsidRPr="007F530F">
        <w:t>jurisprudence to catalyse an unrestrained enhancement in sentencing practices. One court, for example, wrote that ‘</w:t>
      </w:r>
      <w:r w:rsidRPr="00D62402">
        <w:rPr>
          <w:rStyle w:val="Emphasis"/>
        </w:rPr>
        <w:t xml:space="preserve">Dalgliesh </w:t>
      </w:r>
      <w:r w:rsidRPr="007F530F">
        <w:t>does not dictate that sentencing has become an unconstrained free-for-all. Current sentencing practices are still relevant to sentencing’.</w:t>
      </w:r>
      <w:r w:rsidRPr="007F530F">
        <w:rPr>
          <w:rStyle w:val="Superscript"/>
        </w:rPr>
        <w:footnoteReference w:id="170"/>
      </w:r>
      <w:r w:rsidRPr="007F530F">
        <w:t xml:space="preserve"> Another noted that, ‘[t]otal cumulation on the relevant charges would infringe the totality principle … even in the post-</w:t>
      </w:r>
      <w:r w:rsidRPr="00D62402">
        <w:rPr>
          <w:rStyle w:val="Emphasis"/>
        </w:rPr>
        <w:t xml:space="preserve">Dalgliesh </w:t>
      </w:r>
      <w:r w:rsidRPr="007F530F">
        <w:t>landscape’.</w:t>
      </w:r>
      <w:r w:rsidRPr="007F530F">
        <w:rPr>
          <w:rStyle w:val="Superscript"/>
        </w:rPr>
        <w:footnoteReference w:id="171"/>
      </w:r>
      <w:r w:rsidRPr="007F530F">
        <w:t xml:space="preserve"> Further, while sentencing courts are bound to apply sentencing practices at the date of </w:t>
      </w:r>
      <w:r w:rsidRPr="00D62402">
        <w:rPr>
          <w:rStyle w:val="Emphasis"/>
        </w:rPr>
        <w:t xml:space="preserve">sentence </w:t>
      </w:r>
      <w:r w:rsidRPr="007F530F">
        <w:t xml:space="preserve">(as opposed to the date of the </w:t>
      </w:r>
      <w:r w:rsidRPr="00D62402">
        <w:rPr>
          <w:rStyle w:val="Emphasis"/>
        </w:rPr>
        <w:t>offence</w:t>
      </w:r>
      <w:r w:rsidRPr="007F530F">
        <w:t>),</w:t>
      </w:r>
      <w:r w:rsidRPr="007F530F">
        <w:rPr>
          <w:rStyle w:val="Superscript"/>
        </w:rPr>
        <w:footnoteReference w:id="172"/>
      </w:r>
      <w:r w:rsidRPr="007F530F">
        <w:t xml:space="preserve"> the Court of </w:t>
      </w:r>
      <w:r w:rsidRPr="007F530F">
        <w:lastRenderedPageBreak/>
        <w:t>Appeal has suggested that the offender may be entitled to have the sentencing court take past sentencing practices into account where there has been a delay in making a complaint about historical incest offending.</w:t>
      </w:r>
      <w:r w:rsidRPr="007F530F">
        <w:rPr>
          <w:rStyle w:val="Superscript"/>
        </w:rPr>
        <w:footnoteReference w:id="173"/>
      </w:r>
    </w:p>
    <w:p w14:paraId="63514A79" w14:textId="77777777" w:rsidR="00EF5C25" w:rsidRPr="007F530F" w:rsidRDefault="00EF5C25" w:rsidP="006633AA">
      <w:pPr>
        <w:pStyle w:val="Heading3"/>
      </w:pPr>
      <w:r w:rsidRPr="007F530F">
        <w:t>The influence of course of conduct incest charges</w:t>
      </w:r>
    </w:p>
    <w:p w14:paraId="40A2DFF8" w14:textId="77777777" w:rsidR="00EF5C25" w:rsidRPr="007F530F" w:rsidRDefault="00EF5C25" w:rsidP="00E91615">
      <w:pPr>
        <w:pStyle w:val="Numbered"/>
      </w:pPr>
      <w:r w:rsidRPr="007F530F">
        <w:t>Another reform, which took effect in mid-2015, would have affected sentencing practices for incest. In particular, it became possible to prosecute multiple incidents of certain sex offences, including incest, as a single charge.</w:t>
      </w:r>
      <w:r w:rsidRPr="007F530F">
        <w:rPr>
          <w:rStyle w:val="Superscript"/>
        </w:rPr>
        <w:footnoteReference w:id="174"/>
      </w:r>
      <w:r w:rsidRPr="007F530F">
        <w:t xml:space="preserve"> This reform has not been a focus of this report for at least two reasons: first, it was difficult to obtain and confirm reliable data and, second, this reform was not designed to increase sentencing practices (unlike the other reforms). Any increase in sentencing practices would instead simply be an unintentional (albeit likely) consequence.</w:t>
      </w:r>
    </w:p>
    <w:p w14:paraId="43770908" w14:textId="77777777" w:rsidR="00EF5C25" w:rsidRPr="007F530F" w:rsidRDefault="00EF5C25" w:rsidP="00E91615">
      <w:pPr>
        <w:pStyle w:val="Numbered"/>
      </w:pPr>
      <w:r w:rsidRPr="007F530F">
        <w:t>A course of conduct offence will almost invariably be more serious than a single incident of the same offence, by virtue of the offending being repeated or protracted.</w:t>
      </w:r>
      <w:r w:rsidRPr="007F530F">
        <w:rPr>
          <w:rStyle w:val="Superscript"/>
        </w:rPr>
        <w:footnoteReference w:id="175"/>
      </w:r>
      <w:r w:rsidRPr="007F530F">
        <w:t xml:space="preserve"> The </w:t>
      </w:r>
      <w:r w:rsidRPr="00D62402">
        <w:rPr>
          <w:rStyle w:val="Emphasis"/>
        </w:rPr>
        <w:t xml:space="preserve">Sentencing Act 1991 </w:t>
      </w:r>
      <w:r w:rsidRPr="007F530F">
        <w:t>(Vic) specifically requires courts sentencing course of conduct offences to ‘impose a sentence that reflects the totality of the offending’.</w:t>
      </w:r>
      <w:r w:rsidRPr="007F530F">
        <w:rPr>
          <w:rStyle w:val="Superscript"/>
        </w:rPr>
        <w:footnoteReference w:id="176"/>
      </w:r>
      <w:r w:rsidRPr="007F530F">
        <w:t xml:space="preserve"> The Court of Appeal has even noted that sentencing </w:t>
      </w:r>
      <w:r w:rsidRPr="007F530F">
        <w:lastRenderedPageBreak/>
        <w:t>practices for charges of multi-count offences (course of conduct, rolled-up and representative charges) are not usefully comparable to single incident versions of the same offence.</w:t>
      </w:r>
      <w:r w:rsidRPr="007F530F">
        <w:rPr>
          <w:rStyle w:val="Superscript"/>
        </w:rPr>
        <w:footnoteReference w:id="177"/>
      </w:r>
      <w:r w:rsidRPr="007F530F">
        <w:t xml:space="preserve"> For example, in </w:t>
      </w:r>
      <w:r w:rsidRPr="00D62402">
        <w:rPr>
          <w:rStyle w:val="Emphasis"/>
        </w:rPr>
        <w:t>McCray</w:t>
      </w:r>
      <w:r w:rsidRPr="007F530F">
        <w:t xml:space="preserve"> </w:t>
      </w:r>
      <w:r w:rsidRPr="00D62402">
        <w:rPr>
          <w:rStyle w:val="Emphasis"/>
        </w:rPr>
        <w:t>(A Pseudonym) v The Queen</w:t>
      </w:r>
      <w:r w:rsidRPr="007F530F">
        <w:t>,</w:t>
      </w:r>
      <w:r w:rsidRPr="00D62402">
        <w:rPr>
          <w:rStyle w:val="Emphasis"/>
        </w:rPr>
        <w:t xml:space="preserve"> </w:t>
      </w:r>
      <w:r w:rsidRPr="007F530F">
        <w:t>the Court of Appeal said,</w:t>
      </w:r>
      <w:r w:rsidRPr="00D62402">
        <w:rPr>
          <w:rStyle w:val="Emphasis"/>
        </w:rPr>
        <w:t xml:space="preserve"> </w:t>
      </w:r>
      <w:r w:rsidRPr="007F530F">
        <w:t>‘[b]ecause the applicant was to be sentenced for multiple incidents of incest [in a single charge], albeit within the confines of a single maximum penalty, sentences imposed for single instances of incest could not provide any relevant guidance’.</w:t>
      </w:r>
      <w:r w:rsidRPr="007F530F">
        <w:rPr>
          <w:rStyle w:val="Superscript"/>
        </w:rPr>
        <w:footnoteReference w:id="178"/>
      </w:r>
    </w:p>
    <w:p w14:paraId="48A24CE0" w14:textId="77777777" w:rsidR="00EF5C25" w:rsidRPr="007F530F" w:rsidRDefault="00EF5C25" w:rsidP="00E91615">
      <w:pPr>
        <w:pStyle w:val="Numbered"/>
      </w:pPr>
      <w:r w:rsidRPr="007F530F">
        <w:t>At least seven charges of incest by a parent (5) or stepparent (2) sentenced in either 2018 (3) or 2019 (4) were recorded as course of conduct offences.</w:t>
      </w:r>
      <w:r w:rsidRPr="007F530F">
        <w:rPr>
          <w:rStyle w:val="Superscript"/>
        </w:rPr>
        <w:footnoteReference w:id="179"/>
      </w:r>
      <w:r w:rsidRPr="007F530F">
        <w:t xml:space="preserve">  The average charge-level prison sentence for those offences was 8 years and 4 months. This was much higher than the average prison sentence of 6 years and 5 months for the 133 other charges of those offences </w:t>
      </w:r>
      <w:r w:rsidRPr="00D62402">
        <w:rPr>
          <w:rStyle w:val="Emphasis"/>
        </w:rPr>
        <w:t>not</w:t>
      </w:r>
      <w:r w:rsidRPr="007F530F">
        <w:t xml:space="preserve"> recorded as course of conduct offences that were sentenced in the same years. </w:t>
      </w:r>
    </w:p>
    <w:p w14:paraId="156C0678" w14:textId="77D022F6" w:rsidR="00EF5C25" w:rsidRPr="007F530F" w:rsidRDefault="00EF5C25" w:rsidP="006B455D">
      <w:pPr>
        <w:pStyle w:val="Heading1Numbered"/>
      </w:pPr>
      <w:bookmarkStart w:id="10" w:name="_Toc74904003"/>
      <w:r w:rsidRPr="007F530F">
        <w:lastRenderedPageBreak/>
        <w:t>Child sexual penetration offences</w:t>
      </w:r>
      <w:bookmarkEnd w:id="10"/>
    </w:p>
    <w:p w14:paraId="6C40DBF1" w14:textId="77777777" w:rsidR="00EF5C25" w:rsidRPr="007F530F" w:rsidRDefault="00EF5C25" w:rsidP="00D83AF6">
      <w:pPr>
        <w:pStyle w:val="Numbered"/>
      </w:pPr>
      <w:r w:rsidRPr="007F530F">
        <w:t>This chapter discusses the number and types of child sexual penetration offences</w:t>
      </w:r>
      <w:r w:rsidRPr="007F530F">
        <w:rPr>
          <w:rStyle w:val="Superscript"/>
        </w:rPr>
        <w:footnoteReference w:id="180"/>
      </w:r>
      <w:r w:rsidRPr="007F530F">
        <w:t xml:space="preserve"> recorded and sentenced between 2010 and 2019, and sentencing outcomes for proven offences. This includes an analysis of prison sentence lengths for two kinds of child sexual penetration offences: sexual penetration with a child aged under 10/12 and sexual penetration with a child aged 10/12 to 15.</w:t>
      </w:r>
    </w:p>
    <w:p w14:paraId="0F42AF27" w14:textId="77777777" w:rsidR="00EF5C25" w:rsidRPr="007F530F" w:rsidRDefault="00EF5C25" w:rsidP="00D83AF6">
      <w:pPr>
        <w:pStyle w:val="Numbered"/>
      </w:pPr>
      <w:r w:rsidRPr="007F530F">
        <w:t>The current child sexual penetration offences in Victoria have been in effect since July 2017. These offences and their maximum penalties include sexual penetration with a child aged under 12 (25 years),</w:t>
      </w:r>
      <w:r w:rsidRPr="007F530F">
        <w:rPr>
          <w:rStyle w:val="Superscript"/>
        </w:rPr>
        <w:footnoteReference w:id="181"/>
      </w:r>
      <w:r w:rsidRPr="007F530F">
        <w:t xml:space="preserve"> sexual penetration with a child aged under 16 (15 years),</w:t>
      </w:r>
      <w:r w:rsidRPr="007F530F">
        <w:rPr>
          <w:rStyle w:val="Superscript"/>
        </w:rPr>
        <w:footnoteReference w:id="182"/>
      </w:r>
      <w:r w:rsidRPr="007F530F">
        <w:t xml:space="preserve"> and sexual penetration with a child aged 16 or 17 under care, supervision or authority (10 years).</w:t>
      </w:r>
      <w:r w:rsidRPr="007F530F">
        <w:rPr>
          <w:rStyle w:val="Superscript"/>
        </w:rPr>
        <w:footnoteReference w:id="183"/>
      </w:r>
      <w:r w:rsidRPr="007F530F">
        <w:t xml:space="preserve"> These offences have evolved considerably since the enactment of the </w:t>
      </w:r>
      <w:r w:rsidRPr="00D62402">
        <w:rPr>
          <w:rStyle w:val="Emphasis"/>
        </w:rPr>
        <w:t xml:space="preserve">Crimes Act 1958 </w:t>
      </w:r>
      <w:r w:rsidRPr="007F530F">
        <w:t xml:space="preserve">(Vic). The original offences included </w:t>
      </w:r>
      <w:r w:rsidRPr="00D62402">
        <w:rPr>
          <w:rStyle w:val="Emphasis"/>
        </w:rPr>
        <w:t>carnal knowledge of a girl</w:t>
      </w:r>
      <w:r w:rsidRPr="007F530F">
        <w:t xml:space="preserve"> and </w:t>
      </w:r>
      <w:r w:rsidRPr="00D62402">
        <w:rPr>
          <w:rStyle w:val="Emphasis"/>
        </w:rPr>
        <w:t>buggery</w:t>
      </w:r>
      <w:r w:rsidRPr="007F530F">
        <w:t>, the maximum penalties for which varied by the victim’s age.</w:t>
      </w:r>
      <w:r w:rsidRPr="007F530F">
        <w:rPr>
          <w:rStyle w:val="Superscript"/>
        </w:rPr>
        <w:footnoteReference w:id="184"/>
      </w:r>
      <w:r w:rsidRPr="007F530F">
        <w:t xml:space="preserve"> In 1981, those offences were replaced by gender-neutral offences with the maximum penalty again varying by the victim’s age, in addition to whether the victim was under the offender’s care, supervision or authority.</w:t>
      </w:r>
      <w:r w:rsidRPr="007F530F">
        <w:rPr>
          <w:rStyle w:val="Superscript"/>
        </w:rPr>
        <w:footnoteReference w:id="185"/>
      </w:r>
      <w:r w:rsidRPr="007F530F">
        <w:t xml:space="preserve"> In 1991, just as digital </w:t>
      </w:r>
      <w:r w:rsidRPr="007F530F">
        <w:lastRenderedPageBreak/>
        <w:t xml:space="preserve">penetration was recognised as a form of rape (by amendment of the term </w:t>
      </w:r>
      <w:r w:rsidRPr="00D62402">
        <w:rPr>
          <w:rStyle w:val="Emphasis"/>
        </w:rPr>
        <w:t>sexual penetration</w:t>
      </w:r>
      <w:r w:rsidRPr="007F530F">
        <w:t>), so too was it recognised as a form of child sexual penetration.</w:t>
      </w:r>
      <w:r w:rsidRPr="007F530F">
        <w:rPr>
          <w:rStyle w:val="Superscript"/>
        </w:rPr>
        <w:footnoteReference w:id="186"/>
      </w:r>
      <w:r w:rsidRPr="007F530F">
        <w:t xml:space="preserve"> In 1997, the maximum penalty for sexual penetration with a child aged under 10 was increased to 25 years to put it ‘on the same footing’ as rape.</w:t>
      </w:r>
      <w:r w:rsidRPr="007F530F">
        <w:rPr>
          <w:rStyle w:val="Superscript"/>
        </w:rPr>
        <w:footnoteReference w:id="187"/>
      </w:r>
      <w:r w:rsidRPr="007F530F">
        <w:t xml:space="preserve"> In March 2010, the application of that 25-year maximum penalty was expanded to offences against victims aged under 12.</w:t>
      </w:r>
      <w:r w:rsidRPr="007F530F">
        <w:rPr>
          <w:rStyle w:val="Superscript"/>
        </w:rPr>
        <w:footnoteReference w:id="188"/>
      </w:r>
      <w:r w:rsidRPr="007F530F">
        <w:t xml:space="preserve"> In March 2017, sexual penetration with a child aged under 12 was classified as a Category 1 offence,</w:t>
      </w:r>
      <w:r w:rsidRPr="007F530F">
        <w:rPr>
          <w:rStyle w:val="Superscript"/>
        </w:rPr>
        <w:footnoteReference w:id="189"/>
      </w:r>
      <w:r w:rsidRPr="007F530F">
        <w:t xml:space="preserve"> and both sexual penetration with a child aged under 12 and sexual penetration with a child aged under 16 were classified as standard sentence offences if committed on or after 1 February 2018.</w:t>
      </w:r>
      <w:r w:rsidRPr="007F530F">
        <w:rPr>
          <w:rStyle w:val="Superscript"/>
        </w:rPr>
        <w:footnoteReference w:id="190"/>
      </w:r>
    </w:p>
    <w:p w14:paraId="0C4635BA" w14:textId="77777777" w:rsidR="00EF5C25" w:rsidRPr="007F530F" w:rsidRDefault="00EF5C25" w:rsidP="006633AA">
      <w:pPr>
        <w:pStyle w:val="Heading2"/>
      </w:pPr>
      <w:r w:rsidRPr="007F530F">
        <w:t>Number of recorded and sentenced child sexual penetration offences</w:t>
      </w:r>
    </w:p>
    <w:p w14:paraId="7C87C9C7" w14:textId="77777777" w:rsidR="00EF5C25" w:rsidRPr="007F530F" w:rsidRDefault="00EF5C25" w:rsidP="00D83AF6">
      <w:pPr>
        <w:pStyle w:val="Numbered"/>
      </w:pPr>
      <w:r w:rsidRPr="007F530F">
        <w:t>Between 2010 and 2019, 13,271 child sexual penetration offences were recorded by police in Victoria (Figure 18).</w:t>
      </w:r>
    </w:p>
    <w:p w14:paraId="0054D3C1" w14:textId="77777777" w:rsidR="00EF5C25" w:rsidRPr="007F530F" w:rsidRDefault="00EF5C25" w:rsidP="00D00197">
      <w:pPr>
        <w:pStyle w:val="Caption"/>
      </w:pPr>
      <w:r w:rsidRPr="00D00197">
        <w:lastRenderedPageBreak/>
        <w:t xml:space="preserve">Figure 18: </w:t>
      </w:r>
      <w:r w:rsidRPr="007F530F">
        <w:t>Number of child sexual penetration offences recorded by police in Victoria, by year (13,271 offences)</w:t>
      </w:r>
    </w:p>
    <w:tbl>
      <w:tblPr>
        <w:tblStyle w:val="Table"/>
        <w:tblW w:w="5000" w:type="pct"/>
        <w:tblLook w:val="04A0" w:firstRow="1" w:lastRow="0" w:firstColumn="1" w:lastColumn="0" w:noHBand="0" w:noVBand="1"/>
      </w:tblPr>
      <w:tblGrid>
        <w:gridCol w:w="1673"/>
        <w:gridCol w:w="7343"/>
      </w:tblGrid>
      <w:tr w:rsidR="00AF4301" w:rsidRPr="00AF4301" w14:paraId="566110C5" w14:textId="77777777" w:rsidTr="00663CF1">
        <w:trPr>
          <w:trHeight w:val="290"/>
        </w:trPr>
        <w:tc>
          <w:tcPr>
            <w:tcW w:w="1929" w:type="pct"/>
            <w:noWrap/>
            <w:hideMark/>
          </w:tcPr>
          <w:p w14:paraId="374253D2" w14:textId="77777777" w:rsidR="00AF4301" w:rsidRPr="00AF4301" w:rsidRDefault="00AF4301" w:rsidP="00663CF1">
            <w:pPr>
              <w:pStyle w:val="TableHeading"/>
            </w:pPr>
            <w:r w:rsidRPr="00AF4301">
              <w:t>Year</w:t>
            </w:r>
          </w:p>
        </w:tc>
        <w:tc>
          <w:tcPr>
            <w:tcW w:w="3071" w:type="pct"/>
            <w:noWrap/>
            <w:hideMark/>
          </w:tcPr>
          <w:p w14:paraId="06967DB4" w14:textId="77777777" w:rsidR="00AF4301" w:rsidRPr="00AF4301" w:rsidRDefault="00AF4301" w:rsidP="00663CF1">
            <w:pPr>
              <w:pStyle w:val="TableHeading"/>
            </w:pPr>
            <w:r w:rsidRPr="00AF4301">
              <w:t>Number of child sexual penetration offences recorded by police</w:t>
            </w:r>
          </w:p>
        </w:tc>
      </w:tr>
      <w:tr w:rsidR="00AF4301" w:rsidRPr="00AF4301" w14:paraId="6CDCCB25" w14:textId="77777777" w:rsidTr="00663CF1">
        <w:trPr>
          <w:trHeight w:val="290"/>
        </w:trPr>
        <w:tc>
          <w:tcPr>
            <w:tcW w:w="1929" w:type="pct"/>
            <w:noWrap/>
            <w:hideMark/>
          </w:tcPr>
          <w:p w14:paraId="64CD401D" w14:textId="77777777" w:rsidR="00AF4301" w:rsidRPr="00AF4301" w:rsidRDefault="00AF4301" w:rsidP="00663CF1">
            <w:pPr>
              <w:pStyle w:val="TableBody"/>
            </w:pPr>
            <w:r w:rsidRPr="00AF4301">
              <w:t>2010</w:t>
            </w:r>
          </w:p>
        </w:tc>
        <w:tc>
          <w:tcPr>
            <w:tcW w:w="3071" w:type="pct"/>
            <w:noWrap/>
            <w:hideMark/>
          </w:tcPr>
          <w:p w14:paraId="31217D9D" w14:textId="77777777" w:rsidR="00AF4301" w:rsidRPr="00AF4301" w:rsidRDefault="00AF4301" w:rsidP="00663CF1">
            <w:pPr>
              <w:pStyle w:val="TableBody"/>
            </w:pPr>
            <w:r w:rsidRPr="00AF4301">
              <w:t>947</w:t>
            </w:r>
          </w:p>
        </w:tc>
      </w:tr>
      <w:tr w:rsidR="00AF4301" w:rsidRPr="00AF4301" w14:paraId="0FE8605F" w14:textId="77777777" w:rsidTr="00663CF1">
        <w:trPr>
          <w:trHeight w:val="290"/>
        </w:trPr>
        <w:tc>
          <w:tcPr>
            <w:tcW w:w="1929" w:type="pct"/>
            <w:noWrap/>
            <w:hideMark/>
          </w:tcPr>
          <w:p w14:paraId="6D6A45D9" w14:textId="77777777" w:rsidR="00AF4301" w:rsidRPr="00AF4301" w:rsidRDefault="00AF4301" w:rsidP="00663CF1">
            <w:pPr>
              <w:pStyle w:val="TableBody"/>
            </w:pPr>
            <w:r w:rsidRPr="00AF4301">
              <w:t>2011</w:t>
            </w:r>
          </w:p>
        </w:tc>
        <w:tc>
          <w:tcPr>
            <w:tcW w:w="3071" w:type="pct"/>
            <w:noWrap/>
            <w:hideMark/>
          </w:tcPr>
          <w:p w14:paraId="210675F8" w14:textId="25C4FC55" w:rsidR="00AF4301" w:rsidRPr="00AF4301" w:rsidRDefault="00AF4301" w:rsidP="00663CF1">
            <w:pPr>
              <w:pStyle w:val="TableBody"/>
            </w:pPr>
            <w:r w:rsidRPr="00AF4301">
              <w:t>1</w:t>
            </w:r>
            <w:r w:rsidR="00E27516">
              <w:t>,</w:t>
            </w:r>
            <w:r w:rsidRPr="00AF4301">
              <w:t>287</w:t>
            </w:r>
          </w:p>
        </w:tc>
      </w:tr>
      <w:tr w:rsidR="00AF4301" w:rsidRPr="00AF4301" w14:paraId="4916A951" w14:textId="77777777" w:rsidTr="00663CF1">
        <w:trPr>
          <w:trHeight w:val="290"/>
        </w:trPr>
        <w:tc>
          <w:tcPr>
            <w:tcW w:w="1929" w:type="pct"/>
            <w:noWrap/>
            <w:hideMark/>
          </w:tcPr>
          <w:p w14:paraId="60C5D59B" w14:textId="77777777" w:rsidR="00AF4301" w:rsidRPr="00AF4301" w:rsidRDefault="00AF4301" w:rsidP="00663CF1">
            <w:pPr>
              <w:pStyle w:val="TableBody"/>
            </w:pPr>
            <w:r w:rsidRPr="00AF4301">
              <w:t>2012</w:t>
            </w:r>
          </w:p>
        </w:tc>
        <w:tc>
          <w:tcPr>
            <w:tcW w:w="3071" w:type="pct"/>
            <w:noWrap/>
            <w:hideMark/>
          </w:tcPr>
          <w:p w14:paraId="20A084E3" w14:textId="111115D5" w:rsidR="00AF4301" w:rsidRPr="00AF4301" w:rsidRDefault="00AF4301" w:rsidP="00663CF1">
            <w:pPr>
              <w:pStyle w:val="TableBody"/>
            </w:pPr>
            <w:r w:rsidRPr="00AF4301">
              <w:t>1</w:t>
            </w:r>
            <w:r w:rsidR="00E27516">
              <w:t>,</w:t>
            </w:r>
            <w:r w:rsidRPr="00AF4301">
              <w:t>316</w:t>
            </w:r>
          </w:p>
        </w:tc>
      </w:tr>
      <w:tr w:rsidR="00AF4301" w:rsidRPr="00AF4301" w14:paraId="0A26E837" w14:textId="77777777" w:rsidTr="00663CF1">
        <w:trPr>
          <w:trHeight w:val="290"/>
        </w:trPr>
        <w:tc>
          <w:tcPr>
            <w:tcW w:w="1929" w:type="pct"/>
            <w:noWrap/>
            <w:hideMark/>
          </w:tcPr>
          <w:p w14:paraId="056A72C1" w14:textId="77777777" w:rsidR="00AF4301" w:rsidRPr="00AF4301" w:rsidRDefault="00AF4301" w:rsidP="00663CF1">
            <w:pPr>
              <w:pStyle w:val="TableBody"/>
            </w:pPr>
            <w:r w:rsidRPr="00AF4301">
              <w:t>2013</w:t>
            </w:r>
          </w:p>
        </w:tc>
        <w:tc>
          <w:tcPr>
            <w:tcW w:w="3071" w:type="pct"/>
            <w:noWrap/>
            <w:hideMark/>
          </w:tcPr>
          <w:p w14:paraId="5FC0FFEC" w14:textId="577F54C2" w:rsidR="00AF4301" w:rsidRPr="00AF4301" w:rsidRDefault="00AF4301" w:rsidP="00663CF1">
            <w:pPr>
              <w:pStyle w:val="TableBody"/>
            </w:pPr>
            <w:r w:rsidRPr="00AF4301">
              <w:t>1</w:t>
            </w:r>
            <w:r w:rsidR="00E27516">
              <w:t>,</w:t>
            </w:r>
            <w:r w:rsidRPr="00AF4301">
              <w:t>172</w:t>
            </w:r>
          </w:p>
        </w:tc>
      </w:tr>
      <w:tr w:rsidR="00AF4301" w:rsidRPr="00AF4301" w14:paraId="471C5D60" w14:textId="77777777" w:rsidTr="00663CF1">
        <w:trPr>
          <w:trHeight w:val="290"/>
        </w:trPr>
        <w:tc>
          <w:tcPr>
            <w:tcW w:w="1929" w:type="pct"/>
            <w:noWrap/>
            <w:hideMark/>
          </w:tcPr>
          <w:p w14:paraId="11A7338A" w14:textId="77777777" w:rsidR="00AF4301" w:rsidRPr="00AF4301" w:rsidRDefault="00AF4301" w:rsidP="00663CF1">
            <w:pPr>
              <w:pStyle w:val="TableBody"/>
            </w:pPr>
            <w:r w:rsidRPr="00AF4301">
              <w:t>2014</w:t>
            </w:r>
          </w:p>
        </w:tc>
        <w:tc>
          <w:tcPr>
            <w:tcW w:w="3071" w:type="pct"/>
            <w:noWrap/>
            <w:hideMark/>
          </w:tcPr>
          <w:p w14:paraId="5670F964" w14:textId="4AE38226" w:rsidR="00AF4301" w:rsidRPr="00AF4301" w:rsidRDefault="00AF4301" w:rsidP="00663CF1">
            <w:pPr>
              <w:pStyle w:val="TableBody"/>
            </w:pPr>
            <w:r w:rsidRPr="00AF4301">
              <w:t>1</w:t>
            </w:r>
            <w:r w:rsidR="00E27516">
              <w:t>,</w:t>
            </w:r>
            <w:r w:rsidRPr="00AF4301">
              <w:t>501</w:t>
            </w:r>
          </w:p>
        </w:tc>
      </w:tr>
      <w:tr w:rsidR="00AF4301" w:rsidRPr="00AF4301" w14:paraId="6E556CB6" w14:textId="77777777" w:rsidTr="00663CF1">
        <w:trPr>
          <w:trHeight w:val="290"/>
        </w:trPr>
        <w:tc>
          <w:tcPr>
            <w:tcW w:w="1929" w:type="pct"/>
            <w:noWrap/>
            <w:hideMark/>
          </w:tcPr>
          <w:p w14:paraId="263702DE" w14:textId="77777777" w:rsidR="00AF4301" w:rsidRPr="00AF4301" w:rsidRDefault="00AF4301" w:rsidP="00663CF1">
            <w:pPr>
              <w:pStyle w:val="TableBody"/>
            </w:pPr>
            <w:r w:rsidRPr="00AF4301">
              <w:t>2015</w:t>
            </w:r>
          </w:p>
        </w:tc>
        <w:tc>
          <w:tcPr>
            <w:tcW w:w="3071" w:type="pct"/>
            <w:noWrap/>
            <w:hideMark/>
          </w:tcPr>
          <w:p w14:paraId="2775D412" w14:textId="1504C652" w:rsidR="00AF4301" w:rsidRPr="00AF4301" w:rsidRDefault="00AF4301" w:rsidP="00663CF1">
            <w:pPr>
              <w:pStyle w:val="TableBody"/>
            </w:pPr>
            <w:r w:rsidRPr="00AF4301">
              <w:t>1</w:t>
            </w:r>
            <w:r w:rsidR="00E27516">
              <w:t>,</w:t>
            </w:r>
            <w:r w:rsidRPr="00AF4301">
              <w:t>384</w:t>
            </w:r>
          </w:p>
        </w:tc>
      </w:tr>
      <w:tr w:rsidR="00AF4301" w:rsidRPr="00AF4301" w14:paraId="40B874B8" w14:textId="77777777" w:rsidTr="00663CF1">
        <w:trPr>
          <w:trHeight w:val="290"/>
        </w:trPr>
        <w:tc>
          <w:tcPr>
            <w:tcW w:w="1929" w:type="pct"/>
            <w:noWrap/>
            <w:hideMark/>
          </w:tcPr>
          <w:p w14:paraId="5E386878" w14:textId="77777777" w:rsidR="00AF4301" w:rsidRPr="00AF4301" w:rsidRDefault="00AF4301" w:rsidP="00663CF1">
            <w:pPr>
              <w:pStyle w:val="TableBody"/>
            </w:pPr>
            <w:r w:rsidRPr="00AF4301">
              <w:t>2016</w:t>
            </w:r>
          </w:p>
        </w:tc>
        <w:tc>
          <w:tcPr>
            <w:tcW w:w="3071" w:type="pct"/>
            <w:noWrap/>
            <w:hideMark/>
          </w:tcPr>
          <w:p w14:paraId="350CA23B" w14:textId="7338FB72" w:rsidR="00AF4301" w:rsidRPr="00AF4301" w:rsidRDefault="00AF4301" w:rsidP="00663CF1">
            <w:pPr>
              <w:pStyle w:val="TableBody"/>
            </w:pPr>
            <w:r w:rsidRPr="00AF4301">
              <w:t>1</w:t>
            </w:r>
            <w:r w:rsidR="00E27516">
              <w:t>,</w:t>
            </w:r>
            <w:r w:rsidRPr="00AF4301">
              <w:t>584</w:t>
            </w:r>
          </w:p>
        </w:tc>
      </w:tr>
      <w:tr w:rsidR="00AF4301" w:rsidRPr="00AF4301" w14:paraId="788E56EE" w14:textId="77777777" w:rsidTr="00663CF1">
        <w:trPr>
          <w:trHeight w:val="290"/>
        </w:trPr>
        <w:tc>
          <w:tcPr>
            <w:tcW w:w="1929" w:type="pct"/>
            <w:noWrap/>
            <w:hideMark/>
          </w:tcPr>
          <w:p w14:paraId="7F629506" w14:textId="77777777" w:rsidR="00AF4301" w:rsidRPr="00AF4301" w:rsidRDefault="00AF4301" w:rsidP="00663CF1">
            <w:pPr>
              <w:pStyle w:val="TableBody"/>
            </w:pPr>
            <w:r w:rsidRPr="00AF4301">
              <w:t>2017</w:t>
            </w:r>
          </w:p>
        </w:tc>
        <w:tc>
          <w:tcPr>
            <w:tcW w:w="3071" w:type="pct"/>
            <w:noWrap/>
            <w:hideMark/>
          </w:tcPr>
          <w:p w14:paraId="03FC13C0" w14:textId="6C134570" w:rsidR="00AF4301" w:rsidRPr="00AF4301" w:rsidRDefault="00AF4301" w:rsidP="00663CF1">
            <w:pPr>
              <w:pStyle w:val="TableBody"/>
            </w:pPr>
            <w:r w:rsidRPr="00AF4301">
              <w:t>1</w:t>
            </w:r>
            <w:r w:rsidR="00E27516">
              <w:t>,</w:t>
            </w:r>
            <w:r w:rsidRPr="00AF4301">
              <w:t>437</w:t>
            </w:r>
          </w:p>
        </w:tc>
      </w:tr>
      <w:tr w:rsidR="00AF4301" w:rsidRPr="00AF4301" w14:paraId="5AFF5354" w14:textId="77777777" w:rsidTr="00663CF1">
        <w:trPr>
          <w:trHeight w:val="290"/>
        </w:trPr>
        <w:tc>
          <w:tcPr>
            <w:tcW w:w="1929" w:type="pct"/>
            <w:noWrap/>
            <w:hideMark/>
          </w:tcPr>
          <w:p w14:paraId="07A9F2C8" w14:textId="77777777" w:rsidR="00AF4301" w:rsidRPr="00AF4301" w:rsidRDefault="00AF4301" w:rsidP="00663CF1">
            <w:pPr>
              <w:pStyle w:val="TableBody"/>
            </w:pPr>
            <w:r w:rsidRPr="00AF4301">
              <w:t>2018</w:t>
            </w:r>
          </w:p>
        </w:tc>
        <w:tc>
          <w:tcPr>
            <w:tcW w:w="3071" w:type="pct"/>
            <w:noWrap/>
            <w:hideMark/>
          </w:tcPr>
          <w:p w14:paraId="1DD3A21F" w14:textId="3A5BD1CC" w:rsidR="00AF4301" w:rsidRPr="00AF4301" w:rsidRDefault="00AF4301" w:rsidP="00663CF1">
            <w:pPr>
              <w:pStyle w:val="TableBody"/>
            </w:pPr>
            <w:r w:rsidRPr="00AF4301">
              <w:t>1</w:t>
            </w:r>
            <w:r w:rsidR="00E27516">
              <w:t>,</w:t>
            </w:r>
            <w:r w:rsidRPr="00AF4301">
              <w:t>272</w:t>
            </w:r>
          </w:p>
        </w:tc>
      </w:tr>
      <w:tr w:rsidR="00AF4301" w:rsidRPr="00AF4301" w14:paraId="4540297F" w14:textId="77777777" w:rsidTr="00663CF1">
        <w:trPr>
          <w:trHeight w:val="290"/>
        </w:trPr>
        <w:tc>
          <w:tcPr>
            <w:tcW w:w="1929" w:type="pct"/>
            <w:noWrap/>
            <w:hideMark/>
          </w:tcPr>
          <w:p w14:paraId="102CB614" w14:textId="77777777" w:rsidR="00AF4301" w:rsidRPr="00AF4301" w:rsidRDefault="00AF4301" w:rsidP="00663CF1">
            <w:pPr>
              <w:pStyle w:val="TableBody"/>
            </w:pPr>
            <w:r w:rsidRPr="00AF4301">
              <w:t>2019</w:t>
            </w:r>
          </w:p>
        </w:tc>
        <w:tc>
          <w:tcPr>
            <w:tcW w:w="3071" w:type="pct"/>
            <w:noWrap/>
            <w:hideMark/>
          </w:tcPr>
          <w:p w14:paraId="1E51DAB6" w14:textId="6F8C5F8A" w:rsidR="00AF4301" w:rsidRPr="00AF4301" w:rsidRDefault="00AF4301" w:rsidP="00663CF1">
            <w:pPr>
              <w:pStyle w:val="TableBody"/>
            </w:pPr>
            <w:r w:rsidRPr="00AF4301">
              <w:t>1</w:t>
            </w:r>
            <w:r w:rsidR="00E27516">
              <w:t>,</w:t>
            </w:r>
            <w:r w:rsidRPr="00AF4301">
              <w:t>371</w:t>
            </w:r>
          </w:p>
        </w:tc>
      </w:tr>
    </w:tbl>
    <w:p w14:paraId="748DB3ED" w14:textId="77777777" w:rsidR="00EF5C25" w:rsidRPr="007F530F" w:rsidRDefault="00EF5C25" w:rsidP="00D83AF6">
      <w:pPr>
        <w:pStyle w:val="Numbered"/>
      </w:pPr>
      <w:r w:rsidRPr="007F530F">
        <w:t>In that same timeframe, 2,454 child sexual penetration charges were sentenced in 1,087 cases involving 1,058 offenders (Figure 19), 96% of whom were male (just 40 were female). The high number of charges in 2011 and 2012 were attributable to a small number of high-volume cases. Since 2012, the number of sentenced cases has remained quite stable, with the number of sentenced charges fluctuating within a fairly small range. The highest numbers of child sexual penetration charges in any one case were 23 (2 cases) and 19 (1 case).</w:t>
      </w:r>
      <w:r w:rsidRPr="007F530F">
        <w:rPr>
          <w:rStyle w:val="Superscript"/>
        </w:rPr>
        <w:footnoteReference w:id="191"/>
      </w:r>
      <w:r w:rsidRPr="007F530F">
        <w:t xml:space="preserve"> </w:t>
      </w:r>
    </w:p>
    <w:p w14:paraId="7B3C7737" w14:textId="77777777" w:rsidR="00EF5C25" w:rsidRPr="007F530F" w:rsidRDefault="00EF5C25" w:rsidP="00D00197">
      <w:pPr>
        <w:pStyle w:val="Caption"/>
      </w:pPr>
      <w:r w:rsidRPr="00D00197">
        <w:t xml:space="preserve">Figure 19: </w:t>
      </w:r>
      <w:r w:rsidRPr="007F530F">
        <w:t>Number of charges and cases of child sexual penetration offences sentenced in Victoria, by year (2,454 charges and 1,087 cases)</w:t>
      </w:r>
    </w:p>
    <w:tbl>
      <w:tblPr>
        <w:tblStyle w:val="Table"/>
        <w:tblW w:w="5000" w:type="pct"/>
        <w:tblLook w:val="04A0" w:firstRow="1" w:lastRow="0" w:firstColumn="1" w:lastColumn="0" w:noHBand="0" w:noVBand="1"/>
      </w:tblPr>
      <w:tblGrid>
        <w:gridCol w:w="3006"/>
        <w:gridCol w:w="3006"/>
        <w:gridCol w:w="3004"/>
      </w:tblGrid>
      <w:tr w:rsidR="005148F1" w:rsidRPr="005148F1" w14:paraId="6DD05A83" w14:textId="77777777" w:rsidTr="00CD5167">
        <w:trPr>
          <w:trHeight w:val="290"/>
          <w:tblHeader/>
        </w:trPr>
        <w:tc>
          <w:tcPr>
            <w:tcW w:w="1667" w:type="pct"/>
            <w:noWrap/>
            <w:hideMark/>
          </w:tcPr>
          <w:p w14:paraId="39C55A95" w14:textId="65B77D65" w:rsidR="005148F1" w:rsidRPr="005148F1" w:rsidRDefault="00336C2E" w:rsidP="00CD5167">
            <w:pPr>
              <w:pStyle w:val="TableHeading"/>
            </w:pPr>
            <w:r>
              <w:t>Year</w:t>
            </w:r>
          </w:p>
        </w:tc>
        <w:tc>
          <w:tcPr>
            <w:tcW w:w="1667" w:type="pct"/>
            <w:noWrap/>
            <w:hideMark/>
          </w:tcPr>
          <w:p w14:paraId="6330E164" w14:textId="77777777" w:rsidR="005148F1" w:rsidRPr="00E67141" w:rsidRDefault="005148F1" w:rsidP="00CD5167">
            <w:pPr>
              <w:pStyle w:val="TableHeading"/>
            </w:pPr>
            <w:r w:rsidRPr="00E67141">
              <w:t>Charges</w:t>
            </w:r>
          </w:p>
        </w:tc>
        <w:tc>
          <w:tcPr>
            <w:tcW w:w="1667" w:type="pct"/>
            <w:noWrap/>
            <w:hideMark/>
          </w:tcPr>
          <w:p w14:paraId="65439C4E" w14:textId="77777777" w:rsidR="005148F1" w:rsidRPr="00E67141" w:rsidRDefault="005148F1" w:rsidP="00CD5167">
            <w:pPr>
              <w:pStyle w:val="TableHeading"/>
            </w:pPr>
            <w:r w:rsidRPr="00E67141">
              <w:t>Cases</w:t>
            </w:r>
          </w:p>
        </w:tc>
      </w:tr>
      <w:tr w:rsidR="005148F1" w:rsidRPr="005148F1" w14:paraId="1E3DF43D" w14:textId="77777777" w:rsidTr="00CD5167">
        <w:trPr>
          <w:trHeight w:val="290"/>
        </w:trPr>
        <w:tc>
          <w:tcPr>
            <w:tcW w:w="1667" w:type="pct"/>
            <w:noWrap/>
            <w:hideMark/>
          </w:tcPr>
          <w:p w14:paraId="6D2D4F4B" w14:textId="77777777" w:rsidR="005148F1" w:rsidRPr="00DA20C1" w:rsidRDefault="005148F1" w:rsidP="00CD5167">
            <w:pPr>
              <w:pStyle w:val="TableBody"/>
            </w:pPr>
            <w:r w:rsidRPr="00DA20C1">
              <w:t>2010</w:t>
            </w:r>
          </w:p>
        </w:tc>
        <w:tc>
          <w:tcPr>
            <w:tcW w:w="1667" w:type="pct"/>
            <w:noWrap/>
            <w:hideMark/>
          </w:tcPr>
          <w:p w14:paraId="7E47EC40" w14:textId="77777777" w:rsidR="005148F1" w:rsidRPr="00DA20C1" w:rsidRDefault="005148F1" w:rsidP="00CD5167">
            <w:pPr>
              <w:pStyle w:val="TableBody"/>
            </w:pPr>
            <w:r w:rsidRPr="00DA20C1">
              <w:t>276</w:t>
            </w:r>
          </w:p>
        </w:tc>
        <w:tc>
          <w:tcPr>
            <w:tcW w:w="1667" w:type="pct"/>
            <w:noWrap/>
            <w:hideMark/>
          </w:tcPr>
          <w:p w14:paraId="283F44C5" w14:textId="77777777" w:rsidR="005148F1" w:rsidRPr="00DA20C1" w:rsidRDefault="005148F1" w:rsidP="00CD5167">
            <w:pPr>
              <w:pStyle w:val="TableBody"/>
            </w:pPr>
            <w:r w:rsidRPr="00DA20C1">
              <w:t>104</w:t>
            </w:r>
          </w:p>
        </w:tc>
      </w:tr>
      <w:tr w:rsidR="005148F1" w:rsidRPr="005148F1" w14:paraId="6673051A" w14:textId="77777777" w:rsidTr="00CD5167">
        <w:trPr>
          <w:trHeight w:val="290"/>
        </w:trPr>
        <w:tc>
          <w:tcPr>
            <w:tcW w:w="1667" w:type="pct"/>
            <w:noWrap/>
            <w:hideMark/>
          </w:tcPr>
          <w:p w14:paraId="49CF8441" w14:textId="77777777" w:rsidR="005148F1" w:rsidRPr="00DA20C1" w:rsidRDefault="005148F1" w:rsidP="00CD5167">
            <w:pPr>
              <w:pStyle w:val="TableBody"/>
            </w:pPr>
            <w:r w:rsidRPr="00DA20C1">
              <w:t>2011</w:t>
            </w:r>
          </w:p>
        </w:tc>
        <w:tc>
          <w:tcPr>
            <w:tcW w:w="1667" w:type="pct"/>
            <w:noWrap/>
            <w:hideMark/>
          </w:tcPr>
          <w:p w14:paraId="39117F04" w14:textId="77777777" w:rsidR="005148F1" w:rsidRPr="00DA20C1" w:rsidRDefault="005148F1" w:rsidP="00CD5167">
            <w:pPr>
              <w:pStyle w:val="TableBody"/>
            </w:pPr>
            <w:r w:rsidRPr="00DA20C1">
              <w:t>339</w:t>
            </w:r>
          </w:p>
        </w:tc>
        <w:tc>
          <w:tcPr>
            <w:tcW w:w="1667" w:type="pct"/>
            <w:noWrap/>
            <w:hideMark/>
          </w:tcPr>
          <w:p w14:paraId="6F428847" w14:textId="77777777" w:rsidR="005148F1" w:rsidRPr="00DA20C1" w:rsidRDefault="005148F1" w:rsidP="00CD5167">
            <w:pPr>
              <w:pStyle w:val="TableBody"/>
            </w:pPr>
            <w:r w:rsidRPr="00DA20C1">
              <w:t>127</w:t>
            </w:r>
          </w:p>
        </w:tc>
      </w:tr>
      <w:tr w:rsidR="005148F1" w:rsidRPr="005148F1" w14:paraId="16F39D24" w14:textId="77777777" w:rsidTr="00CD5167">
        <w:trPr>
          <w:trHeight w:val="290"/>
        </w:trPr>
        <w:tc>
          <w:tcPr>
            <w:tcW w:w="1667" w:type="pct"/>
            <w:noWrap/>
            <w:hideMark/>
          </w:tcPr>
          <w:p w14:paraId="65979348" w14:textId="77777777" w:rsidR="005148F1" w:rsidRPr="00DA20C1" w:rsidRDefault="005148F1" w:rsidP="00CD5167">
            <w:pPr>
              <w:pStyle w:val="TableBody"/>
            </w:pPr>
            <w:r w:rsidRPr="00DA20C1">
              <w:t>2012</w:t>
            </w:r>
          </w:p>
        </w:tc>
        <w:tc>
          <w:tcPr>
            <w:tcW w:w="1667" w:type="pct"/>
            <w:noWrap/>
            <w:hideMark/>
          </w:tcPr>
          <w:p w14:paraId="02FA0D06" w14:textId="77777777" w:rsidR="005148F1" w:rsidRPr="00DA20C1" w:rsidRDefault="005148F1" w:rsidP="00CD5167">
            <w:pPr>
              <w:pStyle w:val="TableBody"/>
            </w:pPr>
            <w:r w:rsidRPr="00DA20C1">
              <w:t>327</w:t>
            </w:r>
          </w:p>
        </w:tc>
        <w:tc>
          <w:tcPr>
            <w:tcW w:w="1667" w:type="pct"/>
            <w:noWrap/>
            <w:hideMark/>
          </w:tcPr>
          <w:p w14:paraId="4DD246D1" w14:textId="77777777" w:rsidR="005148F1" w:rsidRPr="00DA20C1" w:rsidRDefault="005148F1" w:rsidP="00CD5167">
            <w:pPr>
              <w:pStyle w:val="TableBody"/>
            </w:pPr>
            <w:r w:rsidRPr="00DA20C1">
              <w:t>133</w:t>
            </w:r>
          </w:p>
        </w:tc>
      </w:tr>
      <w:tr w:rsidR="005148F1" w:rsidRPr="005148F1" w14:paraId="795CBD90" w14:textId="77777777" w:rsidTr="00CD5167">
        <w:trPr>
          <w:trHeight w:val="290"/>
        </w:trPr>
        <w:tc>
          <w:tcPr>
            <w:tcW w:w="1667" w:type="pct"/>
            <w:noWrap/>
            <w:hideMark/>
          </w:tcPr>
          <w:p w14:paraId="1AE03710" w14:textId="77777777" w:rsidR="005148F1" w:rsidRPr="00DA20C1" w:rsidRDefault="005148F1" w:rsidP="00CD5167">
            <w:pPr>
              <w:pStyle w:val="TableBody"/>
            </w:pPr>
            <w:r w:rsidRPr="00DA20C1">
              <w:t>2013</w:t>
            </w:r>
          </w:p>
        </w:tc>
        <w:tc>
          <w:tcPr>
            <w:tcW w:w="1667" w:type="pct"/>
            <w:noWrap/>
            <w:hideMark/>
          </w:tcPr>
          <w:p w14:paraId="26AD1125" w14:textId="77777777" w:rsidR="005148F1" w:rsidRPr="00DA20C1" w:rsidRDefault="005148F1" w:rsidP="00CD5167">
            <w:pPr>
              <w:pStyle w:val="TableBody"/>
            </w:pPr>
            <w:r w:rsidRPr="00DA20C1">
              <w:t>219</w:t>
            </w:r>
          </w:p>
        </w:tc>
        <w:tc>
          <w:tcPr>
            <w:tcW w:w="1667" w:type="pct"/>
            <w:noWrap/>
            <w:hideMark/>
          </w:tcPr>
          <w:p w14:paraId="587771FC" w14:textId="77777777" w:rsidR="005148F1" w:rsidRPr="00DA20C1" w:rsidRDefault="005148F1" w:rsidP="00CD5167">
            <w:pPr>
              <w:pStyle w:val="TableBody"/>
            </w:pPr>
            <w:r w:rsidRPr="00DA20C1">
              <w:t>100</w:t>
            </w:r>
          </w:p>
        </w:tc>
      </w:tr>
      <w:tr w:rsidR="005148F1" w:rsidRPr="005148F1" w14:paraId="40D050A3" w14:textId="77777777" w:rsidTr="00CD5167">
        <w:trPr>
          <w:trHeight w:val="290"/>
        </w:trPr>
        <w:tc>
          <w:tcPr>
            <w:tcW w:w="1667" w:type="pct"/>
            <w:noWrap/>
            <w:hideMark/>
          </w:tcPr>
          <w:p w14:paraId="75E14887" w14:textId="77777777" w:rsidR="005148F1" w:rsidRPr="00DA20C1" w:rsidRDefault="005148F1" w:rsidP="00CD5167">
            <w:pPr>
              <w:pStyle w:val="TableBody"/>
            </w:pPr>
            <w:r w:rsidRPr="00DA20C1">
              <w:t>2014</w:t>
            </w:r>
          </w:p>
        </w:tc>
        <w:tc>
          <w:tcPr>
            <w:tcW w:w="1667" w:type="pct"/>
            <w:noWrap/>
            <w:hideMark/>
          </w:tcPr>
          <w:p w14:paraId="5EA84FC3" w14:textId="77777777" w:rsidR="005148F1" w:rsidRPr="00DA20C1" w:rsidRDefault="005148F1" w:rsidP="00CD5167">
            <w:pPr>
              <w:pStyle w:val="TableBody"/>
            </w:pPr>
            <w:r w:rsidRPr="00DA20C1">
              <w:t>217</w:t>
            </w:r>
          </w:p>
        </w:tc>
        <w:tc>
          <w:tcPr>
            <w:tcW w:w="1667" w:type="pct"/>
            <w:noWrap/>
            <w:hideMark/>
          </w:tcPr>
          <w:p w14:paraId="7A08DB41" w14:textId="77777777" w:rsidR="005148F1" w:rsidRPr="00DA20C1" w:rsidRDefault="005148F1" w:rsidP="00CD5167">
            <w:pPr>
              <w:pStyle w:val="TableBody"/>
            </w:pPr>
            <w:r w:rsidRPr="00DA20C1">
              <w:t>111</w:t>
            </w:r>
          </w:p>
        </w:tc>
      </w:tr>
      <w:tr w:rsidR="005148F1" w:rsidRPr="005148F1" w14:paraId="4C8EA48D" w14:textId="77777777" w:rsidTr="00CD5167">
        <w:trPr>
          <w:trHeight w:val="290"/>
        </w:trPr>
        <w:tc>
          <w:tcPr>
            <w:tcW w:w="1667" w:type="pct"/>
            <w:noWrap/>
            <w:hideMark/>
          </w:tcPr>
          <w:p w14:paraId="12B25928" w14:textId="77777777" w:rsidR="005148F1" w:rsidRPr="00DA20C1" w:rsidRDefault="005148F1" w:rsidP="00CD5167">
            <w:pPr>
              <w:pStyle w:val="TableBody"/>
            </w:pPr>
            <w:r w:rsidRPr="00DA20C1">
              <w:t>2015</w:t>
            </w:r>
          </w:p>
        </w:tc>
        <w:tc>
          <w:tcPr>
            <w:tcW w:w="1667" w:type="pct"/>
            <w:noWrap/>
            <w:hideMark/>
          </w:tcPr>
          <w:p w14:paraId="5F130223" w14:textId="77777777" w:rsidR="005148F1" w:rsidRPr="00DA20C1" w:rsidRDefault="005148F1" w:rsidP="00CD5167">
            <w:pPr>
              <w:pStyle w:val="TableBody"/>
            </w:pPr>
            <w:r w:rsidRPr="00DA20C1">
              <w:t>249</w:t>
            </w:r>
          </w:p>
        </w:tc>
        <w:tc>
          <w:tcPr>
            <w:tcW w:w="1667" w:type="pct"/>
            <w:noWrap/>
            <w:hideMark/>
          </w:tcPr>
          <w:p w14:paraId="7745D1CD" w14:textId="77777777" w:rsidR="005148F1" w:rsidRPr="00DA20C1" w:rsidRDefault="005148F1" w:rsidP="00CD5167">
            <w:pPr>
              <w:pStyle w:val="TableBody"/>
            </w:pPr>
            <w:r w:rsidRPr="00DA20C1">
              <w:t>115</w:t>
            </w:r>
          </w:p>
        </w:tc>
      </w:tr>
      <w:tr w:rsidR="005148F1" w:rsidRPr="005148F1" w14:paraId="66258D66" w14:textId="77777777" w:rsidTr="00CD5167">
        <w:trPr>
          <w:trHeight w:val="290"/>
        </w:trPr>
        <w:tc>
          <w:tcPr>
            <w:tcW w:w="1667" w:type="pct"/>
            <w:noWrap/>
            <w:hideMark/>
          </w:tcPr>
          <w:p w14:paraId="174B9176" w14:textId="77777777" w:rsidR="005148F1" w:rsidRPr="00DA20C1" w:rsidRDefault="005148F1" w:rsidP="00CD5167">
            <w:pPr>
              <w:pStyle w:val="TableBody"/>
            </w:pPr>
            <w:r w:rsidRPr="00DA20C1">
              <w:t>2016</w:t>
            </w:r>
          </w:p>
        </w:tc>
        <w:tc>
          <w:tcPr>
            <w:tcW w:w="1667" w:type="pct"/>
            <w:noWrap/>
            <w:hideMark/>
          </w:tcPr>
          <w:p w14:paraId="49182658" w14:textId="77777777" w:rsidR="005148F1" w:rsidRPr="00DA20C1" w:rsidRDefault="005148F1" w:rsidP="00CD5167">
            <w:pPr>
              <w:pStyle w:val="TableBody"/>
            </w:pPr>
            <w:r w:rsidRPr="00DA20C1">
              <w:t>249</w:t>
            </w:r>
          </w:p>
        </w:tc>
        <w:tc>
          <w:tcPr>
            <w:tcW w:w="1667" w:type="pct"/>
            <w:noWrap/>
            <w:hideMark/>
          </w:tcPr>
          <w:p w14:paraId="3E83ECF0" w14:textId="77777777" w:rsidR="005148F1" w:rsidRPr="00DA20C1" w:rsidRDefault="005148F1" w:rsidP="00CD5167">
            <w:pPr>
              <w:pStyle w:val="TableBody"/>
            </w:pPr>
            <w:r w:rsidRPr="00DA20C1">
              <w:t>111</w:t>
            </w:r>
          </w:p>
        </w:tc>
      </w:tr>
      <w:tr w:rsidR="005148F1" w:rsidRPr="005148F1" w14:paraId="0E3E7743" w14:textId="77777777" w:rsidTr="00CD5167">
        <w:trPr>
          <w:trHeight w:val="290"/>
        </w:trPr>
        <w:tc>
          <w:tcPr>
            <w:tcW w:w="1667" w:type="pct"/>
            <w:noWrap/>
            <w:hideMark/>
          </w:tcPr>
          <w:p w14:paraId="49AE7691" w14:textId="77777777" w:rsidR="005148F1" w:rsidRPr="00DA20C1" w:rsidRDefault="005148F1" w:rsidP="00CD5167">
            <w:pPr>
              <w:pStyle w:val="TableBody"/>
            </w:pPr>
            <w:r w:rsidRPr="00DA20C1">
              <w:lastRenderedPageBreak/>
              <w:t>2017</w:t>
            </w:r>
          </w:p>
        </w:tc>
        <w:tc>
          <w:tcPr>
            <w:tcW w:w="1667" w:type="pct"/>
            <w:noWrap/>
            <w:hideMark/>
          </w:tcPr>
          <w:p w14:paraId="450783D3" w14:textId="77777777" w:rsidR="005148F1" w:rsidRPr="00DA20C1" w:rsidRDefault="005148F1" w:rsidP="00CD5167">
            <w:pPr>
              <w:pStyle w:val="TableBody"/>
            </w:pPr>
            <w:r w:rsidRPr="00DA20C1">
              <w:t>185</w:t>
            </w:r>
          </w:p>
        </w:tc>
        <w:tc>
          <w:tcPr>
            <w:tcW w:w="1667" w:type="pct"/>
            <w:noWrap/>
            <w:hideMark/>
          </w:tcPr>
          <w:p w14:paraId="4C5905C0" w14:textId="77777777" w:rsidR="005148F1" w:rsidRPr="00DA20C1" w:rsidRDefault="005148F1" w:rsidP="00CD5167">
            <w:pPr>
              <w:pStyle w:val="TableBody"/>
            </w:pPr>
            <w:r w:rsidRPr="00DA20C1">
              <w:t>94</w:t>
            </w:r>
          </w:p>
        </w:tc>
      </w:tr>
      <w:tr w:rsidR="005148F1" w:rsidRPr="005148F1" w14:paraId="34E5DAD1" w14:textId="77777777" w:rsidTr="00CD5167">
        <w:trPr>
          <w:trHeight w:val="290"/>
        </w:trPr>
        <w:tc>
          <w:tcPr>
            <w:tcW w:w="1667" w:type="pct"/>
            <w:noWrap/>
            <w:hideMark/>
          </w:tcPr>
          <w:p w14:paraId="0D71F705" w14:textId="77777777" w:rsidR="005148F1" w:rsidRPr="00DA20C1" w:rsidRDefault="005148F1" w:rsidP="00CD5167">
            <w:pPr>
              <w:pStyle w:val="TableBody"/>
            </w:pPr>
            <w:r w:rsidRPr="00DA20C1">
              <w:t>2018</w:t>
            </w:r>
          </w:p>
        </w:tc>
        <w:tc>
          <w:tcPr>
            <w:tcW w:w="1667" w:type="pct"/>
            <w:noWrap/>
            <w:hideMark/>
          </w:tcPr>
          <w:p w14:paraId="681E3EB3" w14:textId="77777777" w:rsidR="005148F1" w:rsidRPr="00DA20C1" w:rsidRDefault="005148F1" w:rsidP="00CD5167">
            <w:pPr>
              <w:pStyle w:val="TableBody"/>
            </w:pPr>
            <w:r w:rsidRPr="00DA20C1">
              <w:t>192</w:t>
            </w:r>
          </w:p>
        </w:tc>
        <w:tc>
          <w:tcPr>
            <w:tcW w:w="1667" w:type="pct"/>
            <w:noWrap/>
            <w:hideMark/>
          </w:tcPr>
          <w:p w14:paraId="6B584898" w14:textId="77777777" w:rsidR="005148F1" w:rsidRPr="00DA20C1" w:rsidRDefault="005148F1" w:rsidP="00CD5167">
            <w:pPr>
              <w:pStyle w:val="TableBody"/>
            </w:pPr>
            <w:r w:rsidRPr="00DA20C1">
              <w:t>96</w:t>
            </w:r>
          </w:p>
        </w:tc>
      </w:tr>
      <w:tr w:rsidR="005148F1" w:rsidRPr="005148F1" w14:paraId="781F9F22" w14:textId="77777777" w:rsidTr="00CD5167">
        <w:trPr>
          <w:trHeight w:val="290"/>
        </w:trPr>
        <w:tc>
          <w:tcPr>
            <w:tcW w:w="1667" w:type="pct"/>
            <w:noWrap/>
            <w:hideMark/>
          </w:tcPr>
          <w:p w14:paraId="71085778" w14:textId="77777777" w:rsidR="005148F1" w:rsidRPr="00DA20C1" w:rsidRDefault="005148F1" w:rsidP="00CD5167">
            <w:pPr>
              <w:pStyle w:val="TableBody"/>
            </w:pPr>
            <w:r w:rsidRPr="00DA20C1">
              <w:t>2019</w:t>
            </w:r>
          </w:p>
        </w:tc>
        <w:tc>
          <w:tcPr>
            <w:tcW w:w="1667" w:type="pct"/>
            <w:noWrap/>
            <w:hideMark/>
          </w:tcPr>
          <w:p w14:paraId="681084BC" w14:textId="77777777" w:rsidR="005148F1" w:rsidRPr="00DA20C1" w:rsidRDefault="005148F1" w:rsidP="00CD5167">
            <w:pPr>
              <w:pStyle w:val="TableBody"/>
            </w:pPr>
            <w:r w:rsidRPr="00DA20C1">
              <w:t>201</w:t>
            </w:r>
          </w:p>
        </w:tc>
        <w:tc>
          <w:tcPr>
            <w:tcW w:w="1667" w:type="pct"/>
            <w:noWrap/>
            <w:hideMark/>
          </w:tcPr>
          <w:p w14:paraId="5CC12119" w14:textId="77777777" w:rsidR="005148F1" w:rsidRPr="00DA20C1" w:rsidRDefault="005148F1" w:rsidP="00CD5167">
            <w:pPr>
              <w:pStyle w:val="TableBody"/>
            </w:pPr>
            <w:r w:rsidRPr="00DA20C1">
              <w:t>96</w:t>
            </w:r>
          </w:p>
        </w:tc>
      </w:tr>
    </w:tbl>
    <w:p w14:paraId="48F4CA94" w14:textId="77777777" w:rsidR="00EF5C25" w:rsidRPr="007F530F" w:rsidRDefault="00EF5C25" w:rsidP="00D83AF6">
      <w:pPr>
        <w:pStyle w:val="Numbered"/>
      </w:pPr>
      <w:r w:rsidRPr="007F530F">
        <w:t>Table 8 outlines which child sexual penetration offences were sentenced in the higher courts (unless otherwise specified</w:t>
      </w:r>
      <w:r w:rsidRPr="007F530F">
        <w:rPr>
          <w:rStyle w:val="Superscript"/>
        </w:rPr>
        <w:footnoteReference w:id="192"/>
      </w:r>
      <w:r w:rsidRPr="007F530F">
        <w:t>) during the reference period. Almost three-quarters of those offences (72%) involved victims aged 10/12 to 15, followed by children aged under 10/12 (20%)</w:t>
      </w:r>
      <w:r w:rsidRPr="007F530F">
        <w:rPr>
          <w:rStyle w:val="Superscript"/>
        </w:rPr>
        <w:footnoteReference w:id="193"/>
      </w:r>
      <w:r w:rsidRPr="007F530F">
        <w:t xml:space="preserve"> and children aged 16 or 17 (6%). The age of the victim was unclear for 49 charges (2%).</w:t>
      </w:r>
      <w:r w:rsidRPr="007F530F">
        <w:rPr>
          <w:rStyle w:val="Superscript"/>
        </w:rPr>
        <w:footnoteReference w:id="194"/>
      </w:r>
    </w:p>
    <w:p w14:paraId="720C6F85" w14:textId="77777777" w:rsidR="00EF5C25" w:rsidRPr="007F530F" w:rsidRDefault="00EF5C25" w:rsidP="00D00197">
      <w:pPr>
        <w:pStyle w:val="Caption"/>
      </w:pPr>
      <w:r w:rsidRPr="00D00197">
        <w:t>Table 8:</w:t>
      </w:r>
      <w:r w:rsidRPr="007F530F">
        <w:t xml:space="preserve"> Number of child sexual penetration offences sentenced in Victoria, 2010 to 2019, by victim age range, operational period and statutory reference (2,454 charges and 1,087 cases: 2,438 charges in 1,080 cases in the higher courts and 16 charges in 7 cases in the Magistrates’ Court)</w:t>
      </w:r>
    </w:p>
    <w:tbl>
      <w:tblPr>
        <w:tblStyle w:val="Table"/>
        <w:tblW w:w="9298" w:type="dxa"/>
        <w:tblLayout w:type="fixed"/>
        <w:tblLook w:val="0020" w:firstRow="1" w:lastRow="0" w:firstColumn="0" w:lastColumn="0" w:noHBand="0" w:noVBand="0"/>
      </w:tblPr>
      <w:tblGrid>
        <w:gridCol w:w="1587"/>
        <w:gridCol w:w="1418"/>
        <w:gridCol w:w="1417"/>
        <w:gridCol w:w="2154"/>
        <w:gridCol w:w="1361"/>
        <w:gridCol w:w="1361"/>
      </w:tblGrid>
      <w:tr w:rsidR="00EF5C25" w:rsidRPr="007F530F" w14:paraId="1C484BF4" w14:textId="77777777" w:rsidTr="00BE4DDF">
        <w:trPr>
          <w:trHeight w:val="60"/>
          <w:tblHeader/>
        </w:trPr>
        <w:tc>
          <w:tcPr>
            <w:tcW w:w="1587" w:type="dxa"/>
          </w:tcPr>
          <w:p w14:paraId="621F46C3" w14:textId="77777777" w:rsidR="00EF5C25" w:rsidRPr="007F530F" w:rsidRDefault="00EF5C25" w:rsidP="00BE4DDF">
            <w:pPr>
              <w:pStyle w:val="TableHeading"/>
            </w:pPr>
            <w:r w:rsidRPr="007F530F">
              <w:t>Offence</w:t>
            </w:r>
          </w:p>
        </w:tc>
        <w:tc>
          <w:tcPr>
            <w:tcW w:w="1418" w:type="dxa"/>
          </w:tcPr>
          <w:p w14:paraId="64EA9402" w14:textId="77777777" w:rsidR="00EF5C25" w:rsidRPr="007F530F" w:rsidRDefault="00EF5C25" w:rsidP="00BE4DDF">
            <w:pPr>
              <w:pStyle w:val="TableHeading"/>
            </w:pPr>
            <w:r w:rsidRPr="007F530F">
              <w:t>Statutory reference</w:t>
            </w:r>
            <w:r w:rsidRPr="007F530F">
              <w:br/>
            </w:r>
            <w:r w:rsidRPr="00D00197">
              <w:rPr>
                <w:rStyle w:val="Emphasis"/>
              </w:rPr>
              <w:t>Crimes Act 1958</w:t>
            </w:r>
            <w:r w:rsidRPr="007F530F">
              <w:t xml:space="preserve"> (Vic)</w:t>
            </w:r>
          </w:p>
        </w:tc>
        <w:tc>
          <w:tcPr>
            <w:tcW w:w="1417" w:type="dxa"/>
          </w:tcPr>
          <w:p w14:paraId="163D0385" w14:textId="77777777" w:rsidR="00EF5C25" w:rsidRPr="007F530F" w:rsidRDefault="00EF5C25" w:rsidP="00BE4DDF">
            <w:pPr>
              <w:pStyle w:val="TableHeading"/>
            </w:pPr>
            <w:r w:rsidRPr="007F530F">
              <w:t>Operational period</w:t>
            </w:r>
          </w:p>
        </w:tc>
        <w:tc>
          <w:tcPr>
            <w:tcW w:w="2154" w:type="dxa"/>
          </w:tcPr>
          <w:p w14:paraId="3DBCC348" w14:textId="77777777" w:rsidR="00EF5C25" w:rsidRPr="007F530F" w:rsidRDefault="00EF5C25" w:rsidP="00BE4DDF">
            <w:pPr>
              <w:pStyle w:val="TableHeading"/>
            </w:pPr>
            <w:r w:rsidRPr="007F530F">
              <w:t>Maximum penalty</w:t>
            </w:r>
          </w:p>
        </w:tc>
        <w:tc>
          <w:tcPr>
            <w:tcW w:w="1361" w:type="dxa"/>
          </w:tcPr>
          <w:p w14:paraId="0D9C8351" w14:textId="77777777" w:rsidR="00EF5C25" w:rsidRPr="007F530F" w:rsidRDefault="00EF5C25" w:rsidP="00BE4DDF">
            <w:pPr>
              <w:pStyle w:val="TableHeading"/>
            </w:pPr>
            <w:r w:rsidRPr="007F530F">
              <w:t>Charges</w:t>
            </w:r>
          </w:p>
        </w:tc>
        <w:tc>
          <w:tcPr>
            <w:tcW w:w="1361" w:type="dxa"/>
          </w:tcPr>
          <w:p w14:paraId="48666BF4" w14:textId="77777777" w:rsidR="00EF5C25" w:rsidRPr="007F530F" w:rsidRDefault="00EF5C25" w:rsidP="00BE4DDF">
            <w:pPr>
              <w:pStyle w:val="TableHeading"/>
            </w:pPr>
            <w:r w:rsidRPr="007F530F">
              <w:t>Cases</w:t>
            </w:r>
          </w:p>
        </w:tc>
      </w:tr>
      <w:tr w:rsidR="00EF5C25" w:rsidRPr="007F530F" w14:paraId="59AEB3D7" w14:textId="77777777" w:rsidTr="00BE4DDF">
        <w:trPr>
          <w:trHeight w:val="60"/>
        </w:trPr>
        <w:tc>
          <w:tcPr>
            <w:tcW w:w="9298" w:type="dxa"/>
            <w:gridSpan w:val="6"/>
          </w:tcPr>
          <w:p w14:paraId="1C96A117" w14:textId="77777777" w:rsidR="00EF5C25" w:rsidRPr="007976D1" w:rsidRDefault="00EF5C25" w:rsidP="00BE4DDF">
            <w:pPr>
              <w:pStyle w:val="TableBody"/>
              <w:rPr>
                <w:rStyle w:val="Strong"/>
              </w:rPr>
            </w:pPr>
            <w:r w:rsidRPr="007976D1">
              <w:rPr>
                <w:rStyle w:val="Strong"/>
              </w:rPr>
              <w:t>Sexual penetration with a child aged under 10/12/14</w:t>
            </w:r>
          </w:p>
        </w:tc>
      </w:tr>
      <w:tr w:rsidR="00EF5C25" w:rsidRPr="007F530F" w14:paraId="2FE9996D" w14:textId="77777777" w:rsidTr="00BE4DDF">
        <w:trPr>
          <w:trHeight w:val="60"/>
        </w:trPr>
        <w:tc>
          <w:tcPr>
            <w:tcW w:w="1587" w:type="dxa"/>
          </w:tcPr>
          <w:p w14:paraId="1E3619B2" w14:textId="77777777" w:rsidR="00EF5C25" w:rsidRPr="007F530F" w:rsidRDefault="00EF5C25" w:rsidP="00BE4DDF">
            <w:pPr>
              <w:pStyle w:val="TableBody"/>
            </w:pPr>
            <w:r w:rsidRPr="007F530F">
              <w:t>Carnal knowledge and abuse of a girl aged under 10</w:t>
            </w:r>
            <w:r w:rsidRPr="007F530F">
              <w:rPr>
                <w:rStyle w:val="Superscript"/>
              </w:rPr>
              <w:t>a</w:t>
            </w:r>
          </w:p>
        </w:tc>
        <w:tc>
          <w:tcPr>
            <w:tcW w:w="1418" w:type="dxa"/>
          </w:tcPr>
          <w:p w14:paraId="1C848C4C" w14:textId="77777777" w:rsidR="00EF5C25" w:rsidRPr="007F530F" w:rsidRDefault="00EF5C25" w:rsidP="00BE4DDF">
            <w:pPr>
              <w:pStyle w:val="TableBody"/>
            </w:pPr>
            <w:r w:rsidRPr="007F530F">
              <w:t>Section 46</w:t>
            </w:r>
          </w:p>
        </w:tc>
        <w:tc>
          <w:tcPr>
            <w:tcW w:w="1417" w:type="dxa"/>
          </w:tcPr>
          <w:p w14:paraId="2406EFCA" w14:textId="77777777" w:rsidR="00EF5C25" w:rsidRPr="007F530F" w:rsidRDefault="00EF5C25" w:rsidP="00BE4DDF">
            <w:pPr>
              <w:pStyle w:val="TableBody"/>
            </w:pPr>
            <w:r w:rsidRPr="00D00197">
              <w:rPr>
                <w:rStyle w:val="Strong"/>
              </w:rPr>
              <w:t>From</w:t>
            </w:r>
            <w:r w:rsidRPr="007F530F">
              <w:t xml:space="preserve"> 1 April 1959</w:t>
            </w:r>
            <w:r w:rsidRPr="007F530F">
              <w:br/>
            </w:r>
            <w:r w:rsidRPr="00D00197">
              <w:rPr>
                <w:rStyle w:val="Strong"/>
              </w:rPr>
              <w:t>To</w:t>
            </w:r>
            <w:r w:rsidRPr="007F530F">
              <w:t xml:space="preserve"> 28 February 1981</w:t>
            </w:r>
          </w:p>
        </w:tc>
        <w:tc>
          <w:tcPr>
            <w:tcW w:w="2154" w:type="dxa"/>
          </w:tcPr>
          <w:p w14:paraId="3929EA5B" w14:textId="77777777" w:rsidR="00EF5C25" w:rsidRPr="007F530F" w:rsidRDefault="00EF5C25" w:rsidP="00BE4DDF">
            <w:pPr>
              <w:pStyle w:val="TableBody"/>
            </w:pPr>
            <w:r w:rsidRPr="007F530F">
              <w:t>20 years</w:t>
            </w:r>
          </w:p>
        </w:tc>
        <w:tc>
          <w:tcPr>
            <w:tcW w:w="1361" w:type="dxa"/>
          </w:tcPr>
          <w:p w14:paraId="181073F6" w14:textId="77777777" w:rsidR="00EF5C25" w:rsidRPr="007F530F" w:rsidRDefault="00EF5C25" w:rsidP="00BE4DDF">
            <w:pPr>
              <w:pStyle w:val="TableBody"/>
            </w:pPr>
            <w:r w:rsidRPr="007F530F">
              <w:t>38</w:t>
            </w:r>
          </w:p>
        </w:tc>
        <w:tc>
          <w:tcPr>
            <w:tcW w:w="1361" w:type="dxa"/>
          </w:tcPr>
          <w:p w14:paraId="4A3D621C" w14:textId="77777777" w:rsidR="00EF5C25" w:rsidRPr="007F530F" w:rsidRDefault="00EF5C25" w:rsidP="00BE4DDF">
            <w:pPr>
              <w:pStyle w:val="TableBody"/>
            </w:pPr>
            <w:r w:rsidRPr="007F530F">
              <w:t>20</w:t>
            </w:r>
          </w:p>
        </w:tc>
      </w:tr>
      <w:tr w:rsidR="00EF5C25" w:rsidRPr="007F530F" w14:paraId="3BC62BB9" w14:textId="77777777" w:rsidTr="00BE4DDF">
        <w:trPr>
          <w:trHeight w:val="60"/>
        </w:trPr>
        <w:tc>
          <w:tcPr>
            <w:tcW w:w="1587" w:type="dxa"/>
          </w:tcPr>
          <w:p w14:paraId="2FAFA87D" w14:textId="77777777" w:rsidR="00EF5C25" w:rsidRPr="007F530F" w:rsidRDefault="00EF5C25" w:rsidP="00BE4DDF">
            <w:pPr>
              <w:pStyle w:val="TableBody"/>
            </w:pPr>
            <w:r w:rsidRPr="007F530F">
              <w:t>Buggery with a person aged under 14</w:t>
            </w:r>
            <w:r w:rsidRPr="007F530F">
              <w:rPr>
                <w:rStyle w:val="Superscript"/>
              </w:rPr>
              <w:t>b</w:t>
            </w:r>
          </w:p>
        </w:tc>
        <w:tc>
          <w:tcPr>
            <w:tcW w:w="1418" w:type="dxa"/>
          </w:tcPr>
          <w:p w14:paraId="00DF9E9A" w14:textId="77777777" w:rsidR="00EF5C25" w:rsidRPr="007F530F" w:rsidRDefault="00EF5C25" w:rsidP="00BE4DDF">
            <w:pPr>
              <w:pStyle w:val="TableBody"/>
            </w:pPr>
            <w:r w:rsidRPr="007F530F">
              <w:t>Section 68(1)</w:t>
            </w:r>
          </w:p>
        </w:tc>
        <w:tc>
          <w:tcPr>
            <w:tcW w:w="1417" w:type="dxa"/>
          </w:tcPr>
          <w:p w14:paraId="1DD42F99" w14:textId="77777777" w:rsidR="00EF5C25" w:rsidRPr="007F530F" w:rsidRDefault="00EF5C25" w:rsidP="00BE4DDF">
            <w:pPr>
              <w:pStyle w:val="TableBody"/>
            </w:pPr>
            <w:r w:rsidRPr="00D00197">
              <w:rPr>
                <w:rStyle w:val="Strong"/>
              </w:rPr>
              <w:t>From</w:t>
            </w:r>
            <w:r w:rsidRPr="007F530F">
              <w:t xml:space="preserve"> 1 April 1959</w:t>
            </w:r>
            <w:r w:rsidRPr="007F530F">
              <w:br/>
            </w:r>
            <w:r w:rsidRPr="00D00197">
              <w:rPr>
                <w:rStyle w:val="Strong"/>
              </w:rPr>
              <w:t>To</w:t>
            </w:r>
            <w:r w:rsidRPr="007F530F">
              <w:t xml:space="preserve"> 28 February 1981</w:t>
            </w:r>
          </w:p>
        </w:tc>
        <w:tc>
          <w:tcPr>
            <w:tcW w:w="2154" w:type="dxa"/>
          </w:tcPr>
          <w:p w14:paraId="7032B628" w14:textId="77777777" w:rsidR="00EF5C25" w:rsidRPr="007F530F" w:rsidRDefault="00EF5C25" w:rsidP="00BE4DDF">
            <w:pPr>
              <w:pStyle w:val="TableBody"/>
            </w:pPr>
            <w:r w:rsidRPr="007F530F">
              <w:t>20 years</w:t>
            </w:r>
          </w:p>
        </w:tc>
        <w:tc>
          <w:tcPr>
            <w:tcW w:w="1361" w:type="dxa"/>
          </w:tcPr>
          <w:p w14:paraId="6482FD00" w14:textId="77777777" w:rsidR="00EF5C25" w:rsidRPr="007F530F" w:rsidRDefault="00EF5C25" w:rsidP="00BE4DDF">
            <w:pPr>
              <w:pStyle w:val="TableBody"/>
            </w:pPr>
            <w:r w:rsidRPr="007F530F">
              <w:t>44</w:t>
            </w:r>
          </w:p>
        </w:tc>
        <w:tc>
          <w:tcPr>
            <w:tcW w:w="1361" w:type="dxa"/>
          </w:tcPr>
          <w:p w14:paraId="1030D0C7" w14:textId="77777777" w:rsidR="00EF5C25" w:rsidRPr="007F530F" w:rsidRDefault="00EF5C25" w:rsidP="00BE4DDF">
            <w:pPr>
              <w:pStyle w:val="TableBody"/>
            </w:pPr>
            <w:r w:rsidRPr="007F530F">
              <w:t>25</w:t>
            </w:r>
          </w:p>
        </w:tc>
      </w:tr>
      <w:tr w:rsidR="00EF5C25" w:rsidRPr="007F530F" w14:paraId="3A58AC09" w14:textId="77777777" w:rsidTr="00BE4DDF">
        <w:trPr>
          <w:trHeight w:val="60"/>
        </w:trPr>
        <w:tc>
          <w:tcPr>
            <w:tcW w:w="1587" w:type="dxa"/>
          </w:tcPr>
          <w:p w14:paraId="3C883259" w14:textId="77777777" w:rsidR="00EF5C25" w:rsidRPr="007F530F" w:rsidRDefault="00EF5C25" w:rsidP="00BE4DDF">
            <w:pPr>
              <w:pStyle w:val="TableBody"/>
            </w:pPr>
            <w:r w:rsidRPr="007F530F">
              <w:t>Sexual penetration with a child aged under 10</w:t>
            </w:r>
          </w:p>
        </w:tc>
        <w:tc>
          <w:tcPr>
            <w:tcW w:w="1418" w:type="dxa"/>
          </w:tcPr>
          <w:p w14:paraId="50004783" w14:textId="77777777" w:rsidR="00EF5C25" w:rsidRPr="007F530F" w:rsidRDefault="00EF5C25" w:rsidP="00BE4DDF">
            <w:pPr>
              <w:pStyle w:val="TableBody"/>
            </w:pPr>
            <w:r w:rsidRPr="007F530F">
              <w:t>Section 47(1)</w:t>
            </w:r>
          </w:p>
        </w:tc>
        <w:tc>
          <w:tcPr>
            <w:tcW w:w="1417" w:type="dxa"/>
          </w:tcPr>
          <w:p w14:paraId="35C45BDC" w14:textId="77777777" w:rsidR="00EF5C25" w:rsidRPr="007F530F" w:rsidRDefault="00EF5C25" w:rsidP="00BE4DDF">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2154" w:type="dxa"/>
          </w:tcPr>
          <w:p w14:paraId="4904D6A5" w14:textId="77777777" w:rsidR="00EF5C25" w:rsidRPr="007F530F" w:rsidRDefault="00EF5C25" w:rsidP="00BE4DDF">
            <w:pPr>
              <w:pStyle w:val="TableBody"/>
            </w:pPr>
            <w:r w:rsidRPr="007F530F">
              <w:t>20 years</w:t>
            </w:r>
          </w:p>
        </w:tc>
        <w:tc>
          <w:tcPr>
            <w:tcW w:w="1361" w:type="dxa"/>
          </w:tcPr>
          <w:p w14:paraId="59AB5BF8" w14:textId="77777777" w:rsidR="00EF5C25" w:rsidRPr="007F530F" w:rsidRDefault="00EF5C25" w:rsidP="00BE4DDF">
            <w:pPr>
              <w:pStyle w:val="TableBody"/>
            </w:pPr>
            <w:r w:rsidRPr="007F530F">
              <w:t>77</w:t>
            </w:r>
          </w:p>
        </w:tc>
        <w:tc>
          <w:tcPr>
            <w:tcW w:w="1361" w:type="dxa"/>
          </w:tcPr>
          <w:p w14:paraId="1DF425BE" w14:textId="77777777" w:rsidR="00EF5C25" w:rsidRPr="007F530F" w:rsidRDefault="00EF5C25" w:rsidP="00BE4DDF">
            <w:pPr>
              <w:pStyle w:val="TableBody"/>
            </w:pPr>
            <w:r w:rsidRPr="007F530F">
              <w:t>44</w:t>
            </w:r>
          </w:p>
        </w:tc>
      </w:tr>
      <w:tr w:rsidR="00EF5C25" w:rsidRPr="007F530F" w14:paraId="24517B5C" w14:textId="77777777" w:rsidTr="00BE4DDF">
        <w:trPr>
          <w:trHeight w:val="60"/>
        </w:trPr>
        <w:tc>
          <w:tcPr>
            <w:tcW w:w="1587" w:type="dxa"/>
          </w:tcPr>
          <w:p w14:paraId="76CCB014" w14:textId="77777777" w:rsidR="00EF5C25" w:rsidRPr="007F530F" w:rsidRDefault="00EF5C25" w:rsidP="00BE4DDF">
            <w:pPr>
              <w:pStyle w:val="TableBody"/>
            </w:pPr>
            <w:r w:rsidRPr="007F530F">
              <w:lastRenderedPageBreak/>
              <w:t>Sexual penetration with a child aged under 10</w:t>
            </w:r>
          </w:p>
        </w:tc>
        <w:tc>
          <w:tcPr>
            <w:tcW w:w="1418" w:type="dxa"/>
          </w:tcPr>
          <w:p w14:paraId="258BF52A" w14:textId="77777777" w:rsidR="00EF5C25" w:rsidRPr="007F530F" w:rsidRDefault="00EF5C25" w:rsidP="00BE4DDF">
            <w:pPr>
              <w:pStyle w:val="TableBody"/>
            </w:pPr>
            <w:r w:rsidRPr="007F530F">
              <w:t>Section 45(1)</w:t>
            </w:r>
          </w:p>
        </w:tc>
        <w:tc>
          <w:tcPr>
            <w:tcW w:w="1417" w:type="dxa"/>
          </w:tcPr>
          <w:p w14:paraId="05491684" w14:textId="77777777" w:rsidR="00EF5C25" w:rsidRPr="007F530F" w:rsidRDefault="00EF5C25" w:rsidP="00BE4DDF">
            <w:pPr>
              <w:pStyle w:val="TableBody"/>
            </w:pPr>
            <w:r w:rsidRPr="00D00197">
              <w:rPr>
                <w:rStyle w:val="Strong"/>
              </w:rPr>
              <w:t>From</w:t>
            </w:r>
            <w:r w:rsidRPr="007F530F">
              <w:t xml:space="preserve"> 5 August 1991</w:t>
            </w:r>
            <w:r w:rsidRPr="007F530F">
              <w:br/>
            </w:r>
            <w:r w:rsidRPr="00D00197">
              <w:rPr>
                <w:rStyle w:val="Strong"/>
              </w:rPr>
              <w:t>To</w:t>
            </w:r>
            <w:r w:rsidRPr="007F530F">
              <w:t xml:space="preserve"> 21 November 2000</w:t>
            </w:r>
          </w:p>
        </w:tc>
        <w:tc>
          <w:tcPr>
            <w:tcW w:w="2154" w:type="dxa"/>
          </w:tcPr>
          <w:p w14:paraId="5FF179A7" w14:textId="77777777" w:rsidR="00EF5C25" w:rsidRPr="007F530F" w:rsidRDefault="00EF5C25" w:rsidP="00BE4DDF">
            <w:pPr>
              <w:pStyle w:val="TableBody"/>
            </w:pPr>
            <w:r w:rsidRPr="00D00197">
              <w:rPr>
                <w:rStyle w:val="Strong"/>
              </w:rPr>
              <w:t>Before 1 September 1997</w:t>
            </w:r>
            <w:r w:rsidRPr="007F530F">
              <w:br/>
              <w:t>20 years</w:t>
            </w:r>
            <w:r w:rsidRPr="007F530F">
              <w:br/>
            </w:r>
            <w:r w:rsidRPr="00D00197">
              <w:rPr>
                <w:rStyle w:val="Strong"/>
              </w:rPr>
              <w:t>From 1 September 1997</w:t>
            </w:r>
            <w:r w:rsidRPr="007F530F">
              <w:br/>
              <w:t xml:space="preserve">25 years </w:t>
            </w:r>
          </w:p>
        </w:tc>
        <w:tc>
          <w:tcPr>
            <w:tcW w:w="1361" w:type="dxa"/>
          </w:tcPr>
          <w:p w14:paraId="4DD4E23F" w14:textId="77777777" w:rsidR="00EF5C25" w:rsidRPr="007F530F" w:rsidRDefault="00EF5C25" w:rsidP="00BE4DDF">
            <w:pPr>
              <w:pStyle w:val="TableBody"/>
            </w:pPr>
            <w:r w:rsidRPr="007F530F">
              <w:t>51</w:t>
            </w:r>
          </w:p>
        </w:tc>
        <w:tc>
          <w:tcPr>
            <w:tcW w:w="1361" w:type="dxa"/>
          </w:tcPr>
          <w:p w14:paraId="7AF857E9" w14:textId="77777777" w:rsidR="00EF5C25" w:rsidRPr="007F530F" w:rsidRDefault="00EF5C25" w:rsidP="00BE4DDF">
            <w:pPr>
              <w:pStyle w:val="TableBody"/>
            </w:pPr>
            <w:r w:rsidRPr="007F530F">
              <w:t>20</w:t>
            </w:r>
          </w:p>
        </w:tc>
      </w:tr>
      <w:tr w:rsidR="00EF5C25" w:rsidRPr="007F530F" w14:paraId="44EDEB13" w14:textId="77777777" w:rsidTr="00BE4DDF">
        <w:trPr>
          <w:trHeight w:val="60"/>
        </w:trPr>
        <w:tc>
          <w:tcPr>
            <w:tcW w:w="1587" w:type="dxa"/>
          </w:tcPr>
          <w:p w14:paraId="64F639AF" w14:textId="77777777" w:rsidR="00EF5C25" w:rsidRPr="007F530F" w:rsidRDefault="00EF5C25" w:rsidP="00BE4DDF">
            <w:pPr>
              <w:pStyle w:val="TableBody"/>
            </w:pPr>
            <w:r w:rsidRPr="007F530F">
              <w:t>Sexual penetration with a child aged under 16</w:t>
            </w:r>
            <w:r w:rsidRPr="007F530F">
              <w:rPr>
                <w:rStyle w:val="Superscript"/>
              </w:rPr>
              <w:t>c</w:t>
            </w:r>
          </w:p>
        </w:tc>
        <w:tc>
          <w:tcPr>
            <w:tcW w:w="1418" w:type="dxa"/>
          </w:tcPr>
          <w:p w14:paraId="550FD06E" w14:textId="77777777" w:rsidR="00EF5C25" w:rsidRPr="007F530F" w:rsidRDefault="00EF5C25" w:rsidP="00BE4DDF">
            <w:pPr>
              <w:pStyle w:val="TableBody"/>
            </w:pPr>
            <w:r w:rsidRPr="007F530F">
              <w:t>Section 45(1)</w:t>
            </w:r>
          </w:p>
        </w:tc>
        <w:tc>
          <w:tcPr>
            <w:tcW w:w="1417" w:type="dxa"/>
          </w:tcPr>
          <w:p w14:paraId="5ABBEE57" w14:textId="77777777" w:rsidR="00EF5C25" w:rsidRPr="007F530F" w:rsidRDefault="00EF5C25" w:rsidP="00BE4DDF">
            <w:pPr>
              <w:pStyle w:val="TableBody"/>
            </w:pPr>
            <w:r w:rsidRPr="00D00197">
              <w:rPr>
                <w:rStyle w:val="Strong"/>
              </w:rPr>
              <w:t>From</w:t>
            </w:r>
            <w:r w:rsidRPr="007F530F">
              <w:t xml:space="preserve"> 22 November 2000 </w:t>
            </w:r>
            <w:r w:rsidRPr="007F530F">
              <w:br/>
            </w:r>
            <w:r w:rsidRPr="00D00197">
              <w:rPr>
                <w:rStyle w:val="Strong"/>
              </w:rPr>
              <w:t>To</w:t>
            </w:r>
            <w:r w:rsidRPr="007F530F">
              <w:t xml:space="preserve"> 30 June 2017</w:t>
            </w:r>
          </w:p>
        </w:tc>
        <w:tc>
          <w:tcPr>
            <w:tcW w:w="2154" w:type="dxa"/>
          </w:tcPr>
          <w:p w14:paraId="76B36C66" w14:textId="77777777" w:rsidR="00EF5C25" w:rsidRPr="007F530F" w:rsidRDefault="00EF5C25" w:rsidP="00BE4DDF">
            <w:pPr>
              <w:pStyle w:val="TableBody"/>
            </w:pPr>
            <w:r w:rsidRPr="00D00197">
              <w:rPr>
                <w:rStyle w:val="Strong"/>
              </w:rPr>
              <w:t>Victim aged under 10/12:</w:t>
            </w:r>
            <w:r w:rsidRPr="007F530F">
              <w:t xml:space="preserve"> 25 years </w:t>
            </w:r>
          </w:p>
        </w:tc>
        <w:tc>
          <w:tcPr>
            <w:tcW w:w="1361" w:type="dxa"/>
          </w:tcPr>
          <w:p w14:paraId="5C527B5D" w14:textId="77777777" w:rsidR="00EF5C25" w:rsidRPr="007F530F" w:rsidRDefault="00EF5C25" w:rsidP="00BE4DDF">
            <w:pPr>
              <w:pStyle w:val="TableBody"/>
            </w:pPr>
            <w:r w:rsidRPr="00D00197">
              <w:rPr>
                <w:rStyle w:val="Strong"/>
              </w:rPr>
              <w:t>Aged under 10/12:</w:t>
            </w:r>
            <w:r w:rsidRPr="007F530F">
              <w:br/>
              <w:t>265</w:t>
            </w:r>
          </w:p>
          <w:p w14:paraId="635397CB" w14:textId="77777777" w:rsidR="00EF5C25" w:rsidRPr="007F530F" w:rsidRDefault="00EF5C25" w:rsidP="00BE4DDF">
            <w:pPr>
              <w:pStyle w:val="TableBody"/>
            </w:pPr>
            <w:r w:rsidRPr="00D00197">
              <w:rPr>
                <w:rStyle w:val="Strong"/>
              </w:rPr>
              <w:t>Age unclear:</w:t>
            </w:r>
            <w:r w:rsidRPr="007F530F">
              <w:t xml:space="preserve"> </w:t>
            </w:r>
            <w:r w:rsidRPr="007F530F">
              <w:br/>
              <w:t>49</w:t>
            </w:r>
          </w:p>
        </w:tc>
        <w:tc>
          <w:tcPr>
            <w:tcW w:w="1361" w:type="dxa"/>
          </w:tcPr>
          <w:p w14:paraId="18F32E00" w14:textId="77777777" w:rsidR="00EF5C25" w:rsidRPr="007F530F" w:rsidRDefault="00EF5C25" w:rsidP="00BE4DDF">
            <w:pPr>
              <w:pStyle w:val="TableBody"/>
            </w:pPr>
            <w:r w:rsidRPr="00D00197">
              <w:rPr>
                <w:rStyle w:val="Strong"/>
              </w:rPr>
              <w:t>Aged under 10/12:</w:t>
            </w:r>
            <w:r w:rsidRPr="007F530F">
              <w:br/>
              <w:t>140</w:t>
            </w:r>
          </w:p>
          <w:p w14:paraId="44387504" w14:textId="77777777" w:rsidR="00EF5C25" w:rsidRPr="007F530F" w:rsidRDefault="00EF5C25" w:rsidP="00BE4DDF">
            <w:pPr>
              <w:pStyle w:val="TableBody"/>
            </w:pPr>
            <w:r w:rsidRPr="00D00197">
              <w:rPr>
                <w:rStyle w:val="Strong"/>
              </w:rPr>
              <w:t>Age unclear:</w:t>
            </w:r>
            <w:r w:rsidRPr="007F530F">
              <w:t xml:space="preserve">  23</w:t>
            </w:r>
          </w:p>
        </w:tc>
      </w:tr>
      <w:tr w:rsidR="00EF5C25" w:rsidRPr="007F530F" w14:paraId="1511F5C2" w14:textId="77777777" w:rsidTr="00BE4DDF">
        <w:trPr>
          <w:trHeight w:val="60"/>
        </w:trPr>
        <w:tc>
          <w:tcPr>
            <w:tcW w:w="1587" w:type="dxa"/>
          </w:tcPr>
          <w:p w14:paraId="766022D2" w14:textId="77777777" w:rsidR="00EF5C25" w:rsidRPr="007F530F" w:rsidRDefault="00EF5C25" w:rsidP="00BE4DDF">
            <w:pPr>
              <w:pStyle w:val="TableBody"/>
            </w:pPr>
            <w:r w:rsidRPr="007F530F">
              <w:t>Sexual penetration with a child aged under 12</w:t>
            </w:r>
          </w:p>
        </w:tc>
        <w:tc>
          <w:tcPr>
            <w:tcW w:w="1418" w:type="dxa"/>
          </w:tcPr>
          <w:p w14:paraId="6124DA35" w14:textId="77777777" w:rsidR="00EF5C25" w:rsidRPr="007F530F" w:rsidRDefault="00EF5C25" w:rsidP="00BE4DDF">
            <w:pPr>
              <w:pStyle w:val="TableBody"/>
            </w:pPr>
            <w:r w:rsidRPr="007F530F">
              <w:t>Section 49A(1)</w:t>
            </w:r>
          </w:p>
        </w:tc>
        <w:tc>
          <w:tcPr>
            <w:tcW w:w="1417" w:type="dxa"/>
          </w:tcPr>
          <w:p w14:paraId="5DD41046" w14:textId="77777777" w:rsidR="00EF5C25" w:rsidRPr="007F530F" w:rsidRDefault="00EF5C25" w:rsidP="00BE4DDF">
            <w:pPr>
              <w:pStyle w:val="TableBody"/>
            </w:pPr>
            <w:r w:rsidRPr="00D00197">
              <w:rPr>
                <w:rStyle w:val="Strong"/>
              </w:rPr>
              <w:t>From</w:t>
            </w:r>
            <w:r w:rsidRPr="007F530F">
              <w:t xml:space="preserve"> 1 July 2017 </w:t>
            </w:r>
            <w:r w:rsidRPr="007F530F">
              <w:br/>
            </w:r>
            <w:r w:rsidRPr="00D00197">
              <w:rPr>
                <w:rStyle w:val="Strong"/>
              </w:rPr>
              <w:t>To</w:t>
            </w:r>
            <w:r w:rsidRPr="007F530F">
              <w:t xml:space="preserve"> present</w:t>
            </w:r>
          </w:p>
        </w:tc>
        <w:tc>
          <w:tcPr>
            <w:tcW w:w="2154" w:type="dxa"/>
          </w:tcPr>
          <w:p w14:paraId="2B813249" w14:textId="77777777" w:rsidR="00EF5C25" w:rsidRPr="007F530F" w:rsidRDefault="00EF5C25" w:rsidP="00BE4DDF">
            <w:pPr>
              <w:pStyle w:val="TableBody"/>
            </w:pPr>
            <w:r w:rsidRPr="007F530F">
              <w:t>25 years</w:t>
            </w:r>
          </w:p>
        </w:tc>
        <w:tc>
          <w:tcPr>
            <w:tcW w:w="1361" w:type="dxa"/>
          </w:tcPr>
          <w:p w14:paraId="1672E0BB" w14:textId="77777777" w:rsidR="00EF5C25" w:rsidRPr="007F530F" w:rsidRDefault="00EF5C25" w:rsidP="00BE4DDF">
            <w:pPr>
              <w:pStyle w:val="TableBody"/>
            </w:pPr>
            <w:r w:rsidRPr="007F530F">
              <w:t>9</w:t>
            </w:r>
          </w:p>
        </w:tc>
        <w:tc>
          <w:tcPr>
            <w:tcW w:w="1361" w:type="dxa"/>
          </w:tcPr>
          <w:p w14:paraId="502420FA" w14:textId="77777777" w:rsidR="00EF5C25" w:rsidRPr="007F530F" w:rsidRDefault="00EF5C25" w:rsidP="00BE4DDF">
            <w:pPr>
              <w:pStyle w:val="TableBody"/>
            </w:pPr>
            <w:r w:rsidRPr="007F530F">
              <w:t>6</w:t>
            </w:r>
          </w:p>
        </w:tc>
      </w:tr>
      <w:tr w:rsidR="00EF5C25" w:rsidRPr="007F530F" w14:paraId="45626721" w14:textId="77777777" w:rsidTr="00BE4DDF">
        <w:trPr>
          <w:trHeight w:val="60"/>
        </w:trPr>
        <w:tc>
          <w:tcPr>
            <w:tcW w:w="9298" w:type="dxa"/>
            <w:gridSpan w:val="6"/>
          </w:tcPr>
          <w:p w14:paraId="6D0DCC45" w14:textId="77777777" w:rsidR="00EF5C25" w:rsidRPr="007976D1" w:rsidRDefault="00EF5C25" w:rsidP="00BE4DDF">
            <w:pPr>
              <w:pStyle w:val="TableBody"/>
              <w:rPr>
                <w:rStyle w:val="Strong"/>
              </w:rPr>
            </w:pPr>
            <w:r w:rsidRPr="007976D1">
              <w:rPr>
                <w:rStyle w:val="Strong"/>
              </w:rPr>
              <w:t>Sexual penetration with a child aged 10/12 to 15</w:t>
            </w:r>
          </w:p>
        </w:tc>
      </w:tr>
      <w:tr w:rsidR="00EF5C25" w:rsidRPr="007F530F" w14:paraId="707ABC7E" w14:textId="77777777" w:rsidTr="00BE4DDF">
        <w:trPr>
          <w:trHeight w:val="60"/>
        </w:trPr>
        <w:tc>
          <w:tcPr>
            <w:tcW w:w="1587" w:type="dxa"/>
          </w:tcPr>
          <w:p w14:paraId="6B1B44C3" w14:textId="77777777" w:rsidR="00EF5C25" w:rsidRPr="007F530F" w:rsidRDefault="00EF5C25" w:rsidP="00BE4DDF">
            <w:pPr>
              <w:pStyle w:val="TableBody"/>
            </w:pPr>
            <w:r w:rsidRPr="007F530F">
              <w:t>Carnal knowledge and abuse of a girl aged 10 to 15</w:t>
            </w:r>
            <w:r w:rsidRPr="007F530F">
              <w:rPr>
                <w:rStyle w:val="Superscript"/>
              </w:rPr>
              <w:t>d</w:t>
            </w:r>
          </w:p>
        </w:tc>
        <w:tc>
          <w:tcPr>
            <w:tcW w:w="1418" w:type="dxa"/>
          </w:tcPr>
          <w:p w14:paraId="1029DCA3" w14:textId="77777777" w:rsidR="00EF5C25" w:rsidRPr="007F530F" w:rsidRDefault="00EF5C25" w:rsidP="00BE4DDF">
            <w:pPr>
              <w:pStyle w:val="TableBody"/>
            </w:pPr>
            <w:r w:rsidRPr="007F530F">
              <w:t>Section 48(1)</w:t>
            </w:r>
          </w:p>
        </w:tc>
        <w:tc>
          <w:tcPr>
            <w:tcW w:w="1417" w:type="dxa"/>
          </w:tcPr>
          <w:p w14:paraId="31020CFE" w14:textId="77777777" w:rsidR="00EF5C25" w:rsidRPr="007F530F" w:rsidRDefault="00EF5C25" w:rsidP="00BE4DDF">
            <w:pPr>
              <w:pStyle w:val="TableBody"/>
            </w:pPr>
            <w:r w:rsidRPr="00D00197">
              <w:rPr>
                <w:rStyle w:val="Strong"/>
              </w:rPr>
              <w:t>From</w:t>
            </w:r>
            <w:r w:rsidRPr="007F530F">
              <w:t xml:space="preserve"> 1 April 1959</w:t>
            </w:r>
            <w:r w:rsidRPr="007F530F">
              <w:br/>
            </w:r>
            <w:r w:rsidRPr="00D00197">
              <w:rPr>
                <w:rStyle w:val="Strong"/>
              </w:rPr>
              <w:t>To</w:t>
            </w:r>
            <w:r w:rsidRPr="007F530F">
              <w:t xml:space="preserve"> 28 February 1981</w:t>
            </w:r>
          </w:p>
        </w:tc>
        <w:tc>
          <w:tcPr>
            <w:tcW w:w="2154" w:type="dxa"/>
          </w:tcPr>
          <w:p w14:paraId="36B93375" w14:textId="77777777" w:rsidR="00EF5C25" w:rsidRPr="007F530F" w:rsidRDefault="00EF5C25" w:rsidP="00BE4DDF">
            <w:pPr>
              <w:pStyle w:val="TableBody"/>
            </w:pPr>
            <w:r w:rsidRPr="00D00197">
              <w:rPr>
                <w:rStyle w:val="Strong"/>
              </w:rPr>
              <w:t>Schoolmaster or teacher:</w:t>
            </w:r>
            <w:r w:rsidRPr="00D00197">
              <w:rPr>
                <w:rStyle w:val="Strong"/>
              </w:rPr>
              <w:br/>
            </w:r>
            <w:r w:rsidRPr="007F530F">
              <w:t>15 years</w:t>
            </w:r>
          </w:p>
          <w:p w14:paraId="79F7D868" w14:textId="77777777" w:rsidR="00EF5C25" w:rsidRPr="007F530F" w:rsidRDefault="00EF5C25" w:rsidP="00BE4DDF">
            <w:pPr>
              <w:pStyle w:val="TableBody"/>
            </w:pPr>
            <w:r w:rsidRPr="00D00197">
              <w:rPr>
                <w:rStyle w:val="Strong"/>
              </w:rPr>
              <w:t>All other cases:</w:t>
            </w:r>
            <w:r w:rsidRPr="00D00197">
              <w:rPr>
                <w:rStyle w:val="Strong"/>
              </w:rPr>
              <w:br/>
            </w:r>
            <w:r w:rsidRPr="007F530F">
              <w:t>10 years</w:t>
            </w:r>
          </w:p>
        </w:tc>
        <w:tc>
          <w:tcPr>
            <w:tcW w:w="1361" w:type="dxa"/>
          </w:tcPr>
          <w:p w14:paraId="343603DF" w14:textId="77777777" w:rsidR="00EF5C25" w:rsidRPr="007F530F" w:rsidRDefault="00EF5C25" w:rsidP="00BE4DDF">
            <w:pPr>
              <w:pStyle w:val="TableBody"/>
            </w:pPr>
            <w:r w:rsidRPr="007F530F">
              <w:t>27</w:t>
            </w:r>
          </w:p>
        </w:tc>
        <w:tc>
          <w:tcPr>
            <w:tcW w:w="1361" w:type="dxa"/>
          </w:tcPr>
          <w:p w14:paraId="173F3FAE" w14:textId="77777777" w:rsidR="00EF5C25" w:rsidRPr="007F530F" w:rsidRDefault="00EF5C25" w:rsidP="00BE4DDF">
            <w:pPr>
              <w:pStyle w:val="TableBody"/>
            </w:pPr>
            <w:r w:rsidRPr="007F530F">
              <w:t>22</w:t>
            </w:r>
          </w:p>
        </w:tc>
      </w:tr>
      <w:tr w:rsidR="00EF5C25" w:rsidRPr="007F530F" w14:paraId="57223773" w14:textId="77777777" w:rsidTr="00BE4DDF">
        <w:trPr>
          <w:trHeight w:val="60"/>
        </w:trPr>
        <w:tc>
          <w:tcPr>
            <w:tcW w:w="1587" w:type="dxa"/>
          </w:tcPr>
          <w:p w14:paraId="2F9E1626" w14:textId="77777777" w:rsidR="00EF5C25" w:rsidRPr="007F530F" w:rsidRDefault="00EF5C25" w:rsidP="00BE4DDF">
            <w:pPr>
              <w:pStyle w:val="TableBody"/>
            </w:pPr>
            <w:r w:rsidRPr="007F530F">
              <w:t>Sexual penetration with a child aged 10 to 15</w:t>
            </w:r>
          </w:p>
        </w:tc>
        <w:tc>
          <w:tcPr>
            <w:tcW w:w="1418" w:type="dxa"/>
          </w:tcPr>
          <w:p w14:paraId="5EC48AB1" w14:textId="77777777" w:rsidR="00EF5C25" w:rsidRPr="007F530F" w:rsidRDefault="00EF5C25" w:rsidP="00BE4DDF">
            <w:pPr>
              <w:pStyle w:val="TableBody"/>
            </w:pPr>
            <w:r w:rsidRPr="007F530F">
              <w:t>Section 48(1)</w:t>
            </w:r>
          </w:p>
        </w:tc>
        <w:tc>
          <w:tcPr>
            <w:tcW w:w="1417" w:type="dxa"/>
          </w:tcPr>
          <w:p w14:paraId="35098ECE" w14:textId="77777777" w:rsidR="00EF5C25" w:rsidRPr="007F530F" w:rsidRDefault="00EF5C25" w:rsidP="00BE4DDF">
            <w:pPr>
              <w:pStyle w:val="TableBody"/>
            </w:pPr>
            <w:r w:rsidRPr="00D00197">
              <w:rPr>
                <w:rStyle w:val="Strong"/>
              </w:rPr>
              <w:t>From</w:t>
            </w:r>
            <w:r w:rsidRPr="007F530F">
              <w:t xml:space="preserve"> 1 March 1981</w:t>
            </w:r>
            <w:r w:rsidRPr="007F530F">
              <w:br/>
              <w:t>To 4 August 1991</w:t>
            </w:r>
          </w:p>
        </w:tc>
        <w:tc>
          <w:tcPr>
            <w:tcW w:w="2154" w:type="dxa"/>
          </w:tcPr>
          <w:p w14:paraId="4AB83AE5" w14:textId="77777777" w:rsidR="00EF5C25" w:rsidRPr="007F530F" w:rsidRDefault="00EF5C25" w:rsidP="00BE4DDF">
            <w:pPr>
              <w:pStyle w:val="TableBody"/>
            </w:pPr>
            <w:r w:rsidRPr="007F530F">
              <w:t>10 years</w:t>
            </w:r>
          </w:p>
        </w:tc>
        <w:tc>
          <w:tcPr>
            <w:tcW w:w="1361" w:type="dxa"/>
          </w:tcPr>
          <w:p w14:paraId="18B836AA" w14:textId="77777777" w:rsidR="00EF5C25" w:rsidRPr="007F530F" w:rsidRDefault="00EF5C25" w:rsidP="00BE4DDF">
            <w:pPr>
              <w:pStyle w:val="TableBody"/>
            </w:pPr>
            <w:r w:rsidRPr="007F530F">
              <w:t>97</w:t>
            </w:r>
          </w:p>
        </w:tc>
        <w:tc>
          <w:tcPr>
            <w:tcW w:w="1361" w:type="dxa"/>
          </w:tcPr>
          <w:p w14:paraId="6E15D891" w14:textId="77777777" w:rsidR="00EF5C25" w:rsidRPr="007F530F" w:rsidRDefault="00EF5C25" w:rsidP="00BE4DDF">
            <w:pPr>
              <w:pStyle w:val="TableBody"/>
            </w:pPr>
            <w:r w:rsidRPr="007F530F">
              <w:t>55</w:t>
            </w:r>
          </w:p>
        </w:tc>
      </w:tr>
      <w:tr w:rsidR="00EF5C25" w:rsidRPr="007F530F" w14:paraId="69B0DD0A" w14:textId="77777777" w:rsidTr="00BE4DDF">
        <w:trPr>
          <w:trHeight w:val="60"/>
        </w:trPr>
        <w:tc>
          <w:tcPr>
            <w:tcW w:w="1587" w:type="dxa"/>
          </w:tcPr>
          <w:p w14:paraId="56B60B85" w14:textId="77777777" w:rsidR="00EF5C25" w:rsidRPr="007F530F" w:rsidRDefault="00EF5C25" w:rsidP="00BE4DDF">
            <w:pPr>
              <w:pStyle w:val="TableBody"/>
            </w:pPr>
            <w:r w:rsidRPr="007F530F">
              <w:t xml:space="preserve">Sexual penetration with a child aged 10 to 15 under care, supervision or authority </w:t>
            </w:r>
          </w:p>
        </w:tc>
        <w:tc>
          <w:tcPr>
            <w:tcW w:w="1418" w:type="dxa"/>
          </w:tcPr>
          <w:p w14:paraId="20E4D7DE" w14:textId="77777777" w:rsidR="00EF5C25" w:rsidRPr="007F530F" w:rsidRDefault="00EF5C25" w:rsidP="00BE4DDF">
            <w:pPr>
              <w:pStyle w:val="TableBody"/>
            </w:pPr>
            <w:r w:rsidRPr="007F530F">
              <w:t>Section 48(3)</w:t>
            </w:r>
          </w:p>
        </w:tc>
        <w:tc>
          <w:tcPr>
            <w:tcW w:w="1417" w:type="dxa"/>
          </w:tcPr>
          <w:p w14:paraId="063A1E5E" w14:textId="77777777" w:rsidR="00EF5C25" w:rsidRPr="007F530F" w:rsidRDefault="00EF5C25" w:rsidP="00BE4DDF">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2154" w:type="dxa"/>
          </w:tcPr>
          <w:p w14:paraId="7EABB0E5" w14:textId="77777777" w:rsidR="00EF5C25" w:rsidRPr="007F530F" w:rsidRDefault="00EF5C25" w:rsidP="00BE4DDF">
            <w:pPr>
              <w:pStyle w:val="TableBody"/>
            </w:pPr>
            <w:r w:rsidRPr="007F530F">
              <w:t>15 years</w:t>
            </w:r>
          </w:p>
        </w:tc>
        <w:tc>
          <w:tcPr>
            <w:tcW w:w="1361" w:type="dxa"/>
          </w:tcPr>
          <w:p w14:paraId="1BAE3C9A" w14:textId="77777777" w:rsidR="00EF5C25" w:rsidRPr="007F530F" w:rsidRDefault="00EF5C25" w:rsidP="00BE4DDF">
            <w:pPr>
              <w:pStyle w:val="TableBody"/>
            </w:pPr>
            <w:r w:rsidRPr="007F530F">
              <w:t>–</w:t>
            </w:r>
          </w:p>
        </w:tc>
        <w:tc>
          <w:tcPr>
            <w:tcW w:w="1361" w:type="dxa"/>
          </w:tcPr>
          <w:p w14:paraId="065799B8" w14:textId="77777777" w:rsidR="00EF5C25" w:rsidRPr="007F530F" w:rsidRDefault="00EF5C25" w:rsidP="00BE4DDF">
            <w:pPr>
              <w:pStyle w:val="TableBody"/>
            </w:pPr>
            <w:r w:rsidRPr="007F530F">
              <w:t>–</w:t>
            </w:r>
          </w:p>
        </w:tc>
      </w:tr>
      <w:tr w:rsidR="00EF5C25" w:rsidRPr="007F530F" w14:paraId="720E7282" w14:textId="77777777" w:rsidTr="00BE4DDF">
        <w:trPr>
          <w:trHeight w:val="60"/>
        </w:trPr>
        <w:tc>
          <w:tcPr>
            <w:tcW w:w="1587" w:type="dxa"/>
          </w:tcPr>
          <w:p w14:paraId="411CC77D" w14:textId="77777777" w:rsidR="00EF5C25" w:rsidRPr="007F530F" w:rsidRDefault="00EF5C25" w:rsidP="00BE4DDF">
            <w:pPr>
              <w:pStyle w:val="TableBody"/>
            </w:pPr>
            <w:r w:rsidRPr="007F530F">
              <w:t>Sexual penetration with a child aged 10 to 15</w:t>
            </w:r>
          </w:p>
        </w:tc>
        <w:tc>
          <w:tcPr>
            <w:tcW w:w="1418" w:type="dxa"/>
          </w:tcPr>
          <w:p w14:paraId="081DCDBF" w14:textId="77777777" w:rsidR="00EF5C25" w:rsidRPr="007F530F" w:rsidRDefault="00EF5C25" w:rsidP="00BE4DDF">
            <w:pPr>
              <w:pStyle w:val="TableBody"/>
            </w:pPr>
            <w:r w:rsidRPr="007F530F">
              <w:t>Section 46(1)</w:t>
            </w:r>
          </w:p>
        </w:tc>
        <w:tc>
          <w:tcPr>
            <w:tcW w:w="1417" w:type="dxa"/>
          </w:tcPr>
          <w:p w14:paraId="7A6AC8DD" w14:textId="77777777" w:rsidR="00EF5C25" w:rsidRPr="007F530F" w:rsidRDefault="00EF5C25" w:rsidP="00BE4DDF">
            <w:pPr>
              <w:pStyle w:val="TableBody"/>
            </w:pPr>
            <w:r w:rsidRPr="00D00197">
              <w:rPr>
                <w:rStyle w:val="Strong"/>
              </w:rPr>
              <w:t>From</w:t>
            </w:r>
            <w:r w:rsidRPr="007F530F">
              <w:t xml:space="preserve"> 5 August 1991</w:t>
            </w:r>
            <w:r w:rsidRPr="007F530F">
              <w:br/>
            </w:r>
            <w:r w:rsidRPr="00D00197">
              <w:rPr>
                <w:rStyle w:val="Strong"/>
              </w:rPr>
              <w:t>To</w:t>
            </w:r>
            <w:r w:rsidRPr="007F530F">
              <w:t xml:space="preserve"> 21 November 2000</w:t>
            </w:r>
          </w:p>
        </w:tc>
        <w:tc>
          <w:tcPr>
            <w:tcW w:w="2154" w:type="dxa"/>
          </w:tcPr>
          <w:p w14:paraId="6DA8B421" w14:textId="77777777" w:rsidR="00EF5C25" w:rsidRPr="007F530F" w:rsidRDefault="00EF5C25" w:rsidP="00BE4DDF">
            <w:pPr>
              <w:pStyle w:val="TableBody"/>
            </w:pPr>
            <w:r w:rsidRPr="00D00197">
              <w:rPr>
                <w:rStyle w:val="Strong"/>
              </w:rPr>
              <w:t>Victim under care, supervision or authority:</w:t>
            </w:r>
            <w:r w:rsidRPr="00D00197">
              <w:rPr>
                <w:rStyle w:val="Strong"/>
              </w:rPr>
              <w:br/>
            </w:r>
            <w:r w:rsidRPr="007F530F">
              <w:t>15 years</w:t>
            </w:r>
          </w:p>
          <w:p w14:paraId="7C133AEA" w14:textId="77777777" w:rsidR="00EF5C25" w:rsidRPr="007F530F" w:rsidRDefault="00EF5C25" w:rsidP="00BE4DDF">
            <w:pPr>
              <w:pStyle w:val="TableBody"/>
            </w:pPr>
            <w:r w:rsidRPr="00D00197">
              <w:rPr>
                <w:rStyle w:val="Strong"/>
              </w:rPr>
              <w:t>All other cases:</w:t>
            </w:r>
            <w:r w:rsidRPr="00D00197">
              <w:rPr>
                <w:rStyle w:val="Strong"/>
              </w:rPr>
              <w:br/>
            </w:r>
            <w:r w:rsidRPr="007F530F">
              <w:t>10 years</w:t>
            </w:r>
          </w:p>
        </w:tc>
        <w:tc>
          <w:tcPr>
            <w:tcW w:w="1361" w:type="dxa"/>
          </w:tcPr>
          <w:p w14:paraId="08C816A0" w14:textId="77777777" w:rsidR="00EF5C25" w:rsidRPr="007F530F" w:rsidRDefault="00EF5C25" w:rsidP="00BE4DDF">
            <w:pPr>
              <w:pStyle w:val="TableBody"/>
            </w:pPr>
            <w:r w:rsidRPr="007F530F">
              <w:t>54</w:t>
            </w:r>
          </w:p>
        </w:tc>
        <w:tc>
          <w:tcPr>
            <w:tcW w:w="1361" w:type="dxa"/>
          </w:tcPr>
          <w:p w14:paraId="7F18B616" w14:textId="77777777" w:rsidR="00EF5C25" w:rsidRPr="007F530F" w:rsidRDefault="00EF5C25" w:rsidP="00BE4DDF">
            <w:pPr>
              <w:pStyle w:val="TableBody"/>
            </w:pPr>
            <w:r w:rsidRPr="007F530F">
              <w:t>20</w:t>
            </w:r>
          </w:p>
        </w:tc>
      </w:tr>
      <w:tr w:rsidR="00EF5C25" w:rsidRPr="007F530F" w14:paraId="4F7DBCEC" w14:textId="77777777" w:rsidTr="00BE4DDF">
        <w:trPr>
          <w:trHeight w:val="60"/>
        </w:trPr>
        <w:tc>
          <w:tcPr>
            <w:tcW w:w="1587" w:type="dxa"/>
          </w:tcPr>
          <w:p w14:paraId="2F4BE3A2" w14:textId="77777777" w:rsidR="00EF5C25" w:rsidRPr="007F530F" w:rsidRDefault="00EF5C25" w:rsidP="00BE4DDF">
            <w:pPr>
              <w:pStyle w:val="TableBody"/>
            </w:pPr>
            <w:r w:rsidRPr="007F530F">
              <w:t>Sexual penetration with a child aged under 16</w:t>
            </w:r>
            <w:r w:rsidRPr="007F530F">
              <w:rPr>
                <w:rStyle w:val="Superscript"/>
              </w:rPr>
              <w:t>c</w:t>
            </w:r>
          </w:p>
        </w:tc>
        <w:tc>
          <w:tcPr>
            <w:tcW w:w="1418" w:type="dxa"/>
          </w:tcPr>
          <w:p w14:paraId="0D6881D1" w14:textId="77777777" w:rsidR="00EF5C25" w:rsidRPr="007F530F" w:rsidRDefault="00EF5C25" w:rsidP="00BE4DDF">
            <w:pPr>
              <w:pStyle w:val="TableBody"/>
            </w:pPr>
            <w:r w:rsidRPr="007F530F">
              <w:t>Section 45(1)</w:t>
            </w:r>
          </w:p>
        </w:tc>
        <w:tc>
          <w:tcPr>
            <w:tcW w:w="1417" w:type="dxa"/>
          </w:tcPr>
          <w:p w14:paraId="7D48D8BB" w14:textId="77777777" w:rsidR="00EF5C25" w:rsidRPr="007F530F" w:rsidRDefault="00EF5C25" w:rsidP="00BE4DDF">
            <w:pPr>
              <w:pStyle w:val="TableBody"/>
            </w:pPr>
            <w:r w:rsidRPr="00D00197">
              <w:rPr>
                <w:rStyle w:val="Strong"/>
              </w:rPr>
              <w:t>From</w:t>
            </w:r>
            <w:r w:rsidRPr="007F530F">
              <w:t xml:space="preserve"> 22 November 2000 </w:t>
            </w:r>
            <w:r w:rsidRPr="007F530F">
              <w:br/>
            </w:r>
            <w:r w:rsidRPr="00D00197">
              <w:rPr>
                <w:rStyle w:val="Strong"/>
              </w:rPr>
              <w:t>To</w:t>
            </w:r>
            <w:r w:rsidRPr="007F530F">
              <w:t xml:space="preserve"> 30 June 2017</w:t>
            </w:r>
          </w:p>
        </w:tc>
        <w:tc>
          <w:tcPr>
            <w:tcW w:w="2154" w:type="dxa"/>
          </w:tcPr>
          <w:p w14:paraId="6EAF8BC5" w14:textId="77777777" w:rsidR="00EF5C25" w:rsidRPr="007F530F" w:rsidRDefault="00EF5C25" w:rsidP="00BE4DDF">
            <w:pPr>
              <w:pStyle w:val="TableBody"/>
            </w:pPr>
            <w:r w:rsidRPr="00D00197">
              <w:rPr>
                <w:rStyle w:val="Strong"/>
              </w:rPr>
              <w:t>Victim aged under 16 (care, supervision or authority):</w:t>
            </w:r>
            <w:r w:rsidRPr="007F530F">
              <w:br/>
              <w:t>15 years</w:t>
            </w:r>
          </w:p>
          <w:p w14:paraId="5F91FEEC" w14:textId="77777777" w:rsidR="00EF5C25" w:rsidRPr="007F530F" w:rsidRDefault="00EF5C25" w:rsidP="00BE4DDF">
            <w:pPr>
              <w:pStyle w:val="TableBody"/>
            </w:pPr>
            <w:r w:rsidRPr="00D00197">
              <w:rPr>
                <w:rStyle w:val="Strong"/>
              </w:rPr>
              <w:lastRenderedPageBreak/>
              <w:t xml:space="preserve">Victim aged under 16: </w:t>
            </w:r>
            <w:r w:rsidRPr="007F530F">
              <w:br/>
              <w:t xml:space="preserve">10 years </w:t>
            </w:r>
          </w:p>
        </w:tc>
        <w:tc>
          <w:tcPr>
            <w:tcW w:w="1361" w:type="dxa"/>
          </w:tcPr>
          <w:p w14:paraId="7EED9566" w14:textId="77777777" w:rsidR="00EF5C25" w:rsidRPr="007F530F" w:rsidRDefault="00EF5C25" w:rsidP="00BE4DDF">
            <w:pPr>
              <w:pStyle w:val="TableBody"/>
            </w:pPr>
            <w:r w:rsidRPr="00D00197">
              <w:rPr>
                <w:rStyle w:val="Strong"/>
              </w:rPr>
              <w:lastRenderedPageBreak/>
              <w:t>Aged under 16 (care, supervision or authority)</w:t>
            </w:r>
            <w:r w:rsidRPr="00D00197">
              <w:rPr>
                <w:rStyle w:val="Strong"/>
              </w:rPr>
              <w:lastRenderedPageBreak/>
              <w:t>:</w:t>
            </w:r>
            <w:r w:rsidRPr="00D00197">
              <w:rPr>
                <w:rStyle w:val="Strong"/>
              </w:rPr>
              <w:br/>
            </w:r>
            <w:r w:rsidRPr="007F530F">
              <w:t>176</w:t>
            </w:r>
          </w:p>
          <w:p w14:paraId="7B8958F2" w14:textId="77777777" w:rsidR="00EF5C25" w:rsidRPr="007F530F" w:rsidRDefault="00EF5C25" w:rsidP="00BE4DDF">
            <w:pPr>
              <w:pStyle w:val="TableBody"/>
            </w:pPr>
            <w:r w:rsidRPr="00D00197">
              <w:rPr>
                <w:rStyle w:val="Strong"/>
              </w:rPr>
              <w:t>Aged under 16:</w:t>
            </w:r>
            <w:r w:rsidRPr="00D00197">
              <w:rPr>
                <w:rStyle w:val="Strong"/>
              </w:rPr>
              <w:br/>
            </w:r>
            <w:r w:rsidRPr="007F530F">
              <w:t>1,357</w:t>
            </w:r>
          </w:p>
          <w:p w14:paraId="5F263585" w14:textId="77777777" w:rsidR="00EF5C25" w:rsidRPr="007F530F" w:rsidRDefault="00EF5C25" w:rsidP="00BE4DDF">
            <w:pPr>
              <w:pStyle w:val="TableBody"/>
            </w:pPr>
            <w:r w:rsidRPr="00D00197">
              <w:rPr>
                <w:rStyle w:val="Strong"/>
              </w:rPr>
              <w:t xml:space="preserve">Age unclear: </w:t>
            </w:r>
            <w:r w:rsidRPr="00D00197">
              <w:rPr>
                <w:rStyle w:val="Strong"/>
              </w:rPr>
              <w:br/>
            </w:r>
            <w:r w:rsidRPr="007F530F">
              <w:t>49</w:t>
            </w:r>
          </w:p>
        </w:tc>
        <w:tc>
          <w:tcPr>
            <w:tcW w:w="1361" w:type="dxa"/>
          </w:tcPr>
          <w:p w14:paraId="57E02806" w14:textId="77777777" w:rsidR="00EF5C25" w:rsidRPr="007F530F" w:rsidRDefault="00EF5C25" w:rsidP="00BE4DDF">
            <w:pPr>
              <w:pStyle w:val="TableBody"/>
            </w:pPr>
            <w:r w:rsidRPr="00D00197">
              <w:rPr>
                <w:rStyle w:val="Strong"/>
              </w:rPr>
              <w:lastRenderedPageBreak/>
              <w:t>Aged under 16 (care, supervision or authority)</w:t>
            </w:r>
            <w:r w:rsidRPr="00D00197">
              <w:rPr>
                <w:rStyle w:val="Strong"/>
              </w:rPr>
              <w:lastRenderedPageBreak/>
              <w:t>:</w:t>
            </w:r>
            <w:r w:rsidRPr="007F530F">
              <w:br/>
              <w:t>79</w:t>
            </w:r>
          </w:p>
          <w:p w14:paraId="4D6C5FEC" w14:textId="77777777" w:rsidR="00EF5C25" w:rsidRPr="007F530F" w:rsidRDefault="00EF5C25" w:rsidP="00BE4DDF">
            <w:pPr>
              <w:pStyle w:val="TableBody"/>
            </w:pPr>
            <w:r w:rsidRPr="00D00197">
              <w:rPr>
                <w:rStyle w:val="Strong"/>
              </w:rPr>
              <w:t>Aged under 16:</w:t>
            </w:r>
            <w:r w:rsidRPr="00D00197">
              <w:rPr>
                <w:rStyle w:val="Strong"/>
              </w:rPr>
              <w:br/>
            </w:r>
            <w:r w:rsidRPr="007F530F">
              <w:t>642</w:t>
            </w:r>
          </w:p>
          <w:p w14:paraId="51A8B03C" w14:textId="77777777" w:rsidR="00EF5C25" w:rsidRPr="007F530F" w:rsidRDefault="00EF5C25" w:rsidP="00BE4DDF">
            <w:pPr>
              <w:pStyle w:val="TableBody"/>
            </w:pPr>
            <w:r w:rsidRPr="00D00197">
              <w:rPr>
                <w:rStyle w:val="Strong"/>
              </w:rPr>
              <w:t xml:space="preserve">Age unclear: </w:t>
            </w:r>
            <w:r w:rsidRPr="00D00197">
              <w:rPr>
                <w:rStyle w:val="Strong"/>
              </w:rPr>
              <w:br/>
            </w:r>
            <w:r w:rsidRPr="007F530F">
              <w:t>23</w:t>
            </w:r>
          </w:p>
        </w:tc>
      </w:tr>
      <w:tr w:rsidR="00EF5C25" w:rsidRPr="007F530F" w14:paraId="2E9E22B8" w14:textId="77777777" w:rsidTr="00BE4DDF">
        <w:trPr>
          <w:trHeight w:val="60"/>
        </w:trPr>
        <w:tc>
          <w:tcPr>
            <w:tcW w:w="1587" w:type="dxa"/>
          </w:tcPr>
          <w:p w14:paraId="25C57C62" w14:textId="77777777" w:rsidR="00EF5C25" w:rsidRPr="007F530F" w:rsidRDefault="00EF5C25" w:rsidP="00BE4DDF">
            <w:pPr>
              <w:pStyle w:val="TableBody"/>
            </w:pPr>
            <w:r w:rsidRPr="007F530F">
              <w:lastRenderedPageBreak/>
              <w:t xml:space="preserve">Sexual penetration with a child aged under 16 </w:t>
            </w:r>
          </w:p>
        </w:tc>
        <w:tc>
          <w:tcPr>
            <w:tcW w:w="1418" w:type="dxa"/>
          </w:tcPr>
          <w:p w14:paraId="24417C7E" w14:textId="77777777" w:rsidR="00EF5C25" w:rsidRPr="007F530F" w:rsidRDefault="00EF5C25" w:rsidP="00BE4DDF">
            <w:pPr>
              <w:pStyle w:val="TableBody"/>
            </w:pPr>
            <w:r w:rsidRPr="007F530F">
              <w:t>Section 49B(1)</w:t>
            </w:r>
          </w:p>
        </w:tc>
        <w:tc>
          <w:tcPr>
            <w:tcW w:w="1417" w:type="dxa"/>
          </w:tcPr>
          <w:p w14:paraId="7F51ACC9" w14:textId="77777777" w:rsidR="00EF5C25" w:rsidRPr="007F530F" w:rsidRDefault="00EF5C25" w:rsidP="00BE4DDF">
            <w:pPr>
              <w:pStyle w:val="TableBody"/>
            </w:pPr>
            <w:r w:rsidRPr="00D00197">
              <w:rPr>
                <w:rStyle w:val="Strong"/>
              </w:rPr>
              <w:t>From</w:t>
            </w:r>
            <w:r w:rsidRPr="007F530F">
              <w:t xml:space="preserve"> 1 July 2017 </w:t>
            </w:r>
            <w:r w:rsidRPr="007F530F">
              <w:br/>
            </w:r>
            <w:r w:rsidRPr="00D00197">
              <w:rPr>
                <w:rStyle w:val="Strong"/>
              </w:rPr>
              <w:t>To</w:t>
            </w:r>
            <w:r w:rsidRPr="007F530F">
              <w:t xml:space="preserve"> present</w:t>
            </w:r>
          </w:p>
        </w:tc>
        <w:tc>
          <w:tcPr>
            <w:tcW w:w="2154" w:type="dxa"/>
          </w:tcPr>
          <w:p w14:paraId="7B5E9201" w14:textId="77777777" w:rsidR="00EF5C25" w:rsidRPr="007F530F" w:rsidRDefault="00EF5C25" w:rsidP="00BE4DDF">
            <w:pPr>
              <w:pStyle w:val="TableBody"/>
            </w:pPr>
            <w:r w:rsidRPr="007F530F">
              <w:t>15 years</w:t>
            </w:r>
          </w:p>
        </w:tc>
        <w:tc>
          <w:tcPr>
            <w:tcW w:w="1361" w:type="dxa"/>
          </w:tcPr>
          <w:p w14:paraId="76141B48" w14:textId="77777777" w:rsidR="00EF5C25" w:rsidRPr="007F530F" w:rsidRDefault="00EF5C25" w:rsidP="00BE4DDF">
            <w:pPr>
              <w:pStyle w:val="TableBody"/>
            </w:pPr>
            <w:r w:rsidRPr="007F530F">
              <w:t>61</w:t>
            </w:r>
          </w:p>
        </w:tc>
        <w:tc>
          <w:tcPr>
            <w:tcW w:w="1361" w:type="dxa"/>
          </w:tcPr>
          <w:p w14:paraId="7C67A126" w14:textId="77777777" w:rsidR="00EF5C25" w:rsidRPr="007F530F" w:rsidRDefault="00EF5C25" w:rsidP="00BE4DDF">
            <w:pPr>
              <w:pStyle w:val="TableBody"/>
            </w:pPr>
            <w:r w:rsidRPr="007F530F">
              <w:t>27</w:t>
            </w:r>
          </w:p>
        </w:tc>
      </w:tr>
      <w:tr w:rsidR="00EF5C25" w:rsidRPr="007F530F" w14:paraId="3020F93F" w14:textId="77777777" w:rsidTr="00BE4DDF">
        <w:trPr>
          <w:trHeight w:val="60"/>
        </w:trPr>
        <w:tc>
          <w:tcPr>
            <w:tcW w:w="9298" w:type="dxa"/>
            <w:gridSpan w:val="6"/>
          </w:tcPr>
          <w:p w14:paraId="03A6C6B0" w14:textId="77777777" w:rsidR="00EF5C25" w:rsidRPr="007976D1" w:rsidRDefault="00EF5C25" w:rsidP="00BE4DDF">
            <w:pPr>
              <w:pStyle w:val="TableBody"/>
              <w:rPr>
                <w:rStyle w:val="Strong"/>
              </w:rPr>
            </w:pPr>
            <w:r w:rsidRPr="007976D1">
              <w:rPr>
                <w:rStyle w:val="Strong"/>
              </w:rPr>
              <w:t>Sexual penetration with a child aged 16 or 17</w:t>
            </w:r>
          </w:p>
        </w:tc>
      </w:tr>
      <w:tr w:rsidR="00EF5C25" w:rsidRPr="007F530F" w14:paraId="3568607C" w14:textId="77777777" w:rsidTr="00BE4DDF">
        <w:trPr>
          <w:trHeight w:val="60"/>
        </w:trPr>
        <w:tc>
          <w:tcPr>
            <w:tcW w:w="1587" w:type="dxa"/>
          </w:tcPr>
          <w:p w14:paraId="7C06BF46" w14:textId="77777777" w:rsidR="00EF5C25" w:rsidRPr="007F530F" w:rsidRDefault="00EF5C25" w:rsidP="00BE4DDF">
            <w:pPr>
              <w:pStyle w:val="TableBody"/>
            </w:pPr>
            <w:r w:rsidRPr="007F530F">
              <w:t>Carnal knowledge of an unmarried female aged 16 or 17 (by a person aged 21 years or over)</w:t>
            </w:r>
          </w:p>
        </w:tc>
        <w:tc>
          <w:tcPr>
            <w:tcW w:w="1418" w:type="dxa"/>
          </w:tcPr>
          <w:p w14:paraId="29E4D505" w14:textId="77777777" w:rsidR="00EF5C25" w:rsidRPr="007F530F" w:rsidRDefault="00EF5C25" w:rsidP="00BE4DDF">
            <w:pPr>
              <w:pStyle w:val="TableBody"/>
            </w:pPr>
            <w:r w:rsidRPr="007F530F">
              <w:t>Section 50(1)</w:t>
            </w:r>
          </w:p>
        </w:tc>
        <w:tc>
          <w:tcPr>
            <w:tcW w:w="1417" w:type="dxa"/>
          </w:tcPr>
          <w:p w14:paraId="4ACCEC92" w14:textId="77777777" w:rsidR="00EF5C25" w:rsidRPr="007F530F" w:rsidRDefault="00EF5C25" w:rsidP="00BE4DDF">
            <w:pPr>
              <w:pStyle w:val="TableBody"/>
            </w:pPr>
            <w:r w:rsidRPr="00D00197">
              <w:rPr>
                <w:rStyle w:val="Strong"/>
              </w:rPr>
              <w:t>From</w:t>
            </w:r>
            <w:r w:rsidRPr="007F530F">
              <w:t xml:space="preserve"> 1 April 1959</w:t>
            </w:r>
            <w:r w:rsidRPr="007F530F">
              <w:br/>
            </w:r>
            <w:r w:rsidRPr="00D00197">
              <w:rPr>
                <w:rStyle w:val="Strong"/>
              </w:rPr>
              <w:t>To</w:t>
            </w:r>
            <w:r w:rsidRPr="007F530F">
              <w:t xml:space="preserve"> 28 February 1981</w:t>
            </w:r>
          </w:p>
        </w:tc>
        <w:tc>
          <w:tcPr>
            <w:tcW w:w="2154" w:type="dxa"/>
          </w:tcPr>
          <w:p w14:paraId="329C6904" w14:textId="77777777" w:rsidR="00EF5C25" w:rsidRPr="007F530F" w:rsidRDefault="00EF5C25" w:rsidP="00BE4DDF">
            <w:pPr>
              <w:pStyle w:val="TableBody"/>
            </w:pPr>
            <w:r w:rsidRPr="007F530F">
              <w:t>12 months</w:t>
            </w:r>
          </w:p>
        </w:tc>
        <w:tc>
          <w:tcPr>
            <w:tcW w:w="1361" w:type="dxa"/>
          </w:tcPr>
          <w:p w14:paraId="35759F56" w14:textId="77777777" w:rsidR="00EF5C25" w:rsidRPr="007F530F" w:rsidRDefault="00EF5C25" w:rsidP="00BE4DDF">
            <w:pPr>
              <w:pStyle w:val="TableBody"/>
            </w:pPr>
            <w:r w:rsidRPr="007F530F">
              <w:t>3</w:t>
            </w:r>
          </w:p>
        </w:tc>
        <w:tc>
          <w:tcPr>
            <w:tcW w:w="1361" w:type="dxa"/>
          </w:tcPr>
          <w:p w14:paraId="7C6E7AC2" w14:textId="77777777" w:rsidR="00EF5C25" w:rsidRPr="007F530F" w:rsidRDefault="00EF5C25" w:rsidP="00BE4DDF">
            <w:pPr>
              <w:pStyle w:val="TableBody"/>
            </w:pPr>
            <w:r w:rsidRPr="007F530F">
              <w:t>1</w:t>
            </w:r>
          </w:p>
        </w:tc>
      </w:tr>
      <w:tr w:rsidR="00EF5C25" w:rsidRPr="007F530F" w14:paraId="30753513" w14:textId="77777777" w:rsidTr="00BE4DDF">
        <w:trPr>
          <w:trHeight w:val="60"/>
        </w:trPr>
        <w:tc>
          <w:tcPr>
            <w:tcW w:w="1587" w:type="dxa"/>
          </w:tcPr>
          <w:p w14:paraId="004A4034" w14:textId="77777777" w:rsidR="00EF5C25" w:rsidRPr="007F530F" w:rsidRDefault="00EF5C25" w:rsidP="00BE4DDF">
            <w:pPr>
              <w:pStyle w:val="TableBody"/>
            </w:pPr>
            <w:r w:rsidRPr="007F530F">
              <w:t xml:space="preserve">Sexual penetration with a person aged 16 or 17 </w:t>
            </w:r>
          </w:p>
        </w:tc>
        <w:tc>
          <w:tcPr>
            <w:tcW w:w="1418" w:type="dxa"/>
          </w:tcPr>
          <w:p w14:paraId="3B8DC57C" w14:textId="77777777" w:rsidR="00EF5C25" w:rsidRPr="007F530F" w:rsidRDefault="00EF5C25" w:rsidP="00BE4DDF">
            <w:pPr>
              <w:pStyle w:val="TableBody"/>
            </w:pPr>
            <w:r w:rsidRPr="007F530F">
              <w:t>Section 49(1)</w:t>
            </w:r>
          </w:p>
        </w:tc>
        <w:tc>
          <w:tcPr>
            <w:tcW w:w="1417" w:type="dxa"/>
          </w:tcPr>
          <w:p w14:paraId="48DE0189" w14:textId="77777777" w:rsidR="00EF5C25" w:rsidRPr="007F530F" w:rsidRDefault="00EF5C25" w:rsidP="00BE4DDF">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2154" w:type="dxa"/>
          </w:tcPr>
          <w:p w14:paraId="07EDC4AE" w14:textId="77777777" w:rsidR="00EF5C25" w:rsidRPr="007F530F" w:rsidRDefault="00EF5C25" w:rsidP="00BE4DDF">
            <w:pPr>
              <w:pStyle w:val="TableBody"/>
            </w:pPr>
            <w:r w:rsidRPr="007F530F">
              <w:t>2 years</w:t>
            </w:r>
          </w:p>
        </w:tc>
        <w:tc>
          <w:tcPr>
            <w:tcW w:w="1361" w:type="dxa"/>
          </w:tcPr>
          <w:p w14:paraId="479F0DDE" w14:textId="77777777" w:rsidR="00EF5C25" w:rsidRPr="007F530F" w:rsidRDefault="00EF5C25" w:rsidP="00BE4DDF">
            <w:pPr>
              <w:pStyle w:val="TableBody"/>
            </w:pPr>
            <w:r w:rsidRPr="007F530F">
              <w:t>12</w:t>
            </w:r>
          </w:p>
        </w:tc>
        <w:tc>
          <w:tcPr>
            <w:tcW w:w="1361" w:type="dxa"/>
          </w:tcPr>
          <w:p w14:paraId="3BE3E281" w14:textId="77777777" w:rsidR="00EF5C25" w:rsidRPr="007F530F" w:rsidRDefault="00EF5C25" w:rsidP="00BE4DDF">
            <w:pPr>
              <w:pStyle w:val="TableBody"/>
            </w:pPr>
            <w:r w:rsidRPr="007F530F">
              <w:t>9</w:t>
            </w:r>
          </w:p>
        </w:tc>
      </w:tr>
      <w:tr w:rsidR="00EF5C25" w:rsidRPr="007F530F" w14:paraId="60F3B651" w14:textId="77777777" w:rsidTr="00BE4DDF">
        <w:trPr>
          <w:trHeight w:val="60"/>
        </w:trPr>
        <w:tc>
          <w:tcPr>
            <w:tcW w:w="1587" w:type="dxa"/>
          </w:tcPr>
          <w:p w14:paraId="1B81D4F3" w14:textId="77777777" w:rsidR="00EF5C25" w:rsidRPr="007F530F" w:rsidRDefault="00EF5C25" w:rsidP="00BE4DDF">
            <w:pPr>
              <w:pStyle w:val="TableBody"/>
            </w:pPr>
            <w:r w:rsidRPr="007F530F">
              <w:t>Sexual penetration with a person aged 16 or 17 under care, supervision or authority</w:t>
            </w:r>
          </w:p>
        </w:tc>
        <w:tc>
          <w:tcPr>
            <w:tcW w:w="1418" w:type="dxa"/>
          </w:tcPr>
          <w:p w14:paraId="5ED326D9" w14:textId="77777777" w:rsidR="00EF5C25" w:rsidRPr="007F530F" w:rsidRDefault="00EF5C25" w:rsidP="00BE4DDF">
            <w:pPr>
              <w:pStyle w:val="TableBody"/>
            </w:pPr>
            <w:r w:rsidRPr="007F530F">
              <w:t>Section 49(3)</w:t>
            </w:r>
          </w:p>
        </w:tc>
        <w:tc>
          <w:tcPr>
            <w:tcW w:w="1417" w:type="dxa"/>
          </w:tcPr>
          <w:p w14:paraId="658631FD" w14:textId="77777777" w:rsidR="00EF5C25" w:rsidRPr="007F530F" w:rsidRDefault="00EF5C25" w:rsidP="00BE4DDF">
            <w:pPr>
              <w:pStyle w:val="TableBody"/>
            </w:pPr>
            <w:r w:rsidRPr="00D00197">
              <w:rPr>
                <w:rStyle w:val="Strong"/>
              </w:rPr>
              <w:t>From</w:t>
            </w:r>
            <w:r w:rsidRPr="007F530F">
              <w:t xml:space="preserve"> 1 March 1981</w:t>
            </w:r>
            <w:r w:rsidRPr="007F530F">
              <w:br/>
            </w:r>
            <w:r w:rsidRPr="00D00197">
              <w:rPr>
                <w:rStyle w:val="Strong"/>
              </w:rPr>
              <w:t>To</w:t>
            </w:r>
            <w:r w:rsidRPr="007F530F">
              <w:t xml:space="preserve"> 4 August 1991</w:t>
            </w:r>
          </w:p>
        </w:tc>
        <w:tc>
          <w:tcPr>
            <w:tcW w:w="2154" w:type="dxa"/>
          </w:tcPr>
          <w:p w14:paraId="6838AAF9" w14:textId="77777777" w:rsidR="00EF5C25" w:rsidRPr="007F530F" w:rsidRDefault="00EF5C25" w:rsidP="00BE4DDF">
            <w:pPr>
              <w:pStyle w:val="TableBody"/>
            </w:pPr>
            <w:r w:rsidRPr="007F530F">
              <w:t>3 years</w:t>
            </w:r>
          </w:p>
        </w:tc>
        <w:tc>
          <w:tcPr>
            <w:tcW w:w="1361" w:type="dxa"/>
          </w:tcPr>
          <w:p w14:paraId="6103FA28" w14:textId="77777777" w:rsidR="00EF5C25" w:rsidRPr="007F530F" w:rsidRDefault="00EF5C25" w:rsidP="00BE4DDF">
            <w:pPr>
              <w:pStyle w:val="TableBody"/>
            </w:pPr>
            <w:r w:rsidRPr="007F530F">
              <w:t>10</w:t>
            </w:r>
          </w:p>
        </w:tc>
        <w:tc>
          <w:tcPr>
            <w:tcW w:w="1361" w:type="dxa"/>
          </w:tcPr>
          <w:p w14:paraId="70A0B95A" w14:textId="77777777" w:rsidR="00EF5C25" w:rsidRPr="007F530F" w:rsidRDefault="00EF5C25" w:rsidP="00BE4DDF">
            <w:pPr>
              <w:pStyle w:val="TableBody"/>
            </w:pPr>
            <w:r w:rsidRPr="007F530F">
              <w:t>1</w:t>
            </w:r>
          </w:p>
        </w:tc>
      </w:tr>
      <w:tr w:rsidR="00EF5C25" w:rsidRPr="007F530F" w14:paraId="68EE158B" w14:textId="77777777" w:rsidTr="00BE4DDF">
        <w:trPr>
          <w:trHeight w:val="60"/>
        </w:trPr>
        <w:tc>
          <w:tcPr>
            <w:tcW w:w="1587" w:type="dxa"/>
          </w:tcPr>
          <w:p w14:paraId="00A62EC0" w14:textId="77777777" w:rsidR="00EF5C25" w:rsidRPr="007F530F" w:rsidRDefault="00EF5C25" w:rsidP="00BE4DDF">
            <w:pPr>
              <w:pStyle w:val="TableBody"/>
            </w:pPr>
            <w:r w:rsidRPr="007F530F">
              <w:t>Sexual penetration with a child aged 16 or 17 under care, supervision or authority</w:t>
            </w:r>
          </w:p>
        </w:tc>
        <w:tc>
          <w:tcPr>
            <w:tcW w:w="1418" w:type="dxa"/>
          </w:tcPr>
          <w:p w14:paraId="025C2FC1" w14:textId="77777777" w:rsidR="00EF5C25" w:rsidRPr="007F530F" w:rsidRDefault="00EF5C25" w:rsidP="00BE4DDF">
            <w:pPr>
              <w:pStyle w:val="TableBody"/>
            </w:pPr>
            <w:r w:rsidRPr="007F530F">
              <w:t>Section 48(1)</w:t>
            </w:r>
          </w:p>
        </w:tc>
        <w:tc>
          <w:tcPr>
            <w:tcW w:w="1417" w:type="dxa"/>
          </w:tcPr>
          <w:p w14:paraId="25A0B4D7" w14:textId="77777777" w:rsidR="00EF5C25" w:rsidRPr="007F530F" w:rsidRDefault="00EF5C25" w:rsidP="00BE4DDF">
            <w:pPr>
              <w:pStyle w:val="TableBody"/>
            </w:pPr>
            <w:r w:rsidRPr="00D00197">
              <w:rPr>
                <w:rStyle w:val="Strong"/>
              </w:rPr>
              <w:t>From</w:t>
            </w:r>
            <w:r w:rsidRPr="007F530F">
              <w:t xml:space="preserve"> 5 August 1991</w:t>
            </w:r>
            <w:r w:rsidRPr="007F530F">
              <w:br/>
            </w:r>
            <w:r w:rsidRPr="00D00197">
              <w:rPr>
                <w:rStyle w:val="Strong"/>
              </w:rPr>
              <w:t>To</w:t>
            </w:r>
            <w:r w:rsidRPr="007F530F">
              <w:t xml:space="preserve"> 30 June 2017</w:t>
            </w:r>
          </w:p>
        </w:tc>
        <w:tc>
          <w:tcPr>
            <w:tcW w:w="2154" w:type="dxa"/>
          </w:tcPr>
          <w:p w14:paraId="21466426" w14:textId="77777777" w:rsidR="00EF5C25" w:rsidRPr="007F530F" w:rsidRDefault="00EF5C25" w:rsidP="00BE4DDF">
            <w:pPr>
              <w:pStyle w:val="TableBody"/>
            </w:pPr>
            <w:r w:rsidRPr="00D00197">
              <w:rPr>
                <w:rStyle w:val="Strong"/>
              </w:rPr>
              <w:t>Before 1 September 1997</w:t>
            </w:r>
            <w:r w:rsidRPr="00D00197">
              <w:rPr>
                <w:rStyle w:val="Strong"/>
              </w:rPr>
              <w:br/>
            </w:r>
            <w:r w:rsidRPr="007F530F">
              <w:t>3 years</w:t>
            </w:r>
            <w:r w:rsidRPr="007F530F">
              <w:br/>
            </w:r>
            <w:r w:rsidRPr="00D00197">
              <w:rPr>
                <w:rStyle w:val="Strong"/>
              </w:rPr>
              <w:t>From 1 September 1997</w:t>
            </w:r>
            <w:r w:rsidRPr="00D00197">
              <w:rPr>
                <w:rStyle w:val="Strong"/>
              </w:rPr>
              <w:br/>
            </w:r>
            <w:r w:rsidRPr="007F530F">
              <w:t>10 years</w:t>
            </w:r>
          </w:p>
        </w:tc>
        <w:tc>
          <w:tcPr>
            <w:tcW w:w="1361" w:type="dxa"/>
          </w:tcPr>
          <w:p w14:paraId="247CCE4D" w14:textId="77777777" w:rsidR="00EF5C25" w:rsidRPr="007F530F" w:rsidRDefault="00EF5C25" w:rsidP="00BE4DDF">
            <w:pPr>
              <w:pStyle w:val="TableBody"/>
            </w:pPr>
            <w:r w:rsidRPr="00D00197">
              <w:rPr>
                <w:rStyle w:val="Strong"/>
              </w:rPr>
              <w:t xml:space="preserve">Higher courts: </w:t>
            </w:r>
            <w:r w:rsidRPr="007F530F">
              <w:t>118</w:t>
            </w:r>
          </w:p>
          <w:p w14:paraId="63031C8D" w14:textId="77777777" w:rsidR="00EF5C25" w:rsidRPr="007F530F" w:rsidRDefault="00EF5C25" w:rsidP="00BE4DDF">
            <w:pPr>
              <w:pStyle w:val="TableBody"/>
            </w:pPr>
            <w:r w:rsidRPr="00D00197">
              <w:rPr>
                <w:rStyle w:val="Strong"/>
              </w:rPr>
              <w:t>Magistrates’ Court:</w:t>
            </w:r>
            <w:r w:rsidRPr="007F530F">
              <w:br/>
              <w:t>2</w:t>
            </w:r>
          </w:p>
        </w:tc>
        <w:tc>
          <w:tcPr>
            <w:tcW w:w="1361" w:type="dxa"/>
          </w:tcPr>
          <w:p w14:paraId="096B34BD" w14:textId="77777777" w:rsidR="00EF5C25" w:rsidRPr="007F530F" w:rsidRDefault="00EF5C25" w:rsidP="00BE4DDF">
            <w:pPr>
              <w:pStyle w:val="TableBody"/>
            </w:pPr>
            <w:r w:rsidRPr="00D00197">
              <w:rPr>
                <w:rStyle w:val="Strong"/>
              </w:rPr>
              <w:t xml:space="preserve">Higher courts: </w:t>
            </w:r>
            <w:r w:rsidRPr="007F530F">
              <w:t>42</w:t>
            </w:r>
          </w:p>
          <w:p w14:paraId="70D2FAD8" w14:textId="77777777" w:rsidR="00EF5C25" w:rsidRPr="007F530F" w:rsidRDefault="00EF5C25" w:rsidP="00BE4DDF">
            <w:pPr>
              <w:pStyle w:val="TableBody"/>
            </w:pPr>
            <w:r w:rsidRPr="00D00197">
              <w:rPr>
                <w:rStyle w:val="Strong"/>
              </w:rPr>
              <w:t>Magistrates’ Court:</w:t>
            </w:r>
            <w:r w:rsidRPr="007F530F">
              <w:br/>
              <w:t>2</w:t>
            </w:r>
          </w:p>
        </w:tc>
      </w:tr>
      <w:tr w:rsidR="00EF5C25" w:rsidRPr="007F530F" w14:paraId="2C85A919" w14:textId="77777777" w:rsidTr="00BE4DDF">
        <w:trPr>
          <w:trHeight w:val="60"/>
        </w:trPr>
        <w:tc>
          <w:tcPr>
            <w:tcW w:w="1587" w:type="dxa"/>
          </w:tcPr>
          <w:p w14:paraId="10BD770D" w14:textId="77777777" w:rsidR="00EF5C25" w:rsidRPr="007F530F" w:rsidRDefault="00EF5C25" w:rsidP="00BE4DDF">
            <w:pPr>
              <w:pStyle w:val="TableBody"/>
            </w:pPr>
            <w:r w:rsidRPr="007F530F">
              <w:t xml:space="preserve">Sexual penetration with a child aged 16 or 17 under </w:t>
            </w:r>
            <w:r w:rsidRPr="007F530F">
              <w:lastRenderedPageBreak/>
              <w:t>care, supervision or authority</w:t>
            </w:r>
          </w:p>
        </w:tc>
        <w:tc>
          <w:tcPr>
            <w:tcW w:w="1418" w:type="dxa"/>
          </w:tcPr>
          <w:p w14:paraId="4F8CE35F" w14:textId="77777777" w:rsidR="00EF5C25" w:rsidRPr="007F530F" w:rsidRDefault="00EF5C25" w:rsidP="00BE4DDF">
            <w:pPr>
              <w:pStyle w:val="TableBody"/>
            </w:pPr>
            <w:r w:rsidRPr="007F530F">
              <w:lastRenderedPageBreak/>
              <w:t>Section 49C(1)</w:t>
            </w:r>
          </w:p>
        </w:tc>
        <w:tc>
          <w:tcPr>
            <w:tcW w:w="1417" w:type="dxa"/>
          </w:tcPr>
          <w:p w14:paraId="6AFB8F72" w14:textId="77777777" w:rsidR="00EF5C25" w:rsidRPr="007F530F" w:rsidRDefault="00EF5C25" w:rsidP="00BE4DDF">
            <w:pPr>
              <w:pStyle w:val="TableBody"/>
            </w:pPr>
            <w:r w:rsidRPr="00D00197">
              <w:rPr>
                <w:rStyle w:val="Strong"/>
              </w:rPr>
              <w:t>From</w:t>
            </w:r>
            <w:r w:rsidRPr="007F530F">
              <w:t xml:space="preserve"> 1 July 2017</w:t>
            </w:r>
            <w:r w:rsidRPr="007F530F">
              <w:br/>
            </w:r>
            <w:r w:rsidRPr="00D00197">
              <w:rPr>
                <w:rStyle w:val="Strong"/>
              </w:rPr>
              <w:t>To</w:t>
            </w:r>
            <w:r w:rsidRPr="007F530F">
              <w:t xml:space="preserve"> present</w:t>
            </w:r>
          </w:p>
        </w:tc>
        <w:tc>
          <w:tcPr>
            <w:tcW w:w="2154" w:type="dxa"/>
          </w:tcPr>
          <w:p w14:paraId="4FBB03BF" w14:textId="77777777" w:rsidR="00EF5C25" w:rsidRPr="007F530F" w:rsidRDefault="00EF5C25" w:rsidP="00BE4DDF">
            <w:pPr>
              <w:pStyle w:val="TableBody"/>
            </w:pPr>
            <w:r w:rsidRPr="007F530F">
              <w:t>10 years</w:t>
            </w:r>
          </w:p>
        </w:tc>
        <w:tc>
          <w:tcPr>
            <w:tcW w:w="1361" w:type="dxa"/>
          </w:tcPr>
          <w:p w14:paraId="548B8FA0" w14:textId="77777777" w:rsidR="00EF5C25" w:rsidRPr="007F530F" w:rsidRDefault="00EF5C25" w:rsidP="00BE4DDF">
            <w:pPr>
              <w:pStyle w:val="TableBody"/>
            </w:pPr>
            <w:r w:rsidRPr="00D00197">
              <w:rPr>
                <w:rStyle w:val="Strong"/>
              </w:rPr>
              <w:t>Higher courts:</w:t>
            </w:r>
            <w:r w:rsidRPr="007F530F">
              <w:t xml:space="preserve"> 3</w:t>
            </w:r>
          </w:p>
          <w:p w14:paraId="0911D3C8" w14:textId="77777777" w:rsidR="00EF5C25" w:rsidRPr="007F530F" w:rsidRDefault="00EF5C25" w:rsidP="00BE4DDF">
            <w:pPr>
              <w:pStyle w:val="TableBody"/>
            </w:pPr>
            <w:r w:rsidRPr="00D00197">
              <w:rPr>
                <w:rStyle w:val="Strong"/>
              </w:rPr>
              <w:t>Magistrates’ Court:</w:t>
            </w:r>
            <w:r w:rsidRPr="007F530F">
              <w:br/>
              <w:t>1</w:t>
            </w:r>
          </w:p>
        </w:tc>
        <w:tc>
          <w:tcPr>
            <w:tcW w:w="1361" w:type="dxa"/>
          </w:tcPr>
          <w:p w14:paraId="0BF64D4B" w14:textId="77777777" w:rsidR="00EF5C25" w:rsidRPr="007F530F" w:rsidRDefault="00EF5C25" w:rsidP="00BE4DDF">
            <w:pPr>
              <w:pStyle w:val="TableBody"/>
            </w:pPr>
            <w:r w:rsidRPr="00D00197">
              <w:rPr>
                <w:rStyle w:val="Strong"/>
              </w:rPr>
              <w:t xml:space="preserve">Higher courts: </w:t>
            </w:r>
            <w:r w:rsidRPr="007F530F">
              <w:t>1</w:t>
            </w:r>
          </w:p>
          <w:p w14:paraId="02FFDB1D" w14:textId="77777777" w:rsidR="00EF5C25" w:rsidRPr="007F530F" w:rsidRDefault="00EF5C25" w:rsidP="00BE4DDF">
            <w:pPr>
              <w:pStyle w:val="TableBody"/>
            </w:pPr>
            <w:r w:rsidRPr="00D00197">
              <w:rPr>
                <w:rStyle w:val="Strong"/>
              </w:rPr>
              <w:t>Magistrates’ Court:</w:t>
            </w:r>
            <w:r w:rsidRPr="007F530F">
              <w:br/>
              <w:t>1</w:t>
            </w:r>
          </w:p>
        </w:tc>
      </w:tr>
      <w:tr w:rsidR="009B5C96" w:rsidRPr="007F530F" w14:paraId="66A448F1" w14:textId="77777777" w:rsidTr="00BE4DDF">
        <w:trPr>
          <w:trHeight w:val="60"/>
        </w:trPr>
        <w:tc>
          <w:tcPr>
            <w:tcW w:w="1587" w:type="dxa"/>
          </w:tcPr>
          <w:p w14:paraId="04D93D0B" w14:textId="7E8EC2CE" w:rsidR="009B5C96" w:rsidRPr="007F530F" w:rsidRDefault="009B5C96" w:rsidP="00BE4DDF">
            <w:pPr>
              <w:pStyle w:val="TableBody"/>
            </w:pPr>
            <w:r w:rsidRPr="00D00197">
              <w:rPr>
                <w:rStyle w:val="Strong"/>
              </w:rPr>
              <w:t>Total (higher courts)</w:t>
            </w:r>
          </w:p>
        </w:tc>
        <w:tc>
          <w:tcPr>
            <w:tcW w:w="1418" w:type="dxa"/>
          </w:tcPr>
          <w:p w14:paraId="1D079428" w14:textId="257E4901" w:rsidR="009B5C96" w:rsidRPr="007F530F" w:rsidRDefault="00C97FC9" w:rsidP="00BE4DDF">
            <w:pPr>
              <w:pStyle w:val="TableBody"/>
            </w:pPr>
            <w:r>
              <w:t>–</w:t>
            </w:r>
          </w:p>
        </w:tc>
        <w:tc>
          <w:tcPr>
            <w:tcW w:w="1417" w:type="dxa"/>
          </w:tcPr>
          <w:p w14:paraId="46CB8F1C" w14:textId="78C36AF9" w:rsidR="009B5C96" w:rsidRPr="00D00197" w:rsidRDefault="00C97FC9" w:rsidP="00BE4DDF">
            <w:pPr>
              <w:pStyle w:val="TableBody"/>
              <w:rPr>
                <w:rStyle w:val="Strong"/>
              </w:rPr>
            </w:pPr>
            <w:r>
              <w:rPr>
                <w:rStyle w:val="Strong"/>
              </w:rPr>
              <w:t>–</w:t>
            </w:r>
          </w:p>
        </w:tc>
        <w:tc>
          <w:tcPr>
            <w:tcW w:w="2154" w:type="dxa"/>
          </w:tcPr>
          <w:p w14:paraId="0A3DF114" w14:textId="7BEBDAD3" w:rsidR="009B5C96" w:rsidRPr="007F530F" w:rsidRDefault="00C97FC9" w:rsidP="00BE4DDF">
            <w:pPr>
              <w:pStyle w:val="TableBody"/>
            </w:pPr>
            <w:r>
              <w:t>–</w:t>
            </w:r>
          </w:p>
        </w:tc>
        <w:tc>
          <w:tcPr>
            <w:tcW w:w="1361" w:type="dxa"/>
          </w:tcPr>
          <w:p w14:paraId="05563FD2" w14:textId="05DB3A4A" w:rsidR="009B5C96" w:rsidRPr="00D00197" w:rsidRDefault="009B5C96" w:rsidP="00BE4DDF">
            <w:pPr>
              <w:pStyle w:val="TableBody"/>
              <w:rPr>
                <w:rStyle w:val="Strong"/>
              </w:rPr>
            </w:pPr>
            <w:r w:rsidRPr="00D00197">
              <w:rPr>
                <w:rStyle w:val="Strong"/>
              </w:rPr>
              <w:t>2,438</w:t>
            </w:r>
          </w:p>
        </w:tc>
        <w:tc>
          <w:tcPr>
            <w:tcW w:w="1361" w:type="dxa"/>
          </w:tcPr>
          <w:p w14:paraId="58DB0D91" w14:textId="4657EC05" w:rsidR="009B5C96" w:rsidRPr="00D00197" w:rsidRDefault="009B5C96" w:rsidP="00BE4DDF">
            <w:pPr>
              <w:pStyle w:val="TableBody"/>
              <w:rPr>
                <w:rStyle w:val="Strong"/>
              </w:rPr>
            </w:pPr>
            <w:r w:rsidRPr="00D00197">
              <w:rPr>
                <w:rStyle w:val="Strong"/>
              </w:rPr>
              <w:t>1,080</w:t>
            </w:r>
            <w:r w:rsidRPr="00696ADB">
              <w:rPr>
                <w:rStyle w:val="Strong"/>
                <w:vertAlign w:val="superscript"/>
              </w:rPr>
              <w:t>e</w:t>
            </w:r>
          </w:p>
        </w:tc>
      </w:tr>
      <w:tr w:rsidR="009B5C96" w:rsidRPr="007F530F" w14:paraId="63433B12" w14:textId="77777777" w:rsidTr="00BE4DDF">
        <w:trPr>
          <w:trHeight w:val="60"/>
        </w:trPr>
        <w:tc>
          <w:tcPr>
            <w:tcW w:w="1587" w:type="dxa"/>
          </w:tcPr>
          <w:p w14:paraId="0E2452D3" w14:textId="5AFED51A" w:rsidR="009B5C96" w:rsidRPr="00D00197" w:rsidRDefault="009B5C96" w:rsidP="00BE4DDF">
            <w:pPr>
              <w:pStyle w:val="TableBody"/>
              <w:rPr>
                <w:rStyle w:val="Strong"/>
              </w:rPr>
            </w:pPr>
            <w:r w:rsidRPr="00D00197">
              <w:rPr>
                <w:rStyle w:val="Strong"/>
              </w:rPr>
              <w:t>Total (Magistrates’ Court)</w:t>
            </w:r>
          </w:p>
        </w:tc>
        <w:tc>
          <w:tcPr>
            <w:tcW w:w="1418" w:type="dxa"/>
          </w:tcPr>
          <w:p w14:paraId="228A2220" w14:textId="2236C0F9" w:rsidR="009B5C96" w:rsidRPr="007F530F" w:rsidRDefault="00C97FC9" w:rsidP="00BE4DDF">
            <w:pPr>
              <w:pStyle w:val="TableBody"/>
            </w:pPr>
            <w:r>
              <w:t>–</w:t>
            </w:r>
          </w:p>
        </w:tc>
        <w:tc>
          <w:tcPr>
            <w:tcW w:w="1417" w:type="dxa"/>
          </w:tcPr>
          <w:p w14:paraId="284BE551" w14:textId="2995CEB9" w:rsidR="009B5C96" w:rsidRPr="00D00197" w:rsidRDefault="00C97FC9" w:rsidP="00BE4DDF">
            <w:pPr>
              <w:pStyle w:val="TableBody"/>
              <w:rPr>
                <w:rStyle w:val="Strong"/>
              </w:rPr>
            </w:pPr>
            <w:r>
              <w:rPr>
                <w:rStyle w:val="Strong"/>
              </w:rPr>
              <w:t>–</w:t>
            </w:r>
          </w:p>
        </w:tc>
        <w:tc>
          <w:tcPr>
            <w:tcW w:w="2154" w:type="dxa"/>
          </w:tcPr>
          <w:p w14:paraId="02A9170B" w14:textId="732866DF" w:rsidR="009B5C96" w:rsidRPr="007F530F" w:rsidRDefault="00C97FC9" w:rsidP="00BE4DDF">
            <w:pPr>
              <w:pStyle w:val="TableBody"/>
            </w:pPr>
            <w:r>
              <w:t>–</w:t>
            </w:r>
          </w:p>
        </w:tc>
        <w:tc>
          <w:tcPr>
            <w:tcW w:w="1361" w:type="dxa"/>
          </w:tcPr>
          <w:p w14:paraId="2BE5A078" w14:textId="36064C11" w:rsidR="009B5C96" w:rsidRPr="00D00197" w:rsidRDefault="009B5C96" w:rsidP="00BE4DDF">
            <w:pPr>
              <w:pStyle w:val="TableBody"/>
              <w:rPr>
                <w:rStyle w:val="Strong"/>
              </w:rPr>
            </w:pPr>
            <w:r w:rsidRPr="00D00197">
              <w:rPr>
                <w:rStyle w:val="Strong"/>
              </w:rPr>
              <w:t>16</w:t>
            </w:r>
          </w:p>
        </w:tc>
        <w:tc>
          <w:tcPr>
            <w:tcW w:w="1361" w:type="dxa"/>
          </w:tcPr>
          <w:p w14:paraId="2349DA2A" w14:textId="2AA0F042" w:rsidR="009B5C96" w:rsidRPr="00D00197" w:rsidRDefault="009B5C96" w:rsidP="00BE4DDF">
            <w:pPr>
              <w:pStyle w:val="TableBody"/>
              <w:rPr>
                <w:rStyle w:val="Strong"/>
              </w:rPr>
            </w:pPr>
            <w:r w:rsidRPr="00D00197">
              <w:rPr>
                <w:rStyle w:val="Strong"/>
              </w:rPr>
              <w:t>7</w:t>
            </w:r>
          </w:p>
        </w:tc>
      </w:tr>
    </w:tbl>
    <w:p w14:paraId="40A34F34" w14:textId="77777777" w:rsidR="00EF5C25" w:rsidRPr="007F530F" w:rsidRDefault="00EF5C25" w:rsidP="00C10631">
      <w:pPr>
        <w:pStyle w:val="Footnote"/>
      </w:pPr>
      <w:r w:rsidRPr="007F530F">
        <w:t>a.</w:t>
      </w:r>
      <w:r w:rsidRPr="007F530F">
        <w:tab/>
        <w:t xml:space="preserve">This offence includes 13 charges recorded as carnal knowledge of a girl aged under 10 against section 46 of the </w:t>
      </w:r>
      <w:r w:rsidRPr="00D62402">
        <w:rPr>
          <w:rStyle w:val="Emphasis"/>
        </w:rPr>
        <w:t>Crimes Act 1957</w:t>
      </w:r>
      <w:r w:rsidRPr="007F530F">
        <w:t xml:space="preserve"> (Vic) and 9 charges of carnal knowledge of a girl aged under 10 against section 42 of the </w:t>
      </w:r>
      <w:r w:rsidRPr="00D62402">
        <w:rPr>
          <w:rStyle w:val="Emphasis"/>
        </w:rPr>
        <w:t xml:space="preserve">Crimes Act 1928 </w:t>
      </w:r>
      <w:r w:rsidRPr="007F530F">
        <w:t>(Vic). It is assumed that these were simply data entry errors, given both the unlikelihood of a pre-1958 offence being prosecuted in 2010 or later and the available sentencing remarks indicating that the offence did indeed occur after 1958.</w:t>
      </w:r>
    </w:p>
    <w:p w14:paraId="5422648B" w14:textId="77777777" w:rsidR="00EF5C25" w:rsidRPr="007F530F" w:rsidRDefault="00EF5C25" w:rsidP="00C10631">
      <w:pPr>
        <w:pStyle w:val="Footnote"/>
      </w:pPr>
      <w:r w:rsidRPr="007F530F">
        <w:t>b.</w:t>
      </w:r>
      <w:r w:rsidRPr="007F530F">
        <w:tab/>
        <w:t xml:space="preserve">This offence includes 20 charges recorded as buggery with a person aged under 14 against section 68(1) of the </w:t>
      </w:r>
      <w:r w:rsidRPr="00D62402">
        <w:rPr>
          <w:rStyle w:val="Emphasis"/>
        </w:rPr>
        <w:t>Crimes Act 1957</w:t>
      </w:r>
      <w:r w:rsidRPr="007F530F">
        <w:t xml:space="preserve"> (Vic) and 3 charges of buggery with a person aged under 14 against section 65(1) of the </w:t>
      </w:r>
      <w:r w:rsidRPr="00D62402">
        <w:rPr>
          <w:rStyle w:val="Emphasis"/>
        </w:rPr>
        <w:t xml:space="preserve">Crimes Act 1928 </w:t>
      </w:r>
      <w:r w:rsidRPr="007F530F">
        <w:t>(Vic). As above, it is assumed that these were simply data entry errors.</w:t>
      </w:r>
    </w:p>
    <w:p w14:paraId="4677FC7E" w14:textId="77777777" w:rsidR="00EF5C25" w:rsidRPr="007F530F" w:rsidRDefault="00EF5C25" w:rsidP="00C10631">
      <w:pPr>
        <w:pStyle w:val="Footnote"/>
      </w:pPr>
      <w:r w:rsidRPr="007F530F">
        <w:t>c.</w:t>
      </w:r>
      <w:r w:rsidRPr="007F530F">
        <w:tab/>
        <w:t>This statutory provision is repeated in Table 8 under both sexual penetration with a child aged under 10/12/14 and sexual penetration with a child aged 10/12 to 15. As a result, the number of charges and cases for which the age of the victim was unclear are referenced twice in this table.</w:t>
      </w:r>
    </w:p>
    <w:p w14:paraId="041E3901" w14:textId="77777777" w:rsidR="00EF5C25" w:rsidRPr="007F530F" w:rsidRDefault="00EF5C25" w:rsidP="00C10631">
      <w:pPr>
        <w:pStyle w:val="Footnote"/>
      </w:pPr>
      <w:r w:rsidRPr="007F530F">
        <w:t>d.</w:t>
      </w:r>
      <w:r w:rsidRPr="007F530F">
        <w:tab/>
        <w:t xml:space="preserve">This includes 17 charges recorded as carnal knowledge of a girl aged 10 to 16 against section 48(1) of the </w:t>
      </w:r>
      <w:r w:rsidRPr="00D62402">
        <w:rPr>
          <w:rStyle w:val="Emphasis"/>
        </w:rPr>
        <w:t>Crimes Act 1957</w:t>
      </w:r>
      <w:r w:rsidRPr="007F530F">
        <w:t xml:space="preserve"> (Vic) and 4 charges of carnal knowledge of a girl aged 10 to 16 against section 44(1) of the </w:t>
      </w:r>
      <w:r w:rsidRPr="00D62402">
        <w:rPr>
          <w:rStyle w:val="Emphasis"/>
        </w:rPr>
        <w:t xml:space="preserve">Crimes Act 1928 </w:t>
      </w:r>
      <w:r w:rsidRPr="007F530F">
        <w:t>(Vic). As above, it is assumed that these were simply data entry errors.</w:t>
      </w:r>
    </w:p>
    <w:p w14:paraId="167D9CEE" w14:textId="77777777" w:rsidR="00EF5C25" w:rsidRPr="007F530F" w:rsidRDefault="00EF5C25" w:rsidP="00C10631">
      <w:pPr>
        <w:pStyle w:val="Footnote"/>
      </w:pPr>
      <w:r w:rsidRPr="007F530F">
        <w:t>e.</w:t>
      </w:r>
      <w:r w:rsidRPr="007F530F">
        <w:tab/>
        <w:t>The total number of cases for both courts in Table 8 is lower than the sum of values in the rows above because different child sexual penetration offences under various statutory references were sentenced together in some cases.</w:t>
      </w:r>
    </w:p>
    <w:p w14:paraId="6BFA0776" w14:textId="77777777" w:rsidR="00EF5C25" w:rsidRPr="007F530F" w:rsidRDefault="00EF5C25" w:rsidP="006633AA">
      <w:pPr>
        <w:pStyle w:val="Heading2"/>
      </w:pPr>
      <w:r w:rsidRPr="007F530F">
        <w:t>Sentence types imposed for child sexual penetration offences</w:t>
      </w:r>
    </w:p>
    <w:p w14:paraId="71FD3220" w14:textId="77777777" w:rsidR="00EF5C25" w:rsidRPr="007F530F" w:rsidRDefault="00EF5C25" w:rsidP="00D83AF6">
      <w:pPr>
        <w:pStyle w:val="Numbered"/>
      </w:pPr>
      <w:r w:rsidRPr="007F530F">
        <w:t xml:space="preserve">Table 9 shows the proportion of each category of child sexual penetration offence (by age group) that received an immediate custodial sentence, a community order, a wholly suspended sentence or another outcome. Over the reference period, there was a consistently high rate of immediate custodial sentences imposed for sexual penetration with a child aged under 10/12/14. The only other apparent trend in the sentence types imposed for these offences was the significant increase in the rate of </w:t>
      </w:r>
      <w:r w:rsidRPr="007F530F">
        <w:lastRenderedPageBreak/>
        <w:t>immediate custodial sentences in 2019 for sexual penetration with a child aged 10/12 to 15 (from 65% to 81%), which is similar to the rate of immediate custodial sentences imposed in 2019 for sexual penetration with a child aged under 10/12. At least two factors could be responsible for this increase. First, parliament effectively increased the maximum penalty from 10 to 15 years’ imprisonment in July 2017,</w:t>
      </w:r>
      <w:r w:rsidRPr="007F530F">
        <w:rPr>
          <w:rStyle w:val="Superscript"/>
        </w:rPr>
        <w:footnoteReference w:id="195"/>
      </w:r>
      <w:r w:rsidRPr="007F530F">
        <w:t xml:space="preserve"> flagging for courts that, in turn, sentencing practices should reflect that increase.</w:t>
      </w:r>
      <w:r w:rsidRPr="007F530F">
        <w:rPr>
          <w:rStyle w:val="Superscript"/>
        </w:rPr>
        <w:footnoteReference w:id="196"/>
      </w:r>
      <w:r w:rsidRPr="007F530F">
        <w:t xml:space="preserve"> And second, perhaps less evidently, is the introduction of the standard sentence. In </w:t>
      </w:r>
      <w:r w:rsidRPr="00D62402">
        <w:rPr>
          <w:rStyle w:val="Emphasis"/>
        </w:rPr>
        <w:t>DPP v</w:t>
      </w:r>
      <w:r w:rsidRPr="007F530F">
        <w:t xml:space="preserve"> </w:t>
      </w:r>
      <w:r w:rsidRPr="00D62402">
        <w:rPr>
          <w:rStyle w:val="Emphasis"/>
        </w:rPr>
        <w:t>Yuen</w:t>
      </w:r>
      <w:r w:rsidRPr="007F530F">
        <w:t>, for example, the judge acknowledged that courts could no longer refer to past sentencing practices in cases in which community orders were imposed in circumstances where this offence involved a relatively small (4 or 5 year) age difference between the offender and the victim. Instead, courts had to refer to more recent cases under the standard sentence scheme, which seemed to indicate a higher imprisonment rate.</w:t>
      </w:r>
      <w:r w:rsidRPr="007F530F">
        <w:rPr>
          <w:rStyle w:val="Superscript"/>
        </w:rPr>
        <w:footnoteReference w:id="197"/>
      </w:r>
    </w:p>
    <w:p w14:paraId="46FF9604" w14:textId="77777777" w:rsidR="00234433" w:rsidRDefault="00234433" w:rsidP="00D00197">
      <w:pPr>
        <w:pStyle w:val="Caption"/>
        <w:sectPr w:rsidR="00234433" w:rsidSect="00D6349A">
          <w:pgSz w:w="11906" w:h="16838"/>
          <w:pgMar w:top="1440" w:right="1440" w:bottom="1440" w:left="1440" w:header="720" w:footer="720" w:gutter="0"/>
          <w:cols w:space="720"/>
          <w:noEndnote/>
          <w:docGrid w:linePitch="326"/>
        </w:sectPr>
      </w:pPr>
    </w:p>
    <w:p w14:paraId="1978E3FF" w14:textId="0B1886FF" w:rsidR="00EF5C25" w:rsidRPr="007F530F" w:rsidRDefault="00EF5C25" w:rsidP="00D00197">
      <w:pPr>
        <w:pStyle w:val="Caption"/>
      </w:pPr>
      <w:r w:rsidRPr="00D00197">
        <w:lastRenderedPageBreak/>
        <w:t>Table 9:</w:t>
      </w:r>
      <w:r w:rsidRPr="007F530F">
        <w:t xml:space="preserve"> Number and proportion of each sentence type imposed for child sexual penetration offences sentenced in Victoria, 2010 to 2019 (2,405 charges)</w:t>
      </w:r>
      <w:r w:rsidRPr="007F530F">
        <w:rPr>
          <w:rStyle w:val="Superscript"/>
        </w:rPr>
        <w:footnoteReference w:id="198"/>
      </w:r>
    </w:p>
    <w:tbl>
      <w:tblPr>
        <w:tblStyle w:val="Table"/>
        <w:tblW w:w="5000" w:type="pct"/>
        <w:tblLook w:val="0020" w:firstRow="1" w:lastRow="0" w:firstColumn="0" w:lastColumn="0" w:noHBand="0" w:noVBand="0"/>
      </w:tblPr>
      <w:tblGrid>
        <w:gridCol w:w="1885"/>
        <w:gridCol w:w="1065"/>
        <w:gridCol w:w="1065"/>
        <w:gridCol w:w="1065"/>
        <w:gridCol w:w="1066"/>
        <w:gridCol w:w="1066"/>
        <w:gridCol w:w="1066"/>
        <w:gridCol w:w="1066"/>
        <w:gridCol w:w="1066"/>
        <w:gridCol w:w="1066"/>
        <w:gridCol w:w="1066"/>
        <w:gridCol w:w="1406"/>
      </w:tblGrid>
      <w:tr w:rsidR="00F1341B" w:rsidRPr="007F530F" w14:paraId="06D7D83E" w14:textId="77777777" w:rsidTr="00AC29E2">
        <w:trPr>
          <w:trHeight w:val="60"/>
          <w:tblHeader/>
        </w:trPr>
        <w:tc>
          <w:tcPr>
            <w:tcW w:w="676" w:type="pct"/>
          </w:tcPr>
          <w:p w14:paraId="2B038239" w14:textId="5A7B8329" w:rsidR="000A6A74" w:rsidRPr="00234433" w:rsidRDefault="000A6A74" w:rsidP="00AC29E2">
            <w:pPr>
              <w:pStyle w:val="TableHeading"/>
              <w:rPr>
                <w:szCs w:val="20"/>
              </w:rPr>
            </w:pPr>
            <w:r w:rsidRPr="00234433">
              <w:rPr>
                <w:szCs w:val="20"/>
              </w:rPr>
              <w:t>Outcome and court level</w:t>
            </w:r>
          </w:p>
        </w:tc>
        <w:tc>
          <w:tcPr>
            <w:tcW w:w="382" w:type="pct"/>
          </w:tcPr>
          <w:p w14:paraId="40A78260" w14:textId="77777777" w:rsidR="000A6A74" w:rsidRPr="00234433" w:rsidRDefault="000A6A74" w:rsidP="00AC29E2">
            <w:pPr>
              <w:pStyle w:val="TableHeading"/>
              <w:rPr>
                <w:szCs w:val="20"/>
              </w:rPr>
            </w:pPr>
            <w:r w:rsidRPr="00234433">
              <w:rPr>
                <w:szCs w:val="20"/>
              </w:rPr>
              <w:t>2010</w:t>
            </w:r>
          </w:p>
        </w:tc>
        <w:tc>
          <w:tcPr>
            <w:tcW w:w="382" w:type="pct"/>
          </w:tcPr>
          <w:p w14:paraId="75416328" w14:textId="77777777" w:rsidR="000A6A74" w:rsidRPr="00234433" w:rsidRDefault="000A6A74" w:rsidP="00AC29E2">
            <w:pPr>
              <w:pStyle w:val="TableHeading"/>
              <w:rPr>
                <w:szCs w:val="20"/>
              </w:rPr>
            </w:pPr>
            <w:r w:rsidRPr="00234433">
              <w:rPr>
                <w:szCs w:val="20"/>
              </w:rPr>
              <w:t>2011</w:t>
            </w:r>
          </w:p>
        </w:tc>
        <w:tc>
          <w:tcPr>
            <w:tcW w:w="382" w:type="pct"/>
          </w:tcPr>
          <w:p w14:paraId="6885DDE7" w14:textId="77777777" w:rsidR="000A6A74" w:rsidRPr="00234433" w:rsidRDefault="000A6A74" w:rsidP="00AC29E2">
            <w:pPr>
              <w:pStyle w:val="TableHeading"/>
              <w:rPr>
                <w:szCs w:val="20"/>
              </w:rPr>
            </w:pPr>
            <w:r w:rsidRPr="00234433">
              <w:rPr>
                <w:szCs w:val="20"/>
              </w:rPr>
              <w:t>2012</w:t>
            </w:r>
          </w:p>
        </w:tc>
        <w:tc>
          <w:tcPr>
            <w:tcW w:w="382" w:type="pct"/>
          </w:tcPr>
          <w:p w14:paraId="729EE82B" w14:textId="77777777" w:rsidR="000A6A74" w:rsidRPr="00234433" w:rsidRDefault="000A6A74" w:rsidP="00AC29E2">
            <w:pPr>
              <w:pStyle w:val="TableHeading"/>
              <w:rPr>
                <w:szCs w:val="20"/>
              </w:rPr>
            </w:pPr>
            <w:r w:rsidRPr="00234433">
              <w:rPr>
                <w:szCs w:val="20"/>
              </w:rPr>
              <w:t>2013</w:t>
            </w:r>
          </w:p>
        </w:tc>
        <w:tc>
          <w:tcPr>
            <w:tcW w:w="382" w:type="pct"/>
          </w:tcPr>
          <w:p w14:paraId="553DA01F" w14:textId="77777777" w:rsidR="000A6A74" w:rsidRPr="00234433" w:rsidRDefault="000A6A74" w:rsidP="00AC29E2">
            <w:pPr>
              <w:pStyle w:val="TableHeading"/>
              <w:rPr>
                <w:szCs w:val="20"/>
              </w:rPr>
            </w:pPr>
            <w:r w:rsidRPr="00234433">
              <w:rPr>
                <w:szCs w:val="20"/>
              </w:rPr>
              <w:t>2014</w:t>
            </w:r>
          </w:p>
        </w:tc>
        <w:tc>
          <w:tcPr>
            <w:tcW w:w="382" w:type="pct"/>
          </w:tcPr>
          <w:p w14:paraId="3834B1AF" w14:textId="77777777" w:rsidR="000A6A74" w:rsidRPr="00234433" w:rsidRDefault="000A6A74" w:rsidP="00AC29E2">
            <w:pPr>
              <w:pStyle w:val="TableHeading"/>
              <w:rPr>
                <w:szCs w:val="20"/>
              </w:rPr>
            </w:pPr>
            <w:r w:rsidRPr="00234433">
              <w:rPr>
                <w:szCs w:val="20"/>
              </w:rPr>
              <w:t>2015</w:t>
            </w:r>
          </w:p>
        </w:tc>
        <w:tc>
          <w:tcPr>
            <w:tcW w:w="382" w:type="pct"/>
          </w:tcPr>
          <w:p w14:paraId="58915A0B" w14:textId="77777777" w:rsidR="000A6A74" w:rsidRPr="00234433" w:rsidRDefault="000A6A74" w:rsidP="00AC29E2">
            <w:pPr>
              <w:pStyle w:val="TableHeading"/>
              <w:rPr>
                <w:szCs w:val="20"/>
              </w:rPr>
            </w:pPr>
            <w:r w:rsidRPr="00234433">
              <w:rPr>
                <w:szCs w:val="20"/>
              </w:rPr>
              <w:t>2016</w:t>
            </w:r>
          </w:p>
        </w:tc>
        <w:tc>
          <w:tcPr>
            <w:tcW w:w="382" w:type="pct"/>
          </w:tcPr>
          <w:p w14:paraId="5B383F2C" w14:textId="77777777" w:rsidR="000A6A74" w:rsidRPr="00234433" w:rsidRDefault="000A6A74" w:rsidP="00AC29E2">
            <w:pPr>
              <w:pStyle w:val="TableHeading"/>
              <w:rPr>
                <w:szCs w:val="20"/>
              </w:rPr>
            </w:pPr>
            <w:r w:rsidRPr="00234433">
              <w:rPr>
                <w:szCs w:val="20"/>
              </w:rPr>
              <w:t>2017</w:t>
            </w:r>
          </w:p>
        </w:tc>
        <w:tc>
          <w:tcPr>
            <w:tcW w:w="382" w:type="pct"/>
          </w:tcPr>
          <w:p w14:paraId="17DC5966" w14:textId="77777777" w:rsidR="000A6A74" w:rsidRPr="00234433" w:rsidRDefault="000A6A74" w:rsidP="00AC29E2">
            <w:pPr>
              <w:pStyle w:val="TableHeading"/>
              <w:rPr>
                <w:szCs w:val="20"/>
              </w:rPr>
            </w:pPr>
            <w:r w:rsidRPr="00234433">
              <w:rPr>
                <w:szCs w:val="20"/>
              </w:rPr>
              <w:t>2018</w:t>
            </w:r>
          </w:p>
        </w:tc>
        <w:tc>
          <w:tcPr>
            <w:tcW w:w="382" w:type="pct"/>
          </w:tcPr>
          <w:p w14:paraId="7B5E4C6F" w14:textId="77777777" w:rsidR="000A6A74" w:rsidRPr="00234433" w:rsidRDefault="000A6A74" w:rsidP="00AC29E2">
            <w:pPr>
              <w:pStyle w:val="TableHeading"/>
              <w:rPr>
                <w:szCs w:val="20"/>
              </w:rPr>
            </w:pPr>
            <w:r w:rsidRPr="00234433">
              <w:rPr>
                <w:szCs w:val="20"/>
              </w:rPr>
              <w:t>2019</w:t>
            </w:r>
          </w:p>
        </w:tc>
        <w:tc>
          <w:tcPr>
            <w:tcW w:w="504" w:type="pct"/>
          </w:tcPr>
          <w:p w14:paraId="6BA728DF" w14:textId="77777777" w:rsidR="000A6A74" w:rsidRPr="00497214" w:rsidRDefault="000A6A74" w:rsidP="00AC29E2">
            <w:pPr>
              <w:pStyle w:val="TableHeading"/>
            </w:pPr>
            <w:r w:rsidRPr="00497214">
              <w:t>Total</w:t>
            </w:r>
          </w:p>
        </w:tc>
      </w:tr>
      <w:tr w:rsidR="00497214" w:rsidRPr="007F530F" w14:paraId="5FA526DE" w14:textId="77777777" w:rsidTr="00AC29E2">
        <w:trPr>
          <w:trHeight w:val="60"/>
        </w:trPr>
        <w:tc>
          <w:tcPr>
            <w:tcW w:w="5000" w:type="pct"/>
            <w:gridSpan w:val="12"/>
          </w:tcPr>
          <w:p w14:paraId="4A920A62" w14:textId="03CAF7AE" w:rsidR="00497214" w:rsidRPr="00497214" w:rsidRDefault="00497214" w:rsidP="00AC29E2">
            <w:pPr>
              <w:pStyle w:val="TableBody"/>
              <w:rPr>
                <w:rStyle w:val="Strong"/>
              </w:rPr>
            </w:pPr>
            <w:r w:rsidRPr="00497214">
              <w:rPr>
                <w:rStyle w:val="Strong"/>
              </w:rPr>
              <w:t>Child aged under 10/12/14</w:t>
            </w:r>
            <w:r w:rsidRPr="00696ADB">
              <w:rPr>
                <w:rStyle w:val="Strong"/>
                <w:vertAlign w:val="superscript"/>
              </w:rPr>
              <w:t>a</w:t>
            </w:r>
          </w:p>
        </w:tc>
      </w:tr>
      <w:tr w:rsidR="00F1341B" w:rsidRPr="007F530F" w14:paraId="19935C93" w14:textId="77777777" w:rsidTr="00AC29E2">
        <w:trPr>
          <w:trHeight w:val="60"/>
        </w:trPr>
        <w:tc>
          <w:tcPr>
            <w:tcW w:w="676" w:type="pct"/>
          </w:tcPr>
          <w:p w14:paraId="471943F9" w14:textId="54849981" w:rsidR="000A6A74" w:rsidRPr="00234433" w:rsidRDefault="000A6A74" w:rsidP="00AC29E2">
            <w:pPr>
              <w:pStyle w:val="TableBody"/>
              <w:rPr>
                <w:szCs w:val="20"/>
              </w:rPr>
            </w:pPr>
            <w:r w:rsidRPr="00234433">
              <w:rPr>
                <w:szCs w:val="20"/>
              </w:rPr>
              <w:t>Immediate custodial sentence, higher courts</w:t>
            </w:r>
          </w:p>
        </w:tc>
        <w:tc>
          <w:tcPr>
            <w:tcW w:w="382" w:type="pct"/>
          </w:tcPr>
          <w:p w14:paraId="2F5183FF" w14:textId="77777777" w:rsidR="000A6A74" w:rsidRPr="00234433" w:rsidRDefault="000A6A74" w:rsidP="00AC29E2">
            <w:pPr>
              <w:pStyle w:val="TableBody"/>
              <w:rPr>
                <w:szCs w:val="20"/>
              </w:rPr>
            </w:pPr>
            <w:r w:rsidRPr="00234433">
              <w:rPr>
                <w:szCs w:val="20"/>
              </w:rPr>
              <w:t>44</w:t>
            </w:r>
            <w:r w:rsidRPr="00234433">
              <w:rPr>
                <w:szCs w:val="20"/>
              </w:rPr>
              <w:br/>
              <w:t>(94%)</w:t>
            </w:r>
          </w:p>
        </w:tc>
        <w:tc>
          <w:tcPr>
            <w:tcW w:w="382" w:type="pct"/>
          </w:tcPr>
          <w:p w14:paraId="65418DA0" w14:textId="77777777" w:rsidR="000A6A74" w:rsidRPr="00234433" w:rsidRDefault="000A6A74" w:rsidP="00AC29E2">
            <w:pPr>
              <w:pStyle w:val="TableBody"/>
              <w:rPr>
                <w:szCs w:val="20"/>
              </w:rPr>
            </w:pPr>
            <w:r w:rsidRPr="00234433">
              <w:rPr>
                <w:szCs w:val="20"/>
              </w:rPr>
              <w:t>54</w:t>
            </w:r>
            <w:r w:rsidRPr="00234433">
              <w:rPr>
                <w:szCs w:val="20"/>
              </w:rPr>
              <w:br/>
              <w:t>(83%)</w:t>
            </w:r>
          </w:p>
        </w:tc>
        <w:tc>
          <w:tcPr>
            <w:tcW w:w="382" w:type="pct"/>
          </w:tcPr>
          <w:p w14:paraId="1EE3119D" w14:textId="77777777" w:rsidR="000A6A74" w:rsidRPr="00234433" w:rsidRDefault="000A6A74" w:rsidP="00AC29E2">
            <w:pPr>
              <w:pStyle w:val="TableBody"/>
              <w:rPr>
                <w:szCs w:val="20"/>
              </w:rPr>
            </w:pPr>
            <w:r w:rsidRPr="00234433">
              <w:rPr>
                <w:szCs w:val="20"/>
              </w:rPr>
              <w:t>58</w:t>
            </w:r>
            <w:r w:rsidRPr="00234433">
              <w:rPr>
                <w:szCs w:val="20"/>
              </w:rPr>
              <w:br/>
              <w:t>(94%)</w:t>
            </w:r>
          </w:p>
        </w:tc>
        <w:tc>
          <w:tcPr>
            <w:tcW w:w="382" w:type="pct"/>
          </w:tcPr>
          <w:p w14:paraId="08276963" w14:textId="77777777" w:rsidR="000A6A74" w:rsidRPr="00234433" w:rsidRDefault="000A6A74" w:rsidP="00AC29E2">
            <w:pPr>
              <w:pStyle w:val="TableBody"/>
              <w:rPr>
                <w:szCs w:val="20"/>
              </w:rPr>
            </w:pPr>
            <w:r w:rsidRPr="00234433">
              <w:rPr>
                <w:szCs w:val="20"/>
              </w:rPr>
              <w:t>46</w:t>
            </w:r>
            <w:r w:rsidRPr="00234433">
              <w:rPr>
                <w:szCs w:val="20"/>
              </w:rPr>
              <w:br/>
              <w:t>(87%)</w:t>
            </w:r>
          </w:p>
        </w:tc>
        <w:tc>
          <w:tcPr>
            <w:tcW w:w="382" w:type="pct"/>
          </w:tcPr>
          <w:p w14:paraId="6B02BB07" w14:textId="77777777" w:rsidR="000A6A74" w:rsidRPr="00234433" w:rsidRDefault="000A6A74" w:rsidP="00AC29E2">
            <w:pPr>
              <w:pStyle w:val="TableBody"/>
              <w:rPr>
                <w:szCs w:val="20"/>
              </w:rPr>
            </w:pPr>
            <w:r w:rsidRPr="00234433">
              <w:rPr>
                <w:szCs w:val="20"/>
              </w:rPr>
              <w:t>52</w:t>
            </w:r>
            <w:r w:rsidRPr="00234433">
              <w:rPr>
                <w:szCs w:val="20"/>
              </w:rPr>
              <w:br/>
              <w:t>(88%)</w:t>
            </w:r>
          </w:p>
        </w:tc>
        <w:tc>
          <w:tcPr>
            <w:tcW w:w="382" w:type="pct"/>
          </w:tcPr>
          <w:p w14:paraId="62CDE0FE" w14:textId="77777777" w:rsidR="000A6A74" w:rsidRPr="00234433" w:rsidRDefault="000A6A74" w:rsidP="00AC29E2">
            <w:pPr>
              <w:pStyle w:val="TableBody"/>
              <w:rPr>
                <w:szCs w:val="20"/>
              </w:rPr>
            </w:pPr>
            <w:r w:rsidRPr="00234433">
              <w:rPr>
                <w:szCs w:val="20"/>
              </w:rPr>
              <w:t>43</w:t>
            </w:r>
            <w:r w:rsidRPr="00234433">
              <w:rPr>
                <w:szCs w:val="20"/>
              </w:rPr>
              <w:br/>
              <w:t>(90%)</w:t>
            </w:r>
          </w:p>
        </w:tc>
        <w:tc>
          <w:tcPr>
            <w:tcW w:w="382" w:type="pct"/>
          </w:tcPr>
          <w:p w14:paraId="0F3D6E62" w14:textId="77777777" w:rsidR="000A6A74" w:rsidRPr="00234433" w:rsidRDefault="000A6A74" w:rsidP="00AC29E2">
            <w:pPr>
              <w:pStyle w:val="TableBody"/>
              <w:rPr>
                <w:szCs w:val="20"/>
              </w:rPr>
            </w:pPr>
            <w:r w:rsidRPr="00234433">
              <w:rPr>
                <w:szCs w:val="20"/>
              </w:rPr>
              <w:t>45</w:t>
            </w:r>
            <w:r w:rsidRPr="00234433">
              <w:rPr>
                <w:szCs w:val="20"/>
              </w:rPr>
              <w:br/>
              <w:t>(92%)</w:t>
            </w:r>
          </w:p>
        </w:tc>
        <w:tc>
          <w:tcPr>
            <w:tcW w:w="382" w:type="pct"/>
          </w:tcPr>
          <w:p w14:paraId="42C04D9D" w14:textId="77777777" w:rsidR="000A6A74" w:rsidRPr="00234433" w:rsidRDefault="000A6A74" w:rsidP="00AC29E2">
            <w:pPr>
              <w:pStyle w:val="TableBody"/>
              <w:rPr>
                <w:szCs w:val="20"/>
              </w:rPr>
            </w:pPr>
            <w:r w:rsidRPr="00234433">
              <w:rPr>
                <w:szCs w:val="20"/>
              </w:rPr>
              <w:t>24</w:t>
            </w:r>
            <w:r w:rsidRPr="00234433">
              <w:rPr>
                <w:szCs w:val="20"/>
              </w:rPr>
              <w:br/>
              <w:t>(89%)</w:t>
            </w:r>
          </w:p>
        </w:tc>
        <w:tc>
          <w:tcPr>
            <w:tcW w:w="382" w:type="pct"/>
          </w:tcPr>
          <w:p w14:paraId="666E59B9" w14:textId="77777777" w:rsidR="000A6A74" w:rsidRPr="00234433" w:rsidRDefault="000A6A74" w:rsidP="00AC29E2">
            <w:pPr>
              <w:pStyle w:val="TableBody"/>
              <w:rPr>
                <w:szCs w:val="20"/>
              </w:rPr>
            </w:pPr>
            <w:r w:rsidRPr="00234433">
              <w:rPr>
                <w:szCs w:val="20"/>
              </w:rPr>
              <w:t>34</w:t>
            </w:r>
            <w:r w:rsidRPr="00234433">
              <w:rPr>
                <w:szCs w:val="20"/>
              </w:rPr>
              <w:br/>
              <w:t>(92%)</w:t>
            </w:r>
          </w:p>
        </w:tc>
        <w:tc>
          <w:tcPr>
            <w:tcW w:w="382" w:type="pct"/>
          </w:tcPr>
          <w:p w14:paraId="3274F84F" w14:textId="77777777" w:rsidR="000A6A74" w:rsidRPr="00234433" w:rsidRDefault="000A6A74" w:rsidP="00AC29E2">
            <w:pPr>
              <w:pStyle w:val="TableBody"/>
              <w:rPr>
                <w:szCs w:val="20"/>
              </w:rPr>
            </w:pPr>
            <w:r w:rsidRPr="00234433">
              <w:rPr>
                <w:szCs w:val="20"/>
              </w:rPr>
              <w:t>31</w:t>
            </w:r>
            <w:r w:rsidRPr="00234433">
              <w:rPr>
                <w:szCs w:val="20"/>
              </w:rPr>
              <w:br/>
              <w:t>(84%)</w:t>
            </w:r>
          </w:p>
        </w:tc>
        <w:tc>
          <w:tcPr>
            <w:tcW w:w="504" w:type="pct"/>
          </w:tcPr>
          <w:p w14:paraId="4C66A9F8" w14:textId="77777777" w:rsidR="000A6A74" w:rsidRPr="00234433" w:rsidRDefault="000A6A74" w:rsidP="00AC29E2">
            <w:pPr>
              <w:pStyle w:val="TableBody"/>
              <w:rPr>
                <w:rStyle w:val="Strong"/>
                <w:szCs w:val="20"/>
              </w:rPr>
            </w:pPr>
            <w:r w:rsidRPr="00234433">
              <w:rPr>
                <w:rStyle w:val="Strong"/>
                <w:szCs w:val="20"/>
              </w:rPr>
              <w:t>431</w:t>
            </w:r>
            <w:r w:rsidRPr="00234433">
              <w:rPr>
                <w:rStyle w:val="Strong"/>
                <w:szCs w:val="20"/>
              </w:rPr>
              <w:br/>
              <w:t>(89%)</w:t>
            </w:r>
          </w:p>
        </w:tc>
      </w:tr>
      <w:tr w:rsidR="00F1341B" w:rsidRPr="007F530F" w14:paraId="206A51AC" w14:textId="77777777" w:rsidTr="00AC29E2">
        <w:trPr>
          <w:trHeight w:val="60"/>
        </w:trPr>
        <w:tc>
          <w:tcPr>
            <w:tcW w:w="676" w:type="pct"/>
          </w:tcPr>
          <w:p w14:paraId="20F92392" w14:textId="649D533D" w:rsidR="000A6A74" w:rsidRPr="00234433" w:rsidRDefault="000A6A74" w:rsidP="00AC29E2">
            <w:pPr>
              <w:pStyle w:val="TableBody"/>
              <w:rPr>
                <w:szCs w:val="20"/>
              </w:rPr>
            </w:pPr>
            <w:r w:rsidRPr="00234433">
              <w:rPr>
                <w:szCs w:val="20"/>
              </w:rPr>
              <w:t>Community order, higher courts</w:t>
            </w:r>
          </w:p>
        </w:tc>
        <w:tc>
          <w:tcPr>
            <w:tcW w:w="382" w:type="pct"/>
          </w:tcPr>
          <w:p w14:paraId="10D64ED1" w14:textId="77777777" w:rsidR="000A6A74" w:rsidRPr="00234433" w:rsidRDefault="000A6A74" w:rsidP="00AC29E2">
            <w:pPr>
              <w:pStyle w:val="TableBody"/>
              <w:rPr>
                <w:szCs w:val="20"/>
              </w:rPr>
            </w:pPr>
            <w:r w:rsidRPr="00234433">
              <w:rPr>
                <w:szCs w:val="20"/>
              </w:rPr>
              <w:t>–</w:t>
            </w:r>
          </w:p>
        </w:tc>
        <w:tc>
          <w:tcPr>
            <w:tcW w:w="382" w:type="pct"/>
          </w:tcPr>
          <w:p w14:paraId="089A52F0" w14:textId="77777777" w:rsidR="000A6A74" w:rsidRPr="00234433" w:rsidRDefault="000A6A74" w:rsidP="00AC29E2">
            <w:pPr>
              <w:pStyle w:val="TableBody"/>
              <w:rPr>
                <w:szCs w:val="20"/>
              </w:rPr>
            </w:pPr>
            <w:r w:rsidRPr="00234433">
              <w:rPr>
                <w:szCs w:val="20"/>
              </w:rPr>
              <w:t>–</w:t>
            </w:r>
          </w:p>
        </w:tc>
        <w:tc>
          <w:tcPr>
            <w:tcW w:w="382" w:type="pct"/>
          </w:tcPr>
          <w:p w14:paraId="236C7EB5" w14:textId="77777777" w:rsidR="000A6A74" w:rsidRPr="00234433" w:rsidRDefault="000A6A74" w:rsidP="00AC29E2">
            <w:pPr>
              <w:pStyle w:val="TableBody"/>
              <w:rPr>
                <w:szCs w:val="20"/>
              </w:rPr>
            </w:pPr>
            <w:r w:rsidRPr="00234433">
              <w:rPr>
                <w:szCs w:val="20"/>
              </w:rPr>
              <w:t>–</w:t>
            </w:r>
          </w:p>
        </w:tc>
        <w:tc>
          <w:tcPr>
            <w:tcW w:w="382" w:type="pct"/>
          </w:tcPr>
          <w:p w14:paraId="14459E1A" w14:textId="77777777" w:rsidR="000A6A74" w:rsidRPr="00234433" w:rsidRDefault="000A6A74" w:rsidP="00AC29E2">
            <w:pPr>
              <w:pStyle w:val="TableBody"/>
              <w:rPr>
                <w:szCs w:val="20"/>
              </w:rPr>
            </w:pPr>
            <w:r w:rsidRPr="00234433">
              <w:rPr>
                <w:szCs w:val="20"/>
              </w:rPr>
              <w:t>2</w:t>
            </w:r>
            <w:r w:rsidRPr="00234433">
              <w:rPr>
                <w:szCs w:val="20"/>
              </w:rPr>
              <w:br/>
              <w:t>(4%)</w:t>
            </w:r>
          </w:p>
        </w:tc>
        <w:tc>
          <w:tcPr>
            <w:tcW w:w="382" w:type="pct"/>
          </w:tcPr>
          <w:p w14:paraId="4DCF15B3" w14:textId="77777777" w:rsidR="000A6A74" w:rsidRPr="00234433" w:rsidRDefault="000A6A74" w:rsidP="00AC29E2">
            <w:pPr>
              <w:pStyle w:val="TableBody"/>
              <w:rPr>
                <w:szCs w:val="20"/>
              </w:rPr>
            </w:pPr>
            <w:r w:rsidRPr="00234433">
              <w:rPr>
                <w:szCs w:val="20"/>
              </w:rPr>
              <w:t>3</w:t>
            </w:r>
            <w:r w:rsidRPr="00234433">
              <w:rPr>
                <w:szCs w:val="20"/>
              </w:rPr>
              <w:br/>
              <w:t>(5%)</w:t>
            </w:r>
          </w:p>
        </w:tc>
        <w:tc>
          <w:tcPr>
            <w:tcW w:w="382" w:type="pct"/>
          </w:tcPr>
          <w:p w14:paraId="1C804E18" w14:textId="77777777" w:rsidR="000A6A74" w:rsidRPr="00234433" w:rsidRDefault="000A6A74" w:rsidP="00AC29E2">
            <w:pPr>
              <w:pStyle w:val="TableBody"/>
              <w:rPr>
                <w:szCs w:val="20"/>
              </w:rPr>
            </w:pPr>
            <w:r w:rsidRPr="00234433">
              <w:rPr>
                <w:szCs w:val="20"/>
              </w:rPr>
              <w:t>2</w:t>
            </w:r>
            <w:r w:rsidRPr="00234433">
              <w:rPr>
                <w:szCs w:val="20"/>
              </w:rPr>
              <w:br/>
              <w:t>(4%)</w:t>
            </w:r>
          </w:p>
        </w:tc>
        <w:tc>
          <w:tcPr>
            <w:tcW w:w="382" w:type="pct"/>
          </w:tcPr>
          <w:p w14:paraId="0140AEF0" w14:textId="77777777" w:rsidR="000A6A74" w:rsidRPr="00234433" w:rsidRDefault="000A6A74" w:rsidP="00AC29E2">
            <w:pPr>
              <w:pStyle w:val="TableBody"/>
              <w:rPr>
                <w:szCs w:val="20"/>
              </w:rPr>
            </w:pPr>
            <w:r w:rsidRPr="00234433">
              <w:rPr>
                <w:szCs w:val="20"/>
              </w:rPr>
              <w:t>1</w:t>
            </w:r>
            <w:r w:rsidRPr="00234433">
              <w:rPr>
                <w:szCs w:val="20"/>
              </w:rPr>
              <w:br/>
              <w:t>(2%)</w:t>
            </w:r>
          </w:p>
        </w:tc>
        <w:tc>
          <w:tcPr>
            <w:tcW w:w="382" w:type="pct"/>
          </w:tcPr>
          <w:p w14:paraId="2983D3DA" w14:textId="77777777" w:rsidR="000A6A74" w:rsidRPr="00234433" w:rsidRDefault="000A6A74" w:rsidP="00AC29E2">
            <w:pPr>
              <w:pStyle w:val="TableBody"/>
              <w:rPr>
                <w:szCs w:val="20"/>
              </w:rPr>
            </w:pPr>
            <w:r w:rsidRPr="00234433">
              <w:rPr>
                <w:szCs w:val="20"/>
              </w:rPr>
              <w:t>1</w:t>
            </w:r>
            <w:r w:rsidRPr="00234433">
              <w:rPr>
                <w:szCs w:val="20"/>
              </w:rPr>
              <w:br/>
              <w:t>(4%)</w:t>
            </w:r>
          </w:p>
        </w:tc>
        <w:tc>
          <w:tcPr>
            <w:tcW w:w="382" w:type="pct"/>
          </w:tcPr>
          <w:p w14:paraId="4163218C" w14:textId="77777777" w:rsidR="000A6A74" w:rsidRPr="00234433" w:rsidRDefault="000A6A74" w:rsidP="00AC29E2">
            <w:pPr>
              <w:pStyle w:val="TableBody"/>
              <w:rPr>
                <w:szCs w:val="20"/>
              </w:rPr>
            </w:pPr>
            <w:r w:rsidRPr="00234433">
              <w:rPr>
                <w:szCs w:val="20"/>
              </w:rPr>
              <w:t>1</w:t>
            </w:r>
            <w:r w:rsidRPr="00234433">
              <w:rPr>
                <w:szCs w:val="20"/>
              </w:rPr>
              <w:br/>
              <w:t>(3%)</w:t>
            </w:r>
          </w:p>
        </w:tc>
        <w:tc>
          <w:tcPr>
            <w:tcW w:w="382" w:type="pct"/>
          </w:tcPr>
          <w:p w14:paraId="130AC48D" w14:textId="77777777" w:rsidR="000A6A74" w:rsidRPr="00234433" w:rsidRDefault="000A6A74" w:rsidP="00AC29E2">
            <w:pPr>
              <w:pStyle w:val="TableBody"/>
              <w:rPr>
                <w:szCs w:val="20"/>
              </w:rPr>
            </w:pPr>
            <w:r w:rsidRPr="00234433">
              <w:rPr>
                <w:szCs w:val="20"/>
              </w:rPr>
              <w:t>2</w:t>
            </w:r>
            <w:r w:rsidRPr="00234433">
              <w:rPr>
                <w:szCs w:val="20"/>
              </w:rPr>
              <w:br/>
              <w:t>(5%)</w:t>
            </w:r>
          </w:p>
        </w:tc>
        <w:tc>
          <w:tcPr>
            <w:tcW w:w="504" w:type="pct"/>
          </w:tcPr>
          <w:p w14:paraId="1F23185C" w14:textId="77777777" w:rsidR="000A6A74" w:rsidRPr="00234433" w:rsidRDefault="000A6A74" w:rsidP="00AC29E2">
            <w:pPr>
              <w:pStyle w:val="TableBody"/>
              <w:rPr>
                <w:rStyle w:val="Strong"/>
                <w:szCs w:val="20"/>
              </w:rPr>
            </w:pPr>
            <w:r w:rsidRPr="00234433">
              <w:rPr>
                <w:rStyle w:val="Strong"/>
                <w:szCs w:val="20"/>
              </w:rPr>
              <w:t>12</w:t>
            </w:r>
            <w:r w:rsidRPr="00234433">
              <w:rPr>
                <w:rStyle w:val="Strong"/>
                <w:szCs w:val="20"/>
              </w:rPr>
              <w:br/>
              <w:t>(2%)</w:t>
            </w:r>
          </w:p>
        </w:tc>
      </w:tr>
      <w:tr w:rsidR="00F1341B" w:rsidRPr="007F530F" w14:paraId="31F5427E" w14:textId="77777777" w:rsidTr="00AC29E2">
        <w:trPr>
          <w:trHeight w:val="60"/>
        </w:trPr>
        <w:tc>
          <w:tcPr>
            <w:tcW w:w="676" w:type="pct"/>
          </w:tcPr>
          <w:p w14:paraId="117EB97A" w14:textId="2E419BD3" w:rsidR="000A6A74" w:rsidRPr="00234433" w:rsidRDefault="000A6A74" w:rsidP="00AC29E2">
            <w:pPr>
              <w:pStyle w:val="TableBody"/>
              <w:rPr>
                <w:szCs w:val="20"/>
              </w:rPr>
            </w:pPr>
            <w:r w:rsidRPr="00234433">
              <w:rPr>
                <w:szCs w:val="20"/>
              </w:rPr>
              <w:t>Wholly suspended sentence, higher courts</w:t>
            </w:r>
          </w:p>
        </w:tc>
        <w:tc>
          <w:tcPr>
            <w:tcW w:w="382" w:type="pct"/>
          </w:tcPr>
          <w:p w14:paraId="459E41F4" w14:textId="77777777" w:rsidR="000A6A74" w:rsidRPr="00234433" w:rsidRDefault="000A6A74" w:rsidP="00AC29E2">
            <w:pPr>
              <w:pStyle w:val="TableBody"/>
              <w:rPr>
                <w:szCs w:val="20"/>
              </w:rPr>
            </w:pPr>
            <w:r w:rsidRPr="00234433">
              <w:rPr>
                <w:szCs w:val="20"/>
              </w:rPr>
              <w:t>1</w:t>
            </w:r>
            <w:r w:rsidRPr="00234433">
              <w:rPr>
                <w:szCs w:val="20"/>
              </w:rPr>
              <w:br/>
              <w:t>(2%)</w:t>
            </w:r>
          </w:p>
        </w:tc>
        <w:tc>
          <w:tcPr>
            <w:tcW w:w="382" w:type="pct"/>
          </w:tcPr>
          <w:p w14:paraId="6355162A" w14:textId="77777777" w:rsidR="000A6A74" w:rsidRPr="00234433" w:rsidRDefault="000A6A74" w:rsidP="00AC29E2">
            <w:pPr>
              <w:pStyle w:val="TableBody"/>
              <w:rPr>
                <w:szCs w:val="20"/>
              </w:rPr>
            </w:pPr>
            <w:r w:rsidRPr="00234433">
              <w:rPr>
                <w:szCs w:val="20"/>
              </w:rPr>
              <w:t>11</w:t>
            </w:r>
            <w:r w:rsidRPr="00234433">
              <w:rPr>
                <w:szCs w:val="20"/>
              </w:rPr>
              <w:br/>
              <w:t>(17%)</w:t>
            </w:r>
          </w:p>
        </w:tc>
        <w:tc>
          <w:tcPr>
            <w:tcW w:w="382" w:type="pct"/>
          </w:tcPr>
          <w:p w14:paraId="52403202" w14:textId="77777777" w:rsidR="000A6A74" w:rsidRPr="00234433" w:rsidRDefault="000A6A74" w:rsidP="00AC29E2">
            <w:pPr>
              <w:pStyle w:val="TableBody"/>
              <w:rPr>
                <w:szCs w:val="20"/>
              </w:rPr>
            </w:pPr>
            <w:r w:rsidRPr="00234433">
              <w:rPr>
                <w:szCs w:val="20"/>
              </w:rPr>
              <w:t>4</w:t>
            </w:r>
            <w:r w:rsidRPr="00234433">
              <w:rPr>
                <w:szCs w:val="20"/>
              </w:rPr>
              <w:br/>
              <w:t>(6%)</w:t>
            </w:r>
          </w:p>
        </w:tc>
        <w:tc>
          <w:tcPr>
            <w:tcW w:w="382" w:type="pct"/>
          </w:tcPr>
          <w:p w14:paraId="03CB4E06" w14:textId="77777777" w:rsidR="000A6A74" w:rsidRPr="00234433" w:rsidRDefault="000A6A74" w:rsidP="00AC29E2">
            <w:pPr>
              <w:pStyle w:val="TableBody"/>
              <w:rPr>
                <w:szCs w:val="20"/>
              </w:rPr>
            </w:pPr>
            <w:r w:rsidRPr="00234433">
              <w:rPr>
                <w:szCs w:val="20"/>
              </w:rPr>
              <w:t>5</w:t>
            </w:r>
            <w:r w:rsidRPr="00234433">
              <w:rPr>
                <w:szCs w:val="20"/>
              </w:rPr>
              <w:br/>
              <w:t>(9%)</w:t>
            </w:r>
          </w:p>
        </w:tc>
        <w:tc>
          <w:tcPr>
            <w:tcW w:w="382" w:type="pct"/>
          </w:tcPr>
          <w:p w14:paraId="297CE0BF" w14:textId="77777777" w:rsidR="000A6A74" w:rsidRPr="00234433" w:rsidRDefault="000A6A74" w:rsidP="00AC29E2">
            <w:pPr>
              <w:pStyle w:val="TableBody"/>
              <w:rPr>
                <w:szCs w:val="20"/>
              </w:rPr>
            </w:pPr>
            <w:r w:rsidRPr="00234433">
              <w:rPr>
                <w:szCs w:val="20"/>
              </w:rPr>
              <w:t>3</w:t>
            </w:r>
            <w:r w:rsidRPr="00234433">
              <w:rPr>
                <w:szCs w:val="20"/>
              </w:rPr>
              <w:br/>
              <w:t>(5%)</w:t>
            </w:r>
          </w:p>
        </w:tc>
        <w:tc>
          <w:tcPr>
            <w:tcW w:w="382" w:type="pct"/>
          </w:tcPr>
          <w:p w14:paraId="36C6CB71" w14:textId="77777777" w:rsidR="000A6A74" w:rsidRPr="00234433" w:rsidRDefault="000A6A74" w:rsidP="00AC29E2">
            <w:pPr>
              <w:pStyle w:val="TableBody"/>
              <w:rPr>
                <w:szCs w:val="20"/>
              </w:rPr>
            </w:pPr>
            <w:r w:rsidRPr="00234433">
              <w:rPr>
                <w:szCs w:val="20"/>
              </w:rPr>
              <w:t>2</w:t>
            </w:r>
            <w:r w:rsidRPr="00234433">
              <w:rPr>
                <w:szCs w:val="20"/>
              </w:rPr>
              <w:br/>
              <w:t>(4%)</w:t>
            </w:r>
          </w:p>
        </w:tc>
        <w:tc>
          <w:tcPr>
            <w:tcW w:w="382" w:type="pct"/>
          </w:tcPr>
          <w:p w14:paraId="03776F8B" w14:textId="77777777" w:rsidR="000A6A74" w:rsidRPr="00234433" w:rsidRDefault="000A6A74" w:rsidP="00AC29E2">
            <w:pPr>
              <w:pStyle w:val="TableBody"/>
              <w:rPr>
                <w:szCs w:val="20"/>
              </w:rPr>
            </w:pPr>
            <w:r w:rsidRPr="00234433">
              <w:rPr>
                <w:szCs w:val="20"/>
              </w:rPr>
              <w:t>2</w:t>
            </w:r>
            <w:r w:rsidRPr="00234433">
              <w:rPr>
                <w:szCs w:val="20"/>
              </w:rPr>
              <w:br/>
              <w:t>(4%)</w:t>
            </w:r>
          </w:p>
        </w:tc>
        <w:tc>
          <w:tcPr>
            <w:tcW w:w="382" w:type="pct"/>
          </w:tcPr>
          <w:p w14:paraId="17FED189" w14:textId="77777777" w:rsidR="000A6A74" w:rsidRPr="00234433" w:rsidRDefault="000A6A74" w:rsidP="00AC29E2">
            <w:pPr>
              <w:pStyle w:val="TableBody"/>
              <w:rPr>
                <w:szCs w:val="20"/>
              </w:rPr>
            </w:pPr>
            <w:r w:rsidRPr="00234433">
              <w:rPr>
                <w:szCs w:val="20"/>
              </w:rPr>
              <w:t>1</w:t>
            </w:r>
            <w:r w:rsidRPr="00234433">
              <w:rPr>
                <w:szCs w:val="20"/>
              </w:rPr>
              <w:br/>
              <w:t>(4%)</w:t>
            </w:r>
          </w:p>
        </w:tc>
        <w:tc>
          <w:tcPr>
            <w:tcW w:w="382" w:type="pct"/>
          </w:tcPr>
          <w:p w14:paraId="25B9246D" w14:textId="77777777" w:rsidR="000A6A74" w:rsidRPr="00234433" w:rsidRDefault="000A6A74" w:rsidP="00AC29E2">
            <w:pPr>
              <w:pStyle w:val="TableBody"/>
              <w:rPr>
                <w:szCs w:val="20"/>
              </w:rPr>
            </w:pPr>
            <w:r w:rsidRPr="00234433">
              <w:rPr>
                <w:szCs w:val="20"/>
              </w:rPr>
              <w:t>1</w:t>
            </w:r>
            <w:r w:rsidRPr="00234433">
              <w:rPr>
                <w:szCs w:val="20"/>
              </w:rPr>
              <w:br/>
              <w:t>(3%)</w:t>
            </w:r>
          </w:p>
        </w:tc>
        <w:tc>
          <w:tcPr>
            <w:tcW w:w="382" w:type="pct"/>
          </w:tcPr>
          <w:p w14:paraId="4AB73127" w14:textId="77777777" w:rsidR="000A6A74" w:rsidRPr="00234433" w:rsidRDefault="000A6A74" w:rsidP="00AC29E2">
            <w:pPr>
              <w:pStyle w:val="TableBody"/>
              <w:rPr>
                <w:szCs w:val="20"/>
              </w:rPr>
            </w:pPr>
            <w:r w:rsidRPr="00234433">
              <w:rPr>
                <w:szCs w:val="20"/>
              </w:rPr>
              <w:t>4</w:t>
            </w:r>
            <w:r w:rsidRPr="00234433">
              <w:rPr>
                <w:szCs w:val="20"/>
              </w:rPr>
              <w:br/>
              <w:t>(11%)</w:t>
            </w:r>
          </w:p>
        </w:tc>
        <w:tc>
          <w:tcPr>
            <w:tcW w:w="504" w:type="pct"/>
          </w:tcPr>
          <w:p w14:paraId="70E590EA" w14:textId="77777777" w:rsidR="000A6A74" w:rsidRPr="00234433" w:rsidRDefault="000A6A74" w:rsidP="00AC29E2">
            <w:pPr>
              <w:pStyle w:val="TableBody"/>
              <w:rPr>
                <w:rStyle w:val="Strong"/>
                <w:szCs w:val="20"/>
              </w:rPr>
            </w:pPr>
            <w:r w:rsidRPr="00234433">
              <w:rPr>
                <w:rStyle w:val="Strong"/>
                <w:szCs w:val="20"/>
              </w:rPr>
              <w:t>34</w:t>
            </w:r>
            <w:r w:rsidRPr="00234433">
              <w:rPr>
                <w:rStyle w:val="Strong"/>
                <w:szCs w:val="20"/>
              </w:rPr>
              <w:br/>
              <w:t>(7%)</w:t>
            </w:r>
          </w:p>
        </w:tc>
      </w:tr>
      <w:tr w:rsidR="00F1341B" w:rsidRPr="007F530F" w14:paraId="012EFA73" w14:textId="77777777" w:rsidTr="00AC29E2">
        <w:trPr>
          <w:trHeight w:val="60"/>
        </w:trPr>
        <w:tc>
          <w:tcPr>
            <w:tcW w:w="676" w:type="pct"/>
          </w:tcPr>
          <w:p w14:paraId="30CA06F9" w14:textId="741B38EC" w:rsidR="000A6A74" w:rsidRPr="00234433" w:rsidRDefault="000A6A74" w:rsidP="00AC29E2">
            <w:pPr>
              <w:pStyle w:val="TableBody"/>
              <w:rPr>
                <w:szCs w:val="20"/>
              </w:rPr>
            </w:pPr>
            <w:r w:rsidRPr="00234433">
              <w:rPr>
                <w:szCs w:val="20"/>
              </w:rPr>
              <w:t>Other, higher courts</w:t>
            </w:r>
          </w:p>
        </w:tc>
        <w:tc>
          <w:tcPr>
            <w:tcW w:w="382" w:type="pct"/>
          </w:tcPr>
          <w:p w14:paraId="517A4869" w14:textId="77777777" w:rsidR="000A6A74" w:rsidRPr="00234433" w:rsidRDefault="000A6A74" w:rsidP="00AC29E2">
            <w:pPr>
              <w:pStyle w:val="TableBody"/>
              <w:rPr>
                <w:szCs w:val="20"/>
              </w:rPr>
            </w:pPr>
            <w:r w:rsidRPr="00234433">
              <w:rPr>
                <w:szCs w:val="20"/>
              </w:rPr>
              <w:t>2</w:t>
            </w:r>
            <w:r w:rsidRPr="00234433">
              <w:rPr>
                <w:szCs w:val="20"/>
              </w:rPr>
              <w:br/>
              <w:t>(4%)</w:t>
            </w:r>
          </w:p>
        </w:tc>
        <w:tc>
          <w:tcPr>
            <w:tcW w:w="382" w:type="pct"/>
          </w:tcPr>
          <w:p w14:paraId="5B38C8B2" w14:textId="77777777" w:rsidR="000A6A74" w:rsidRPr="00234433" w:rsidRDefault="000A6A74" w:rsidP="00AC29E2">
            <w:pPr>
              <w:pStyle w:val="TableBody"/>
              <w:rPr>
                <w:szCs w:val="20"/>
              </w:rPr>
            </w:pPr>
            <w:r w:rsidRPr="00234433">
              <w:rPr>
                <w:szCs w:val="20"/>
              </w:rPr>
              <w:t>–</w:t>
            </w:r>
          </w:p>
        </w:tc>
        <w:tc>
          <w:tcPr>
            <w:tcW w:w="382" w:type="pct"/>
          </w:tcPr>
          <w:p w14:paraId="2C784BBA" w14:textId="77777777" w:rsidR="000A6A74" w:rsidRPr="00234433" w:rsidRDefault="000A6A74" w:rsidP="00AC29E2">
            <w:pPr>
              <w:pStyle w:val="TableBody"/>
              <w:rPr>
                <w:szCs w:val="20"/>
              </w:rPr>
            </w:pPr>
            <w:r w:rsidRPr="00234433">
              <w:rPr>
                <w:szCs w:val="20"/>
              </w:rPr>
              <w:t>–</w:t>
            </w:r>
          </w:p>
        </w:tc>
        <w:tc>
          <w:tcPr>
            <w:tcW w:w="382" w:type="pct"/>
          </w:tcPr>
          <w:p w14:paraId="1DFDEA1A" w14:textId="77777777" w:rsidR="000A6A74" w:rsidRPr="00234433" w:rsidRDefault="000A6A74" w:rsidP="00AC29E2">
            <w:pPr>
              <w:pStyle w:val="TableBody"/>
              <w:rPr>
                <w:szCs w:val="20"/>
              </w:rPr>
            </w:pPr>
            <w:r w:rsidRPr="00234433">
              <w:rPr>
                <w:szCs w:val="20"/>
              </w:rPr>
              <w:t>–</w:t>
            </w:r>
          </w:p>
        </w:tc>
        <w:tc>
          <w:tcPr>
            <w:tcW w:w="382" w:type="pct"/>
          </w:tcPr>
          <w:p w14:paraId="310A9E85" w14:textId="77777777" w:rsidR="000A6A74" w:rsidRPr="00234433" w:rsidRDefault="000A6A74" w:rsidP="00AC29E2">
            <w:pPr>
              <w:pStyle w:val="TableBody"/>
              <w:rPr>
                <w:szCs w:val="20"/>
              </w:rPr>
            </w:pPr>
            <w:r w:rsidRPr="00234433">
              <w:rPr>
                <w:szCs w:val="20"/>
              </w:rPr>
              <w:t>1</w:t>
            </w:r>
            <w:r w:rsidRPr="00234433">
              <w:rPr>
                <w:szCs w:val="20"/>
              </w:rPr>
              <w:br/>
              <w:t>(2%)</w:t>
            </w:r>
          </w:p>
        </w:tc>
        <w:tc>
          <w:tcPr>
            <w:tcW w:w="382" w:type="pct"/>
          </w:tcPr>
          <w:p w14:paraId="7F701B32" w14:textId="77777777" w:rsidR="000A6A74" w:rsidRPr="00234433" w:rsidRDefault="000A6A74" w:rsidP="00AC29E2">
            <w:pPr>
              <w:pStyle w:val="TableBody"/>
              <w:rPr>
                <w:szCs w:val="20"/>
              </w:rPr>
            </w:pPr>
            <w:r w:rsidRPr="00234433">
              <w:rPr>
                <w:szCs w:val="20"/>
              </w:rPr>
              <w:t>1</w:t>
            </w:r>
            <w:r w:rsidRPr="00234433">
              <w:rPr>
                <w:szCs w:val="20"/>
              </w:rPr>
              <w:br/>
              <w:t>(2%)</w:t>
            </w:r>
          </w:p>
        </w:tc>
        <w:tc>
          <w:tcPr>
            <w:tcW w:w="382" w:type="pct"/>
          </w:tcPr>
          <w:p w14:paraId="0AD046ED" w14:textId="77777777" w:rsidR="000A6A74" w:rsidRPr="00234433" w:rsidRDefault="000A6A74" w:rsidP="00AC29E2">
            <w:pPr>
              <w:pStyle w:val="TableBody"/>
              <w:rPr>
                <w:szCs w:val="20"/>
              </w:rPr>
            </w:pPr>
            <w:r w:rsidRPr="00234433">
              <w:rPr>
                <w:szCs w:val="20"/>
              </w:rPr>
              <w:t>1</w:t>
            </w:r>
            <w:r w:rsidRPr="00234433">
              <w:rPr>
                <w:szCs w:val="20"/>
              </w:rPr>
              <w:br/>
              <w:t>(2%)</w:t>
            </w:r>
          </w:p>
        </w:tc>
        <w:tc>
          <w:tcPr>
            <w:tcW w:w="382" w:type="pct"/>
          </w:tcPr>
          <w:p w14:paraId="733DAC04" w14:textId="77777777" w:rsidR="000A6A74" w:rsidRPr="00234433" w:rsidRDefault="000A6A74" w:rsidP="00AC29E2">
            <w:pPr>
              <w:pStyle w:val="TableBody"/>
              <w:rPr>
                <w:szCs w:val="20"/>
              </w:rPr>
            </w:pPr>
            <w:r w:rsidRPr="00234433">
              <w:rPr>
                <w:szCs w:val="20"/>
              </w:rPr>
              <w:t>1</w:t>
            </w:r>
            <w:r w:rsidRPr="00234433">
              <w:rPr>
                <w:szCs w:val="20"/>
              </w:rPr>
              <w:br/>
              <w:t>(4%)</w:t>
            </w:r>
          </w:p>
        </w:tc>
        <w:tc>
          <w:tcPr>
            <w:tcW w:w="382" w:type="pct"/>
          </w:tcPr>
          <w:p w14:paraId="1FFCFEF4" w14:textId="77777777" w:rsidR="000A6A74" w:rsidRPr="00234433" w:rsidRDefault="000A6A74" w:rsidP="00AC29E2">
            <w:pPr>
              <w:pStyle w:val="TableBody"/>
              <w:rPr>
                <w:szCs w:val="20"/>
              </w:rPr>
            </w:pPr>
            <w:r w:rsidRPr="00234433">
              <w:rPr>
                <w:szCs w:val="20"/>
              </w:rPr>
              <w:t>1</w:t>
            </w:r>
            <w:r w:rsidRPr="00234433">
              <w:rPr>
                <w:szCs w:val="20"/>
              </w:rPr>
              <w:br/>
              <w:t>(3%)</w:t>
            </w:r>
          </w:p>
        </w:tc>
        <w:tc>
          <w:tcPr>
            <w:tcW w:w="382" w:type="pct"/>
          </w:tcPr>
          <w:p w14:paraId="47CDA6E4" w14:textId="77777777" w:rsidR="000A6A74" w:rsidRPr="00234433" w:rsidRDefault="000A6A74" w:rsidP="00AC29E2">
            <w:pPr>
              <w:pStyle w:val="TableBody"/>
              <w:rPr>
                <w:szCs w:val="20"/>
              </w:rPr>
            </w:pPr>
            <w:r w:rsidRPr="00234433">
              <w:rPr>
                <w:szCs w:val="20"/>
              </w:rPr>
              <w:t>–</w:t>
            </w:r>
          </w:p>
        </w:tc>
        <w:tc>
          <w:tcPr>
            <w:tcW w:w="504" w:type="pct"/>
          </w:tcPr>
          <w:p w14:paraId="378840E9" w14:textId="77777777" w:rsidR="000A6A74" w:rsidRPr="00234433" w:rsidRDefault="000A6A74" w:rsidP="00AC29E2">
            <w:pPr>
              <w:pStyle w:val="TableBody"/>
              <w:rPr>
                <w:rStyle w:val="Strong"/>
                <w:szCs w:val="20"/>
              </w:rPr>
            </w:pPr>
            <w:r w:rsidRPr="00234433">
              <w:rPr>
                <w:rStyle w:val="Strong"/>
                <w:szCs w:val="20"/>
              </w:rPr>
              <w:t>7</w:t>
            </w:r>
            <w:r w:rsidRPr="00234433">
              <w:rPr>
                <w:rStyle w:val="Strong"/>
                <w:szCs w:val="20"/>
              </w:rPr>
              <w:br/>
              <w:t>(1%)</w:t>
            </w:r>
          </w:p>
        </w:tc>
      </w:tr>
      <w:tr w:rsidR="00F1341B" w:rsidRPr="007F530F" w14:paraId="34DBE4BE" w14:textId="77777777" w:rsidTr="00AC29E2">
        <w:trPr>
          <w:trHeight w:val="60"/>
        </w:trPr>
        <w:tc>
          <w:tcPr>
            <w:tcW w:w="676" w:type="pct"/>
          </w:tcPr>
          <w:p w14:paraId="05B730E4" w14:textId="44327EA1" w:rsidR="000A6A74" w:rsidRPr="00234433" w:rsidRDefault="000A6A74" w:rsidP="00AC29E2">
            <w:pPr>
              <w:pStyle w:val="TableBody"/>
              <w:rPr>
                <w:rFonts w:cstheme="minorBidi"/>
                <w:color w:val="auto"/>
                <w:lang w:val="en-AU"/>
              </w:rPr>
            </w:pPr>
            <w:r w:rsidRPr="00234433">
              <w:rPr>
                <w:rStyle w:val="Strong"/>
                <w:szCs w:val="20"/>
              </w:rPr>
              <w:t>Total</w:t>
            </w:r>
          </w:p>
        </w:tc>
        <w:tc>
          <w:tcPr>
            <w:tcW w:w="382" w:type="pct"/>
          </w:tcPr>
          <w:p w14:paraId="5FDB4259" w14:textId="77777777" w:rsidR="000A6A74" w:rsidRPr="00234433" w:rsidRDefault="000A6A74" w:rsidP="00AC29E2">
            <w:pPr>
              <w:pStyle w:val="TableBody"/>
              <w:rPr>
                <w:rStyle w:val="Strong"/>
                <w:szCs w:val="20"/>
              </w:rPr>
            </w:pPr>
            <w:r w:rsidRPr="00234433">
              <w:rPr>
                <w:rStyle w:val="Strong"/>
                <w:szCs w:val="20"/>
              </w:rPr>
              <w:t>47</w:t>
            </w:r>
          </w:p>
        </w:tc>
        <w:tc>
          <w:tcPr>
            <w:tcW w:w="382" w:type="pct"/>
          </w:tcPr>
          <w:p w14:paraId="798D45A3" w14:textId="77777777" w:rsidR="000A6A74" w:rsidRPr="00234433" w:rsidRDefault="000A6A74" w:rsidP="00AC29E2">
            <w:pPr>
              <w:pStyle w:val="TableBody"/>
              <w:rPr>
                <w:rStyle w:val="Strong"/>
                <w:szCs w:val="20"/>
              </w:rPr>
            </w:pPr>
            <w:r w:rsidRPr="00234433">
              <w:rPr>
                <w:rStyle w:val="Strong"/>
                <w:szCs w:val="20"/>
              </w:rPr>
              <w:t>65</w:t>
            </w:r>
          </w:p>
        </w:tc>
        <w:tc>
          <w:tcPr>
            <w:tcW w:w="382" w:type="pct"/>
          </w:tcPr>
          <w:p w14:paraId="3BB5883C" w14:textId="77777777" w:rsidR="000A6A74" w:rsidRPr="00234433" w:rsidRDefault="000A6A74" w:rsidP="00AC29E2">
            <w:pPr>
              <w:pStyle w:val="TableBody"/>
              <w:rPr>
                <w:rStyle w:val="Strong"/>
                <w:szCs w:val="20"/>
              </w:rPr>
            </w:pPr>
            <w:r w:rsidRPr="00234433">
              <w:rPr>
                <w:rStyle w:val="Strong"/>
                <w:szCs w:val="20"/>
              </w:rPr>
              <w:t>62</w:t>
            </w:r>
          </w:p>
        </w:tc>
        <w:tc>
          <w:tcPr>
            <w:tcW w:w="382" w:type="pct"/>
          </w:tcPr>
          <w:p w14:paraId="3E382FC0" w14:textId="77777777" w:rsidR="000A6A74" w:rsidRPr="00234433" w:rsidRDefault="000A6A74" w:rsidP="00AC29E2">
            <w:pPr>
              <w:pStyle w:val="TableBody"/>
              <w:rPr>
                <w:rStyle w:val="Strong"/>
                <w:szCs w:val="20"/>
              </w:rPr>
            </w:pPr>
            <w:r w:rsidRPr="00234433">
              <w:rPr>
                <w:rStyle w:val="Strong"/>
                <w:szCs w:val="20"/>
              </w:rPr>
              <w:t>53</w:t>
            </w:r>
          </w:p>
        </w:tc>
        <w:tc>
          <w:tcPr>
            <w:tcW w:w="382" w:type="pct"/>
          </w:tcPr>
          <w:p w14:paraId="0C8CBD4F" w14:textId="77777777" w:rsidR="000A6A74" w:rsidRPr="00234433" w:rsidRDefault="000A6A74" w:rsidP="00AC29E2">
            <w:pPr>
              <w:pStyle w:val="TableBody"/>
              <w:rPr>
                <w:rStyle w:val="Strong"/>
                <w:szCs w:val="20"/>
              </w:rPr>
            </w:pPr>
            <w:r w:rsidRPr="00234433">
              <w:rPr>
                <w:rStyle w:val="Strong"/>
                <w:szCs w:val="20"/>
              </w:rPr>
              <w:t>59</w:t>
            </w:r>
          </w:p>
        </w:tc>
        <w:tc>
          <w:tcPr>
            <w:tcW w:w="382" w:type="pct"/>
          </w:tcPr>
          <w:p w14:paraId="0E472A09" w14:textId="77777777" w:rsidR="000A6A74" w:rsidRPr="00234433" w:rsidRDefault="000A6A74" w:rsidP="00AC29E2">
            <w:pPr>
              <w:pStyle w:val="TableBody"/>
              <w:rPr>
                <w:rStyle w:val="Strong"/>
                <w:szCs w:val="20"/>
              </w:rPr>
            </w:pPr>
            <w:r w:rsidRPr="00234433">
              <w:rPr>
                <w:rStyle w:val="Strong"/>
                <w:szCs w:val="20"/>
              </w:rPr>
              <w:t>48</w:t>
            </w:r>
          </w:p>
        </w:tc>
        <w:tc>
          <w:tcPr>
            <w:tcW w:w="382" w:type="pct"/>
          </w:tcPr>
          <w:p w14:paraId="5B2466CC" w14:textId="77777777" w:rsidR="000A6A74" w:rsidRPr="00234433" w:rsidRDefault="000A6A74" w:rsidP="00AC29E2">
            <w:pPr>
              <w:pStyle w:val="TableBody"/>
              <w:rPr>
                <w:rStyle w:val="Strong"/>
                <w:szCs w:val="20"/>
              </w:rPr>
            </w:pPr>
            <w:r w:rsidRPr="00234433">
              <w:rPr>
                <w:rStyle w:val="Strong"/>
                <w:szCs w:val="20"/>
              </w:rPr>
              <w:t>49</w:t>
            </w:r>
          </w:p>
        </w:tc>
        <w:tc>
          <w:tcPr>
            <w:tcW w:w="382" w:type="pct"/>
          </w:tcPr>
          <w:p w14:paraId="1E887D8C" w14:textId="77777777" w:rsidR="000A6A74" w:rsidRPr="00234433" w:rsidRDefault="000A6A74" w:rsidP="00AC29E2">
            <w:pPr>
              <w:pStyle w:val="TableBody"/>
              <w:rPr>
                <w:rStyle w:val="Strong"/>
                <w:szCs w:val="20"/>
              </w:rPr>
            </w:pPr>
            <w:r w:rsidRPr="00234433">
              <w:rPr>
                <w:rStyle w:val="Strong"/>
                <w:szCs w:val="20"/>
              </w:rPr>
              <w:t>27</w:t>
            </w:r>
          </w:p>
        </w:tc>
        <w:tc>
          <w:tcPr>
            <w:tcW w:w="382" w:type="pct"/>
          </w:tcPr>
          <w:p w14:paraId="75452ABD" w14:textId="77777777" w:rsidR="000A6A74" w:rsidRPr="00234433" w:rsidRDefault="000A6A74" w:rsidP="00AC29E2">
            <w:pPr>
              <w:pStyle w:val="TableBody"/>
              <w:rPr>
                <w:rStyle w:val="Strong"/>
                <w:szCs w:val="20"/>
              </w:rPr>
            </w:pPr>
            <w:r w:rsidRPr="00234433">
              <w:rPr>
                <w:rStyle w:val="Strong"/>
                <w:szCs w:val="20"/>
              </w:rPr>
              <w:t>37</w:t>
            </w:r>
          </w:p>
        </w:tc>
        <w:tc>
          <w:tcPr>
            <w:tcW w:w="382" w:type="pct"/>
          </w:tcPr>
          <w:p w14:paraId="79858E6A" w14:textId="77777777" w:rsidR="000A6A74" w:rsidRPr="00234433" w:rsidRDefault="000A6A74" w:rsidP="00AC29E2">
            <w:pPr>
              <w:pStyle w:val="TableBody"/>
              <w:rPr>
                <w:rStyle w:val="Strong"/>
                <w:szCs w:val="20"/>
              </w:rPr>
            </w:pPr>
            <w:r w:rsidRPr="00234433">
              <w:rPr>
                <w:rStyle w:val="Strong"/>
                <w:szCs w:val="20"/>
              </w:rPr>
              <w:t>37</w:t>
            </w:r>
          </w:p>
        </w:tc>
        <w:tc>
          <w:tcPr>
            <w:tcW w:w="504" w:type="pct"/>
          </w:tcPr>
          <w:p w14:paraId="13B57F28" w14:textId="77777777" w:rsidR="000A6A74" w:rsidRPr="00234433" w:rsidRDefault="000A6A74" w:rsidP="00AC29E2">
            <w:pPr>
              <w:pStyle w:val="TableBody"/>
              <w:rPr>
                <w:rStyle w:val="Strong"/>
                <w:szCs w:val="20"/>
              </w:rPr>
            </w:pPr>
            <w:r w:rsidRPr="00234433">
              <w:rPr>
                <w:rStyle w:val="Strong"/>
                <w:szCs w:val="20"/>
              </w:rPr>
              <w:t>484</w:t>
            </w:r>
          </w:p>
        </w:tc>
      </w:tr>
      <w:tr w:rsidR="00C15FA2" w:rsidRPr="007F530F" w14:paraId="3A2B74BC" w14:textId="77777777" w:rsidTr="00AC29E2">
        <w:trPr>
          <w:trHeight w:val="60"/>
        </w:trPr>
        <w:tc>
          <w:tcPr>
            <w:tcW w:w="5000" w:type="pct"/>
            <w:gridSpan w:val="12"/>
          </w:tcPr>
          <w:p w14:paraId="78CF0CD0" w14:textId="3EB0046C" w:rsidR="00C15FA2" w:rsidRPr="00234433" w:rsidRDefault="00C15FA2" w:rsidP="00AC29E2">
            <w:pPr>
              <w:pStyle w:val="TableBody"/>
              <w:rPr>
                <w:rStyle w:val="Strong"/>
                <w:szCs w:val="20"/>
              </w:rPr>
            </w:pPr>
            <w:r w:rsidRPr="00234433">
              <w:rPr>
                <w:rStyle w:val="Strong"/>
                <w:szCs w:val="20"/>
              </w:rPr>
              <w:t>Child aged 10/12 to 15</w:t>
            </w:r>
            <w:r w:rsidRPr="00696ADB">
              <w:rPr>
                <w:rStyle w:val="Strong"/>
                <w:vertAlign w:val="superscript"/>
              </w:rPr>
              <w:t>b</w:t>
            </w:r>
          </w:p>
        </w:tc>
      </w:tr>
      <w:tr w:rsidR="00F1341B" w:rsidRPr="007F530F" w14:paraId="1AAC881C" w14:textId="77777777" w:rsidTr="00AC29E2">
        <w:trPr>
          <w:trHeight w:val="60"/>
        </w:trPr>
        <w:tc>
          <w:tcPr>
            <w:tcW w:w="676" w:type="pct"/>
          </w:tcPr>
          <w:p w14:paraId="58D2EC40" w14:textId="79E59BC4" w:rsidR="000A6A74" w:rsidRPr="00234433" w:rsidRDefault="000A6A74" w:rsidP="00AC29E2">
            <w:pPr>
              <w:pStyle w:val="TableBody"/>
              <w:rPr>
                <w:szCs w:val="20"/>
              </w:rPr>
            </w:pPr>
            <w:r w:rsidRPr="00234433">
              <w:rPr>
                <w:szCs w:val="20"/>
              </w:rPr>
              <w:t>Immediate custodial sentence, higher courts</w:t>
            </w:r>
          </w:p>
        </w:tc>
        <w:tc>
          <w:tcPr>
            <w:tcW w:w="382" w:type="pct"/>
          </w:tcPr>
          <w:p w14:paraId="2EBE25E6" w14:textId="77777777" w:rsidR="000A6A74" w:rsidRPr="00234433" w:rsidRDefault="000A6A74" w:rsidP="00AC29E2">
            <w:pPr>
              <w:pStyle w:val="TableBody"/>
              <w:rPr>
                <w:szCs w:val="20"/>
              </w:rPr>
            </w:pPr>
            <w:r w:rsidRPr="00234433">
              <w:rPr>
                <w:szCs w:val="20"/>
              </w:rPr>
              <w:t>135</w:t>
            </w:r>
            <w:r w:rsidRPr="00234433">
              <w:rPr>
                <w:szCs w:val="20"/>
              </w:rPr>
              <w:br/>
              <w:t>(68%)</w:t>
            </w:r>
          </w:p>
        </w:tc>
        <w:tc>
          <w:tcPr>
            <w:tcW w:w="382" w:type="pct"/>
          </w:tcPr>
          <w:p w14:paraId="4FC0A971" w14:textId="77777777" w:rsidR="000A6A74" w:rsidRPr="00234433" w:rsidRDefault="000A6A74" w:rsidP="00AC29E2">
            <w:pPr>
              <w:pStyle w:val="TableBody"/>
              <w:rPr>
                <w:szCs w:val="20"/>
              </w:rPr>
            </w:pPr>
            <w:r w:rsidRPr="00234433">
              <w:rPr>
                <w:szCs w:val="20"/>
              </w:rPr>
              <w:t>172</w:t>
            </w:r>
            <w:r w:rsidRPr="00234433">
              <w:rPr>
                <w:szCs w:val="20"/>
              </w:rPr>
              <w:br/>
              <w:t>(67%)</w:t>
            </w:r>
          </w:p>
        </w:tc>
        <w:tc>
          <w:tcPr>
            <w:tcW w:w="382" w:type="pct"/>
          </w:tcPr>
          <w:p w14:paraId="2D31396E" w14:textId="77777777" w:rsidR="000A6A74" w:rsidRPr="00234433" w:rsidRDefault="000A6A74" w:rsidP="00AC29E2">
            <w:pPr>
              <w:pStyle w:val="TableBody"/>
              <w:rPr>
                <w:szCs w:val="20"/>
              </w:rPr>
            </w:pPr>
            <w:r w:rsidRPr="00234433">
              <w:rPr>
                <w:szCs w:val="20"/>
              </w:rPr>
              <w:t>169</w:t>
            </w:r>
            <w:r w:rsidRPr="00234433">
              <w:rPr>
                <w:szCs w:val="20"/>
              </w:rPr>
              <w:br/>
              <w:t>(70%)</w:t>
            </w:r>
          </w:p>
        </w:tc>
        <w:tc>
          <w:tcPr>
            <w:tcW w:w="382" w:type="pct"/>
          </w:tcPr>
          <w:p w14:paraId="54750195" w14:textId="77777777" w:rsidR="000A6A74" w:rsidRPr="00234433" w:rsidRDefault="000A6A74" w:rsidP="00AC29E2">
            <w:pPr>
              <w:pStyle w:val="TableBody"/>
              <w:rPr>
                <w:szCs w:val="20"/>
              </w:rPr>
            </w:pPr>
            <w:r w:rsidRPr="00234433">
              <w:rPr>
                <w:szCs w:val="20"/>
              </w:rPr>
              <w:t>94</w:t>
            </w:r>
            <w:r w:rsidRPr="00234433">
              <w:rPr>
                <w:szCs w:val="20"/>
              </w:rPr>
              <w:br/>
              <w:t>(63%)</w:t>
            </w:r>
          </w:p>
        </w:tc>
        <w:tc>
          <w:tcPr>
            <w:tcW w:w="382" w:type="pct"/>
          </w:tcPr>
          <w:p w14:paraId="27CA9C0E" w14:textId="77777777" w:rsidR="000A6A74" w:rsidRPr="00234433" w:rsidRDefault="000A6A74" w:rsidP="00AC29E2">
            <w:pPr>
              <w:pStyle w:val="TableBody"/>
              <w:rPr>
                <w:szCs w:val="20"/>
              </w:rPr>
            </w:pPr>
            <w:r w:rsidRPr="00234433">
              <w:rPr>
                <w:szCs w:val="20"/>
              </w:rPr>
              <w:t>80</w:t>
            </w:r>
            <w:r w:rsidRPr="00234433">
              <w:rPr>
                <w:szCs w:val="20"/>
              </w:rPr>
              <w:br/>
              <w:t>(54%)</w:t>
            </w:r>
          </w:p>
        </w:tc>
        <w:tc>
          <w:tcPr>
            <w:tcW w:w="382" w:type="pct"/>
          </w:tcPr>
          <w:p w14:paraId="22D18048" w14:textId="77777777" w:rsidR="000A6A74" w:rsidRPr="00234433" w:rsidRDefault="000A6A74" w:rsidP="00AC29E2">
            <w:pPr>
              <w:pStyle w:val="TableBody"/>
              <w:rPr>
                <w:szCs w:val="20"/>
              </w:rPr>
            </w:pPr>
            <w:r w:rsidRPr="00234433">
              <w:rPr>
                <w:szCs w:val="20"/>
              </w:rPr>
              <w:t>113</w:t>
            </w:r>
            <w:r w:rsidRPr="00234433">
              <w:rPr>
                <w:szCs w:val="20"/>
              </w:rPr>
              <w:br/>
              <w:t>(65%)</w:t>
            </w:r>
          </w:p>
        </w:tc>
        <w:tc>
          <w:tcPr>
            <w:tcW w:w="382" w:type="pct"/>
          </w:tcPr>
          <w:p w14:paraId="5A3310AA" w14:textId="77777777" w:rsidR="000A6A74" w:rsidRPr="00234433" w:rsidRDefault="000A6A74" w:rsidP="00AC29E2">
            <w:pPr>
              <w:pStyle w:val="TableBody"/>
              <w:rPr>
                <w:szCs w:val="20"/>
              </w:rPr>
            </w:pPr>
            <w:r w:rsidRPr="00234433">
              <w:rPr>
                <w:szCs w:val="20"/>
              </w:rPr>
              <w:t>131</w:t>
            </w:r>
            <w:r w:rsidRPr="00234433">
              <w:rPr>
                <w:szCs w:val="20"/>
              </w:rPr>
              <w:br/>
              <w:t>(73%)</w:t>
            </w:r>
          </w:p>
        </w:tc>
        <w:tc>
          <w:tcPr>
            <w:tcW w:w="382" w:type="pct"/>
          </w:tcPr>
          <w:p w14:paraId="741320AC" w14:textId="77777777" w:rsidR="000A6A74" w:rsidRPr="00234433" w:rsidRDefault="000A6A74" w:rsidP="00AC29E2">
            <w:pPr>
              <w:pStyle w:val="TableBody"/>
              <w:rPr>
                <w:szCs w:val="20"/>
              </w:rPr>
            </w:pPr>
            <w:r w:rsidRPr="00234433">
              <w:rPr>
                <w:szCs w:val="20"/>
              </w:rPr>
              <w:t>91</w:t>
            </w:r>
            <w:r w:rsidRPr="00234433">
              <w:rPr>
                <w:szCs w:val="20"/>
              </w:rPr>
              <w:br/>
              <w:t>(67%)</w:t>
            </w:r>
          </w:p>
        </w:tc>
        <w:tc>
          <w:tcPr>
            <w:tcW w:w="382" w:type="pct"/>
          </w:tcPr>
          <w:p w14:paraId="1CD95B4D" w14:textId="77777777" w:rsidR="000A6A74" w:rsidRPr="00234433" w:rsidRDefault="000A6A74" w:rsidP="00AC29E2">
            <w:pPr>
              <w:pStyle w:val="TableBody"/>
              <w:rPr>
                <w:szCs w:val="20"/>
              </w:rPr>
            </w:pPr>
            <w:r w:rsidRPr="00234433">
              <w:rPr>
                <w:szCs w:val="20"/>
              </w:rPr>
              <w:t>90</w:t>
            </w:r>
            <w:r w:rsidRPr="00234433">
              <w:rPr>
                <w:szCs w:val="20"/>
              </w:rPr>
              <w:br/>
              <w:t>(65%)</w:t>
            </w:r>
          </w:p>
        </w:tc>
        <w:tc>
          <w:tcPr>
            <w:tcW w:w="382" w:type="pct"/>
          </w:tcPr>
          <w:p w14:paraId="59905357" w14:textId="77777777" w:rsidR="000A6A74" w:rsidRPr="00234433" w:rsidRDefault="000A6A74" w:rsidP="00AC29E2">
            <w:pPr>
              <w:pStyle w:val="TableBody"/>
              <w:rPr>
                <w:szCs w:val="20"/>
              </w:rPr>
            </w:pPr>
            <w:r w:rsidRPr="00234433">
              <w:rPr>
                <w:szCs w:val="20"/>
              </w:rPr>
              <w:t>118</w:t>
            </w:r>
            <w:r w:rsidRPr="00234433">
              <w:rPr>
                <w:szCs w:val="20"/>
              </w:rPr>
              <w:br/>
              <w:t>(81%)</w:t>
            </w:r>
          </w:p>
        </w:tc>
        <w:tc>
          <w:tcPr>
            <w:tcW w:w="504" w:type="pct"/>
          </w:tcPr>
          <w:p w14:paraId="10DA1D8E" w14:textId="77777777" w:rsidR="000A6A74" w:rsidRPr="00234433" w:rsidRDefault="000A6A74" w:rsidP="00AC29E2">
            <w:pPr>
              <w:pStyle w:val="TableBody"/>
              <w:rPr>
                <w:rStyle w:val="Strong"/>
                <w:szCs w:val="20"/>
              </w:rPr>
            </w:pPr>
            <w:r w:rsidRPr="00234433">
              <w:rPr>
                <w:rStyle w:val="Strong"/>
                <w:szCs w:val="20"/>
              </w:rPr>
              <w:t>1193</w:t>
            </w:r>
            <w:r w:rsidRPr="00234433">
              <w:rPr>
                <w:rStyle w:val="Strong"/>
                <w:szCs w:val="20"/>
              </w:rPr>
              <w:br/>
              <w:t>(67%)</w:t>
            </w:r>
          </w:p>
        </w:tc>
      </w:tr>
      <w:tr w:rsidR="00F1341B" w:rsidRPr="007F530F" w14:paraId="0CE0E3DB" w14:textId="77777777" w:rsidTr="00AC29E2">
        <w:trPr>
          <w:trHeight w:val="60"/>
        </w:trPr>
        <w:tc>
          <w:tcPr>
            <w:tcW w:w="676" w:type="pct"/>
          </w:tcPr>
          <w:p w14:paraId="3F926388" w14:textId="0E808BF0" w:rsidR="000A6A74" w:rsidRPr="00234433" w:rsidRDefault="000A6A74" w:rsidP="00AC29E2">
            <w:pPr>
              <w:pStyle w:val="TableBody"/>
              <w:rPr>
                <w:szCs w:val="20"/>
              </w:rPr>
            </w:pPr>
            <w:r w:rsidRPr="00234433">
              <w:rPr>
                <w:szCs w:val="20"/>
              </w:rPr>
              <w:t>Community order, higher courts</w:t>
            </w:r>
          </w:p>
        </w:tc>
        <w:tc>
          <w:tcPr>
            <w:tcW w:w="382" w:type="pct"/>
          </w:tcPr>
          <w:p w14:paraId="6E013ADC" w14:textId="77777777" w:rsidR="000A6A74" w:rsidRPr="00234433" w:rsidRDefault="000A6A74" w:rsidP="00AC29E2">
            <w:pPr>
              <w:pStyle w:val="TableBody"/>
              <w:rPr>
                <w:szCs w:val="20"/>
              </w:rPr>
            </w:pPr>
            <w:r w:rsidRPr="00234433">
              <w:rPr>
                <w:szCs w:val="20"/>
              </w:rPr>
              <w:t>24</w:t>
            </w:r>
            <w:r w:rsidRPr="00234433">
              <w:rPr>
                <w:szCs w:val="20"/>
              </w:rPr>
              <w:br/>
              <w:t>(12%)</w:t>
            </w:r>
          </w:p>
        </w:tc>
        <w:tc>
          <w:tcPr>
            <w:tcW w:w="382" w:type="pct"/>
          </w:tcPr>
          <w:p w14:paraId="403BFDB0" w14:textId="77777777" w:rsidR="000A6A74" w:rsidRPr="00234433" w:rsidRDefault="000A6A74" w:rsidP="00AC29E2">
            <w:pPr>
              <w:pStyle w:val="TableBody"/>
              <w:rPr>
                <w:szCs w:val="20"/>
              </w:rPr>
            </w:pPr>
            <w:r w:rsidRPr="00234433">
              <w:rPr>
                <w:szCs w:val="20"/>
              </w:rPr>
              <w:t>17</w:t>
            </w:r>
            <w:r w:rsidRPr="00234433">
              <w:rPr>
                <w:szCs w:val="20"/>
              </w:rPr>
              <w:br/>
              <w:t>(7%)</w:t>
            </w:r>
          </w:p>
        </w:tc>
        <w:tc>
          <w:tcPr>
            <w:tcW w:w="382" w:type="pct"/>
          </w:tcPr>
          <w:p w14:paraId="588014D7" w14:textId="77777777" w:rsidR="000A6A74" w:rsidRPr="00234433" w:rsidRDefault="000A6A74" w:rsidP="00AC29E2">
            <w:pPr>
              <w:pStyle w:val="TableBody"/>
              <w:rPr>
                <w:szCs w:val="20"/>
              </w:rPr>
            </w:pPr>
            <w:r w:rsidRPr="00234433">
              <w:rPr>
                <w:szCs w:val="20"/>
              </w:rPr>
              <w:t>52</w:t>
            </w:r>
            <w:r w:rsidRPr="00234433">
              <w:rPr>
                <w:szCs w:val="20"/>
              </w:rPr>
              <w:br/>
              <w:t>(21%)</w:t>
            </w:r>
          </w:p>
        </w:tc>
        <w:tc>
          <w:tcPr>
            <w:tcW w:w="382" w:type="pct"/>
          </w:tcPr>
          <w:p w14:paraId="44AC5605" w14:textId="77777777" w:rsidR="000A6A74" w:rsidRPr="00234433" w:rsidRDefault="000A6A74" w:rsidP="00AC29E2">
            <w:pPr>
              <w:pStyle w:val="TableBody"/>
              <w:rPr>
                <w:szCs w:val="20"/>
              </w:rPr>
            </w:pPr>
            <w:r w:rsidRPr="00234433">
              <w:rPr>
                <w:szCs w:val="20"/>
              </w:rPr>
              <w:t>42</w:t>
            </w:r>
            <w:r w:rsidRPr="00234433">
              <w:rPr>
                <w:szCs w:val="20"/>
              </w:rPr>
              <w:br/>
              <w:t>(28%)</w:t>
            </w:r>
          </w:p>
        </w:tc>
        <w:tc>
          <w:tcPr>
            <w:tcW w:w="382" w:type="pct"/>
          </w:tcPr>
          <w:p w14:paraId="226CD675" w14:textId="77777777" w:rsidR="000A6A74" w:rsidRPr="00234433" w:rsidRDefault="000A6A74" w:rsidP="00AC29E2">
            <w:pPr>
              <w:pStyle w:val="TableBody"/>
              <w:rPr>
                <w:szCs w:val="20"/>
              </w:rPr>
            </w:pPr>
            <w:r w:rsidRPr="00234433">
              <w:rPr>
                <w:szCs w:val="20"/>
              </w:rPr>
              <w:t>58</w:t>
            </w:r>
            <w:r w:rsidRPr="00234433">
              <w:rPr>
                <w:szCs w:val="20"/>
              </w:rPr>
              <w:br/>
              <w:t>(39%)</w:t>
            </w:r>
          </w:p>
        </w:tc>
        <w:tc>
          <w:tcPr>
            <w:tcW w:w="382" w:type="pct"/>
          </w:tcPr>
          <w:p w14:paraId="446C1BC6" w14:textId="77777777" w:rsidR="000A6A74" w:rsidRPr="00234433" w:rsidRDefault="000A6A74" w:rsidP="00AC29E2">
            <w:pPr>
              <w:pStyle w:val="TableBody"/>
              <w:rPr>
                <w:szCs w:val="20"/>
              </w:rPr>
            </w:pPr>
            <w:r w:rsidRPr="00234433">
              <w:rPr>
                <w:szCs w:val="20"/>
              </w:rPr>
              <w:t>53</w:t>
            </w:r>
            <w:r w:rsidRPr="00234433">
              <w:rPr>
                <w:szCs w:val="20"/>
              </w:rPr>
              <w:br/>
              <w:t>(30%)</w:t>
            </w:r>
          </w:p>
        </w:tc>
        <w:tc>
          <w:tcPr>
            <w:tcW w:w="382" w:type="pct"/>
          </w:tcPr>
          <w:p w14:paraId="02724989" w14:textId="77777777" w:rsidR="000A6A74" w:rsidRPr="00234433" w:rsidRDefault="000A6A74" w:rsidP="00AC29E2">
            <w:pPr>
              <w:pStyle w:val="TableBody"/>
              <w:rPr>
                <w:szCs w:val="20"/>
              </w:rPr>
            </w:pPr>
            <w:r w:rsidRPr="00234433">
              <w:rPr>
                <w:szCs w:val="20"/>
              </w:rPr>
              <w:t>34</w:t>
            </w:r>
            <w:r w:rsidRPr="00234433">
              <w:rPr>
                <w:szCs w:val="20"/>
              </w:rPr>
              <w:br/>
              <w:t>(19%)</w:t>
            </w:r>
          </w:p>
        </w:tc>
        <w:tc>
          <w:tcPr>
            <w:tcW w:w="382" w:type="pct"/>
          </w:tcPr>
          <w:p w14:paraId="757BAEA2" w14:textId="77777777" w:rsidR="000A6A74" w:rsidRPr="00234433" w:rsidRDefault="000A6A74" w:rsidP="00AC29E2">
            <w:pPr>
              <w:pStyle w:val="TableBody"/>
              <w:rPr>
                <w:szCs w:val="20"/>
              </w:rPr>
            </w:pPr>
            <w:r w:rsidRPr="00234433">
              <w:rPr>
                <w:szCs w:val="20"/>
              </w:rPr>
              <w:t>35</w:t>
            </w:r>
            <w:r w:rsidRPr="00234433">
              <w:rPr>
                <w:szCs w:val="20"/>
              </w:rPr>
              <w:br/>
              <w:t>(26%)</w:t>
            </w:r>
          </w:p>
        </w:tc>
        <w:tc>
          <w:tcPr>
            <w:tcW w:w="382" w:type="pct"/>
          </w:tcPr>
          <w:p w14:paraId="24E780F4" w14:textId="77777777" w:rsidR="000A6A74" w:rsidRPr="00234433" w:rsidRDefault="000A6A74" w:rsidP="00AC29E2">
            <w:pPr>
              <w:pStyle w:val="TableBody"/>
              <w:rPr>
                <w:szCs w:val="20"/>
              </w:rPr>
            </w:pPr>
            <w:r w:rsidRPr="00234433">
              <w:rPr>
                <w:szCs w:val="20"/>
              </w:rPr>
              <w:t>38</w:t>
            </w:r>
            <w:r w:rsidRPr="00234433">
              <w:rPr>
                <w:szCs w:val="20"/>
              </w:rPr>
              <w:br/>
              <w:t>(27%)</w:t>
            </w:r>
          </w:p>
        </w:tc>
        <w:tc>
          <w:tcPr>
            <w:tcW w:w="382" w:type="pct"/>
          </w:tcPr>
          <w:p w14:paraId="604AE409" w14:textId="77777777" w:rsidR="000A6A74" w:rsidRPr="00234433" w:rsidRDefault="000A6A74" w:rsidP="00AC29E2">
            <w:pPr>
              <w:pStyle w:val="TableBody"/>
              <w:rPr>
                <w:szCs w:val="20"/>
              </w:rPr>
            </w:pPr>
            <w:r w:rsidRPr="00234433">
              <w:rPr>
                <w:szCs w:val="20"/>
              </w:rPr>
              <w:t>25</w:t>
            </w:r>
            <w:r w:rsidRPr="00234433">
              <w:rPr>
                <w:szCs w:val="20"/>
              </w:rPr>
              <w:br/>
              <w:t>(17%)</w:t>
            </w:r>
          </w:p>
        </w:tc>
        <w:tc>
          <w:tcPr>
            <w:tcW w:w="504" w:type="pct"/>
          </w:tcPr>
          <w:p w14:paraId="341B0D7A" w14:textId="77777777" w:rsidR="000A6A74" w:rsidRPr="00234433" w:rsidRDefault="000A6A74" w:rsidP="00AC29E2">
            <w:pPr>
              <w:pStyle w:val="TableBody"/>
              <w:rPr>
                <w:rStyle w:val="Strong"/>
                <w:szCs w:val="20"/>
              </w:rPr>
            </w:pPr>
            <w:r w:rsidRPr="00234433">
              <w:rPr>
                <w:rStyle w:val="Strong"/>
                <w:szCs w:val="20"/>
              </w:rPr>
              <w:t>378</w:t>
            </w:r>
            <w:r w:rsidRPr="00234433">
              <w:rPr>
                <w:rStyle w:val="Strong"/>
                <w:szCs w:val="20"/>
              </w:rPr>
              <w:br/>
              <w:t>(21%)</w:t>
            </w:r>
          </w:p>
        </w:tc>
      </w:tr>
      <w:tr w:rsidR="00F1341B" w:rsidRPr="007F530F" w14:paraId="21B00FE5" w14:textId="77777777" w:rsidTr="00AC29E2">
        <w:trPr>
          <w:trHeight w:val="60"/>
        </w:trPr>
        <w:tc>
          <w:tcPr>
            <w:tcW w:w="676" w:type="pct"/>
          </w:tcPr>
          <w:p w14:paraId="3CACE062" w14:textId="2713CFE4" w:rsidR="000A6A74" w:rsidRPr="00234433" w:rsidRDefault="000A6A74" w:rsidP="00AC29E2">
            <w:pPr>
              <w:pStyle w:val="TableBody"/>
              <w:rPr>
                <w:szCs w:val="20"/>
              </w:rPr>
            </w:pPr>
            <w:r w:rsidRPr="00234433">
              <w:rPr>
                <w:szCs w:val="20"/>
              </w:rPr>
              <w:t>Wholly suspended sentence, higher courts</w:t>
            </w:r>
          </w:p>
        </w:tc>
        <w:tc>
          <w:tcPr>
            <w:tcW w:w="382" w:type="pct"/>
          </w:tcPr>
          <w:p w14:paraId="4F28E2EC" w14:textId="77777777" w:rsidR="000A6A74" w:rsidRPr="00234433" w:rsidRDefault="000A6A74" w:rsidP="00AC29E2">
            <w:pPr>
              <w:pStyle w:val="TableBody"/>
              <w:rPr>
                <w:szCs w:val="20"/>
              </w:rPr>
            </w:pPr>
            <w:r w:rsidRPr="00234433">
              <w:rPr>
                <w:szCs w:val="20"/>
              </w:rPr>
              <w:t>36</w:t>
            </w:r>
            <w:r w:rsidRPr="00234433">
              <w:rPr>
                <w:szCs w:val="20"/>
              </w:rPr>
              <w:br/>
              <w:t>(18%)</w:t>
            </w:r>
          </w:p>
        </w:tc>
        <w:tc>
          <w:tcPr>
            <w:tcW w:w="382" w:type="pct"/>
          </w:tcPr>
          <w:p w14:paraId="6E9650F9" w14:textId="77777777" w:rsidR="000A6A74" w:rsidRPr="00234433" w:rsidRDefault="000A6A74" w:rsidP="00AC29E2">
            <w:pPr>
              <w:pStyle w:val="TableBody"/>
              <w:rPr>
                <w:szCs w:val="20"/>
              </w:rPr>
            </w:pPr>
            <w:r w:rsidRPr="00234433">
              <w:rPr>
                <w:szCs w:val="20"/>
              </w:rPr>
              <w:t>62</w:t>
            </w:r>
            <w:r w:rsidRPr="00234433">
              <w:rPr>
                <w:szCs w:val="20"/>
              </w:rPr>
              <w:br/>
              <w:t>(24%)</w:t>
            </w:r>
          </w:p>
        </w:tc>
        <w:tc>
          <w:tcPr>
            <w:tcW w:w="382" w:type="pct"/>
          </w:tcPr>
          <w:p w14:paraId="17AD471D" w14:textId="77777777" w:rsidR="000A6A74" w:rsidRPr="00234433" w:rsidRDefault="000A6A74" w:rsidP="00AC29E2">
            <w:pPr>
              <w:pStyle w:val="TableBody"/>
              <w:rPr>
                <w:szCs w:val="20"/>
              </w:rPr>
            </w:pPr>
            <w:r w:rsidRPr="00234433">
              <w:rPr>
                <w:szCs w:val="20"/>
              </w:rPr>
              <w:t>19</w:t>
            </w:r>
            <w:r w:rsidRPr="00234433">
              <w:rPr>
                <w:szCs w:val="20"/>
              </w:rPr>
              <w:br/>
              <w:t>(8%)</w:t>
            </w:r>
          </w:p>
        </w:tc>
        <w:tc>
          <w:tcPr>
            <w:tcW w:w="382" w:type="pct"/>
          </w:tcPr>
          <w:p w14:paraId="6D8DD150" w14:textId="77777777" w:rsidR="000A6A74" w:rsidRPr="00234433" w:rsidRDefault="000A6A74" w:rsidP="00AC29E2">
            <w:pPr>
              <w:pStyle w:val="TableBody"/>
              <w:rPr>
                <w:szCs w:val="20"/>
              </w:rPr>
            </w:pPr>
            <w:r w:rsidRPr="00234433">
              <w:rPr>
                <w:szCs w:val="20"/>
              </w:rPr>
              <w:t>9</w:t>
            </w:r>
            <w:r w:rsidRPr="00234433">
              <w:rPr>
                <w:szCs w:val="20"/>
              </w:rPr>
              <w:br/>
              <w:t>(6%)</w:t>
            </w:r>
          </w:p>
        </w:tc>
        <w:tc>
          <w:tcPr>
            <w:tcW w:w="382" w:type="pct"/>
          </w:tcPr>
          <w:p w14:paraId="74A3E996" w14:textId="77777777" w:rsidR="000A6A74" w:rsidRPr="00234433" w:rsidRDefault="000A6A74" w:rsidP="00AC29E2">
            <w:pPr>
              <w:pStyle w:val="TableBody"/>
              <w:rPr>
                <w:szCs w:val="20"/>
              </w:rPr>
            </w:pPr>
            <w:r w:rsidRPr="00234433">
              <w:rPr>
                <w:szCs w:val="20"/>
              </w:rPr>
              <w:t>6</w:t>
            </w:r>
            <w:r w:rsidRPr="00234433">
              <w:rPr>
                <w:szCs w:val="20"/>
              </w:rPr>
              <w:br/>
              <w:t>(4%)</w:t>
            </w:r>
          </w:p>
        </w:tc>
        <w:tc>
          <w:tcPr>
            <w:tcW w:w="382" w:type="pct"/>
          </w:tcPr>
          <w:p w14:paraId="4F4525B0" w14:textId="77777777" w:rsidR="000A6A74" w:rsidRPr="00234433" w:rsidRDefault="000A6A74" w:rsidP="00AC29E2">
            <w:pPr>
              <w:pStyle w:val="TableBody"/>
              <w:rPr>
                <w:szCs w:val="20"/>
              </w:rPr>
            </w:pPr>
            <w:r w:rsidRPr="00234433">
              <w:rPr>
                <w:szCs w:val="20"/>
              </w:rPr>
              <w:t>4</w:t>
            </w:r>
            <w:r w:rsidRPr="00234433">
              <w:rPr>
                <w:szCs w:val="20"/>
              </w:rPr>
              <w:br/>
              <w:t>(2%)</w:t>
            </w:r>
          </w:p>
        </w:tc>
        <w:tc>
          <w:tcPr>
            <w:tcW w:w="382" w:type="pct"/>
          </w:tcPr>
          <w:p w14:paraId="2AC3B711" w14:textId="77777777" w:rsidR="000A6A74" w:rsidRPr="00234433" w:rsidRDefault="000A6A74" w:rsidP="00AC29E2">
            <w:pPr>
              <w:pStyle w:val="TableBody"/>
              <w:rPr>
                <w:szCs w:val="20"/>
              </w:rPr>
            </w:pPr>
            <w:r w:rsidRPr="00234433">
              <w:rPr>
                <w:szCs w:val="20"/>
              </w:rPr>
              <w:t>9</w:t>
            </w:r>
            <w:r w:rsidRPr="00234433">
              <w:rPr>
                <w:szCs w:val="20"/>
              </w:rPr>
              <w:br/>
              <w:t>(5%)</w:t>
            </w:r>
          </w:p>
        </w:tc>
        <w:tc>
          <w:tcPr>
            <w:tcW w:w="382" w:type="pct"/>
          </w:tcPr>
          <w:p w14:paraId="3152D0C2" w14:textId="77777777" w:rsidR="000A6A74" w:rsidRPr="00234433" w:rsidRDefault="000A6A74" w:rsidP="00AC29E2">
            <w:pPr>
              <w:pStyle w:val="TableBody"/>
              <w:rPr>
                <w:szCs w:val="20"/>
              </w:rPr>
            </w:pPr>
            <w:r w:rsidRPr="00234433">
              <w:rPr>
                <w:szCs w:val="20"/>
              </w:rPr>
              <w:t>5</w:t>
            </w:r>
            <w:r w:rsidRPr="00234433">
              <w:rPr>
                <w:szCs w:val="20"/>
              </w:rPr>
              <w:br/>
              <w:t>(4%)</w:t>
            </w:r>
          </w:p>
        </w:tc>
        <w:tc>
          <w:tcPr>
            <w:tcW w:w="382" w:type="pct"/>
          </w:tcPr>
          <w:p w14:paraId="511F6430" w14:textId="77777777" w:rsidR="000A6A74" w:rsidRPr="00234433" w:rsidRDefault="000A6A74" w:rsidP="00AC29E2">
            <w:pPr>
              <w:pStyle w:val="TableBody"/>
              <w:rPr>
                <w:szCs w:val="20"/>
              </w:rPr>
            </w:pPr>
            <w:r w:rsidRPr="00234433">
              <w:rPr>
                <w:szCs w:val="20"/>
              </w:rPr>
              <w:t>6</w:t>
            </w:r>
            <w:r w:rsidRPr="00234433">
              <w:rPr>
                <w:szCs w:val="20"/>
              </w:rPr>
              <w:br/>
              <w:t>(4%)</w:t>
            </w:r>
          </w:p>
        </w:tc>
        <w:tc>
          <w:tcPr>
            <w:tcW w:w="382" w:type="pct"/>
          </w:tcPr>
          <w:p w14:paraId="3C536ABE" w14:textId="77777777" w:rsidR="000A6A74" w:rsidRPr="00234433" w:rsidRDefault="000A6A74" w:rsidP="00AC29E2">
            <w:pPr>
              <w:pStyle w:val="TableBody"/>
              <w:rPr>
                <w:szCs w:val="20"/>
              </w:rPr>
            </w:pPr>
            <w:r w:rsidRPr="00234433">
              <w:rPr>
                <w:szCs w:val="20"/>
              </w:rPr>
              <w:t>3</w:t>
            </w:r>
            <w:r w:rsidRPr="00234433">
              <w:rPr>
                <w:szCs w:val="20"/>
              </w:rPr>
              <w:br/>
              <w:t>(2%)</w:t>
            </w:r>
          </w:p>
        </w:tc>
        <w:tc>
          <w:tcPr>
            <w:tcW w:w="504" w:type="pct"/>
          </w:tcPr>
          <w:p w14:paraId="6732C4AD" w14:textId="77777777" w:rsidR="000A6A74" w:rsidRPr="00234433" w:rsidRDefault="000A6A74" w:rsidP="00AC29E2">
            <w:pPr>
              <w:pStyle w:val="TableBody"/>
              <w:rPr>
                <w:rStyle w:val="Strong"/>
                <w:szCs w:val="20"/>
              </w:rPr>
            </w:pPr>
            <w:r w:rsidRPr="00234433">
              <w:rPr>
                <w:rStyle w:val="Strong"/>
                <w:szCs w:val="20"/>
              </w:rPr>
              <w:t>159</w:t>
            </w:r>
            <w:r w:rsidRPr="00234433">
              <w:rPr>
                <w:rStyle w:val="Strong"/>
                <w:szCs w:val="20"/>
              </w:rPr>
              <w:br/>
              <w:t>(9%)</w:t>
            </w:r>
          </w:p>
        </w:tc>
      </w:tr>
      <w:tr w:rsidR="00F1341B" w:rsidRPr="007F530F" w14:paraId="4127E257" w14:textId="77777777" w:rsidTr="00AC29E2">
        <w:trPr>
          <w:trHeight w:val="60"/>
        </w:trPr>
        <w:tc>
          <w:tcPr>
            <w:tcW w:w="676" w:type="pct"/>
          </w:tcPr>
          <w:p w14:paraId="163B601F" w14:textId="37E88E17" w:rsidR="000A6A74" w:rsidRPr="00234433" w:rsidRDefault="000A6A74" w:rsidP="00AC29E2">
            <w:pPr>
              <w:pStyle w:val="TableBody"/>
              <w:rPr>
                <w:szCs w:val="20"/>
              </w:rPr>
            </w:pPr>
            <w:r w:rsidRPr="00234433">
              <w:rPr>
                <w:szCs w:val="20"/>
              </w:rPr>
              <w:lastRenderedPageBreak/>
              <w:t>Other, higher courts</w:t>
            </w:r>
          </w:p>
        </w:tc>
        <w:tc>
          <w:tcPr>
            <w:tcW w:w="382" w:type="pct"/>
          </w:tcPr>
          <w:p w14:paraId="7EE34A6B" w14:textId="77777777" w:rsidR="000A6A74" w:rsidRPr="00234433" w:rsidRDefault="000A6A74" w:rsidP="00AC29E2">
            <w:pPr>
              <w:pStyle w:val="TableBody"/>
              <w:rPr>
                <w:szCs w:val="20"/>
              </w:rPr>
            </w:pPr>
            <w:r w:rsidRPr="00234433">
              <w:rPr>
                <w:szCs w:val="20"/>
              </w:rPr>
              <w:t>5</w:t>
            </w:r>
            <w:r w:rsidRPr="00234433">
              <w:rPr>
                <w:szCs w:val="20"/>
              </w:rPr>
              <w:br/>
              <w:t>(3%)</w:t>
            </w:r>
          </w:p>
        </w:tc>
        <w:tc>
          <w:tcPr>
            <w:tcW w:w="382" w:type="pct"/>
          </w:tcPr>
          <w:p w14:paraId="70AADDCF" w14:textId="77777777" w:rsidR="000A6A74" w:rsidRPr="00234433" w:rsidRDefault="000A6A74" w:rsidP="00AC29E2">
            <w:pPr>
              <w:pStyle w:val="TableBody"/>
              <w:rPr>
                <w:szCs w:val="20"/>
              </w:rPr>
            </w:pPr>
            <w:r w:rsidRPr="00234433">
              <w:rPr>
                <w:szCs w:val="20"/>
              </w:rPr>
              <w:t>5</w:t>
            </w:r>
            <w:r w:rsidRPr="00234433">
              <w:rPr>
                <w:szCs w:val="20"/>
              </w:rPr>
              <w:br/>
              <w:t>(2%)</w:t>
            </w:r>
          </w:p>
        </w:tc>
        <w:tc>
          <w:tcPr>
            <w:tcW w:w="382" w:type="pct"/>
          </w:tcPr>
          <w:p w14:paraId="660C409D" w14:textId="77777777" w:rsidR="000A6A74" w:rsidRPr="00234433" w:rsidRDefault="000A6A74" w:rsidP="00AC29E2">
            <w:pPr>
              <w:pStyle w:val="TableBody"/>
              <w:rPr>
                <w:szCs w:val="20"/>
              </w:rPr>
            </w:pPr>
            <w:r w:rsidRPr="00234433">
              <w:rPr>
                <w:szCs w:val="20"/>
              </w:rPr>
              <w:t>2</w:t>
            </w:r>
            <w:r w:rsidRPr="00234433">
              <w:rPr>
                <w:szCs w:val="20"/>
              </w:rPr>
              <w:br/>
              <w:t>(1%)</w:t>
            </w:r>
          </w:p>
        </w:tc>
        <w:tc>
          <w:tcPr>
            <w:tcW w:w="382" w:type="pct"/>
          </w:tcPr>
          <w:p w14:paraId="7F17AEF5" w14:textId="77777777" w:rsidR="000A6A74" w:rsidRPr="00234433" w:rsidRDefault="000A6A74" w:rsidP="00AC29E2">
            <w:pPr>
              <w:pStyle w:val="TableBody"/>
              <w:rPr>
                <w:szCs w:val="20"/>
              </w:rPr>
            </w:pPr>
            <w:r w:rsidRPr="00234433">
              <w:rPr>
                <w:szCs w:val="20"/>
              </w:rPr>
              <w:t>5</w:t>
            </w:r>
            <w:r w:rsidRPr="00234433">
              <w:rPr>
                <w:szCs w:val="20"/>
              </w:rPr>
              <w:br/>
              <w:t>(3%)</w:t>
            </w:r>
          </w:p>
        </w:tc>
        <w:tc>
          <w:tcPr>
            <w:tcW w:w="382" w:type="pct"/>
          </w:tcPr>
          <w:p w14:paraId="4A9FEABC" w14:textId="77777777" w:rsidR="000A6A74" w:rsidRPr="00234433" w:rsidRDefault="000A6A74" w:rsidP="00AC29E2">
            <w:pPr>
              <w:pStyle w:val="TableBody"/>
              <w:rPr>
                <w:szCs w:val="20"/>
              </w:rPr>
            </w:pPr>
            <w:r w:rsidRPr="00234433">
              <w:rPr>
                <w:szCs w:val="20"/>
              </w:rPr>
              <w:t>5</w:t>
            </w:r>
            <w:r w:rsidRPr="00234433">
              <w:rPr>
                <w:szCs w:val="20"/>
              </w:rPr>
              <w:br/>
              <w:t>(3%)</w:t>
            </w:r>
          </w:p>
        </w:tc>
        <w:tc>
          <w:tcPr>
            <w:tcW w:w="382" w:type="pct"/>
          </w:tcPr>
          <w:p w14:paraId="73FD0057" w14:textId="77777777" w:rsidR="000A6A74" w:rsidRPr="00234433" w:rsidRDefault="000A6A74" w:rsidP="00AC29E2">
            <w:pPr>
              <w:pStyle w:val="TableBody"/>
              <w:rPr>
                <w:szCs w:val="20"/>
              </w:rPr>
            </w:pPr>
            <w:r w:rsidRPr="00234433">
              <w:rPr>
                <w:szCs w:val="20"/>
              </w:rPr>
              <w:t>5</w:t>
            </w:r>
            <w:r w:rsidRPr="00234433">
              <w:rPr>
                <w:szCs w:val="20"/>
              </w:rPr>
              <w:br/>
              <w:t>(3%)</w:t>
            </w:r>
          </w:p>
        </w:tc>
        <w:tc>
          <w:tcPr>
            <w:tcW w:w="382" w:type="pct"/>
          </w:tcPr>
          <w:p w14:paraId="4C0305D6" w14:textId="77777777" w:rsidR="000A6A74" w:rsidRPr="00234433" w:rsidRDefault="000A6A74" w:rsidP="00AC29E2">
            <w:pPr>
              <w:pStyle w:val="TableBody"/>
              <w:rPr>
                <w:szCs w:val="20"/>
              </w:rPr>
            </w:pPr>
            <w:r w:rsidRPr="00234433">
              <w:rPr>
                <w:szCs w:val="20"/>
              </w:rPr>
              <w:t>5</w:t>
            </w:r>
            <w:r w:rsidRPr="00234433">
              <w:rPr>
                <w:szCs w:val="20"/>
              </w:rPr>
              <w:br/>
              <w:t>(3%)</w:t>
            </w:r>
          </w:p>
        </w:tc>
        <w:tc>
          <w:tcPr>
            <w:tcW w:w="382" w:type="pct"/>
          </w:tcPr>
          <w:p w14:paraId="2B03C2E0" w14:textId="77777777" w:rsidR="000A6A74" w:rsidRPr="00234433" w:rsidRDefault="000A6A74" w:rsidP="00AC29E2">
            <w:pPr>
              <w:pStyle w:val="TableBody"/>
              <w:rPr>
                <w:szCs w:val="20"/>
              </w:rPr>
            </w:pPr>
            <w:r w:rsidRPr="00234433">
              <w:rPr>
                <w:szCs w:val="20"/>
              </w:rPr>
              <w:t>5</w:t>
            </w:r>
            <w:r w:rsidRPr="00234433">
              <w:rPr>
                <w:szCs w:val="20"/>
              </w:rPr>
              <w:br/>
              <w:t>(4%)</w:t>
            </w:r>
          </w:p>
        </w:tc>
        <w:tc>
          <w:tcPr>
            <w:tcW w:w="382" w:type="pct"/>
          </w:tcPr>
          <w:p w14:paraId="4A57E6F0" w14:textId="77777777" w:rsidR="000A6A74" w:rsidRPr="00234433" w:rsidRDefault="000A6A74" w:rsidP="00AC29E2">
            <w:pPr>
              <w:pStyle w:val="TableBody"/>
              <w:rPr>
                <w:szCs w:val="20"/>
              </w:rPr>
            </w:pPr>
            <w:r w:rsidRPr="00234433">
              <w:rPr>
                <w:szCs w:val="20"/>
              </w:rPr>
              <w:t>5</w:t>
            </w:r>
            <w:r w:rsidRPr="00234433">
              <w:rPr>
                <w:szCs w:val="20"/>
              </w:rPr>
              <w:br/>
              <w:t>(4%)</w:t>
            </w:r>
          </w:p>
        </w:tc>
        <w:tc>
          <w:tcPr>
            <w:tcW w:w="382" w:type="pct"/>
          </w:tcPr>
          <w:p w14:paraId="29435DAE" w14:textId="77777777" w:rsidR="000A6A74" w:rsidRPr="00234433" w:rsidRDefault="000A6A74" w:rsidP="00AC29E2">
            <w:pPr>
              <w:pStyle w:val="TableBody"/>
              <w:rPr>
                <w:szCs w:val="20"/>
              </w:rPr>
            </w:pPr>
            <w:r w:rsidRPr="00234433">
              <w:rPr>
                <w:szCs w:val="20"/>
              </w:rPr>
              <w:t>–</w:t>
            </w:r>
          </w:p>
        </w:tc>
        <w:tc>
          <w:tcPr>
            <w:tcW w:w="504" w:type="pct"/>
          </w:tcPr>
          <w:p w14:paraId="186DA38C" w14:textId="77777777" w:rsidR="000A6A74" w:rsidRPr="00234433" w:rsidRDefault="000A6A74" w:rsidP="00AC29E2">
            <w:pPr>
              <w:pStyle w:val="TableBody"/>
              <w:rPr>
                <w:rStyle w:val="Strong"/>
                <w:szCs w:val="20"/>
              </w:rPr>
            </w:pPr>
            <w:r w:rsidRPr="00234433">
              <w:rPr>
                <w:rStyle w:val="Strong"/>
                <w:szCs w:val="20"/>
              </w:rPr>
              <w:t>42</w:t>
            </w:r>
            <w:r w:rsidRPr="00234433">
              <w:rPr>
                <w:rStyle w:val="Strong"/>
                <w:szCs w:val="20"/>
              </w:rPr>
              <w:br/>
              <w:t>(2%)</w:t>
            </w:r>
          </w:p>
        </w:tc>
      </w:tr>
      <w:tr w:rsidR="00F1341B" w:rsidRPr="007F530F" w14:paraId="161647EF" w14:textId="77777777" w:rsidTr="00AC29E2">
        <w:trPr>
          <w:trHeight w:val="60"/>
        </w:trPr>
        <w:tc>
          <w:tcPr>
            <w:tcW w:w="676" w:type="pct"/>
          </w:tcPr>
          <w:p w14:paraId="00A18FC6" w14:textId="5CE23A8E" w:rsidR="000A6A74" w:rsidRPr="00234433" w:rsidRDefault="000A6A74" w:rsidP="00AC29E2">
            <w:pPr>
              <w:pStyle w:val="TableBody"/>
              <w:rPr>
                <w:rFonts w:cstheme="minorBidi"/>
                <w:color w:val="auto"/>
                <w:lang w:val="en-AU"/>
              </w:rPr>
            </w:pPr>
            <w:r w:rsidRPr="00234433">
              <w:rPr>
                <w:rStyle w:val="Strong"/>
                <w:szCs w:val="20"/>
              </w:rPr>
              <w:t>Total</w:t>
            </w:r>
          </w:p>
        </w:tc>
        <w:tc>
          <w:tcPr>
            <w:tcW w:w="382" w:type="pct"/>
          </w:tcPr>
          <w:p w14:paraId="51155E2B" w14:textId="77777777" w:rsidR="000A6A74" w:rsidRPr="00234433" w:rsidRDefault="000A6A74" w:rsidP="00AC29E2">
            <w:pPr>
              <w:pStyle w:val="TableBody"/>
              <w:rPr>
                <w:rStyle w:val="Strong"/>
                <w:szCs w:val="20"/>
              </w:rPr>
            </w:pPr>
            <w:r w:rsidRPr="00234433">
              <w:rPr>
                <w:rStyle w:val="Strong"/>
                <w:szCs w:val="20"/>
              </w:rPr>
              <w:t>200</w:t>
            </w:r>
          </w:p>
        </w:tc>
        <w:tc>
          <w:tcPr>
            <w:tcW w:w="382" w:type="pct"/>
          </w:tcPr>
          <w:p w14:paraId="3BCA7D27" w14:textId="77777777" w:rsidR="000A6A74" w:rsidRPr="00234433" w:rsidRDefault="000A6A74" w:rsidP="00AC29E2">
            <w:pPr>
              <w:pStyle w:val="TableBody"/>
              <w:rPr>
                <w:rStyle w:val="Strong"/>
                <w:szCs w:val="20"/>
              </w:rPr>
            </w:pPr>
            <w:r w:rsidRPr="00234433">
              <w:rPr>
                <w:rStyle w:val="Strong"/>
                <w:szCs w:val="20"/>
              </w:rPr>
              <w:t>256</w:t>
            </w:r>
          </w:p>
        </w:tc>
        <w:tc>
          <w:tcPr>
            <w:tcW w:w="382" w:type="pct"/>
          </w:tcPr>
          <w:p w14:paraId="623004D4" w14:textId="77777777" w:rsidR="000A6A74" w:rsidRPr="00234433" w:rsidRDefault="000A6A74" w:rsidP="00AC29E2">
            <w:pPr>
              <w:pStyle w:val="TableBody"/>
              <w:rPr>
                <w:rStyle w:val="Strong"/>
                <w:szCs w:val="20"/>
              </w:rPr>
            </w:pPr>
            <w:r w:rsidRPr="00234433">
              <w:rPr>
                <w:rStyle w:val="Strong"/>
                <w:szCs w:val="20"/>
              </w:rPr>
              <w:t>242</w:t>
            </w:r>
          </w:p>
        </w:tc>
        <w:tc>
          <w:tcPr>
            <w:tcW w:w="382" w:type="pct"/>
          </w:tcPr>
          <w:p w14:paraId="673613AD" w14:textId="77777777" w:rsidR="000A6A74" w:rsidRPr="00234433" w:rsidRDefault="000A6A74" w:rsidP="00AC29E2">
            <w:pPr>
              <w:pStyle w:val="TableBody"/>
              <w:rPr>
                <w:rStyle w:val="Strong"/>
                <w:szCs w:val="20"/>
              </w:rPr>
            </w:pPr>
            <w:r w:rsidRPr="00234433">
              <w:rPr>
                <w:rStyle w:val="Strong"/>
                <w:szCs w:val="20"/>
              </w:rPr>
              <w:t>150</w:t>
            </w:r>
          </w:p>
        </w:tc>
        <w:tc>
          <w:tcPr>
            <w:tcW w:w="382" w:type="pct"/>
          </w:tcPr>
          <w:p w14:paraId="209DCBCF" w14:textId="77777777" w:rsidR="000A6A74" w:rsidRPr="00234433" w:rsidRDefault="000A6A74" w:rsidP="00AC29E2">
            <w:pPr>
              <w:pStyle w:val="TableBody"/>
              <w:rPr>
                <w:rStyle w:val="Strong"/>
                <w:szCs w:val="20"/>
              </w:rPr>
            </w:pPr>
            <w:r w:rsidRPr="00234433">
              <w:rPr>
                <w:rStyle w:val="Strong"/>
                <w:szCs w:val="20"/>
              </w:rPr>
              <w:t>149</w:t>
            </w:r>
          </w:p>
        </w:tc>
        <w:tc>
          <w:tcPr>
            <w:tcW w:w="382" w:type="pct"/>
          </w:tcPr>
          <w:p w14:paraId="60A0969E" w14:textId="77777777" w:rsidR="000A6A74" w:rsidRPr="00234433" w:rsidRDefault="000A6A74" w:rsidP="00AC29E2">
            <w:pPr>
              <w:pStyle w:val="TableBody"/>
              <w:rPr>
                <w:rStyle w:val="Strong"/>
                <w:szCs w:val="20"/>
              </w:rPr>
            </w:pPr>
            <w:r w:rsidRPr="00234433">
              <w:rPr>
                <w:rStyle w:val="Strong"/>
                <w:szCs w:val="20"/>
              </w:rPr>
              <w:t>175</w:t>
            </w:r>
          </w:p>
        </w:tc>
        <w:tc>
          <w:tcPr>
            <w:tcW w:w="382" w:type="pct"/>
          </w:tcPr>
          <w:p w14:paraId="0BBF241D" w14:textId="77777777" w:rsidR="000A6A74" w:rsidRPr="00234433" w:rsidRDefault="000A6A74" w:rsidP="00AC29E2">
            <w:pPr>
              <w:pStyle w:val="TableBody"/>
              <w:rPr>
                <w:rStyle w:val="Strong"/>
                <w:szCs w:val="20"/>
              </w:rPr>
            </w:pPr>
            <w:r w:rsidRPr="00234433">
              <w:rPr>
                <w:rStyle w:val="Strong"/>
                <w:szCs w:val="20"/>
              </w:rPr>
              <w:t>179</w:t>
            </w:r>
          </w:p>
        </w:tc>
        <w:tc>
          <w:tcPr>
            <w:tcW w:w="382" w:type="pct"/>
          </w:tcPr>
          <w:p w14:paraId="3ED9118D" w14:textId="77777777" w:rsidR="000A6A74" w:rsidRPr="00234433" w:rsidRDefault="000A6A74" w:rsidP="00AC29E2">
            <w:pPr>
              <w:pStyle w:val="TableBody"/>
              <w:rPr>
                <w:rStyle w:val="Strong"/>
                <w:szCs w:val="20"/>
              </w:rPr>
            </w:pPr>
            <w:r w:rsidRPr="00234433">
              <w:rPr>
                <w:rStyle w:val="Strong"/>
                <w:szCs w:val="20"/>
              </w:rPr>
              <w:t>136</w:t>
            </w:r>
          </w:p>
        </w:tc>
        <w:tc>
          <w:tcPr>
            <w:tcW w:w="382" w:type="pct"/>
          </w:tcPr>
          <w:p w14:paraId="28831DB9" w14:textId="77777777" w:rsidR="000A6A74" w:rsidRPr="00234433" w:rsidRDefault="000A6A74" w:rsidP="00AC29E2">
            <w:pPr>
              <w:pStyle w:val="TableBody"/>
              <w:rPr>
                <w:rStyle w:val="Strong"/>
                <w:szCs w:val="20"/>
              </w:rPr>
            </w:pPr>
            <w:r w:rsidRPr="00234433">
              <w:rPr>
                <w:rStyle w:val="Strong"/>
                <w:szCs w:val="20"/>
              </w:rPr>
              <w:t>139</w:t>
            </w:r>
          </w:p>
        </w:tc>
        <w:tc>
          <w:tcPr>
            <w:tcW w:w="382" w:type="pct"/>
          </w:tcPr>
          <w:p w14:paraId="49181155" w14:textId="77777777" w:rsidR="000A6A74" w:rsidRPr="00234433" w:rsidRDefault="000A6A74" w:rsidP="00AC29E2">
            <w:pPr>
              <w:pStyle w:val="TableBody"/>
              <w:rPr>
                <w:rStyle w:val="Strong"/>
                <w:szCs w:val="20"/>
              </w:rPr>
            </w:pPr>
            <w:r w:rsidRPr="00234433">
              <w:rPr>
                <w:rStyle w:val="Strong"/>
                <w:szCs w:val="20"/>
              </w:rPr>
              <w:t>146</w:t>
            </w:r>
          </w:p>
        </w:tc>
        <w:tc>
          <w:tcPr>
            <w:tcW w:w="504" w:type="pct"/>
          </w:tcPr>
          <w:p w14:paraId="3B5DBC87" w14:textId="77777777" w:rsidR="000A6A74" w:rsidRPr="00234433" w:rsidRDefault="000A6A74" w:rsidP="00AC29E2">
            <w:pPr>
              <w:pStyle w:val="TableBody"/>
              <w:rPr>
                <w:rStyle w:val="Strong"/>
                <w:szCs w:val="20"/>
              </w:rPr>
            </w:pPr>
            <w:r w:rsidRPr="00234433">
              <w:rPr>
                <w:rStyle w:val="Strong"/>
                <w:szCs w:val="20"/>
              </w:rPr>
              <w:t>1,772</w:t>
            </w:r>
          </w:p>
        </w:tc>
      </w:tr>
      <w:tr w:rsidR="00497214" w:rsidRPr="007F530F" w14:paraId="60E9179C" w14:textId="77777777" w:rsidTr="00AC29E2">
        <w:trPr>
          <w:trHeight w:val="60"/>
        </w:trPr>
        <w:tc>
          <w:tcPr>
            <w:tcW w:w="5000" w:type="pct"/>
            <w:gridSpan w:val="12"/>
          </w:tcPr>
          <w:p w14:paraId="35859670" w14:textId="3861B83E" w:rsidR="00497214" w:rsidRPr="00234433" w:rsidRDefault="00497214" w:rsidP="00AC29E2">
            <w:pPr>
              <w:pStyle w:val="TableBody"/>
              <w:rPr>
                <w:rStyle w:val="Strong"/>
                <w:szCs w:val="20"/>
              </w:rPr>
            </w:pPr>
            <w:r w:rsidRPr="00234433">
              <w:rPr>
                <w:rStyle w:val="Strong"/>
                <w:szCs w:val="20"/>
              </w:rPr>
              <w:t>Child aged 16 or 17</w:t>
            </w:r>
            <w:r w:rsidRPr="00696ADB">
              <w:rPr>
                <w:rStyle w:val="Strong"/>
                <w:vertAlign w:val="superscript"/>
              </w:rPr>
              <w:t>c</w:t>
            </w:r>
          </w:p>
        </w:tc>
      </w:tr>
      <w:tr w:rsidR="00F1341B" w:rsidRPr="007F530F" w14:paraId="2CF76FBD" w14:textId="77777777" w:rsidTr="00AC29E2">
        <w:trPr>
          <w:trHeight w:val="60"/>
        </w:trPr>
        <w:tc>
          <w:tcPr>
            <w:tcW w:w="676" w:type="pct"/>
          </w:tcPr>
          <w:p w14:paraId="4DD37642" w14:textId="78460D2C" w:rsidR="000A6A74" w:rsidRPr="00234433" w:rsidRDefault="000A6A74" w:rsidP="00AC29E2">
            <w:pPr>
              <w:pStyle w:val="TableBody"/>
              <w:rPr>
                <w:szCs w:val="20"/>
              </w:rPr>
            </w:pPr>
            <w:r w:rsidRPr="00234433">
              <w:rPr>
                <w:szCs w:val="20"/>
              </w:rPr>
              <w:t>Immediate custodial sentence, higher courts</w:t>
            </w:r>
          </w:p>
        </w:tc>
        <w:tc>
          <w:tcPr>
            <w:tcW w:w="382" w:type="pct"/>
          </w:tcPr>
          <w:p w14:paraId="446C94C6" w14:textId="77777777" w:rsidR="000A6A74" w:rsidRPr="00234433" w:rsidRDefault="000A6A74" w:rsidP="00AC29E2">
            <w:pPr>
              <w:pStyle w:val="TableBody"/>
              <w:rPr>
                <w:szCs w:val="20"/>
              </w:rPr>
            </w:pPr>
            <w:r w:rsidRPr="00234433">
              <w:rPr>
                <w:szCs w:val="20"/>
              </w:rPr>
              <w:t>15</w:t>
            </w:r>
            <w:r w:rsidRPr="00234433">
              <w:rPr>
                <w:szCs w:val="20"/>
              </w:rPr>
              <w:br/>
              <w:t>(68%)</w:t>
            </w:r>
          </w:p>
        </w:tc>
        <w:tc>
          <w:tcPr>
            <w:tcW w:w="382" w:type="pct"/>
          </w:tcPr>
          <w:p w14:paraId="14943EC2" w14:textId="77777777" w:rsidR="000A6A74" w:rsidRPr="00234433" w:rsidRDefault="000A6A74" w:rsidP="00AC29E2">
            <w:pPr>
              <w:pStyle w:val="TableBody"/>
              <w:rPr>
                <w:szCs w:val="20"/>
              </w:rPr>
            </w:pPr>
            <w:r w:rsidRPr="00234433">
              <w:rPr>
                <w:szCs w:val="20"/>
              </w:rPr>
              <w:t>14</w:t>
            </w:r>
            <w:r w:rsidRPr="00234433">
              <w:rPr>
                <w:szCs w:val="20"/>
              </w:rPr>
              <w:br/>
              <w:t>(100%)</w:t>
            </w:r>
          </w:p>
        </w:tc>
        <w:tc>
          <w:tcPr>
            <w:tcW w:w="382" w:type="pct"/>
          </w:tcPr>
          <w:p w14:paraId="16384F41" w14:textId="77777777" w:rsidR="000A6A74" w:rsidRPr="00234433" w:rsidRDefault="000A6A74" w:rsidP="00AC29E2">
            <w:pPr>
              <w:pStyle w:val="TableBody"/>
              <w:rPr>
                <w:szCs w:val="20"/>
              </w:rPr>
            </w:pPr>
            <w:r w:rsidRPr="00234433">
              <w:rPr>
                <w:szCs w:val="20"/>
              </w:rPr>
              <w:t>13</w:t>
            </w:r>
            <w:r w:rsidRPr="00234433">
              <w:rPr>
                <w:szCs w:val="20"/>
              </w:rPr>
              <w:br/>
              <w:t>(93%)</w:t>
            </w:r>
          </w:p>
        </w:tc>
        <w:tc>
          <w:tcPr>
            <w:tcW w:w="382" w:type="pct"/>
          </w:tcPr>
          <w:p w14:paraId="09451BA0" w14:textId="77777777" w:rsidR="000A6A74" w:rsidRPr="00234433" w:rsidRDefault="000A6A74" w:rsidP="00AC29E2">
            <w:pPr>
              <w:pStyle w:val="TableBody"/>
              <w:rPr>
                <w:szCs w:val="20"/>
              </w:rPr>
            </w:pPr>
            <w:r w:rsidRPr="00234433">
              <w:rPr>
                <w:szCs w:val="20"/>
              </w:rPr>
              <w:t>15</w:t>
            </w:r>
            <w:r w:rsidRPr="00234433">
              <w:rPr>
                <w:szCs w:val="20"/>
              </w:rPr>
              <w:br/>
              <w:t>(100%)</w:t>
            </w:r>
          </w:p>
        </w:tc>
        <w:tc>
          <w:tcPr>
            <w:tcW w:w="382" w:type="pct"/>
          </w:tcPr>
          <w:p w14:paraId="3B4186A4" w14:textId="77777777" w:rsidR="000A6A74" w:rsidRPr="00234433" w:rsidRDefault="000A6A74" w:rsidP="00AC29E2">
            <w:pPr>
              <w:pStyle w:val="TableBody"/>
              <w:rPr>
                <w:szCs w:val="20"/>
              </w:rPr>
            </w:pPr>
            <w:r w:rsidRPr="00234433">
              <w:rPr>
                <w:szCs w:val="20"/>
              </w:rPr>
              <w:t>5</w:t>
            </w:r>
            <w:r w:rsidRPr="00234433">
              <w:rPr>
                <w:szCs w:val="20"/>
              </w:rPr>
              <w:br/>
              <w:t>(100%)</w:t>
            </w:r>
          </w:p>
        </w:tc>
        <w:tc>
          <w:tcPr>
            <w:tcW w:w="382" w:type="pct"/>
          </w:tcPr>
          <w:p w14:paraId="5BD72049" w14:textId="77777777" w:rsidR="000A6A74" w:rsidRPr="00234433" w:rsidRDefault="000A6A74" w:rsidP="00AC29E2">
            <w:pPr>
              <w:pStyle w:val="TableBody"/>
              <w:rPr>
                <w:szCs w:val="20"/>
              </w:rPr>
            </w:pPr>
            <w:r w:rsidRPr="00234433">
              <w:rPr>
                <w:szCs w:val="20"/>
              </w:rPr>
              <w:t>21</w:t>
            </w:r>
            <w:r w:rsidRPr="00234433">
              <w:rPr>
                <w:szCs w:val="20"/>
              </w:rPr>
              <w:br/>
              <w:t>(95%)</w:t>
            </w:r>
          </w:p>
        </w:tc>
        <w:tc>
          <w:tcPr>
            <w:tcW w:w="382" w:type="pct"/>
          </w:tcPr>
          <w:p w14:paraId="66FE8122" w14:textId="77777777" w:rsidR="000A6A74" w:rsidRPr="00234433" w:rsidRDefault="000A6A74" w:rsidP="00AC29E2">
            <w:pPr>
              <w:pStyle w:val="TableBody"/>
              <w:rPr>
                <w:szCs w:val="20"/>
              </w:rPr>
            </w:pPr>
            <w:r w:rsidRPr="00234433">
              <w:rPr>
                <w:szCs w:val="20"/>
              </w:rPr>
              <w:t>12</w:t>
            </w:r>
            <w:r w:rsidRPr="00234433">
              <w:rPr>
                <w:szCs w:val="20"/>
              </w:rPr>
              <w:br/>
              <w:t>(100%)</w:t>
            </w:r>
          </w:p>
        </w:tc>
        <w:tc>
          <w:tcPr>
            <w:tcW w:w="382" w:type="pct"/>
          </w:tcPr>
          <w:p w14:paraId="4CACF5C7" w14:textId="77777777" w:rsidR="000A6A74" w:rsidRPr="00234433" w:rsidRDefault="000A6A74" w:rsidP="00AC29E2">
            <w:pPr>
              <w:pStyle w:val="TableBody"/>
              <w:rPr>
                <w:szCs w:val="20"/>
              </w:rPr>
            </w:pPr>
            <w:r w:rsidRPr="00234433">
              <w:rPr>
                <w:szCs w:val="20"/>
              </w:rPr>
              <w:t>9</w:t>
            </w:r>
            <w:r w:rsidRPr="00234433">
              <w:rPr>
                <w:szCs w:val="20"/>
              </w:rPr>
              <w:br/>
              <w:t>(47%)</w:t>
            </w:r>
          </w:p>
        </w:tc>
        <w:tc>
          <w:tcPr>
            <w:tcW w:w="382" w:type="pct"/>
          </w:tcPr>
          <w:p w14:paraId="225DB9DF" w14:textId="77777777" w:rsidR="000A6A74" w:rsidRPr="00234433" w:rsidRDefault="000A6A74" w:rsidP="00AC29E2">
            <w:pPr>
              <w:pStyle w:val="TableBody"/>
              <w:rPr>
                <w:szCs w:val="20"/>
              </w:rPr>
            </w:pPr>
            <w:r w:rsidRPr="00234433">
              <w:rPr>
                <w:szCs w:val="20"/>
              </w:rPr>
              <w:t>4</w:t>
            </w:r>
            <w:r w:rsidRPr="00234433">
              <w:rPr>
                <w:szCs w:val="20"/>
              </w:rPr>
              <w:br/>
              <w:t>(57%)</w:t>
            </w:r>
          </w:p>
        </w:tc>
        <w:tc>
          <w:tcPr>
            <w:tcW w:w="382" w:type="pct"/>
          </w:tcPr>
          <w:p w14:paraId="00B06D0B" w14:textId="77777777" w:rsidR="000A6A74" w:rsidRPr="00234433" w:rsidRDefault="000A6A74" w:rsidP="00AC29E2">
            <w:pPr>
              <w:pStyle w:val="TableBody"/>
              <w:rPr>
                <w:szCs w:val="20"/>
              </w:rPr>
            </w:pPr>
            <w:r w:rsidRPr="00234433">
              <w:rPr>
                <w:szCs w:val="20"/>
              </w:rPr>
              <w:t>16</w:t>
            </w:r>
            <w:r w:rsidRPr="00234433">
              <w:rPr>
                <w:szCs w:val="20"/>
              </w:rPr>
              <w:br/>
              <w:t>(100%)</w:t>
            </w:r>
          </w:p>
        </w:tc>
        <w:tc>
          <w:tcPr>
            <w:tcW w:w="504" w:type="pct"/>
          </w:tcPr>
          <w:p w14:paraId="0B53E7FC" w14:textId="77777777" w:rsidR="000A6A74" w:rsidRPr="00234433" w:rsidRDefault="000A6A74" w:rsidP="00AC29E2">
            <w:pPr>
              <w:pStyle w:val="TableBody"/>
              <w:rPr>
                <w:rStyle w:val="Strong"/>
                <w:szCs w:val="20"/>
              </w:rPr>
            </w:pPr>
            <w:r w:rsidRPr="00234433">
              <w:rPr>
                <w:rStyle w:val="Strong"/>
                <w:szCs w:val="20"/>
              </w:rPr>
              <w:t>124</w:t>
            </w:r>
            <w:r w:rsidRPr="00234433">
              <w:rPr>
                <w:rStyle w:val="Strong"/>
                <w:szCs w:val="20"/>
              </w:rPr>
              <w:br/>
              <w:t>(85%)</w:t>
            </w:r>
          </w:p>
        </w:tc>
      </w:tr>
      <w:tr w:rsidR="00F1341B" w:rsidRPr="007F530F" w14:paraId="32DEE117" w14:textId="77777777" w:rsidTr="00AC29E2">
        <w:trPr>
          <w:trHeight w:val="60"/>
        </w:trPr>
        <w:tc>
          <w:tcPr>
            <w:tcW w:w="676" w:type="pct"/>
          </w:tcPr>
          <w:p w14:paraId="5DF7DFB9" w14:textId="62A9592D" w:rsidR="000A6A74" w:rsidRPr="00234433" w:rsidRDefault="000A6A74" w:rsidP="00AC29E2">
            <w:pPr>
              <w:pStyle w:val="TableBody"/>
              <w:rPr>
                <w:szCs w:val="20"/>
              </w:rPr>
            </w:pPr>
            <w:r w:rsidRPr="00234433">
              <w:rPr>
                <w:szCs w:val="20"/>
              </w:rPr>
              <w:t>Immediate custodial sentence, Magistrates’ Court</w:t>
            </w:r>
          </w:p>
        </w:tc>
        <w:tc>
          <w:tcPr>
            <w:tcW w:w="382" w:type="pct"/>
          </w:tcPr>
          <w:p w14:paraId="094EA90B" w14:textId="77777777" w:rsidR="000A6A74" w:rsidRPr="00234433" w:rsidRDefault="000A6A74" w:rsidP="00AC29E2">
            <w:pPr>
              <w:pStyle w:val="TableBody"/>
              <w:rPr>
                <w:szCs w:val="20"/>
              </w:rPr>
            </w:pPr>
            <w:r w:rsidRPr="00234433">
              <w:rPr>
                <w:szCs w:val="20"/>
              </w:rPr>
              <w:t>–</w:t>
            </w:r>
          </w:p>
        </w:tc>
        <w:tc>
          <w:tcPr>
            <w:tcW w:w="382" w:type="pct"/>
          </w:tcPr>
          <w:p w14:paraId="29B7CB49" w14:textId="77777777" w:rsidR="000A6A74" w:rsidRPr="00234433" w:rsidRDefault="000A6A74" w:rsidP="00AC29E2">
            <w:pPr>
              <w:pStyle w:val="TableBody"/>
              <w:rPr>
                <w:szCs w:val="20"/>
              </w:rPr>
            </w:pPr>
            <w:r w:rsidRPr="00234433">
              <w:rPr>
                <w:szCs w:val="20"/>
              </w:rPr>
              <w:t>–</w:t>
            </w:r>
          </w:p>
        </w:tc>
        <w:tc>
          <w:tcPr>
            <w:tcW w:w="382" w:type="pct"/>
          </w:tcPr>
          <w:p w14:paraId="0AFE8385" w14:textId="77777777" w:rsidR="000A6A74" w:rsidRPr="00234433" w:rsidRDefault="000A6A74" w:rsidP="00AC29E2">
            <w:pPr>
              <w:pStyle w:val="TableBody"/>
              <w:rPr>
                <w:szCs w:val="20"/>
              </w:rPr>
            </w:pPr>
            <w:r w:rsidRPr="00234433">
              <w:rPr>
                <w:szCs w:val="20"/>
              </w:rPr>
              <w:t>–</w:t>
            </w:r>
          </w:p>
        </w:tc>
        <w:tc>
          <w:tcPr>
            <w:tcW w:w="382" w:type="pct"/>
          </w:tcPr>
          <w:p w14:paraId="61082A2E" w14:textId="77777777" w:rsidR="000A6A74" w:rsidRPr="00234433" w:rsidRDefault="000A6A74" w:rsidP="00AC29E2">
            <w:pPr>
              <w:pStyle w:val="TableBody"/>
              <w:rPr>
                <w:szCs w:val="20"/>
              </w:rPr>
            </w:pPr>
            <w:r w:rsidRPr="00234433">
              <w:rPr>
                <w:szCs w:val="20"/>
              </w:rPr>
              <w:t>–</w:t>
            </w:r>
          </w:p>
        </w:tc>
        <w:tc>
          <w:tcPr>
            <w:tcW w:w="382" w:type="pct"/>
          </w:tcPr>
          <w:p w14:paraId="11470EA4" w14:textId="77777777" w:rsidR="000A6A74" w:rsidRPr="00234433" w:rsidRDefault="000A6A74" w:rsidP="00AC29E2">
            <w:pPr>
              <w:pStyle w:val="TableBody"/>
              <w:rPr>
                <w:szCs w:val="20"/>
              </w:rPr>
            </w:pPr>
            <w:r w:rsidRPr="00234433">
              <w:rPr>
                <w:szCs w:val="20"/>
              </w:rPr>
              <w:t>1</w:t>
            </w:r>
            <w:r w:rsidRPr="00234433">
              <w:rPr>
                <w:szCs w:val="20"/>
              </w:rPr>
              <w:br/>
              <w:t>(50%)</w:t>
            </w:r>
          </w:p>
        </w:tc>
        <w:tc>
          <w:tcPr>
            <w:tcW w:w="382" w:type="pct"/>
          </w:tcPr>
          <w:p w14:paraId="6E095A94" w14:textId="77777777" w:rsidR="000A6A74" w:rsidRPr="00234433" w:rsidRDefault="000A6A74" w:rsidP="00AC29E2">
            <w:pPr>
              <w:pStyle w:val="TableBody"/>
              <w:rPr>
                <w:szCs w:val="20"/>
              </w:rPr>
            </w:pPr>
            <w:r w:rsidRPr="00234433">
              <w:rPr>
                <w:szCs w:val="20"/>
              </w:rPr>
              <w:t>–</w:t>
            </w:r>
          </w:p>
        </w:tc>
        <w:tc>
          <w:tcPr>
            <w:tcW w:w="382" w:type="pct"/>
          </w:tcPr>
          <w:p w14:paraId="77E4D806" w14:textId="77777777" w:rsidR="000A6A74" w:rsidRPr="00234433" w:rsidRDefault="000A6A74" w:rsidP="00AC29E2">
            <w:pPr>
              <w:pStyle w:val="TableBody"/>
              <w:rPr>
                <w:szCs w:val="20"/>
              </w:rPr>
            </w:pPr>
            <w:r w:rsidRPr="00234433">
              <w:rPr>
                <w:szCs w:val="20"/>
              </w:rPr>
              <w:t>–</w:t>
            </w:r>
          </w:p>
        </w:tc>
        <w:tc>
          <w:tcPr>
            <w:tcW w:w="382" w:type="pct"/>
          </w:tcPr>
          <w:p w14:paraId="21404C8D" w14:textId="77777777" w:rsidR="000A6A74" w:rsidRPr="00234433" w:rsidRDefault="000A6A74" w:rsidP="00AC29E2">
            <w:pPr>
              <w:pStyle w:val="TableBody"/>
              <w:rPr>
                <w:szCs w:val="20"/>
              </w:rPr>
            </w:pPr>
            <w:r w:rsidRPr="00234433">
              <w:rPr>
                <w:szCs w:val="20"/>
              </w:rPr>
              <w:t>–</w:t>
            </w:r>
          </w:p>
        </w:tc>
        <w:tc>
          <w:tcPr>
            <w:tcW w:w="382" w:type="pct"/>
          </w:tcPr>
          <w:p w14:paraId="3AC58621" w14:textId="77777777" w:rsidR="000A6A74" w:rsidRPr="00234433" w:rsidRDefault="000A6A74" w:rsidP="00AC29E2">
            <w:pPr>
              <w:pStyle w:val="TableBody"/>
              <w:rPr>
                <w:szCs w:val="20"/>
              </w:rPr>
            </w:pPr>
            <w:r w:rsidRPr="00234433">
              <w:rPr>
                <w:szCs w:val="20"/>
              </w:rPr>
              <w:t>–</w:t>
            </w:r>
          </w:p>
        </w:tc>
        <w:tc>
          <w:tcPr>
            <w:tcW w:w="382" w:type="pct"/>
          </w:tcPr>
          <w:p w14:paraId="46B76FB6" w14:textId="77777777" w:rsidR="000A6A74" w:rsidRPr="00234433" w:rsidRDefault="000A6A74" w:rsidP="00AC29E2">
            <w:pPr>
              <w:pStyle w:val="TableBody"/>
              <w:rPr>
                <w:szCs w:val="20"/>
              </w:rPr>
            </w:pPr>
            <w:r w:rsidRPr="00234433">
              <w:rPr>
                <w:szCs w:val="20"/>
              </w:rPr>
              <w:t>–</w:t>
            </w:r>
          </w:p>
        </w:tc>
        <w:tc>
          <w:tcPr>
            <w:tcW w:w="504" w:type="pct"/>
          </w:tcPr>
          <w:p w14:paraId="06457D26" w14:textId="77777777" w:rsidR="000A6A74" w:rsidRPr="00234433" w:rsidRDefault="000A6A74" w:rsidP="00AC29E2">
            <w:pPr>
              <w:pStyle w:val="TableBody"/>
              <w:rPr>
                <w:rStyle w:val="Strong"/>
                <w:szCs w:val="20"/>
              </w:rPr>
            </w:pPr>
            <w:r w:rsidRPr="00234433">
              <w:rPr>
                <w:rStyle w:val="Strong"/>
                <w:szCs w:val="20"/>
              </w:rPr>
              <w:t>1</w:t>
            </w:r>
            <w:r w:rsidRPr="00234433">
              <w:rPr>
                <w:rStyle w:val="Strong"/>
                <w:szCs w:val="20"/>
              </w:rPr>
              <w:br/>
              <w:t>(33%)</w:t>
            </w:r>
          </w:p>
        </w:tc>
      </w:tr>
      <w:tr w:rsidR="00F1341B" w:rsidRPr="007F530F" w14:paraId="386023EC" w14:textId="77777777" w:rsidTr="00AC29E2">
        <w:trPr>
          <w:trHeight w:val="60"/>
        </w:trPr>
        <w:tc>
          <w:tcPr>
            <w:tcW w:w="676" w:type="pct"/>
          </w:tcPr>
          <w:p w14:paraId="33D17DF6" w14:textId="0836E680" w:rsidR="000A6A74" w:rsidRPr="00234433" w:rsidRDefault="000A6A74" w:rsidP="00AC29E2">
            <w:pPr>
              <w:pStyle w:val="TableBody"/>
              <w:rPr>
                <w:szCs w:val="20"/>
              </w:rPr>
            </w:pPr>
            <w:r w:rsidRPr="00234433">
              <w:rPr>
                <w:szCs w:val="20"/>
              </w:rPr>
              <w:t>Other, higher courts</w:t>
            </w:r>
          </w:p>
        </w:tc>
        <w:tc>
          <w:tcPr>
            <w:tcW w:w="382" w:type="pct"/>
          </w:tcPr>
          <w:p w14:paraId="06DA25E8" w14:textId="77777777" w:rsidR="000A6A74" w:rsidRPr="00234433" w:rsidRDefault="000A6A74" w:rsidP="00AC29E2">
            <w:pPr>
              <w:pStyle w:val="TableBody"/>
              <w:rPr>
                <w:szCs w:val="20"/>
              </w:rPr>
            </w:pPr>
            <w:r w:rsidRPr="00234433">
              <w:rPr>
                <w:szCs w:val="20"/>
              </w:rPr>
              <w:t>7</w:t>
            </w:r>
            <w:r w:rsidRPr="00234433">
              <w:rPr>
                <w:szCs w:val="20"/>
              </w:rPr>
              <w:br/>
              <w:t>(32%)</w:t>
            </w:r>
          </w:p>
        </w:tc>
        <w:tc>
          <w:tcPr>
            <w:tcW w:w="382" w:type="pct"/>
          </w:tcPr>
          <w:p w14:paraId="79ECD918" w14:textId="77777777" w:rsidR="000A6A74" w:rsidRPr="00234433" w:rsidRDefault="000A6A74" w:rsidP="00AC29E2">
            <w:pPr>
              <w:pStyle w:val="TableBody"/>
              <w:rPr>
                <w:szCs w:val="20"/>
              </w:rPr>
            </w:pPr>
            <w:r w:rsidRPr="00234433">
              <w:rPr>
                <w:szCs w:val="20"/>
              </w:rPr>
              <w:t>–</w:t>
            </w:r>
          </w:p>
        </w:tc>
        <w:tc>
          <w:tcPr>
            <w:tcW w:w="382" w:type="pct"/>
          </w:tcPr>
          <w:p w14:paraId="0E51672E" w14:textId="77777777" w:rsidR="000A6A74" w:rsidRPr="00234433" w:rsidRDefault="000A6A74" w:rsidP="00AC29E2">
            <w:pPr>
              <w:pStyle w:val="TableBody"/>
              <w:rPr>
                <w:szCs w:val="20"/>
              </w:rPr>
            </w:pPr>
            <w:r w:rsidRPr="00234433">
              <w:rPr>
                <w:szCs w:val="20"/>
              </w:rPr>
              <w:t>1</w:t>
            </w:r>
            <w:r w:rsidRPr="00234433">
              <w:rPr>
                <w:szCs w:val="20"/>
              </w:rPr>
              <w:br/>
              <w:t>(7%)</w:t>
            </w:r>
          </w:p>
        </w:tc>
        <w:tc>
          <w:tcPr>
            <w:tcW w:w="382" w:type="pct"/>
          </w:tcPr>
          <w:p w14:paraId="63F0141E" w14:textId="77777777" w:rsidR="000A6A74" w:rsidRPr="00234433" w:rsidRDefault="000A6A74" w:rsidP="00AC29E2">
            <w:pPr>
              <w:pStyle w:val="TableBody"/>
              <w:rPr>
                <w:szCs w:val="20"/>
              </w:rPr>
            </w:pPr>
            <w:r w:rsidRPr="00234433">
              <w:rPr>
                <w:szCs w:val="20"/>
              </w:rPr>
              <w:t>–</w:t>
            </w:r>
          </w:p>
        </w:tc>
        <w:tc>
          <w:tcPr>
            <w:tcW w:w="382" w:type="pct"/>
          </w:tcPr>
          <w:p w14:paraId="0C40BCE3" w14:textId="77777777" w:rsidR="000A6A74" w:rsidRPr="00234433" w:rsidRDefault="000A6A74" w:rsidP="00AC29E2">
            <w:pPr>
              <w:pStyle w:val="TableBody"/>
              <w:rPr>
                <w:szCs w:val="20"/>
              </w:rPr>
            </w:pPr>
            <w:r w:rsidRPr="00234433">
              <w:rPr>
                <w:szCs w:val="20"/>
              </w:rPr>
              <w:t>–</w:t>
            </w:r>
          </w:p>
        </w:tc>
        <w:tc>
          <w:tcPr>
            <w:tcW w:w="382" w:type="pct"/>
          </w:tcPr>
          <w:p w14:paraId="2A9AF8DA" w14:textId="77777777" w:rsidR="000A6A74" w:rsidRPr="00234433" w:rsidRDefault="000A6A74" w:rsidP="00AC29E2">
            <w:pPr>
              <w:pStyle w:val="TableBody"/>
              <w:rPr>
                <w:szCs w:val="20"/>
              </w:rPr>
            </w:pPr>
            <w:r w:rsidRPr="00234433">
              <w:rPr>
                <w:szCs w:val="20"/>
              </w:rPr>
              <w:t>1</w:t>
            </w:r>
            <w:r w:rsidRPr="00234433">
              <w:rPr>
                <w:szCs w:val="20"/>
              </w:rPr>
              <w:br/>
              <w:t>(5%)</w:t>
            </w:r>
          </w:p>
        </w:tc>
        <w:tc>
          <w:tcPr>
            <w:tcW w:w="382" w:type="pct"/>
          </w:tcPr>
          <w:p w14:paraId="1649995E" w14:textId="77777777" w:rsidR="000A6A74" w:rsidRPr="00234433" w:rsidRDefault="000A6A74" w:rsidP="00AC29E2">
            <w:pPr>
              <w:pStyle w:val="TableBody"/>
              <w:rPr>
                <w:szCs w:val="20"/>
              </w:rPr>
            </w:pPr>
            <w:r w:rsidRPr="00234433">
              <w:rPr>
                <w:szCs w:val="20"/>
              </w:rPr>
              <w:t>–</w:t>
            </w:r>
          </w:p>
        </w:tc>
        <w:tc>
          <w:tcPr>
            <w:tcW w:w="382" w:type="pct"/>
          </w:tcPr>
          <w:p w14:paraId="208D5A48" w14:textId="77777777" w:rsidR="000A6A74" w:rsidRPr="00234433" w:rsidRDefault="000A6A74" w:rsidP="00AC29E2">
            <w:pPr>
              <w:pStyle w:val="TableBody"/>
              <w:rPr>
                <w:szCs w:val="20"/>
              </w:rPr>
            </w:pPr>
            <w:r w:rsidRPr="00234433">
              <w:rPr>
                <w:szCs w:val="20"/>
              </w:rPr>
              <w:t>10</w:t>
            </w:r>
            <w:r w:rsidRPr="00234433">
              <w:rPr>
                <w:szCs w:val="20"/>
              </w:rPr>
              <w:br/>
              <w:t>(53%)</w:t>
            </w:r>
          </w:p>
        </w:tc>
        <w:tc>
          <w:tcPr>
            <w:tcW w:w="382" w:type="pct"/>
          </w:tcPr>
          <w:p w14:paraId="69CD394C" w14:textId="77777777" w:rsidR="000A6A74" w:rsidRPr="00234433" w:rsidRDefault="000A6A74" w:rsidP="00AC29E2">
            <w:pPr>
              <w:pStyle w:val="TableBody"/>
              <w:rPr>
                <w:szCs w:val="20"/>
              </w:rPr>
            </w:pPr>
            <w:r w:rsidRPr="00234433">
              <w:rPr>
                <w:szCs w:val="20"/>
              </w:rPr>
              <w:t>3</w:t>
            </w:r>
            <w:r w:rsidRPr="00234433">
              <w:rPr>
                <w:szCs w:val="20"/>
              </w:rPr>
              <w:br/>
              <w:t>(43%)</w:t>
            </w:r>
          </w:p>
        </w:tc>
        <w:tc>
          <w:tcPr>
            <w:tcW w:w="382" w:type="pct"/>
          </w:tcPr>
          <w:p w14:paraId="011BFAD8" w14:textId="77777777" w:rsidR="000A6A74" w:rsidRPr="00234433" w:rsidRDefault="000A6A74" w:rsidP="00AC29E2">
            <w:pPr>
              <w:pStyle w:val="TableBody"/>
              <w:rPr>
                <w:szCs w:val="20"/>
              </w:rPr>
            </w:pPr>
            <w:r w:rsidRPr="00234433">
              <w:rPr>
                <w:szCs w:val="20"/>
              </w:rPr>
              <w:t>–</w:t>
            </w:r>
          </w:p>
        </w:tc>
        <w:tc>
          <w:tcPr>
            <w:tcW w:w="504" w:type="pct"/>
          </w:tcPr>
          <w:p w14:paraId="2972E8F7" w14:textId="77777777" w:rsidR="000A6A74" w:rsidRPr="00234433" w:rsidRDefault="000A6A74" w:rsidP="00AC29E2">
            <w:pPr>
              <w:pStyle w:val="TableBody"/>
              <w:rPr>
                <w:rStyle w:val="Strong"/>
                <w:szCs w:val="20"/>
              </w:rPr>
            </w:pPr>
            <w:r w:rsidRPr="00234433">
              <w:rPr>
                <w:rStyle w:val="Strong"/>
                <w:szCs w:val="20"/>
              </w:rPr>
              <w:t>22</w:t>
            </w:r>
            <w:r w:rsidRPr="00234433">
              <w:rPr>
                <w:rStyle w:val="Strong"/>
                <w:szCs w:val="20"/>
              </w:rPr>
              <w:br/>
              <w:t>(15%)</w:t>
            </w:r>
          </w:p>
        </w:tc>
      </w:tr>
      <w:tr w:rsidR="00F1341B" w:rsidRPr="007F530F" w14:paraId="3DB77FA6" w14:textId="77777777" w:rsidTr="00AC29E2">
        <w:trPr>
          <w:trHeight w:val="60"/>
        </w:trPr>
        <w:tc>
          <w:tcPr>
            <w:tcW w:w="676" w:type="pct"/>
          </w:tcPr>
          <w:p w14:paraId="7EA8F905" w14:textId="3365B860" w:rsidR="000A6A74" w:rsidRPr="00234433" w:rsidRDefault="000A6A74" w:rsidP="00AC29E2">
            <w:pPr>
              <w:pStyle w:val="TableBody"/>
              <w:rPr>
                <w:szCs w:val="20"/>
              </w:rPr>
            </w:pPr>
            <w:r w:rsidRPr="00234433">
              <w:rPr>
                <w:szCs w:val="20"/>
              </w:rPr>
              <w:t>Other, Magistrates’ Court</w:t>
            </w:r>
          </w:p>
        </w:tc>
        <w:tc>
          <w:tcPr>
            <w:tcW w:w="382" w:type="pct"/>
          </w:tcPr>
          <w:p w14:paraId="33663146" w14:textId="77777777" w:rsidR="000A6A74" w:rsidRPr="00234433" w:rsidRDefault="000A6A74" w:rsidP="00AC29E2">
            <w:pPr>
              <w:pStyle w:val="TableBody"/>
              <w:rPr>
                <w:szCs w:val="20"/>
              </w:rPr>
            </w:pPr>
            <w:r w:rsidRPr="00234433">
              <w:rPr>
                <w:szCs w:val="20"/>
              </w:rPr>
              <w:t>–</w:t>
            </w:r>
          </w:p>
        </w:tc>
        <w:tc>
          <w:tcPr>
            <w:tcW w:w="382" w:type="pct"/>
          </w:tcPr>
          <w:p w14:paraId="727D1907" w14:textId="77777777" w:rsidR="000A6A74" w:rsidRPr="00234433" w:rsidRDefault="000A6A74" w:rsidP="00AC29E2">
            <w:pPr>
              <w:pStyle w:val="TableBody"/>
              <w:rPr>
                <w:szCs w:val="20"/>
              </w:rPr>
            </w:pPr>
            <w:r w:rsidRPr="00234433">
              <w:rPr>
                <w:szCs w:val="20"/>
              </w:rPr>
              <w:t>–</w:t>
            </w:r>
          </w:p>
        </w:tc>
        <w:tc>
          <w:tcPr>
            <w:tcW w:w="382" w:type="pct"/>
          </w:tcPr>
          <w:p w14:paraId="44361023" w14:textId="77777777" w:rsidR="000A6A74" w:rsidRPr="00234433" w:rsidRDefault="000A6A74" w:rsidP="00AC29E2">
            <w:pPr>
              <w:pStyle w:val="TableBody"/>
              <w:rPr>
                <w:szCs w:val="20"/>
              </w:rPr>
            </w:pPr>
            <w:r w:rsidRPr="00234433">
              <w:rPr>
                <w:szCs w:val="20"/>
              </w:rPr>
              <w:t>–</w:t>
            </w:r>
          </w:p>
        </w:tc>
        <w:tc>
          <w:tcPr>
            <w:tcW w:w="382" w:type="pct"/>
          </w:tcPr>
          <w:p w14:paraId="6915EC73" w14:textId="77777777" w:rsidR="000A6A74" w:rsidRPr="00234433" w:rsidRDefault="000A6A74" w:rsidP="00AC29E2">
            <w:pPr>
              <w:pStyle w:val="TableBody"/>
              <w:rPr>
                <w:szCs w:val="20"/>
              </w:rPr>
            </w:pPr>
            <w:r w:rsidRPr="00234433">
              <w:rPr>
                <w:szCs w:val="20"/>
              </w:rPr>
              <w:t>–</w:t>
            </w:r>
          </w:p>
        </w:tc>
        <w:tc>
          <w:tcPr>
            <w:tcW w:w="382" w:type="pct"/>
          </w:tcPr>
          <w:p w14:paraId="091CDA89" w14:textId="77777777" w:rsidR="000A6A74" w:rsidRPr="00234433" w:rsidRDefault="000A6A74" w:rsidP="00AC29E2">
            <w:pPr>
              <w:pStyle w:val="TableBody"/>
              <w:rPr>
                <w:szCs w:val="20"/>
              </w:rPr>
            </w:pPr>
            <w:r w:rsidRPr="00234433">
              <w:rPr>
                <w:szCs w:val="20"/>
              </w:rPr>
              <w:t>1</w:t>
            </w:r>
            <w:r w:rsidRPr="00234433">
              <w:rPr>
                <w:szCs w:val="20"/>
              </w:rPr>
              <w:br/>
              <w:t>(50%)</w:t>
            </w:r>
          </w:p>
        </w:tc>
        <w:tc>
          <w:tcPr>
            <w:tcW w:w="382" w:type="pct"/>
          </w:tcPr>
          <w:p w14:paraId="32F87CAE" w14:textId="77777777" w:rsidR="000A6A74" w:rsidRPr="00234433" w:rsidRDefault="000A6A74" w:rsidP="00AC29E2">
            <w:pPr>
              <w:pStyle w:val="TableBody"/>
              <w:rPr>
                <w:szCs w:val="20"/>
              </w:rPr>
            </w:pPr>
            <w:r w:rsidRPr="00234433">
              <w:rPr>
                <w:szCs w:val="20"/>
              </w:rPr>
              <w:t>–</w:t>
            </w:r>
          </w:p>
        </w:tc>
        <w:tc>
          <w:tcPr>
            <w:tcW w:w="382" w:type="pct"/>
          </w:tcPr>
          <w:p w14:paraId="01D400EC" w14:textId="77777777" w:rsidR="000A6A74" w:rsidRPr="00234433" w:rsidRDefault="000A6A74" w:rsidP="00AC29E2">
            <w:pPr>
              <w:pStyle w:val="TableBody"/>
              <w:rPr>
                <w:szCs w:val="20"/>
              </w:rPr>
            </w:pPr>
            <w:r w:rsidRPr="00234433">
              <w:rPr>
                <w:szCs w:val="20"/>
              </w:rPr>
              <w:t>–</w:t>
            </w:r>
          </w:p>
        </w:tc>
        <w:tc>
          <w:tcPr>
            <w:tcW w:w="382" w:type="pct"/>
          </w:tcPr>
          <w:p w14:paraId="3D340BD1" w14:textId="77777777" w:rsidR="000A6A74" w:rsidRPr="00234433" w:rsidRDefault="000A6A74" w:rsidP="00AC29E2">
            <w:pPr>
              <w:pStyle w:val="TableBody"/>
              <w:rPr>
                <w:szCs w:val="20"/>
              </w:rPr>
            </w:pPr>
            <w:r w:rsidRPr="00234433">
              <w:rPr>
                <w:szCs w:val="20"/>
              </w:rPr>
              <w:t>–</w:t>
            </w:r>
          </w:p>
        </w:tc>
        <w:tc>
          <w:tcPr>
            <w:tcW w:w="382" w:type="pct"/>
          </w:tcPr>
          <w:p w14:paraId="10B61F9B" w14:textId="77777777" w:rsidR="000A6A74" w:rsidRPr="00234433" w:rsidRDefault="000A6A74" w:rsidP="00AC29E2">
            <w:pPr>
              <w:pStyle w:val="TableBody"/>
              <w:rPr>
                <w:szCs w:val="20"/>
              </w:rPr>
            </w:pPr>
            <w:r w:rsidRPr="00234433">
              <w:rPr>
                <w:szCs w:val="20"/>
              </w:rPr>
              <w:t>–</w:t>
            </w:r>
          </w:p>
        </w:tc>
        <w:tc>
          <w:tcPr>
            <w:tcW w:w="382" w:type="pct"/>
          </w:tcPr>
          <w:p w14:paraId="35E73D26" w14:textId="77777777" w:rsidR="000A6A74" w:rsidRPr="00234433" w:rsidRDefault="000A6A74" w:rsidP="00AC29E2">
            <w:pPr>
              <w:pStyle w:val="TableBody"/>
              <w:rPr>
                <w:szCs w:val="20"/>
              </w:rPr>
            </w:pPr>
            <w:r w:rsidRPr="00234433">
              <w:rPr>
                <w:szCs w:val="20"/>
              </w:rPr>
              <w:t>1</w:t>
            </w:r>
            <w:r w:rsidRPr="00234433">
              <w:rPr>
                <w:szCs w:val="20"/>
              </w:rPr>
              <w:br/>
              <w:t>(100%)</w:t>
            </w:r>
          </w:p>
        </w:tc>
        <w:tc>
          <w:tcPr>
            <w:tcW w:w="504" w:type="pct"/>
          </w:tcPr>
          <w:p w14:paraId="0321AB5B" w14:textId="77777777" w:rsidR="000A6A74" w:rsidRPr="00234433" w:rsidRDefault="000A6A74" w:rsidP="00AC29E2">
            <w:pPr>
              <w:pStyle w:val="TableBody"/>
              <w:rPr>
                <w:rStyle w:val="Strong"/>
                <w:szCs w:val="20"/>
              </w:rPr>
            </w:pPr>
            <w:r w:rsidRPr="00234433">
              <w:rPr>
                <w:rStyle w:val="Strong"/>
                <w:szCs w:val="20"/>
              </w:rPr>
              <w:t>2</w:t>
            </w:r>
            <w:r w:rsidRPr="00234433">
              <w:rPr>
                <w:rStyle w:val="Strong"/>
                <w:szCs w:val="20"/>
              </w:rPr>
              <w:br/>
              <w:t>(67%)</w:t>
            </w:r>
          </w:p>
        </w:tc>
      </w:tr>
      <w:tr w:rsidR="00F1341B" w:rsidRPr="007F530F" w14:paraId="0A12C6AB" w14:textId="77777777" w:rsidTr="00AC29E2">
        <w:trPr>
          <w:trHeight w:val="60"/>
        </w:trPr>
        <w:tc>
          <w:tcPr>
            <w:tcW w:w="676" w:type="pct"/>
          </w:tcPr>
          <w:p w14:paraId="41FEE8AF" w14:textId="25B8BEA8" w:rsidR="000A6A74" w:rsidRPr="00234433" w:rsidRDefault="000A6A74" w:rsidP="00AC29E2">
            <w:pPr>
              <w:pStyle w:val="TableBody"/>
              <w:rPr>
                <w:rFonts w:cstheme="minorBidi"/>
                <w:color w:val="auto"/>
                <w:lang w:val="en-AU"/>
              </w:rPr>
            </w:pPr>
            <w:r w:rsidRPr="00234433">
              <w:rPr>
                <w:rStyle w:val="Strong"/>
                <w:szCs w:val="20"/>
              </w:rPr>
              <w:t>Total</w:t>
            </w:r>
          </w:p>
        </w:tc>
        <w:tc>
          <w:tcPr>
            <w:tcW w:w="382" w:type="pct"/>
          </w:tcPr>
          <w:p w14:paraId="6B3152F2" w14:textId="77777777" w:rsidR="000A6A74" w:rsidRPr="00234433" w:rsidRDefault="000A6A74" w:rsidP="00AC29E2">
            <w:pPr>
              <w:pStyle w:val="TableBody"/>
              <w:rPr>
                <w:rStyle w:val="Strong"/>
                <w:szCs w:val="20"/>
              </w:rPr>
            </w:pPr>
            <w:r w:rsidRPr="00234433">
              <w:rPr>
                <w:rStyle w:val="Strong"/>
                <w:szCs w:val="20"/>
              </w:rPr>
              <w:t>22</w:t>
            </w:r>
          </w:p>
        </w:tc>
        <w:tc>
          <w:tcPr>
            <w:tcW w:w="382" w:type="pct"/>
          </w:tcPr>
          <w:p w14:paraId="5E47F1CB" w14:textId="77777777" w:rsidR="000A6A74" w:rsidRPr="00234433" w:rsidRDefault="000A6A74" w:rsidP="00AC29E2">
            <w:pPr>
              <w:pStyle w:val="TableBody"/>
              <w:rPr>
                <w:rStyle w:val="Strong"/>
                <w:szCs w:val="20"/>
              </w:rPr>
            </w:pPr>
            <w:r w:rsidRPr="00234433">
              <w:rPr>
                <w:rStyle w:val="Strong"/>
                <w:szCs w:val="20"/>
              </w:rPr>
              <w:t>14</w:t>
            </w:r>
          </w:p>
        </w:tc>
        <w:tc>
          <w:tcPr>
            <w:tcW w:w="382" w:type="pct"/>
          </w:tcPr>
          <w:p w14:paraId="0913D789" w14:textId="77777777" w:rsidR="000A6A74" w:rsidRPr="00234433" w:rsidRDefault="000A6A74" w:rsidP="00AC29E2">
            <w:pPr>
              <w:pStyle w:val="TableBody"/>
              <w:rPr>
                <w:rStyle w:val="Strong"/>
                <w:szCs w:val="20"/>
              </w:rPr>
            </w:pPr>
            <w:r w:rsidRPr="00234433">
              <w:rPr>
                <w:rStyle w:val="Strong"/>
                <w:szCs w:val="20"/>
              </w:rPr>
              <w:t>14</w:t>
            </w:r>
          </w:p>
        </w:tc>
        <w:tc>
          <w:tcPr>
            <w:tcW w:w="382" w:type="pct"/>
          </w:tcPr>
          <w:p w14:paraId="59404DA1" w14:textId="77777777" w:rsidR="000A6A74" w:rsidRPr="00234433" w:rsidRDefault="000A6A74" w:rsidP="00AC29E2">
            <w:pPr>
              <w:pStyle w:val="TableBody"/>
              <w:rPr>
                <w:rStyle w:val="Strong"/>
                <w:szCs w:val="20"/>
              </w:rPr>
            </w:pPr>
            <w:r w:rsidRPr="00234433">
              <w:rPr>
                <w:rStyle w:val="Strong"/>
                <w:szCs w:val="20"/>
              </w:rPr>
              <w:t>15</w:t>
            </w:r>
          </w:p>
        </w:tc>
        <w:tc>
          <w:tcPr>
            <w:tcW w:w="382" w:type="pct"/>
          </w:tcPr>
          <w:p w14:paraId="12EEEF6F" w14:textId="77777777" w:rsidR="000A6A74" w:rsidRPr="00234433" w:rsidRDefault="000A6A74" w:rsidP="00AC29E2">
            <w:pPr>
              <w:pStyle w:val="TableBody"/>
              <w:rPr>
                <w:rStyle w:val="Strong"/>
                <w:szCs w:val="20"/>
              </w:rPr>
            </w:pPr>
            <w:r w:rsidRPr="00234433">
              <w:rPr>
                <w:rStyle w:val="Strong"/>
                <w:szCs w:val="20"/>
              </w:rPr>
              <w:t>7</w:t>
            </w:r>
          </w:p>
        </w:tc>
        <w:tc>
          <w:tcPr>
            <w:tcW w:w="382" w:type="pct"/>
          </w:tcPr>
          <w:p w14:paraId="736435E9" w14:textId="77777777" w:rsidR="000A6A74" w:rsidRPr="00234433" w:rsidRDefault="000A6A74" w:rsidP="00AC29E2">
            <w:pPr>
              <w:pStyle w:val="TableBody"/>
              <w:rPr>
                <w:rStyle w:val="Strong"/>
                <w:szCs w:val="20"/>
              </w:rPr>
            </w:pPr>
            <w:r w:rsidRPr="00234433">
              <w:rPr>
                <w:rStyle w:val="Strong"/>
                <w:szCs w:val="20"/>
              </w:rPr>
              <w:t>22</w:t>
            </w:r>
          </w:p>
        </w:tc>
        <w:tc>
          <w:tcPr>
            <w:tcW w:w="382" w:type="pct"/>
          </w:tcPr>
          <w:p w14:paraId="66751B83" w14:textId="77777777" w:rsidR="000A6A74" w:rsidRPr="00234433" w:rsidRDefault="000A6A74" w:rsidP="00AC29E2">
            <w:pPr>
              <w:pStyle w:val="TableBody"/>
              <w:rPr>
                <w:rStyle w:val="Strong"/>
                <w:szCs w:val="20"/>
              </w:rPr>
            </w:pPr>
            <w:r w:rsidRPr="00234433">
              <w:rPr>
                <w:rStyle w:val="Strong"/>
                <w:szCs w:val="20"/>
              </w:rPr>
              <w:t>12</w:t>
            </w:r>
          </w:p>
        </w:tc>
        <w:tc>
          <w:tcPr>
            <w:tcW w:w="382" w:type="pct"/>
          </w:tcPr>
          <w:p w14:paraId="35AD51C6" w14:textId="77777777" w:rsidR="000A6A74" w:rsidRPr="00234433" w:rsidRDefault="000A6A74" w:rsidP="00AC29E2">
            <w:pPr>
              <w:pStyle w:val="TableBody"/>
              <w:rPr>
                <w:rStyle w:val="Strong"/>
                <w:szCs w:val="20"/>
              </w:rPr>
            </w:pPr>
            <w:r w:rsidRPr="00234433">
              <w:rPr>
                <w:rStyle w:val="Strong"/>
                <w:szCs w:val="20"/>
              </w:rPr>
              <w:t>19</w:t>
            </w:r>
          </w:p>
        </w:tc>
        <w:tc>
          <w:tcPr>
            <w:tcW w:w="382" w:type="pct"/>
          </w:tcPr>
          <w:p w14:paraId="5526E2F5" w14:textId="77777777" w:rsidR="000A6A74" w:rsidRPr="00234433" w:rsidRDefault="000A6A74" w:rsidP="00AC29E2">
            <w:pPr>
              <w:pStyle w:val="TableBody"/>
              <w:rPr>
                <w:rStyle w:val="Strong"/>
                <w:szCs w:val="20"/>
              </w:rPr>
            </w:pPr>
            <w:r w:rsidRPr="00234433">
              <w:rPr>
                <w:rStyle w:val="Strong"/>
                <w:szCs w:val="20"/>
              </w:rPr>
              <w:t>7</w:t>
            </w:r>
          </w:p>
        </w:tc>
        <w:tc>
          <w:tcPr>
            <w:tcW w:w="382" w:type="pct"/>
          </w:tcPr>
          <w:p w14:paraId="4FDDBC86" w14:textId="77777777" w:rsidR="000A6A74" w:rsidRPr="00234433" w:rsidRDefault="000A6A74" w:rsidP="00AC29E2">
            <w:pPr>
              <w:pStyle w:val="TableBody"/>
              <w:rPr>
                <w:rStyle w:val="Strong"/>
                <w:szCs w:val="20"/>
              </w:rPr>
            </w:pPr>
            <w:r w:rsidRPr="00234433">
              <w:rPr>
                <w:rStyle w:val="Strong"/>
                <w:szCs w:val="20"/>
              </w:rPr>
              <w:t>17</w:t>
            </w:r>
          </w:p>
        </w:tc>
        <w:tc>
          <w:tcPr>
            <w:tcW w:w="504" w:type="pct"/>
          </w:tcPr>
          <w:p w14:paraId="089653A0" w14:textId="77777777" w:rsidR="000A6A74" w:rsidRPr="00234433" w:rsidRDefault="000A6A74" w:rsidP="00AC29E2">
            <w:pPr>
              <w:pStyle w:val="TableBody"/>
              <w:rPr>
                <w:rStyle w:val="Strong"/>
                <w:szCs w:val="20"/>
              </w:rPr>
            </w:pPr>
            <w:r w:rsidRPr="00234433">
              <w:rPr>
                <w:rStyle w:val="Strong"/>
                <w:szCs w:val="20"/>
              </w:rPr>
              <w:t>149</w:t>
            </w:r>
          </w:p>
        </w:tc>
      </w:tr>
      <w:tr w:rsidR="00F1341B" w:rsidRPr="007F530F" w14:paraId="0C19940A" w14:textId="77777777" w:rsidTr="00AC29E2">
        <w:trPr>
          <w:trHeight w:val="60"/>
        </w:trPr>
        <w:tc>
          <w:tcPr>
            <w:tcW w:w="676" w:type="pct"/>
          </w:tcPr>
          <w:p w14:paraId="5664080C" w14:textId="7DF6A832" w:rsidR="000A6A74" w:rsidRPr="00234433" w:rsidRDefault="000A6A74" w:rsidP="00AC29E2">
            <w:pPr>
              <w:pStyle w:val="TableBody"/>
              <w:rPr>
                <w:rStyle w:val="Strong"/>
                <w:szCs w:val="20"/>
              </w:rPr>
            </w:pPr>
            <w:r w:rsidRPr="00234433">
              <w:rPr>
                <w:rStyle w:val="Strong"/>
                <w:szCs w:val="20"/>
              </w:rPr>
              <w:t>Total</w:t>
            </w:r>
            <w:r w:rsidR="003F3392">
              <w:rPr>
                <w:rStyle w:val="Strong"/>
                <w:szCs w:val="20"/>
              </w:rPr>
              <w:br/>
            </w:r>
            <w:r w:rsidRPr="00234433">
              <w:rPr>
                <w:rStyle w:val="Strong"/>
                <w:szCs w:val="20"/>
              </w:rPr>
              <w:t>(all</w:t>
            </w:r>
            <w:r w:rsidR="009C6B23">
              <w:rPr>
                <w:rStyle w:val="Strong"/>
                <w:szCs w:val="20"/>
              </w:rPr>
              <w:t xml:space="preserve"> </w:t>
            </w:r>
            <w:r w:rsidRPr="00234433">
              <w:rPr>
                <w:rStyle w:val="Strong"/>
                <w:szCs w:val="20"/>
              </w:rPr>
              <w:t>sentences)</w:t>
            </w:r>
          </w:p>
        </w:tc>
        <w:tc>
          <w:tcPr>
            <w:tcW w:w="382" w:type="pct"/>
          </w:tcPr>
          <w:p w14:paraId="56959611" w14:textId="3C852FFA" w:rsidR="000A6A74" w:rsidRPr="00234433" w:rsidRDefault="000A6A74" w:rsidP="00AC29E2">
            <w:pPr>
              <w:pStyle w:val="TableBody"/>
              <w:rPr>
                <w:rStyle w:val="Strong"/>
                <w:szCs w:val="20"/>
              </w:rPr>
            </w:pPr>
            <w:r w:rsidRPr="00234433">
              <w:rPr>
                <w:rStyle w:val="Strong"/>
                <w:szCs w:val="20"/>
              </w:rPr>
              <w:t>269</w:t>
            </w:r>
          </w:p>
        </w:tc>
        <w:tc>
          <w:tcPr>
            <w:tcW w:w="382" w:type="pct"/>
          </w:tcPr>
          <w:p w14:paraId="43AADE9F" w14:textId="5C8E7112" w:rsidR="000A6A74" w:rsidRPr="00234433" w:rsidRDefault="000A6A74" w:rsidP="00AC29E2">
            <w:pPr>
              <w:pStyle w:val="TableBody"/>
              <w:rPr>
                <w:rStyle w:val="Strong"/>
                <w:szCs w:val="20"/>
              </w:rPr>
            </w:pPr>
            <w:r w:rsidRPr="00234433">
              <w:rPr>
                <w:rStyle w:val="Strong"/>
                <w:szCs w:val="20"/>
              </w:rPr>
              <w:t>335</w:t>
            </w:r>
          </w:p>
        </w:tc>
        <w:tc>
          <w:tcPr>
            <w:tcW w:w="382" w:type="pct"/>
          </w:tcPr>
          <w:p w14:paraId="0D2B4871" w14:textId="5F94A4EA" w:rsidR="000A6A74" w:rsidRPr="00234433" w:rsidRDefault="000A6A74" w:rsidP="00AC29E2">
            <w:pPr>
              <w:pStyle w:val="TableBody"/>
              <w:rPr>
                <w:rStyle w:val="Strong"/>
                <w:szCs w:val="20"/>
              </w:rPr>
            </w:pPr>
            <w:r w:rsidRPr="00234433">
              <w:rPr>
                <w:rStyle w:val="Strong"/>
                <w:szCs w:val="20"/>
              </w:rPr>
              <w:t>318</w:t>
            </w:r>
          </w:p>
        </w:tc>
        <w:tc>
          <w:tcPr>
            <w:tcW w:w="382" w:type="pct"/>
          </w:tcPr>
          <w:p w14:paraId="5086BFE3" w14:textId="64879BFE" w:rsidR="000A6A74" w:rsidRPr="00234433" w:rsidRDefault="000A6A74" w:rsidP="00AC29E2">
            <w:pPr>
              <w:pStyle w:val="TableBody"/>
              <w:rPr>
                <w:rStyle w:val="Strong"/>
                <w:szCs w:val="20"/>
              </w:rPr>
            </w:pPr>
            <w:r w:rsidRPr="00234433">
              <w:rPr>
                <w:rStyle w:val="Strong"/>
                <w:szCs w:val="20"/>
              </w:rPr>
              <w:t>218</w:t>
            </w:r>
          </w:p>
        </w:tc>
        <w:tc>
          <w:tcPr>
            <w:tcW w:w="382" w:type="pct"/>
          </w:tcPr>
          <w:p w14:paraId="5C7C4114" w14:textId="41784A32" w:rsidR="000A6A74" w:rsidRPr="00234433" w:rsidRDefault="000A6A74" w:rsidP="00AC29E2">
            <w:pPr>
              <w:pStyle w:val="TableBody"/>
              <w:rPr>
                <w:rStyle w:val="Strong"/>
                <w:szCs w:val="20"/>
              </w:rPr>
            </w:pPr>
            <w:r w:rsidRPr="00234433">
              <w:rPr>
                <w:rStyle w:val="Strong"/>
                <w:szCs w:val="20"/>
              </w:rPr>
              <w:t>215</w:t>
            </w:r>
          </w:p>
        </w:tc>
        <w:tc>
          <w:tcPr>
            <w:tcW w:w="382" w:type="pct"/>
          </w:tcPr>
          <w:p w14:paraId="25D97F66" w14:textId="3EC341B9" w:rsidR="000A6A74" w:rsidRPr="00234433" w:rsidRDefault="000A6A74" w:rsidP="00AC29E2">
            <w:pPr>
              <w:pStyle w:val="TableBody"/>
              <w:rPr>
                <w:rStyle w:val="Strong"/>
                <w:szCs w:val="20"/>
              </w:rPr>
            </w:pPr>
            <w:r w:rsidRPr="00234433">
              <w:rPr>
                <w:rStyle w:val="Strong"/>
                <w:szCs w:val="20"/>
              </w:rPr>
              <w:t>245</w:t>
            </w:r>
          </w:p>
        </w:tc>
        <w:tc>
          <w:tcPr>
            <w:tcW w:w="382" w:type="pct"/>
          </w:tcPr>
          <w:p w14:paraId="23F92B72" w14:textId="63BD1CB6" w:rsidR="000A6A74" w:rsidRPr="00234433" w:rsidRDefault="000A6A74" w:rsidP="00AC29E2">
            <w:pPr>
              <w:pStyle w:val="TableBody"/>
              <w:rPr>
                <w:rStyle w:val="Strong"/>
                <w:szCs w:val="20"/>
              </w:rPr>
            </w:pPr>
            <w:r w:rsidRPr="00234433">
              <w:rPr>
                <w:rStyle w:val="Strong"/>
                <w:szCs w:val="20"/>
              </w:rPr>
              <w:t>240</w:t>
            </w:r>
          </w:p>
        </w:tc>
        <w:tc>
          <w:tcPr>
            <w:tcW w:w="382" w:type="pct"/>
          </w:tcPr>
          <w:p w14:paraId="29048184" w14:textId="69036F65" w:rsidR="000A6A74" w:rsidRPr="00234433" w:rsidRDefault="000A6A74" w:rsidP="00AC29E2">
            <w:pPr>
              <w:pStyle w:val="TableBody"/>
              <w:rPr>
                <w:rStyle w:val="Strong"/>
                <w:szCs w:val="20"/>
              </w:rPr>
            </w:pPr>
            <w:r w:rsidRPr="00234433">
              <w:rPr>
                <w:rStyle w:val="Strong"/>
                <w:szCs w:val="20"/>
              </w:rPr>
              <w:t>182</w:t>
            </w:r>
          </w:p>
        </w:tc>
        <w:tc>
          <w:tcPr>
            <w:tcW w:w="382" w:type="pct"/>
          </w:tcPr>
          <w:p w14:paraId="2CE97B46" w14:textId="43D56A81" w:rsidR="000A6A74" w:rsidRPr="00234433" w:rsidRDefault="000A6A74" w:rsidP="00AC29E2">
            <w:pPr>
              <w:pStyle w:val="TableBody"/>
              <w:rPr>
                <w:rStyle w:val="Strong"/>
                <w:szCs w:val="20"/>
              </w:rPr>
            </w:pPr>
            <w:r w:rsidRPr="00234433">
              <w:rPr>
                <w:rStyle w:val="Strong"/>
                <w:szCs w:val="20"/>
              </w:rPr>
              <w:t>183</w:t>
            </w:r>
          </w:p>
        </w:tc>
        <w:tc>
          <w:tcPr>
            <w:tcW w:w="382" w:type="pct"/>
          </w:tcPr>
          <w:p w14:paraId="142AE980" w14:textId="6D63B785" w:rsidR="000A6A74" w:rsidRPr="00234433" w:rsidRDefault="000A6A74" w:rsidP="00AC29E2">
            <w:pPr>
              <w:pStyle w:val="TableBody"/>
              <w:rPr>
                <w:rStyle w:val="Strong"/>
                <w:szCs w:val="20"/>
              </w:rPr>
            </w:pPr>
            <w:r w:rsidRPr="00234433">
              <w:rPr>
                <w:rStyle w:val="Strong"/>
                <w:szCs w:val="20"/>
              </w:rPr>
              <w:t>200</w:t>
            </w:r>
          </w:p>
        </w:tc>
        <w:tc>
          <w:tcPr>
            <w:tcW w:w="504" w:type="pct"/>
          </w:tcPr>
          <w:p w14:paraId="4D4C8866" w14:textId="25844F4C" w:rsidR="000A6A74" w:rsidRPr="00234433" w:rsidRDefault="000A6A74" w:rsidP="00AC29E2">
            <w:pPr>
              <w:pStyle w:val="TableBody"/>
              <w:rPr>
                <w:rStyle w:val="Strong"/>
                <w:szCs w:val="20"/>
              </w:rPr>
            </w:pPr>
            <w:r w:rsidRPr="00234433">
              <w:rPr>
                <w:rStyle w:val="Strong"/>
                <w:szCs w:val="20"/>
              </w:rPr>
              <w:t>2,405</w:t>
            </w:r>
            <w:r w:rsidRPr="00696ADB">
              <w:rPr>
                <w:rStyle w:val="Strong"/>
                <w:vertAlign w:val="superscript"/>
              </w:rPr>
              <w:t>a</w:t>
            </w:r>
          </w:p>
        </w:tc>
      </w:tr>
    </w:tbl>
    <w:p w14:paraId="73A5D011" w14:textId="77777777" w:rsidR="00EF5C25" w:rsidRPr="007F530F" w:rsidRDefault="00EF5C25" w:rsidP="00C10631">
      <w:pPr>
        <w:pStyle w:val="Footnote"/>
      </w:pPr>
      <w:r w:rsidRPr="007F530F">
        <w:t>a.</w:t>
      </w:r>
      <w:r w:rsidRPr="007F530F">
        <w:tab/>
        <w:t xml:space="preserve">For offences against children aged under 10/12/14, </w:t>
      </w:r>
      <w:r w:rsidRPr="00D62402">
        <w:rPr>
          <w:rStyle w:val="Emphasis"/>
        </w:rPr>
        <w:t>immediate custodial sentences</w:t>
      </w:r>
      <w:r w:rsidRPr="007F530F">
        <w:t xml:space="preserve"> include 405 prison sentences (including combined orders), 5 aggregate sentences of imprisonment (including combined orders), 12 partially suspended sentences and 8 youth justice centre orders or youth training centre orders. </w:t>
      </w:r>
      <w:r w:rsidRPr="00D62402">
        <w:rPr>
          <w:rStyle w:val="Emphasis"/>
        </w:rPr>
        <w:t xml:space="preserve">Community orders </w:t>
      </w:r>
      <w:r w:rsidRPr="007F530F">
        <w:t xml:space="preserve">include 12 community correction orders. </w:t>
      </w:r>
      <w:r w:rsidRPr="00D62402">
        <w:rPr>
          <w:rStyle w:val="Emphasis"/>
        </w:rPr>
        <w:t xml:space="preserve">Other </w:t>
      </w:r>
      <w:r w:rsidRPr="007F530F">
        <w:t>orders include 2 residential treatment orders and 5 adjourned undertakings.</w:t>
      </w:r>
    </w:p>
    <w:p w14:paraId="3B2C0FA4" w14:textId="77777777" w:rsidR="00EF5C25" w:rsidRPr="007F530F" w:rsidRDefault="00EF5C25" w:rsidP="00C10631">
      <w:pPr>
        <w:pStyle w:val="Footnote"/>
      </w:pPr>
      <w:r w:rsidRPr="007F530F">
        <w:t>b.</w:t>
      </w:r>
      <w:r w:rsidRPr="007F530F">
        <w:tab/>
        <w:t xml:space="preserve">For offences against children aged 10/12 to 15, </w:t>
      </w:r>
      <w:r w:rsidRPr="00D62402">
        <w:rPr>
          <w:rStyle w:val="Emphasis"/>
        </w:rPr>
        <w:t>immediate custodial sentences</w:t>
      </w:r>
      <w:r w:rsidRPr="007F530F">
        <w:t xml:space="preserve"> include 1,099 prison sentences (including combined orders), 19 aggregate sentences of imprisonment (including combined orders), 42 partially suspended sentences and 33 youth justice centre orders or youth training centre orders. </w:t>
      </w:r>
      <w:r w:rsidRPr="00D62402">
        <w:rPr>
          <w:rStyle w:val="Emphasis"/>
        </w:rPr>
        <w:t xml:space="preserve">Community orders </w:t>
      </w:r>
      <w:r w:rsidRPr="007F530F">
        <w:t xml:space="preserve">include 336 community correction orders, 38 community-based orders, 3 intensive correction orders and 1 youth supervision order. </w:t>
      </w:r>
      <w:r w:rsidRPr="00D62402">
        <w:rPr>
          <w:rStyle w:val="Emphasis"/>
        </w:rPr>
        <w:t>Other orders</w:t>
      </w:r>
      <w:r w:rsidRPr="007F530F">
        <w:t xml:space="preserve"> include 9 residential treatment orders and 33 adjourned undertakings.</w:t>
      </w:r>
    </w:p>
    <w:p w14:paraId="2460E883" w14:textId="77777777" w:rsidR="00EF5C25" w:rsidRPr="007F530F" w:rsidRDefault="00EF5C25" w:rsidP="00C10631">
      <w:pPr>
        <w:pStyle w:val="Footnote"/>
      </w:pPr>
      <w:r w:rsidRPr="007F530F">
        <w:t>c.</w:t>
      </w:r>
      <w:r w:rsidRPr="007F530F">
        <w:tab/>
        <w:t xml:space="preserve">For offences against children aged 16 or 17, </w:t>
      </w:r>
      <w:r w:rsidRPr="00D62402">
        <w:rPr>
          <w:rStyle w:val="Emphasis"/>
        </w:rPr>
        <w:t>immediate custodial sentences</w:t>
      </w:r>
      <w:r w:rsidRPr="007F530F">
        <w:t xml:space="preserve"> include 110 prison sentences (including combined orders) and 15 partially suspended sentences. </w:t>
      </w:r>
      <w:r w:rsidRPr="00D62402">
        <w:rPr>
          <w:rStyle w:val="Emphasis"/>
        </w:rPr>
        <w:t xml:space="preserve">Other </w:t>
      </w:r>
      <w:r w:rsidRPr="007F530F">
        <w:t>orders include six wholly suspended sentences, 13 community correction orders, 4 community-based orders and 1 fine.</w:t>
      </w:r>
    </w:p>
    <w:p w14:paraId="46BFCFB4" w14:textId="77777777" w:rsidR="00234433" w:rsidRDefault="00234433" w:rsidP="00D83AF6">
      <w:pPr>
        <w:pStyle w:val="Numbered"/>
        <w:sectPr w:rsidR="00234433" w:rsidSect="00234433">
          <w:pgSz w:w="16838" w:h="11906" w:orient="landscape"/>
          <w:pgMar w:top="1440" w:right="1440" w:bottom="1440" w:left="1440" w:header="720" w:footer="720" w:gutter="0"/>
          <w:cols w:space="720"/>
          <w:noEndnote/>
          <w:docGrid w:linePitch="326"/>
        </w:sectPr>
      </w:pPr>
    </w:p>
    <w:p w14:paraId="34C4AC94" w14:textId="562AE5D4" w:rsidR="00EF5C25" w:rsidRPr="007F530F" w:rsidRDefault="00EF5C25" w:rsidP="00D83AF6">
      <w:pPr>
        <w:pStyle w:val="Numbered"/>
      </w:pPr>
      <w:r w:rsidRPr="007F530F">
        <w:lastRenderedPageBreak/>
        <w:t>Figure 20 summarises the broad sentence types imposed for child sexual penetration offences over the reference period.</w:t>
      </w:r>
      <w:r w:rsidRPr="007F530F">
        <w:rPr>
          <w:rStyle w:val="Superscript"/>
        </w:rPr>
        <w:footnoteReference w:id="199"/>
      </w:r>
      <w:r w:rsidRPr="007F530F">
        <w:t xml:space="preserve"> There were 12 charges of sexual penetration with a child aged under 12 that attracted Category 1 offence classification during the reference period. As required, these offences each received an immediate custodial sentence of adult (8 charges) or youth (4 charges) detention. The child sexual penetration offence least likely to receive an immediate custodial sentence was sexual penetration with a child aged 10/12 to 15 (67%). Both before and after the introduction of standard sentences, sentencing remarks suggest that where such cases did not receive immediate custodial sentences, the offender was aged under 20 years but nevertheless was sufficiently older than the victim to trigger criminal liability.</w:t>
      </w:r>
      <w:r w:rsidRPr="007F530F">
        <w:rPr>
          <w:rStyle w:val="Superscript"/>
        </w:rPr>
        <w:footnoteReference w:id="200"/>
      </w:r>
    </w:p>
    <w:p w14:paraId="781D6C13" w14:textId="77777777" w:rsidR="00EF5C25" w:rsidRPr="007F530F" w:rsidRDefault="00EF5C25" w:rsidP="00D00197">
      <w:pPr>
        <w:pStyle w:val="Caption"/>
      </w:pPr>
      <w:r w:rsidRPr="00D00197">
        <w:t xml:space="preserve">Figure 20: </w:t>
      </w:r>
      <w:r w:rsidRPr="007F530F">
        <w:t>Sentence types imposed on charges of sexual penetration with a child in Victoria, 2010 to 2019, by offence type</w:t>
      </w:r>
    </w:p>
    <w:tbl>
      <w:tblPr>
        <w:tblStyle w:val="Table"/>
        <w:tblW w:w="5000" w:type="pct"/>
        <w:tblLayout w:type="fixed"/>
        <w:tblLook w:val="04A0" w:firstRow="1" w:lastRow="0" w:firstColumn="1" w:lastColumn="0" w:noHBand="0" w:noVBand="1"/>
      </w:tblPr>
      <w:tblGrid>
        <w:gridCol w:w="2254"/>
        <w:gridCol w:w="2254"/>
        <w:gridCol w:w="2254"/>
        <w:gridCol w:w="2254"/>
      </w:tblGrid>
      <w:tr w:rsidR="00771AE1" w:rsidRPr="00771AE1" w14:paraId="27FEFAD7" w14:textId="77777777" w:rsidTr="007872F1">
        <w:trPr>
          <w:trHeight w:val="290"/>
          <w:tblHeader/>
        </w:trPr>
        <w:tc>
          <w:tcPr>
            <w:tcW w:w="1250" w:type="pct"/>
            <w:noWrap/>
            <w:hideMark/>
          </w:tcPr>
          <w:p w14:paraId="7C2325A8" w14:textId="342EA664" w:rsidR="00771AE1" w:rsidRPr="00771AE1" w:rsidRDefault="00552EF8" w:rsidP="007872F1">
            <w:pPr>
              <w:pStyle w:val="TableHeading"/>
            </w:pPr>
            <w:r>
              <w:t>Sentence type</w:t>
            </w:r>
          </w:p>
        </w:tc>
        <w:tc>
          <w:tcPr>
            <w:tcW w:w="1250" w:type="pct"/>
            <w:noWrap/>
            <w:hideMark/>
          </w:tcPr>
          <w:p w14:paraId="6B6885F4" w14:textId="77777777" w:rsidR="00771AE1" w:rsidRPr="009F6F85" w:rsidRDefault="00771AE1" w:rsidP="007872F1">
            <w:pPr>
              <w:pStyle w:val="TableHeading"/>
            </w:pPr>
            <w:r w:rsidRPr="009F6F85">
              <w:t>Sexual penetration of a child under 10, 12 or 14 (484 charges)</w:t>
            </w:r>
          </w:p>
        </w:tc>
        <w:tc>
          <w:tcPr>
            <w:tcW w:w="1250" w:type="pct"/>
            <w:noWrap/>
            <w:hideMark/>
          </w:tcPr>
          <w:p w14:paraId="23E7DF73" w14:textId="77777777" w:rsidR="00771AE1" w:rsidRPr="009F6F85" w:rsidRDefault="00771AE1" w:rsidP="007872F1">
            <w:pPr>
              <w:pStyle w:val="TableHeading"/>
            </w:pPr>
            <w:r w:rsidRPr="009F6F85">
              <w:t>Sexual penetration of a child 10/12 to 15 (1,772 charges)</w:t>
            </w:r>
          </w:p>
        </w:tc>
        <w:tc>
          <w:tcPr>
            <w:tcW w:w="1250" w:type="pct"/>
            <w:noWrap/>
            <w:hideMark/>
          </w:tcPr>
          <w:p w14:paraId="1173F15B" w14:textId="77777777" w:rsidR="00771AE1" w:rsidRPr="009F6F85" w:rsidRDefault="00771AE1" w:rsidP="007872F1">
            <w:pPr>
              <w:pStyle w:val="TableHeading"/>
            </w:pPr>
            <w:r w:rsidRPr="009F6F85">
              <w:t>Sexual penetration of a child aged 16 or 17 (149 charges)</w:t>
            </w:r>
          </w:p>
        </w:tc>
      </w:tr>
      <w:tr w:rsidR="00771AE1" w:rsidRPr="00771AE1" w14:paraId="77C67EBD" w14:textId="77777777" w:rsidTr="007872F1">
        <w:trPr>
          <w:trHeight w:val="290"/>
        </w:trPr>
        <w:tc>
          <w:tcPr>
            <w:tcW w:w="1250" w:type="pct"/>
            <w:noWrap/>
            <w:hideMark/>
          </w:tcPr>
          <w:p w14:paraId="7BE9C838" w14:textId="77777777" w:rsidR="00771AE1" w:rsidRPr="001F6C20" w:rsidRDefault="00771AE1" w:rsidP="007872F1">
            <w:pPr>
              <w:pStyle w:val="TableBody"/>
            </w:pPr>
            <w:r w:rsidRPr="001F6C20">
              <w:t>Immediate custodial sentence</w:t>
            </w:r>
          </w:p>
        </w:tc>
        <w:tc>
          <w:tcPr>
            <w:tcW w:w="1250" w:type="pct"/>
            <w:noWrap/>
            <w:hideMark/>
          </w:tcPr>
          <w:p w14:paraId="52B2FC70" w14:textId="77777777" w:rsidR="00771AE1" w:rsidRPr="001F6C20" w:rsidRDefault="00771AE1" w:rsidP="007872F1">
            <w:pPr>
              <w:pStyle w:val="TableBody"/>
            </w:pPr>
            <w:r w:rsidRPr="001F6C20">
              <w:t>89%</w:t>
            </w:r>
          </w:p>
        </w:tc>
        <w:tc>
          <w:tcPr>
            <w:tcW w:w="1250" w:type="pct"/>
            <w:noWrap/>
            <w:hideMark/>
          </w:tcPr>
          <w:p w14:paraId="378B2456" w14:textId="77777777" w:rsidR="00771AE1" w:rsidRPr="001F6C20" w:rsidRDefault="00771AE1" w:rsidP="007872F1">
            <w:pPr>
              <w:pStyle w:val="TableBody"/>
            </w:pPr>
            <w:r w:rsidRPr="001F6C20">
              <w:t>67%</w:t>
            </w:r>
          </w:p>
        </w:tc>
        <w:tc>
          <w:tcPr>
            <w:tcW w:w="1250" w:type="pct"/>
            <w:noWrap/>
            <w:hideMark/>
          </w:tcPr>
          <w:p w14:paraId="6FFDD44D" w14:textId="77777777" w:rsidR="00771AE1" w:rsidRPr="001F6C20" w:rsidRDefault="00771AE1" w:rsidP="007872F1">
            <w:pPr>
              <w:pStyle w:val="TableBody"/>
            </w:pPr>
            <w:r w:rsidRPr="001F6C20">
              <w:t>84%</w:t>
            </w:r>
          </w:p>
        </w:tc>
      </w:tr>
      <w:tr w:rsidR="00771AE1" w:rsidRPr="00771AE1" w14:paraId="67CFF182" w14:textId="77777777" w:rsidTr="007872F1">
        <w:trPr>
          <w:trHeight w:val="290"/>
        </w:trPr>
        <w:tc>
          <w:tcPr>
            <w:tcW w:w="1250" w:type="pct"/>
            <w:noWrap/>
            <w:hideMark/>
          </w:tcPr>
          <w:p w14:paraId="14F900BD" w14:textId="77777777" w:rsidR="00771AE1" w:rsidRPr="001F6C20" w:rsidRDefault="00771AE1" w:rsidP="007872F1">
            <w:pPr>
              <w:pStyle w:val="TableBody"/>
            </w:pPr>
            <w:r w:rsidRPr="001F6C20">
              <w:t>Community order</w:t>
            </w:r>
          </w:p>
        </w:tc>
        <w:tc>
          <w:tcPr>
            <w:tcW w:w="1250" w:type="pct"/>
            <w:noWrap/>
            <w:hideMark/>
          </w:tcPr>
          <w:p w14:paraId="2F9E11AD" w14:textId="77777777" w:rsidR="00771AE1" w:rsidRPr="001F6C20" w:rsidRDefault="00771AE1" w:rsidP="007872F1">
            <w:pPr>
              <w:pStyle w:val="TableBody"/>
            </w:pPr>
            <w:r w:rsidRPr="001F6C20">
              <w:t>2%</w:t>
            </w:r>
          </w:p>
        </w:tc>
        <w:tc>
          <w:tcPr>
            <w:tcW w:w="1250" w:type="pct"/>
            <w:noWrap/>
            <w:hideMark/>
          </w:tcPr>
          <w:p w14:paraId="5E18EA78" w14:textId="77777777" w:rsidR="00771AE1" w:rsidRPr="001F6C20" w:rsidRDefault="00771AE1" w:rsidP="007872F1">
            <w:pPr>
              <w:pStyle w:val="TableBody"/>
            </w:pPr>
            <w:r w:rsidRPr="001F6C20">
              <w:t>21%</w:t>
            </w:r>
          </w:p>
        </w:tc>
        <w:tc>
          <w:tcPr>
            <w:tcW w:w="1250" w:type="pct"/>
            <w:noWrap/>
            <w:hideMark/>
          </w:tcPr>
          <w:p w14:paraId="7CE7E883" w14:textId="77777777" w:rsidR="00771AE1" w:rsidRPr="001F6C20" w:rsidRDefault="00771AE1" w:rsidP="007872F1">
            <w:pPr>
              <w:pStyle w:val="TableBody"/>
            </w:pPr>
            <w:r w:rsidRPr="001F6C20">
              <w:t>11%</w:t>
            </w:r>
          </w:p>
        </w:tc>
      </w:tr>
      <w:tr w:rsidR="00771AE1" w:rsidRPr="00771AE1" w14:paraId="49E9140A" w14:textId="77777777" w:rsidTr="007872F1">
        <w:trPr>
          <w:trHeight w:val="290"/>
        </w:trPr>
        <w:tc>
          <w:tcPr>
            <w:tcW w:w="1250" w:type="pct"/>
            <w:noWrap/>
            <w:hideMark/>
          </w:tcPr>
          <w:p w14:paraId="2F70F540" w14:textId="77777777" w:rsidR="00771AE1" w:rsidRPr="001F6C20" w:rsidRDefault="00771AE1" w:rsidP="007872F1">
            <w:pPr>
              <w:pStyle w:val="TableBody"/>
            </w:pPr>
            <w:r w:rsidRPr="001F6C20">
              <w:t>Wholly suspended sentence</w:t>
            </w:r>
          </w:p>
        </w:tc>
        <w:tc>
          <w:tcPr>
            <w:tcW w:w="1250" w:type="pct"/>
            <w:noWrap/>
            <w:hideMark/>
          </w:tcPr>
          <w:p w14:paraId="1B7D56BE" w14:textId="77777777" w:rsidR="00771AE1" w:rsidRPr="001F6C20" w:rsidRDefault="00771AE1" w:rsidP="007872F1">
            <w:pPr>
              <w:pStyle w:val="TableBody"/>
            </w:pPr>
            <w:r w:rsidRPr="001F6C20">
              <w:t>7%</w:t>
            </w:r>
          </w:p>
        </w:tc>
        <w:tc>
          <w:tcPr>
            <w:tcW w:w="1250" w:type="pct"/>
            <w:noWrap/>
            <w:hideMark/>
          </w:tcPr>
          <w:p w14:paraId="32757D3B" w14:textId="77777777" w:rsidR="00771AE1" w:rsidRPr="001F6C20" w:rsidRDefault="00771AE1" w:rsidP="007872F1">
            <w:pPr>
              <w:pStyle w:val="TableBody"/>
            </w:pPr>
            <w:r w:rsidRPr="001F6C20">
              <w:t>9%</w:t>
            </w:r>
          </w:p>
        </w:tc>
        <w:tc>
          <w:tcPr>
            <w:tcW w:w="1250" w:type="pct"/>
            <w:noWrap/>
            <w:hideMark/>
          </w:tcPr>
          <w:p w14:paraId="605221D7" w14:textId="77777777" w:rsidR="00771AE1" w:rsidRPr="001F6C20" w:rsidRDefault="00771AE1" w:rsidP="007872F1">
            <w:pPr>
              <w:pStyle w:val="TableBody"/>
            </w:pPr>
            <w:r w:rsidRPr="001F6C20">
              <w:t>4%</w:t>
            </w:r>
          </w:p>
        </w:tc>
      </w:tr>
      <w:tr w:rsidR="00771AE1" w:rsidRPr="00771AE1" w14:paraId="46BE48AE" w14:textId="77777777" w:rsidTr="007872F1">
        <w:trPr>
          <w:trHeight w:val="290"/>
        </w:trPr>
        <w:tc>
          <w:tcPr>
            <w:tcW w:w="1250" w:type="pct"/>
            <w:noWrap/>
            <w:hideMark/>
          </w:tcPr>
          <w:p w14:paraId="0DB2A2CC" w14:textId="77777777" w:rsidR="00771AE1" w:rsidRPr="001F6C20" w:rsidRDefault="00771AE1" w:rsidP="007872F1">
            <w:pPr>
              <w:pStyle w:val="TableBody"/>
            </w:pPr>
            <w:r w:rsidRPr="001F6C20">
              <w:t>Other</w:t>
            </w:r>
          </w:p>
        </w:tc>
        <w:tc>
          <w:tcPr>
            <w:tcW w:w="1250" w:type="pct"/>
            <w:noWrap/>
            <w:hideMark/>
          </w:tcPr>
          <w:p w14:paraId="191C1373" w14:textId="77777777" w:rsidR="00771AE1" w:rsidRPr="001F6C20" w:rsidRDefault="00771AE1" w:rsidP="007872F1">
            <w:pPr>
              <w:pStyle w:val="TableBody"/>
            </w:pPr>
            <w:r w:rsidRPr="001F6C20">
              <w:t>1%</w:t>
            </w:r>
          </w:p>
        </w:tc>
        <w:tc>
          <w:tcPr>
            <w:tcW w:w="1250" w:type="pct"/>
            <w:noWrap/>
            <w:hideMark/>
          </w:tcPr>
          <w:p w14:paraId="6522E41D" w14:textId="77777777" w:rsidR="00771AE1" w:rsidRPr="001F6C20" w:rsidRDefault="00771AE1" w:rsidP="007872F1">
            <w:pPr>
              <w:pStyle w:val="TableBody"/>
            </w:pPr>
            <w:r w:rsidRPr="001F6C20">
              <w:t>2%</w:t>
            </w:r>
          </w:p>
        </w:tc>
        <w:tc>
          <w:tcPr>
            <w:tcW w:w="1250" w:type="pct"/>
            <w:noWrap/>
            <w:hideMark/>
          </w:tcPr>
          <w:p w14:paraId="0696155D" w14:textId="77777777" w:rsidR="00771AE1" w:rsidRPr="001F6C20" w:rsidRDefault="00771AE1" w:rsidP="007872F1">
            <w:pPr>
              <w:pStyle w:val="TableBody"/>
            </w:pPr>
            <w:r w:rsidRPr="001F6C20">
              <w:t>1%</w:t>
            </w:r>
          </w:p>
        </w:tc>
      </w:tr>
    </w:tbl>
    <w:p w14:paraId="64716EE7" w14:textId="77777777" w:rsidR="00EF5C25" w:rsidRPr="007F530F" w:rsidRDefault="00EF5C25" w:rsidP="00D83AF6">
      <w:pPr>
        <w:pStyle w:val="Numbered"/>
      </w:pPr>
      <w:r w:rsidRPr="007F530F">
        <w:t xml:space="preserve">Of the 484 charges of sexual penetration with a child aged under 10/12/14 sentenced during the reference period, 34 received wholly suspended sentences, 12 received community orders and 7 </w:t>
      </w:r>
      <w:r w:rsidRPr="007F530F">
        <w:lastRenderedPageBreak/>
        <w:t>received other orders. None of these sentences would have been permissible had the offending occurred on or after 20 March 2017 once Category 1 offence classification applied. Case Study 4 presents an example of circumstances that previously resulted in a non-custodial sentence. It again demonstrates that while sentences for these serious offences should not be unduly lenient, exceptional cases require judicial discretion in sentencing to avoid the potential for injustice.</w:t>
      </w:r>
    </w:p>
    <w:p w14:paraId="6EB885F5" w14:textId="77777777" w:rsidR="00EF5C25" w:rsidRPr="007F530F" w:rsidRDefault="00EF5C25" w:rsidP="009175CF">
      <w:pPr>
        <w:pStyle w:val="Heading3"/>
      </w:pPr>
      <w:r w:rsidRPr="007F530F">
        <w:t>Case Study 4: community order for sexual penetration with a child aged under 12</w:t>
      </w:r>
    </w:p>
    <w:p w14:paraId="37F7F361" w14:textId="77777777" w:rsidR="00EF5C25" w:rsidRPr="007F530F" w:rsidRDefault="00EF5C25" w:rsidP="00315A0D">
      <w:r w:rsidRPr="007F530F">
        <w:t>The offender in this case pleaded guilty to 2 charges of engaging in an indecent act with a child aged under 16 and 1 charge of sexual penetration with a child aged under 12.</w:t>
      </w:r>
    </w:p>
    <w:p w14:paraId="3E408EF4" w14:textId="77777777" w:rsidR="00EF5C25" w:rsidRPr="007F530F" w:rsidRDefault="00EF5C25" w:rsidP="00315A0D">
      <w:r w:rsidRPr="007F530F">
        <w:t>The offender would occasionally sleep overnight at the victims’ house (two boys aged 11 and 12) and would either sleep on the couch or in a queen-size bed with the victims. Two charges related to occasions on which he had put the younger victim’s penis in his mouth and masturbated the younger victim. The third charge related to masturbating the older victim.</w:t>
      </w:r>
    </w:p>
    <w:p w14:paraId="4DB901C1" w14:textId="77777777" w:rsidR="00EF5C25" w:rsidRPr="007F530F" w:rsidRDefault="00EF5C25" w:rsidP="00315A0D">
      <w:r w:rsidRPr="007F530F">
        <w:t xml:space="preserve">The court noted during sentencing that the offender had an intellectual disability and an IQ of 70, and he suffered from a rare physical condition resulting in loss of muscle control that caused him to fall. </w:t>
      </w:r>
    </w:p>
    <w:p w14:paraId="4D851E28" w14:textId="77777777" w:rsidR="00EF5C25" w:rsidRPr="007F530F" w:rsidRDefault="00EF5C25" w:rsidP="00315A0D">
      <w:r w:rsidRPr="007F530F">
        <w:t>The court concluded that due to the offender’s intellectual disability, plea of guilty, lack of prior sexual offending, rare physical condition, family support and suitability for a justice plan, a prison sentence was not necessary. He was sentenced to a 3-year community correction order.</w:t>
      </w:r>
    </w:p>
    <w:p w14:paraId="06E2C498" w14:textId="77777777" w:rsidR="00EF5C25" w:rsidRPr="007F530F" w:rsidRDefault="00EF5C25" w:rsidP="008A4F1C">
      <w:pPr>
        <w:jc w:val="right"/>
      </w:pPr>
      <w:r w:rsidRPr="007F530F">
        <w:rPr>
          <w:rStyle w:val="Emphasis"/>
        </w:rPr>
        <w:t>DPP v Hijazin</w:t>
      </w:r>
      <w:r w:rsidRPr="00D62402">
        <w:rPr>
          <w:rStyle w:val="Emphasis"/>
        </w:rPr>
        <w:t xml:space="preserve"> </w:t>
      </w:r>
      <w:r w:rsidRPr="007F530F">
        <w:t>[2015] VCC 1078 (10 July 2015)</w:t>
      </w:r>
    </w:p>
    <w:p w14:paraId="449CA973" w14:textId="77777777" w:rsidR="00EF5C25" w:rsidRPr="007F530F" w:rsidRDefault="00EF5C25" w:rsidP="006633AA">
      <w:pPr>
        <w:pStyle w:val="Heading2"/>
      </w:pPr>
      <w:r w:rsidRPr="007F530F">
        <w:lastRenderedPageBreak/>
        <w:t xml:space="preserve">How long were prison sentences for sexual penetration with a child aged under 10/12? </w:t>
      </w:r>
    </w:p>
    <w:p w14:paraId="491D7D63" w14:textId="03317C33" w:rsidR="00EF5C25" w:rsidRPr="007F530F" w:rsidRDefault="00EF5C25" w:rsidP="00D83AF6">
      <w:pPr>
        <w:pStyle w:val="Numbered"/>
      </w:pPr>
      <w:r w:rsidRPr="007F530F">
        <w:t xml:space="preserve">During the reference period, 231 non-aggregate sentences of imprisonment were imposed for charges of sexual penetration with a child aged under 10/12 contrary to sections 45(1) and 49A of the </w:t>
      </w:r>
      <w:r w:rsidRPr="00D62402">
        <w:rPr>
          <w:rStyle w:val="Emphasis"/>
        </w:rPr>
        <w:t xml:space="preserve">Crimes Act 1958 </w:t>
      </w:r>
      <w:r w:rsidRPr="007F530F">
        <w:t>(Vic).</w:t>
      </w:r>
      <w:r w:rsidRPr="007F530F">
        <w:rPr>
          <w:rStyle w:val="Superscript"/>
        </w:rPr>
        <w:footnoteReference w:id="201"/>
      </w:r>
      <w:r w:rsidRPr="007F530F">
        <w:t xml:space="preserve"> Figure 21 shows the yearly average length of non-aggregate sentences of imprisonment for those charges. The shortest sentences were 5 months’ imprisonment (part of a combined order), 6 months’ imprisonment and 8 months’ imprisonment (in 2 cases), and the longest were 10 years’ imprisonment,</w:t>
      </w:r>
      <w:r w:rsidRPr="007F530F">
        <w:rPr>
          <w:rStyle w:val="Superscript"/>
        </w:rPr>
        <w:footnoteReference w:id="202"/>
      </w:r>
      <w:r w:rsidRPr="007F530F">
        <w:t xml:space="preserve"> 9 years’ imprisonment and 8.5 years’ imprisonment. The average prison sentence over the reference period was 4 years. Relatively few charges of this offence type are sentenced each year, compared to most other offences analysed in this report. However, there were noticeable increases in the average prison sentence in 2016 (of 9 months) and in 2019 (of 10 months).</w:t>
      </w:r>
      <w:r w:rsidRPr="007F530F">
        <w:rPr>
          <w:rStyle w:val="Superscript"/>
        </w:rPr>
        <w:footnoteReference w:id="203"/>
      </w:r>
      <w:r w:rsidRPr="007F530F">
        <w:t xml:space="preserve"> </w:t>
      </w:r>
    </w:p>
    <w:p w14:paraId="2E5BA426" w14:textId="77777777" w:rsidR="00EE5995" w:rsidRPr="007F530F" w:rsidRDefault="00EE5995" w:rsidP="00D00197">
      <w:pPr>
        <w:pStyle w:val="Caption"/>
      </w:pPr>
      <w:r w:rsidRPr="00D00197">
        <w:t xml:space="preserve">Figure 21: </w:t>
      </w:r>
      <w:r w:rsidRPr="007F530F">
        <w:t xml:space="preserve">Average  prison sentence (in years and months) imposed on charges of sexual penetration with a child aged under 10/12 contrary to sections 45(1) and 49A of the </w:t>
      </w:r>
      <w:r w:rsidRPr="00D931C5">
        <w:rPr>
          <w:rStyle w:val="Emphasis"/>
        </w:rPr>
        <w:t>Crimes Act 1958</w:t>
      </w:r>
      <w:r w:rsidRPr="007F530F">
        <w:t xml:space="preserve"> (Vic), by year (231 charges)</w:t>
      </w:r>
    </w:p>
    <w:tbl>
      <w:tblPr>
        <w:tblStyle w:val="Table"/>
        <w:tblW w:w="5000" w:type="pct"/>
        <w:tblLook w:val="04A0" w:firstRow="1" w:lastRow="0" w:firstColumn="1" w:lastColumn="0" w:noHBand="0" w:noVBand="1"/>
      </w:tblPr>
      <w:tblGrid>
        <w:gridCol w:w="1702"/>
        <w:gridCol w:w="3574"/>
        <w:gridCol w:w="3740"/>
      </w:tblGrid>
      <w:tr w:rsidR="008A4F1C" w:rsidRPr="008A4F1C" w14:paraId="47152086" w14:textId="77777777" w:rsidTr="00F259E2">
        <w:trPr>
          <w:trHeight w:val="290"/>
          <w:tblHeader/>
        </w:trPr>
        <w:tc>
          <w:tcPr>
            <w:tcW w:w="1130" w:type="pct"/>
            <w:noWrap/>
            <w:hideMark/>
          </w:tcPr>
          <w:p w14:paraId="4C7A3CDE" w14:textId="77777777" w:rsidR="008A4F1C" w:rsidRPr="008A4F1C" w:rsidRDefault="008A4F1C" w:rsidP="00F259E2">
            <w:pPr>
              <w:pStyle w:val="TableHeading"/>
            </w:pPr>
            <w:r w:rsidRPr="008A4F1C">
              <w:t>Year</w:t>
            </w:r>
          </w:p>
        </w:tc>
        <w:tc>
          <w:tcPr>
            <w:tcW w:w="1609" w:type="pct"/>
            <w:noWrap/>
            <w:hideMark/>
          </w:tcPr>
          <w:p w14:paraId="087DF67B" w14:textId="77777777" w:rsidR="008A4F1C" w:rsidRPr="008A4F1C" w:rsidRDefault="008A4F1C" w:rsidP="00F259E2">
            <w:pPr>
              <w:pStyle w:val="TableHeading"/>
            </w:pPr>
            <w:r w:rsidRPr="008A4F1C">
              <w:t>Number of charges sentenced</w:t>
            </w:r>
          </w:p>
        </w:tc>
        <w:tc>
          <w:tcPr>
            <w:tcW w:w="2260" w:type="pct"/>
            <w:noWrap/>
            <w:hideMark/>
          </w:tcPr>
          <w:p w14:paraId="63657A63" w14:textId="77777777" w:rsidR="008A4F1C" w:rsidRPr="008A4F1C" w:rsidRDefault="008A4F1C" w:rsidP="00F259E2">
            <w:pPr>
              <w:pStyle w:val="TableHeading"/>
            </w:pPr>
            <w:r w:rsidRPr="008A4F1C">
              <w:t>Average sentence</w:t>
            </w:r>
          </w:p>
        </w:tc>
      </w:tr>
      <w:tr w:rsidR="008A4F1C" w:rsidRPr="008A4F1C" w14:paraId="2A8D972B" w14:textId="77777777" w:rsidTr="00F259E2">
        <w:trPr>
          <w:trHeight w:val="290"/>
        </w:trPr>
        <w:tc>
          <w:tcPr>
            <w:tcW w:w="1130" w:type="pct"/>
            <w:noWrap/>
            <w:hideMark/>
          </w:tcPr>
          <w:p w14:paraId="108D987D" w14:textId="77777777" w:rsidR="008A4F1C" w:rsidRPr="008A4F1C" w:rsidRDefault="008A4F1C" w:rsidP="00F259E2">
            <w:pPr>
              <w:pStyle w:val="TableBody"/>
            </w:pPr>
            <w:r w:rsidRPr="008A4F1C">
              <w:t>2010</w:t>
            </w:r>
          </w:p>
        </w:tc>
        <w:tc>
          <w:tcPr>
            <w:tcW w:w="1609" w:type="pct"/>
            <w:noWrap/>
            <w:hideMark/>
          </w:tcPr>
          <w:p w14:paraId="231FA4CA" w14:textId="77777777" w:rsidR="008A4F1C" w:rsidRPr="008A4F1C" w:rsidRDefault="008A4F1C" w:rsidP="00F259E2">
            <w:pPr>
              <w:pStyle w:val="TableBody"/>
            </w:pPr>
            <w:r w:rsidRPr="008A4F1C">
              <w:t>12</w:t>
            </w:r>
          </w:p>
        </w:tc>
        <w:tc>
          <w:tcPr>
            <w:tcW w:w="2260" w:type="pct"/>
            <w:noWrap/>
            <w:hideMark/>
          </w:tcPr>
          <w:p w14:paraId="1001A7C3" w14:textId="77777777" w:rsidR="008A4F1C" w:rsidRPr="008A4F1C" w:rsidRDefault="008A4F1C" w:rsidP="00F259E2">
            <w:pPr>
              <w:pStyle w:val="TableBody"/>
            </w:pPr>
            <w:r w:rsidRPr="008A4F1C">
              <w:t>3 years 8 months</w:t>
            </w:r>
          </w:p>
        </w:tc>
      </w:tr>
      <w:tr w:rsidR="008A4F1C" w:rsidRPr="008A4F1C" w14:paraId="732CC016" w14:textId="77777777" w:rsidTr="00F259E2">
        <w:trPr>
          <w:trHeight w:val="290"/>
        </w:trPr>
        <w:tc>
          <w:tcPr>
            <w:tcW w:w="1130" w:type="pct"/>
            <w:noWrap/>
            <w:hideMark/>
          </w:tcPr>
          <w:p w14:paraId="14ED105C" w14:textId="77777777" w:rsidR="008A4F1C" w:rsidRPr="008A4F1C" w:rsidRDefault="008A4F1C" w:rsidP="00F259E2">
            <w:pPr>
              <w:pStyle w:val="TableBody"/>
            </w:pPr>
            <w:r w:rsidRPr="008A4F1C">
              <w:t>2011</w:t>
            </w:r>
          </w:p>
        </w:tc>
        <w:tc>
          <w:tcPr>
            <w:tcW w:w="1609" w:type="pct"/>
            <w:noWrap/>
            <w:hideMark/>
          </w:tcPr>
          <w:p w14:paraId="659954B0" w14:textId="77777777" w:rsidR="008A4F1C" w:rsidRPr="008A4F1C" w:rsidRDefault="008A4F1C" w:rsidP="00F259E2">
            <w:pPr>
              <w:pStyle w:val="TableBody"/>
            </w:pPr>
            <w:r w:rsidRPr="008A4F1C">
              <w:t>28</w:t>
            </w:r>
          </w:p>
        </w:tc>
        <w:tc>
          <w:tcPr>
            <w:tcW w:w="2260" w:type="pct"/>
            <w:noWrap/>
            <w:hideMark/>
          </w:tcPr>
          <w:p w14:paraId="4652D7C7" w14:textId="77777777" w:rsidR="008A4F1C" w:rsidRPr="008A4F1C" w:rsidRDefault="008A4F1C" w:rsidP="00F259E2">
            <w:pPr>
              <w:pStyle w:val="TableBody"/>
            </w:pPr>
            <w:r w:rsidRPr="008A4F1C">
              <w:t>3 years 10 months</w:t>
            </w:r>
          </w:p>
        </w:tc>
      </w:tr>
      <w:tr w:rsidR="008A4F1C" w:rsidRPr="008A4F1C" w14:paraId="62327AC5" w14:textId="77777777" w:rsidTr="00F259E2">
        <w:trPr>
          <w:trHeight w:val="290"/>
        </w:trPr>
        <w:tc>
          <w:tcPr>
            <w:tcW w:w="1130" w:type="pct"/>
            <w:noWrap/>
            <w:hideMark/>
          </w:tcPr>
          <w:p w14:paraId="16D2012F" w14:textId="77777777" w:rsidR="008A4F1C" w:rsidRPr="008A4F1C" w:rsidRDefault="008A4F1C" w:rsidP="00F259E2">
            <w:pPr>
              <w:pStyle w:val="TableBody"/>
            </w:pPr>
            <w:r w:rsidRPr="008A4F1C">
              <w:t>2012</w:t>
            </w:r>
          </w:p>
        </w:tc>
        <w:tc>
          <w:tcPr>
            <w:tcW w:w="1609" w:type="pct"/>
            <w:noWrap/>
            <w:hideMark/>
          </w:tcPr>
          <w:p w14:paraId="11841EDA" w14:textId="77777777" w:rsidR="008A4F1C" w:rsidRPr="008A4F1C" w:rsidRDefault="008A4F1C" w:rsidP="00F259E2">
            <w:pPr>
              <w:pStyle w:val="TableBody"/>
            </w:pPr>
            <w:r w:rsidRPr="008A4F1C">
              <w:t>29</w:t>
            </w:r>
          </w:p>
        </w:tc>
        <w:tc>
          <w:tcPr>
            <w:tcW w:w="2260" w:type="pct"/>
            <w:noWrap/>
            <w:hideMark/>
          </w:tcPr>
          <w:p w14:paraId="14A03C35" w14:textId="77777777" w:rsidR="008A4F1C" w:rsidRPr="008A4F1C" w:rsidRDefault="008A4F1C" w:rsidP="00F259E2">
            <w:pPr>
              <w:pStyle w:val="TableBody"/>
            </w:pPr>
            <w:r w:rsidRPr="008A4F1C">
              <w:t>3 years 9 months</w:t>
            </w:r>
          </w:p>
        </w:tc>
      </w:tr>
      <w:tr w:rsidR="008A4F1C" w:rsidRPr="008A4F1C" w14:paraId="0BEE4FD1" w14:textId="77777777" w:rsidTr="00F259E2">
        <w:trPr>
          <w:trHeight w:val="290"/>
        </w:trPr>
        <w:tc>
          <w:tcPr>
            <w:tcW w:w="1130" w:type="pct"/>
            <w:noWrap/>
            <w:hideMark/>
          </w:tcPr>
          <w:p w14:paraId="459CB647" w14:textId="77777777" w:rsidR="008A4F1C" w:rsidRPr="008A4F1C" w:rsidRDefault="008A4F1C" w:rsidP="00F259E2">
            <w:pPr>
              <w:pStyle w:val="TableBody"/>
            </w:pPr>
            <w:r w:rsidRPr="008A4F1C">
              <w:t>2013</w:t>
            </w:r>
          </w:p>
        </w:tc>
        <w:tc>
          <w:tcPr>
            <w:tcW w:w="1609" w:type="pct"/>
            <w:noWrap/>
            <w:hideMark/>
          </w:tcPr>
          <w:p w14:paraId="28098C0C" w14:textId="77777777" w:rsidR="008A4F1C" w:rsidRPr="008A4F1C" w:rsidRDefault="008A4F1C" w:rsidP="00F259E2">
            <w:pPr>
              <w:pStyle w:val="TableBody"/>
            </w:pPr>
            <w:r w:rsidRPr="008A4F1C">
              <w:t>21</w:t>
            </w:r>
          </w:p>
        </w:tc>
        <w:tc>
          <w:tcPr>
            <w:tcW w:w="2260" w:type="pct"/>
            <w:noWrap/>
            <w:hideMark/>
          </w:tcPr>
          <w:p w14:paraId="114E826D" w14:textId="77777777" w:rsidR="008A4F1C" w:rsidRPr="008A4F1C" w:rsidRDefault="008A4F1C" w:rsidP="00F259E2">
            <w:pPr>
              <w:pStyle w:val="TableBody"/>
            </w:pPr>
            <w:r w:rsidRPr="008A4F1C">
              <w:t>3 years 11 months</w:t>
            </w:r>
          </w:p>
        </w:tc>
      </w:tr>
      <w:tr w:rsidR="008A4F1C" w:rsidRPr="008A4F1C" w14:paraId="5584BAF0" w14:textId="77777777" w:rsidTr="00F259E2">
        <w:trPr>
          <w:trHeight w:val="290"/>
        </w:trPr>
        <w:tc>
          <w:tcPr>
            <w:tcW w:w="1130" w:type="pct"/>
            <w:noWrap/>
            <w:hideMark/>
          </w:tcPr>
          <w:p w14:paraId="5078AB97" w14:textId="77777777" w:rsidR="008A4F1C" w:rsidRPr="008A4F1C" w:rsidRDefault="008A4F1C" w:rsidP="00F259E2">
            <w:pPr>
              <w:pStyle w:val="TableBody"/>
            </w:pPr>
            <w:r w:rsidRPr="008A4F1C">
              <w:t>2014</w:t>
            </w:r>
          </w:p>
        </w:tc>
        <w:tc>
          <w:tcPr>
            <w:tcW w:w="1609" w:type="pct"/>
            <w:noWrap/>
            <w:hideMark/>
          </w:tcPr>
          <w:p w14:paraId="405B8F34" w14:textId="77777777" w:rsidR="008A4F1C" w:rsidRPr="008A4F1C" w:rsidRDefault="008A4F1C" w:rsidP="00F259E2">
            <w:pPr>
              <w:pStyle w:val="TableBody"/>
            </w:pPr>
            <w:r w:rsidRPr="008A4F1C">
              <w:t>33</w:t>
            </w:r>
          </w:p>
        </w:tc>
        <w:tc>
          <w:tcPr>
            <w:tcW w:w="2260" w:type="pct"/>
            <w:noWrap/>
            <w:hideMark/>
          </w:tcPr>
          <w:p w14:paraId="1391A572" w14:textId="77777777" w:rsidR="008A4F1C" w:rsidRPr="008A4F1C" w:rsidRDefault="008A4F1C" w:rsidP="00F259E2">
            <w:pPr>
              <w:pStyle w:val="TableBody"/>
            </w:pPr>
            <w:r w:rsidRPr="008A4F1C">
              <w:t>2 years 10 months</w:t>
            </w:r>
          </w:p>
        </w:tc>
      </w:tr>
      <w:tr w:rsidR="008A4F1C" w:rsidRPr="008A4F1C" w14:paraId="43C69501" w14:textId="77777777" w:rsidTr="00F259E2">
        <w:trPr>
          <w:trHeight w:val="290"/>
        </w:trPr>
        <w:tc>
          <w:tcPr>
            <w:tcW w:w="1130" w:type="pct"/>
            <w:noWrap/>
            <w:hideMark/>
          </w:tcPr>
          <w:p w14:paraId="60046FB0" w14:textId="77777777" w:rsidR="008A4F1C" w:rsidRPr="008A4F1C" w:rsidRDefault="008A4F1C" w:rsidP="00F259E2">
            <w:pPr>
              <w:pStyle w:val="TableBody"/>
            </w:pPr>
            <w:r w:rsidRPr="008A4F1C">
              <w:lastRenderedPageBreak/>
              <w:t>2015</w:t>
            </w:r>
          </w:p>
        </w:tc>
        <w:tc>
          <w:tcPr>
            <w:tcW w:w="1609" w:type="pct"/>
            <w:noWrap/>
            <w:hideMark/>
          </w:tcPr>
          <w:p w14:paraId="253D9F5C" w14:textId="77777777" w:rsidR="008A4F1C" w:rsidRPr="008A4F1C" w:rsidRDefault="008A4F1C" w:rsidP="00F259E2">
            <w:pPr>
              <w:pStyle w:val="TableBody"/>
            </w:pPr>
            <w:r w:rsidRPr="008A4F1C">
              <w:t>27</w:t>
            </w:r>
          </w:p>
        </w:tc>
        <w:tc>
          <w:tcPr>
            <w:tcW w:w="2260" w:type="pct"/>
            <w:noWrap/>
            <w:hideMark/>
          </w:tcPr>
          <w:p w14:paraId="48175FE4" w14:textId="77777777" w:rsidR="008A4F1C" w:rsidRPr="008A4F1C" w:rsidRDefault="008A4F1C" w:rsidP="00F259E2">
            <w:pPr>
              <w:pStyle w:val="TableBody"/>
            </w:pPr>
            <w:r w:rsidRPr="008A4F1C">
              <w:t>3 years 8 months</w:t>
            </w:r>
          </w:p>
        </w:tc>
      </w:tr>
      <w:tr w:rsidR="008A4F1C" w:rsidRPr="008A4F1C" w14:paraId="44B49DFC" w14:textId="77777777" w:rsidTr="00F259E2">
        <w:trPr>
          <w:trHeight w:val="290"/>
        </w:trPr>
        <w:tc>
          <w:tcPr>
            <w:tcW w:w="1130" w:type="pct"/>
            <w:noWrap/>
            <w:hideMark/>
          </w:tcPr>
          <w:p w14:paraId="344F25C6" w14:textId="77777777" w:rsidR="008A4F1C" w:rsidRPr="008A4F1C" w:rsidRDefault="008A4F1C" w:rsidP="00F259E2">
            <w:pPr>
              <w:pStyle w:val="TableBody"/>
            </w:pPr>
            <w:r w:rsidRPr="008A4F1C">
              <w:t>2016</w:t>
            </w:r>
          </w:p>
        </w:tc>
        <w:tc>
          <w:tcPr>
            <w:tcW w:w="1609" w:type="pct"/>
            <w:noWrap/>
            <w:hideMark/>
          </w:tcPr>
          <w:p w14:paraId="5B68F1AC" w14:textId="77777777" w:rsidR="008A4F1C" w:rsidRPr="008A4F1C" w:rsidRDefault="008A4F1C" w:rsidP="00F259E2">
            <w:pPr>
              <w:pStyle w:val="TableBody"/>
            </w:pPr>
            <w:r w:rsidRPr="008A4F1C">
              <w:t>23</w:t>
            </w:r>
          </w:p>
        </w:tc>
        <w:tc>
          <w:tcPr>
            <w:tcW w:w="2260" w:type="pct"/>
            <w:noWrap/>
            <w:hideMark/>
          </w:tcPr>
          <w:p w14:paraId="640C3E08" w14:textId="77777777" w:rsidR="008A4F1C" w:rsidRPr="008A4F1C" w:rsidRDefault="008A4F1C" w:rsidP="00F259E2">
            <w:pPr>
              <w:pStyle w:val="TableBody"/>
            </w:pPr>
            <w:r w:rsidRPr="008A4F1C">
              <w:t>4 years 5 months</w:t>
            </w:r>
          </w:p>
        </w:tc>
      </w:tr>
      <w:tr w:rsidR="008A4F1C" w:rsidRPr="008A4F1C" w14:paraId="60692721" w14:textId="77777777" w:rsidTr="00F259E2">
        <w:trPr>
          <w:trHeight w:val="290"/>
        </w:trPr>
        <w:tc>
          <w:tcPr>
            <w:tcW w:w="1130" w:type="pct"/>
            <w:noWrap/>
            <w:hideMark/>
          </w:tcPr>
          <w:p w14:paraId="601DA7A8" w14:textId="77777777" w:rsidR="008A4F1C" w:rsidRPr="008A4F1C" w:rsidRDefault="008A4F1C" w:rsidP="00F259E2">
            <w:pPr>
              <w:pStyle w:val="TableBody"/>
            </w:pPr>
            <w:r w:rsidRPr="008A4F1C">
              <w:t>2017</w:t>
            </w:r>
          </w:p>
        </w:tc>
        <w:tc>
          <w:tcPr>
            <w:tcW w:w="1609" w:type="pct"/>
            <w:noWrap/>
            <w:hideMark/>
          </w:tcPr>
          <w:p w14:paraId="6CB5D370" w14:textId="77777777" w:rsidR="008A4F1C" w:rsidRPr="008A4F1C" w:rsidRDefault="008A4F1C" w:rsidP="00F259E2">
            <w:pPr>
              <w:pStyle w:val="TableBody"/>
            </w:pPr>
            <w:r w:rsidRPr="008A4F1C">
              <w:t>17</w:t>
            </w:r>
          </w:p>
        </w:tc>
        <w:tc>
          <w:tcPr>
            <w:tcW w:w="2260" w:type="pct"/>
            <w:noWrap/>
            <w:hideMark/>
          </w:tcPr>
          <w:p w14:paraId="167D4FC0" w14:textId="77777777" w:rsidR="008A4F1C" w:rsidRPr="008A4F1C" w:rsidRDefault="008A4F1C" w:rsidP="00F259E2">
            <w:pPr>
              <w:pStyle w:val="TableBody"/>
            </w:pPr>
            <w:r w:rsidRPr="008A4F1C">
              <w:t>4 years 5 months</w:t>
            </w:r>
          </w:p>
        </w:tc>
      </w:tr>
      <w:tr w:rsidR="008A4F1C" w:rsidRPr="008A4F1C" w14:paraId="78838AF4" w14:textId="77777777" w:rsidTr="00F259E2">
        <w:trPr>
          <w:trHeight w:val="290"/>
        </w:trPr>
        <w:tc>
          <w:tcPr>
            <w:tcW w:w="1130" w:type="pct"/>
            <w:noWrap/>
            <w:hideMark/>
          </w:tcPr>
          <w:p w14:paraId="3D0F0789" w14:textId="77777777" w:rsidR="008A4F1C" w:rsidRPr="008A4F1C" w:rsidRDefault="008A4F1C" w:rsidP="00F259E2">
            <w:pPr>
              <w:pStyle w:val="TableBody"/>
            </w:pPr>
            <w:r w:rsidRPr="008A4F1C">
              <w:t>2018</w:t>
            </w:r>
          </w:p>
        </w:tc>
        <w:tc>
          <w:tcPr>
            <w:tcW w:w="1609" w:type="pct"/>
            <w:noWrap/>
            <w:hideMark/>
          </w:tcPr>
          <w:p w14:paraId="04A0F7DA" w14:textId="77777777" w:rsidR="008A4F1C" w:rsidRPr="008A4F1C" w:rsidRDefault="008A4F1C" w:rsidP="00F259E2">
            <w:pPr>
              <w:pStyle w:val="TableBody"/>
            </w:pPr>
            <w:r w:rsidRPr="008A4F1C">
              <w:t>22</w:t>
            </w:r>
          </w:p>
        </w:tc>
        <w:tc>
          <w:tcPr>
            <w:tcW w:w="2260" w:type="pct"/>
            <w:noWrap/>
            <w:hideMark/>
          </w:tcPr>
          <w:p w14:paraId="2E511AF2" w14:textId="77777777" w:rsidR="008A4F1C" w:rsidRPr="008A4F1C" w:rsidRDefault="008A4F1C" w:rsidP="00F259E2">
            <w:pPr>
              <w:pStyle w:val="TableBody"/>
            </w:pPr>
            <w:r w:rsidRPr="008A4F1C">
              <w:t>4 years 10 months</w:t>
            </w:r>
          </w:p>
        </w:tc>
      </w:tr>
      <w:tr w:rsidR="008A4F1C" w:rsidRPr="008A4F1C" w14:paraId="178A4E6F" w14:textId="77777777" w:rsidTr="00F259E2">
        <w:trPr>
          <w:trHeight w:val="290"/>
        </w:trPr>
        <w:tc>
          <w:tcPr>
            <w:tcW w:w="1130" w:type="pct"/>
            <w:noWrap/>
            <w:hideMark/>
          </w:tcPr>
          <w:p w14:paraId="6976B90F" w14:textId="77777777" w:rsidR="008A4F1C" w:rsidRPr="008A4F1C" w:rsidRDefault="008A4F1C" w:rsidP="00F259E2">
            <w:pPr>
              <w:pStyle w:val="TableBody"/>
            </w:pPr>
            <w:r w:rsidRPr="008A4F1C">
              <w:t>2019</w:t>
            </w:r>
          </w:p>
        </w:tc>
        <w:tc>
          <w:tcPr>
            <w:tcW w:w="1609" w:type="pct"/>
            <w:noWrap/>
            <w:hideMark/>
          </w:tcPr>
          <w:p w14:paraId="0AA66F8F" w14:textId="77777777" w:rsidR="008A4F1C" w:rsidRPr="008A4F1C" w:rsidRDefault="008A4F1C" w:rsidP="00F259E2">
            <w:pPr>
              <w:pStyle w:val="TableBody"/>
            </w:pPr>
            <w:r w:rsidRPr="008A4F1C">
              <w:t>19</w:t>
            </w:r>
          </w:p>
        </w:tc>
        <w:tc>
          <w:tcPr>
            <w:tcW w:w="2260" w:type="pct"/>
            <w:noWrap/>
            <w:hideMark/>
          </w:tcPr>
          <w:p w14:paraId="2E128523" w14:textId="77777777" w:rsidR="008A4F1C" w:rsidRPr="008A4F1C" w:rsidRDefault="008A4F1C" w:rsidP="00F259E2">
            <w:pPr>
              <w:pStyle w:val="TableBody"/>
            </w:pPr>
            <w:r w:rsidRPr="008A4F1C">
              <w:t>5 years 8 months</w:t>
            </w:r>
          </w:p>
        </w:tc>
      </w:tr>
    </w:tbl>
    <w:p w14:paraId="0B602C4A" w14:textId="202716CE" w:rsidR="00EF5C25" w:rsidRPr="007F530F" w:rsidRDefault="00EF5C25" w:rsidP="00D83AF6">
      <w:pPr>
        <w:pStyle w:val="Numbered"/>
      </w:pPr>
      <w:r w:rsidRPr="007F530F">
        <w:t>There were 103 cases in which a charge of sexual penetration with a child aged under 10/12 was the principal proven offence and the offender received a term of imprisonment. Between 2010 and 2019, the yearly average total effective sentence increased by 2 years and 6 months (Figure 22); the highest average of the reference period was recorded in 2019.</w:t>
      </w:r>
      <w:r w:rsidRPr="007F530F">
        <w:rPr>
          <w:rStyle w:val="Superscript"/>
        </w:rPr>
        <w:footnoteReference w:id="204"/>
      </w:r>
      <w:r w:rsidRPr="007F530F">
        <w:t xml:space="preserve"> The three standard sentence offences of sexual penetration with a child aged under 12 sentenced in 2019 were also the principal proven offence in each case. These three charges were responsible for some of the increase in the average total effective sentence in 2019,</w:t>
      </w:r>
      <w:r w:rsidRPr="007F530F">
        <w:rPr>
          <w:rStyle w:val="Superscript"/>
        </w:rPr>
        <w:footnoteReference w:id="205"/>
      </w:r>
      <w:r w:rsidRPr="007F530F">
        <w:t xml:space="preserve"> but not all of it. Excluding these cases, the average total effective sentence in 2019 was 8 years and 3 months, still the highest average in the reference period and higher than in 2018, which contained one particularly serious case of historical offending resulting in a sentence of 17 years and 9 months’ imprisonment (the longest of any case in which sexual penetration with a child was the principal proven offence). Over the whole reference period, the average total effective sentence length was 6 years and 9 months.</w:t>
      </w:r>
    </w:p>
    <w:p w14:paraId="631713F5" w14:textId="77777777" w:rsidR="00067A92" w:rsidRPr="007F530F" w:rsidRDefault="00067A92" w:rsidP="00D00197">
      <w:pPr>
        <w:pStyle w:val="Caption"/>
      </w:pPr>
      <w:r w:rsidRPr="00D00197">
        <w:t xml:space="preserve">Figure 22: </w:t>
      </w:r>
      <w:r w:rsidRPr="007F530F">
        <w:t xml:space="preserve">Average total effective sentence (in years and months) imposed in cases involving a charge of sexual penetration with a child aged under 10/12 contrary to sections 45(1) and 49A of the </w:t>
      </w:r>
      <w:r w:rsidRPr="00D931C5">
        <w:rPr>
          <w:rStyle w:val="Emphasis"/>
        </w:rPr>
        <w:t xml:space="preserve">Crimes Act 1958 </w:t>
      </w:r>
      <w:r w:rsidRPr="007F530F">
        <w:t>(Vic) as the principal proven offence, by year (103 cases)</w:t>
      </w:r>
    </w:p>
    <w:tbl>
      <w:tblPr>
        <w:tblStyle w:val="Table"/>
        <w:tblW w:w="5000" w:type="pct"/>
        <w:tblLook w:val="04A0" w:firstRow="1" w:lastRow="0" w:firstColumn="1" w:lastColumn="0" w:noHBand="0" w:noVBand="1"/>
      </w:tblPr>
      <w:tblGrid>
        <w:gridCol w:w="1725"/>
        <w:gridCol w:w="3311"/>
        <w:gridCol w:w="3980"/>
      </w:tblGrid>
      <w:tr w:rsidR="00DE66D1" w:rsidRPr="00DE66D1" w14:paraId="59DD7850" w14:textId="77777777" w:rsidTr="00945AA2">
        <w:trPr>
          <w:trHeight w:val="290"/>
          <w:tblHeader/>
        </w:trPr>
        <w:tc>
          <w:tcPr>
            <w:tcW w:w="957" w:type="pct"/>
            <w:noWrap/>
            <w:hideMark/>
          </w:tcPr>
          <w:p w14:paraId="207347C2" w14:textId="77777777" w:rsidR="00DE66D1" w:rsidRPr="00DE66D1" w:rsidRDefault="00DE66D1" w:rsidP="00945AA2">
            <w:pPr>
              <w:pStyle w:val="TableHeading"/>
            </w:pPr>
            <w:r w:rsidRPr="00DE66D1">
              <w:t>Year</w:t>
            </w:r>
          </w:p>
        </w:tc>
        <w:tc>
          <w:tcPr>
            <w:tcW w:w="1836" w:type="pct"/>
            <w:noWrap/>
            <w:hideMark/>
          </w:tcPr>
          <w:p w14:paraId="01948FAF" w14:textId="77777777" w:rsidR="00DE66D1" w:rsidRPr="00DE66D1" w:rsidRDefault="00DE66D1" w:rsidP="00945AA2">
            <w:pPr>
              <w:pStyle w:val="TableHeading"/>
            </w:pPr>
            <w:r w:rsidRPr="00DE66D1">
              <w:t>Number of cases sentenced</w:t>
            </w:r>
          </w:p>
        </w:tc>
        <w:tc>
          <w:tcPr>
            <w:tcW w:w="2207" w:type="pct"/>
            <w:noWrap/>
            <w:hideMark/>
          </w:tcPr>
          <w:p w14:paraId="3B58D483" w14:textId="77777777" w:rsidR="00DE66D1" w:rsidRPr="00DE66D1" w:rsidRDefault="00DE66D1" w:rsidP="00945AA2">
            <w:pPr>
              <w:pStyle w:val="TableHeading"/>
            </w:pPr>
            <w:r w:rsidRPr="00DE66D1">
              <w:t>Average sentence</w:t>
            </w:r>
          </w:p>
        </w:tc>
      </w:tr>
      <w:tr w:rsidR="00DE66D1" w:rsidRPr="00DE66D1" w14:paraId="141A9C79" w14:textId="77777777" w:rsidTr="00945AA2">
        <w:trPr>
          <w:trHeight w:val="290"/>
        </w:trPr>
        <w:tc>
          <w:tcPr>
            <w:tcW w:w="957" w:type="pct"/>
            <w:noWrap/>
            <w:hideMark/>
          </w:tcPr>
          <w:p w14:paraId="205D6863" w14:textId="77777777" w:rsidR="00DE66D1" w:rsidRPr="00DE66D1" w:rsidRDefault="00DE66D1" w:rsidP="00945AA2">
            <w:pPr>
              <w:pStyle w:val="TableBody"/>
            </w:pPr>
            <w:r w:rsidRPr="00DE66D1">
              <w:t>2010</w:t>
            </w:r>
          </w:p>
        </w:tc>
        <w:tc>
          <w:tcPr>
            <w:tcW w:w="1836" w:type="pct"/>
            <w:noWrap/>
            <w:hideMark/>
          </w:tcPr>
          <w:p w14:paraId="3A7A50D8" w14:textId="77777777" w:rsidR="00DE66D1" w:rsidRPr="00DE66D1" w:rsidRDefault="00DE66D1" w:rsidP="00945AA2">
            <w:pPr>
              <w:pStyle w:val="TableBody"/>
            </w:pPr>
            <w:r w:rsidRPr="00DE66D1">
              <w:t>7</w:t>
            </w:r>
          </w:p>
        </w:tc>
        <w:tc>
          <w:tcPr>
            <w:tcW w:w="2207" w:type="pct"/>
            <w:noWrap/>
            <w:hideMark/>
          </w:tcPr>
          <w:p w14:paraId="017C2EC3" w14:textId="77777777" w:rsidR="00DE66D1" w:rsidRPr="00DE66D1" w:rsidRDefault="00DE66D1" w:rsidP="00945AA2">
            <w:pPr>
              <w:pStyle w:val="TableBody"/>
            </w:pPr>
            <w:r w:rsidRPr="00DE66D1">
              <w:t>5 years and 10 months</w:t>
            </w:r>
          </w:p>
        </w:tc>
      </w:tr>
      <w:tr w:rsidR="00DE66D1" w:rsidRPr="00DE66D1" w14:paraId="6639B932" w14:textId="77777777" w:rsidTr="00945AA2">
        <w:trPr>
          <w:trHeight w:val="290"/>
        </w:trPr>
        <w:tc>
          <w:tcPr>
            <w:tcW w:w="957" w:type="pct"/>
            <w:noWrap/>
            <w:hideMark/>
          </w:tcPr>
          <w:p w14:paraId="5BF1992F" w14:textId="77777777" w:rsidR="00DE66D1" w:rsidRPr="00DE66D1" w:rsidRDefault="00DE66D1" w:rsidP="00945AA2">
            <w:pPr>
              <w:pStyle w:val="TableBody"/>
            </w:pPr>
            <w:r w:rsidRPr="00DE66D1">
              <w:lastRenderedPageBreak/>
              <w:t>2011</w:t>
            </w:r>
          </w:p>
        </w:tc>
        <w:tc>
          <w:tcPr>
            <w:tcW w:w="1836" w:type="pct"/>
            <w:noWrap/>
            <w:hideMark/>
          </w:tcPr>
          <w:p w14:paraId="5E8E9380" w14:textId="77777777" w:rsidR="00DE66D1" w:rsidRPr="00DE66D1" w:rsidRDefault="00DE66D1" w:rsidP="00945AA2">
            <w:pPr>
              <w:pStyle w:val="TableBody"/>
            </w:pPr>
            <w:r w:rsidRPr="00DE66D1">
              <w:t>8</w:t>
            </w:r>
          </w:p>
        </w:tc>
        <w:tc>
          <w:tcPr>
            <w:tcW w:w="2207" w:type="pct"/>
            <w:noWrap/>
            <w:hideMark/>
          </w:tcPr>
          <w:p w14:paraId="1EBD7B8E" w14:textId="77777777" w:rsidR="00DE66D1" w:rsidRPr="00DE66D1" w:rsidRDefault="00DE66D1" w:rsidP="00945AA2">
            <w:pPr>
              <w:pStyle w:val="TableBody"/>
            </w:pPr>
            <w:r w:rsidRPr="00DE66D1">
              <w:t>6 years and 11 months</w:t>
            </w:r>
          </w:p>
        </w:tc>
      </w:tr>
      <w:tr w:rsidR="00DE66D1" w:rsidRPr="00DE66D1" w14:paraId="4DBE864C" w14:textId="77777777" w:rsidTr="00945AA2">
        <w:trPr>
          <w:trHeight w:val="290"/>
        </w:trPr>
        <w:tc>
          <w:tcPr>
            <w:tcW w:w="957" w:type="pct"/>
            <w:noWrap/>
            <w:hideMark/>
          </w:tcPr>
          <w:p w14:paraId="4F829F5C" w14:textId="77777777" w:rsidR="00DE66D1" w:rsidRPr="00DE66D1" w:rsidRDefault="00DE66D1" w:rsidP="00945AA2">
            <w:pPr>
              <w:pStyle w:val="TableBody"/>
            </w:pPr>
            <w:r w:rsidRPr="00DE66D1">
              <w:t>2012</w:t>
            </w:r>
          </w:p>
        </w:tc>
        <w:tc>
          <w:tcPr>
            <w:tcW w:w="1836" w:type="pct"/>
            <w:noWrap/>
            <w:hideMark/>
          </w:tcPr>
          <w:p w14:paraId="61287159" w14:textId="77777777" w:rsidR="00DE66D1" w:rsidRPr="00DE66D1" w:rsidRDefault="00DE66D1" w:rsidP="00945AA2">
            <w:pPr>
              <w:pStyle w:val="TableBody"/>
            </w:pPr>
            <w:r w:rsidRPr="00DE66D1">
              <w:t>14</w:t>
            </w:r>
          </w:p>
        </w:tc>
        <w:tc>
          <w:tcPr>
            <w:tcW w:w="2207" w:type="pct"/>
            <w:noWrap/>
            <w:hideMark/>
          </w:tcPr>
          <w:p w14:paraId="679156DF" w14:textId="77777777" w:rsidR="00DE66D1" w:rsidRPr="00DE66D1" w:rsidRDefault="00DE66D1" w:rsidP="00945AA2">
            <w:pPr>
              <w:pStyle w:val="TableBody"/>
            </w:pPr>
            <w:r w:rsidRPr="00DE66D1">
              <w:t>7 years and 1 months</w:t>
            </w:r>
          </w:p>
        </w:tc>
      </w:tr>
      <w:tr w:rsidR="00DE66D1" w:rsidRPr="00DE66D1" w14:paraId="28A98BA6" w14:textId="77777777" w:rsidTr="00945AA2">
        <w:trPr>
          <w:trHeight w:val="290"/>
        </w:trPr>
        <w:tc>
          <w:tcPr>
            <w:tcW w:w="957" w:type="pct"/>
            <w:noWrap/>
            <w:hideMark/>
          </w:tcPr>
          <w:p w14:paraId="2132F0EC" w14:textId="77777777" w:rsidR="00DE66D1" w:rsidRPr="00DE66D1" w:rsidRDefault="00DE66D1" w:rsidP="00945AA2">
            <w:pPr>
              <w:pStyle w:val="TableBody"/>
            </w:pPr>
            <w:r w:rsidRPr="00DE66D1">
              <w:t>2013</w:t>
            </w:r>
          </w:p>
        </w:tc>
        <w:tc>
          <w:tcPr>
            <w:tcW w:w="1836" w:type="pct"/>
            <w:noWrap/>
            <w:hideMark/>
          </w:tcPr>
          <w:p w14:paraId="3A514302" w14:textId="77777777" w:rsidR="00DE66D1" w:rsidRPr="00DE66D1" w:rsidRDefault="00DE66D1" w:rsidP="00945AA2">
            <w:pPr>
              <w:pStyle w:val="TableBody"/>
            </w:pPr>
            <w:r w:rsidRPr="00DE66D1">
              <w:t>9</w:t>
            </w:r>
          </w:p>
        </w:tc>
        <w:tc>
          <w:tcPr>
            <w:tcW w:w="2207" w:type="pct"/>
            <w:noWrap/>
            <w:hideMark/>
          </w:tcPr>
          <w:p w14:paraId="5A84832F" w14:textId="77777777" w:rsidR="00DE66D1" w:rsidRPr="00DE66D1" w:rsidRDefault="00DE66D1" w:rsidP="00945AA2">
            <w:pPr>
              <w:pStyle w:val="TableBody"/>
            </w:pPr>
            <w:r w:rsidRPr="00DE66D1">
              <w:t>6 years and 2 months</w:t>
            </w:r>
          </w:p>
        </w:tc>
      </w:tr>
      <w:tr w:rsidR="00DE66D1" w:rsidRPr="00DE66D1" w14:paraId="55BE4A3A" w14:textId="77777777" w:rsidTr="00945AA2">
        <w:trPr>
          <w:trHeight w:val="290"/>
        </w:trPr>
        <w:tc>
          <w:tcPr>
            <w:tcW w:w="957" w:type="pct"/>
            <w:noWrap/>
            <w:hideMark/>
          </w:tcPr>
          <w:p w14:paraId="0B5F3686" w14:textId="77777777" w:rsidR="00DE66D1" w:rsidRPr="00DE66D1" w:rsidRDefault="00DE66D1" w:rsidP="00945AA2">
            <w:pPr>
              <w:pStyle w:val="TableBody"/>
            </w:pPr>
            <w:r w:rsidRPr="00DE66D1">
              <w:t>2014</w:t>
            </w:r>
          </w:p>
        </w:tc>
        <w:tc>
          <w:tcPr>
            <w:tcW w:w="1836" w:type="pct"/>
            <w:noWrap/>
            <w:hideMark/>
          </w:tcPr>
          <w:p w14:paraId="5EBB76A3" w14:textId="77777777" w:rsidR="00DE66D1" w:rsidRPr="00DE66D1" w:rsidRDefault="00DE66D1" w:rsidP="00945AA2">
            <w:pPr>
              <w:pStyle w:val="TableBody"/>
            </w:pPr>
            <w:r w:rsidRPr="00DE66D1">
              <w:t>11</w:t>
            </w:r>
          </w:p>
        </w:tc>
        <w:tc>
          <w:tcPr>
            <w:tcW w:w="2207" w:type="pct"/>
            <w:noWrap/>
            <w:hideMark/>
          </w:tcPr>
          <w:p w14:paraId="58C341C0" w14:textId="77777777" w:rsidR="00DE66D1" w:rsidRPr="00DE66D1" w:rsidRDefault="00DE66D1" w:rsidP="00945AA2">
            <w:pPr>
              <w:pStyle w:val="TableBody"/>
            </w:pPr>
            <w:r w:rsidRPr="00DE66D1">
              <w:t>5 years and 6 months</w:t>
            </w:r>
          </w:p>
        </w:tc>
      </w:tr>
      <w:tr w:rsidR="000D55CD" w:rsidRPr="00DE66D1" w14:paraId="73766903" w14:textId="77777777" w:rsidTr="00945AA2">
        <w:trPr>
          <w:trHeight w:val="290"/>
        </w:trPr>
        <w:tc>
          <w:tcPr>
            <w:tcW w:w="957" w:type="pct"/>
            <w:noWrap/>
            <w:hideMark/>
          </w:tcPr>
          <w:p w14:paraId="003266FF" w14:textId="77777777" w:rsidR="000D55CD" w:rsidRPr="00DE66D1" w:rsidRDefault="000D55CD" w:rsidP="00945AA2">
            <w:pPr>
              <w:pStyle w:val="TableBody"/>
            </w:pPr>
            <w:r w:rsidRPr="00DE66D1">
              <w:t>2015</w:t>
            </w:r>
          </w:p>
        </w:tc>
        <w:tc>
          <w:tcPr>
            <w:tcW w:w="1836" w:type="pct"/>
            <w:noWrap/>
            <w:hideMark/>
          </w:tcPr>
          <w:p w14:paraId="28A5E289" w14:textId="77777777" w:rsidR="000D55CD" w:rsidRPr="00DE66D1" w:rsidRDefault="000D55CD" w:rsidP="00945AA2">
            <w:pPr>
              <w:pStyle w:val="TableBody"/>
            </w:pPr>
            <w:r w:rsidRPr="00DE66D1">
              <w:t>15</w:t>
            </w:r>
          </w:p>
        </w:tc>
        <w:tc>
          <w:tcPr>
            <w:tcW w:w="2207" w:type="pct"/>
            <w:noWrap/>
            <w:hideMark/>
          </w:tcPr>
          <w:p w14:paraId="67BDB284" w14:textId="430EFF0C" w:rsidR="000D55CD" w:rsidRPr="00DE66D1" w:rsidRDefault="000D55CD" w:rsidP="00945AA2">
            <w:pPr>
              <w:pStyle w:val="TableBody"/>
            </w:pPr>
            <w:r w:rsidRPr="00DE66D1">
              <w:t>6 years</w:t>
            </w:r>
          </w:p>
        </w:tc>
      </w:tr>
      <w:tr w:rsidR="00DE66D1" w:rsidRPr="00DE66D1" w14:paraId="7C4EF655" w14:textId="77777777" w:rsidTr="00945AA2">
        <w:trPr>
          <w:trHeight w:val="290"/>
        </w:trPr>
        <w:tc>
          <w:tcPr>
            <w:tcW w:w="957" w:type="pct"/>
            <w:noWrap/>
            <w:hideMark/>
          </w:tcPr>
          <w:p w14:paraId="20A789FC" w14:textId="77777777" w:rsidR="00DE66D1" w:rsidRPr="00DE66D1" w:rsidRDefault="00DE66D1" w:rsidP="00945AA2">
            <w:pPr>
              <w:pStyle w:val="TableBody"/>
            </w:pPr>
            <w:r w:rsidRPr="00DE66D1">
              <w:t>2016</w:t>
            </w:r>
          </w:p>
        </w:tc>
        <w:tc>
          <w:tcPr>
            <w:tcW w:w="1836" w:type="pct"/>
            <w:noWrap/>
            <w:hideMark/>
          </w:tcPr>
          <w:p w14:paraId="56653F9E" w14:textId="77777777" w:rsidR="00DE66D1" w:rsidRPr="00DE66D1" w:rsidRDefault="00DE66D1" w:rsidP="00945AA2">
            <w:pPr>
              <w:pStyle w:val="TableBody"/>
            </w:pPr>
            <w:r w:rsidRPr="00DE66D1">
              <w:t>8</w:t>
            </w:r>
          </w:p>
        </w:tc>
        <w:tc>
          <w:tcPr>
            <w:tcW w:w="2207" w:type="pct"/>
            <w:noWrap/>
            <w:hideMark/>
          </w:tcPr>
          <w:p w14:paraId="05467DA6" w14:textId="77777777" w:rsidR="00DE66D1" w:rsidRPr="00DE66D1" w:rsidRDefault="00DE66D1" w:rsidP="00945AA2">
            <w:pPr>
              <w:pStyle w:val="TableBody"/>
            </w:pPr>
            <w:r w:rsidRPr="00DE66D1">
              <w:t>7 years and 5 months</w:t>
            </w:r>
          </w:p>
        </w:tc>
      </w:tr>
      <w:tr w:rsidR="00DE66D1" w:rsidRPr="00DE66D1" w14:paraId="677FAC1D" w14:textId="77777777" w:rsidTr="00945AA2">
        <w:trPr>
          <w:trHeight w:val="290"/>
        </w:trPr>
        <w:tc>
          <w:tcPr>
            <w:tcW w:w="957" w:type="pct"/>
            <w:noWrap/>
            <w:hideMark/>
          </w:tcPr>
          <w:p w14:paraId="7C4D2172" w14:textId="77777777" w:rsidR="00DE66D1" w:rsidRPr="00DE66D1" w:rsidRDefault="00DE66D1" w:rsidP="00945AA2">
            <w:pPr>
              <w:pStyle w:val="TableBody"/>
            </w:pPr>
            <w:r w:rsidRPr="00DE66D1">
              <w:t>2017</w:t>
            </w:r>
          </w:p>
        </w:tc>
        <w:tc>
          <w:tcPr>
            <w:tcW w:w="1836" w:type="pct"/>
            <w:noWrap/>
            <w:hideMark/>
          </w:tcPr>
          <w:p w14:paraId="36091B4F" w14:textId="77777777" w:rsidR="00DE66D1" w:rsidRPr="00DE66D1" w:rsidRDefault="00DE66D1" w:rsidP="00945AA2">
            <w:pPr>
              <w:pStyle w:val="TableBody"/>
            </w:pPr>
            <w:r w:rsidRPr="00DE66D1">
              <w:t>7</w:t>
            </w:r>
          </w:p>
        </w:tc>
        <w:tc>
          <w:tcPr>
            <w:tcW w:w="2207" w:type="pct"/>
            <w:noWrap/>
            <w:hideMark/>
          </w:tcPr>
          <w:p w14:paraId="16697A25" w14:textId="77777777" w:rsidR="00DE66D1" w:rsidRPr="00DE66D1" w:rsidRDefault="00DE66D1" w:rsidP="00945AA2">
            <w:pPr>
              <w:pStyle w:val="TableBody"/>
            </w:pPr>
            <w:r w:rsidRPr="00DE66D1">
              <w:t>5 years and 8 months</w:t>
            </w:r>
          </w:p>
        </w:tc>
      </w:tr>
      <w:tr w:rsidR="000D55CD" w:rsidRPr="00DE66D1" w14:paraId="309C919A" w14:textId="77777777" w:rsidTr="00945AA2">
        <w:trPr>
          <w:trHeight w:val="290"/>
        </w:trPr>
        <w:tc>
          <w:tcPr>
            <w:tcW w:w="957" w:type="pct"/>
            <w:noWrap/>
            <w:hideMark/>
          </w:tcPr>
          <w:p w14:paraId="27FACA19" w14:textId="77777777" w:rsidR="000D55CD" w:rsidRPr="00DE66D1" w:rsidRDefault="000D55CD" w:rsidP="00945AA2">
            <w:pPr>
              <w:pStyle w:val="TableBody"/>
            </w:pPr>
            <w:r w:rsidRPr="00DE66D1">
              <w:t>2018</w:t>
            </w:r>
          </w:p>
        </w:tc>
        <w:tc>
          <w:tcPr>
            <w:tcW w:w="1836" w:type="pct"/>
            <w:noWrap/>
            <w:hideMark/>
          </w:tcPr>
          <w:p w14:paraId="5B27FAB2" w14:textId="77777777" w:rsidR="000D55CD" w:rsidRPr="00DE66D1" w:rsidRDefault="000D55CD" w:rsidP="00945AA2">
            <w:pPr>
              <w:pStyle w:val="TableBody"/>
            </w:pPr>
            <w:r w:rsidRPr="00DE66D1">
              <w:t>12</w:t>
            </w:r>
          </w:p>
        </w:tc>
        <w:tc>
          <w:tcPr>
            <w:tcW w:w="2207" w:type="pct"/>
            <w:noWrap/>
            <w:hideMark/>
          </w:tcPr>
          <w:p w14:paraId="73B98E7F" w14:textId="284B60C0" w:rsidR="000D55CD" w:rsidRPr="00DE66D1" w:rsidRDefault="000D55CD" w:rsidP="00945AA2">
            <w:pPr>
              <w:pStyle w:val="TableBody"/>
            </w:pPr>
            <w:r w:rsidRPr="00DE66D1">
              <w:t>8 years</w:t>
            </w:r>
          </w:p>
        </w:tc>
      </w:tr>
      <w:tr w:rsidR="00DE66D1" w:rsidRPr="00DE66D1" w14:paraId="0EC3EBAB" w14:textId="77777777" w:rsidTr="00945AA2">
        <w:trPr>
          <w:trHeight w:val="290"/>
        </w:trPr>
        <w:tc>
          <w:tcPr>
            <w:tcW w:w="957" w:type="pct"/>
            <w:noWrap/>
            <w:hideMark/>
          </w:tcPr>
          <w:p w14:paraId="018A9757" w14:textId="77777777" w:rsidR="00DE66D1" w:rsidRPr="00DE66D1" w:rsidRDefault="00DE66D1" w:rsidP="00945AA2">
            <w:pPr>
              <w:pStyle w:val="TableBody"/>
            </w:pPr>
            <w:r w:rsidRPr="00DE66D1">
              <w:t>2019</w:t>
            </w:r>
          </w:p>
        </w:tc>
        <w:tc>
          <w:tcPr>
            <w:tcW w:w="1836" w:type="pct"/>
            <w:noWrap/>
            <w:hideMark/>
          </w:tcPr>
          <w:p w14:paraId="3CDCA8A4" w14:textId="77777777" w:rsidR="00DE66D1" w:rsidRPr="00DE66D1" w:rsidRDefault="00DE66D1" w:rsidP="00945AA2">
            <w:pPr>
              <w:pStyle w:val="TableBody"/>
            </w:pPr>
            <w:r w:rsidRPr="00DE66D1">
              <w:t>12</w:t>
            </w:r>
          </w:p>
        </w:tc>
        <w:tc>
          <w:tcPr>
            <w:tcW w:w="2207" w:type="pct"/>
            <w:noWrap/>
            <w:hideMark/>
          </w:tcPr>
          <w:p w14:paraId="783E72B8" w14:textId="77777777" w:rsidR="00DE66D1" w:rsidRPr="00DE66D1" w:rsidRDefault="00DE66D1" w:rsidP="00945AA2">
            <w:pPr>
              <w:pStyle w:val="TableBody"/>
            </w:pPr>
            <w:r w:rsidRPr="00DE66D1">
              <w:t>8 years and 4 months</w:t>
            </w:r>
          </w:p>
        </w:tc>
      </w:tr>
    </w:tbl>
    <w:p w14:paraId="038FC6E3" w14:textId="77777777" w:rsidR="00EF5C25" w:rsidRPr="007F530F" w:rsidRDefault="00EF5C25" w:rsidP="00D83AF6">
      <w:pPr>
        <w:pStyle w:val="Numbered"/>
      </w:pPr>
      <w:r w:rsidRPr="007F530F">
        <w:t>Recent research has found that while charge-level prison sentences for sexual penetration with a child aged under 10/12 in Victoria increased only modestly between 1982 and 2018, average total effective sentences increased much more significantly, doubling from 3.5 years to 7 years.</w:t>
      </w:r>
      <w:r w:rsidRPr="007F530F">
        <w:rPr>
          <w:rStyle w:val="Superscript"/>
        </w:rPr>
        <w:footnoteReference w:id="206"/>
      </w:r>
      <w:r w:rsidRPr="007F530F">
        <w:t xml:space="preserve"> In contrast, the findings in this report suggest that in the shorter and more recent period from 2010 to 2019, there was no significant trend apparent in case-level prison sentences but instead a statistically significant increase in charge-level prison sentences.</w:t>
      </w:r>
      <w:r w:rsidRPr="007F530F">
        <w:rPr>
          <w:rStyle w:val="Superscript"/>
        </w:rPr>
        <w:footnoteReference w:id="207"/>
      </w:r>
      <w:r w:rsidRPr="007F530F">
        <w:t xml:space="preserve"> </w:t>
      </w:r>
    </w:p>
    <w:p w14:paraId="3DCDA830" w14:textId="77777777" w:rsidR="00EF5C25" w:rsidRPr="007F530F" w:rsidRDefault="00EF5C25" w:rsidP="006633AA">
      <w:pPr>
        <w:pStyle w:val="Heading3"/>
      </w:pPr>
      <w:r w:rsidRPr="007F530F">
        <w:t>The influence of standard sentence offence classification</w:t>
      </w:r>
    </w:p>
    <w:p w14:paraId="15BA1C59" w14:textId="2377F8A0" w:rsidR="00EF5C25" w:rsidRDefault="00EF5C25" w:rsidP="00D83AF6">
      <w:pPr>
        <w:pStyle w:val="Numbered"/>
      </w:pPr>
      <w:r w:rsidRPr="007F530F">
        <w:t>Of the 19 charges of sexual penetration with a child aged under 10/12 receiving non-aggregate sentences of imprisonment in 2019, 3 were standard sentence offences</w:t>
      </w:r>
      <w:r w:rsidRPr="007F530F">
        <w:rPr>
          <w:rStyle w:val="Superscript"/>
        </w:rPr>
        <w:footnoteReference w:id="208"/>
      </w:r>
      <w:r w:rsidRPr="007F530F">
        <w:t xml:space="preserve"> and 16 were not. At </w:t>
      </w:r>
      <w:r w:rsidRPr="007F530F">
        <w:lastRenderedPageBreak/>
        <w:t>least some part of the charge-level increase in 2019 appears attributable to the standard sentence offences. The average prison sentence for these 3 charges</w:t>
      </w:r>
      <w:r w:rsidRPr="007F530F">
        <w:rPr>
          <w:rStyle w:val="Superscript"/>
        </w:rPr>
        <w:footnoteReference w:id="209"/>
      </w:r>
      <w:r w:rsidRPr="007F530F">
        <w:t xml:space="preserve"> was notably higher than for the remaining 16 charges, though the sample is too low on its own to draw any conclusions. However, even excluding the prison sentences imposed for the three standard sentence offences, the average prison sentence in 2019 was still higher than in any of the previous years of the reference period (5 years and 4 months).</w:t>
      </w:r>
    </w:p>
    <w:p w14:paraId="6B46E11E" w14:textId="3D78FB7D" w:rsidR="00DD3743" w:rsidRPr="00DD3743" w:rsidRDefault="00DD3743" w:rsidP="00F63217">
      <w:pPr>
        <w:keepNext/>
        <w:keepLines/>
        <w:pBdr>
          <w:top w:val="single" w:sz="4" w:space="1" w:color="auto"/>
          <w:left w:val="single" w:sz="4" w:space="4" w:color="auto"/>
          <w:bottom w:val="single" w:sz="4" w:space="1" w:color="auto"/>
          <w:right w:val="single" w:sz="4" w:space="4" w:color="auto"/>
        </w:pBdr>
      </w:pPr>
      <w:r w:rsidRPr="00DD3743">
        <w:t>Average prison sentence imposed for sexual penetration with a child aged under 10/12 (sections 45(1) and 49A) in the higher courts in 2019</w:t>
      </w:r>
    </w:p>
    <w:p w14:paraId="19373835" w14:textId="7EDA29DA" w:rsidR="00DD3743" w:rsidRPr="00DD3743" w:rsidRDefault="00DD3743" w:rsidP="00F63217">
      <w:pPr>
        <w:keepNext/>
        <w:keepLines/>
        <w:pBdr>
          <w:top w:val="single" w:sz="4" w:space="1" w:color="auto"/>
          <w:left w:val="single" w:sz="4" w:space="4" w:color="auto"/>
          <w:bottom w:val="single" w:sz="4" w:space="1" w:color="auto"/>
          <w:right w:val="single" w:sz="4" w:space="4" w:color="auto"/>
        </w:pBdr>
      </w:pPr>
      <w:r w:rsidRPr="00DD3743">
        <w:t>Standard sentence offence (3 offences):</w:t>
      </w:r>
      <w:r>
        <w:t xml:space="preserve"> </w:t>
      </w:r>
      <w:r w:rsidRPr="00DD3743">
        <w:t>7 years and 9 months</w:t>
      </w:r>
    </w:p>
    <w:p w14:paraId="767409EA" w14:textId="0117BCA7" w:rsidR="00DD3743" w:rsidRPr="00DD3743" w:rsidRDefault="00DD3743" w:rsidP="00F63217">
      <w:pPr>
        <w:keepNext/>
        <w:keepLines/>
        <w:pBdr>
          <w:top w:val="single" w:sz="4" w:space="1" w:color="auto"/>
          <w:left w:val="single" w:sz="4" w:space="4" w:color="auto"/>
          <w:bottom w:val="single" w:sz="4" w:space="1" w:color="auto"/>
          <w:right w:val="single" w:sz="4" w:space="4" w:color="auto"/>
        </w:pBdr>
      </w:pPr>
      <w:r w:rsidRPr="00DD3743">
        <w:t>Non-standard sentence offence (16 offences):</w:t>
      </w:r>
      <w:r>
        <w:t xml:space="preserve"> </w:t>
      </w:r>
      <w:r w:rsidRPr="00DD3743">
        <w:t>5 years and 4 months</w:t>
      </w:r>
    </w:p>
    <w:p w14:paraId="1FDE2CD2" w14:textId="77777777" w:rsidR="00EF5C25" w:rsidRPr="007F530F" w:rsidRDefault="00EF5C25" w:rsidP="00D83AF6">
      <w:pPr>
        <w:pStyle w:val="Numbered"/>
      </w:pPr>
      <w:r w:rsidRPr="007F530F">
        <w:t>In the first case in which the standard sentence applied to this offence, the judge said that the 8-year prison sentence was below the standard sentence as a result of a number of mitigating factors personal to the offender.</w:t>
      </w:r>
      <w:r w:rsidRPr="007F530F">
        <w:rPr>
          <w:rStyle w:val="Superscript"/>
        </w:rPr>
        <w:footnoteReference w:id="210"/>
      </w:r>
      <w:r w:rsidRPr="007F530F">
        <w:t xml:space="preserve"> In the second case, the judge said that the 9-year prison sentence was ‘less than the standard sentence because of the personal factors affecting you, principally your mental ill-health’, referring to the offender’s post-traumatic stress disorder and other conditions arising from his having been sexually abused as a child.</w:t>
      </w:r>
      <w:r w:rsidRPr="007F530F">
        <w:rPr>
          <w:rStyle w:val="Superscript"/>
        </w:rPr>
        <w:footnoteReference w:id="211"/>
      </w:r>
      <w:r w:rsidRPr="007F530F">
        <w:t xml:space="preserve"> In the third case, the sentence of 6 years and 3 months was a result of the offender’s ‘low-level intellectual </w:t>
      </w:r>
      <w:r w:rsidRPr="007F530F">
        <w:lastRenderedPageBreak/>
        <w:t>functioning’, ‘plea of guilty’, ‘genuine remorse’ and ‘the fact that prison will be more burdensome’ for him.</w:t>
      </w:r>
      <w:r w:rsidRPr="007F530F">
        <w:rPr>
          <w:rStyle w:val="Superscript"/>
        </w:rPr>
        <w:footnoteReference w:id="212"/>
      </w:r>
      <w:r w:rsidRPr="007F530F">
        <w:t xml:space="preserve"> Similarly, in a more recent case after the reference period of this report, a sentencing judge said that ‘[t]he sentence I intend to pass … will be lower than the standard sentence’ as a result of ‘your pleas of guilty, your intellectual impairment, your deprived background and all of the other mitigating factors which apply to you and your offending’.</w:t>
      </w:r>
      <w:r w:rsidRPr="007F530F">
        <w:rPr>
          <w:rStyle w:val="Superscript"/>
        </w:rPr>
        <w:footnoteReference w:id="213"/>
      </w:r>
      <w:r w:rsidRPr="007F530F">
        <w:t xml:space="preserve"> Subjective mitigating factors, separate from factors relevant to the objective seriousness of the offending, appear to frequently be weighty considerations in cases involving this type of offending. The principle of totality may also become relevant, especially where other statutory schemes (such as the serious offender provisions) also apply.</w:t>
      </w:r>
      <w:r w:rsidRPr="007F530F">
        <w:rPr>
          <w:rStyle w:val="Superscript"/>
        </w:rPr>
        <w:footnoteReference w:id="214"/>
      </w:r>
    </w:p>
    <w:p w14:paraId="296A2764" w14:textId="77777777" w:rsidR="00EF5C25" w:rsidRPr="007F530F" w:rsidRDefault="00EF5C25" w:rsidP="00D83AF6">
      <w:pPr>
        <w:pStyle w:val="Numbered"/>
      </w:pPr>
      <w:r w:rsidRPr="007F530F">
        <w:t xml:space="preserve">Furthermore, the Court of Appeal has recently commented that the task of ascertaining the ‘notional mid-range’ of offending in the context of the standard sentence scheme is especially difficult for this offence because it ‘covers such a wide range of sexual misconduct’: </w:t>
      </w:r>
    </w:p>
    <w:p w14:paraId="6875FC85" w14:textId="77777777" w:rsidR="00EF5C25" w:rsidRPr="007F530F" w:rsidRDefault="00EF5C25" w:rsidP="005E5687">
      <w:pPr>
        <w:pStyle w:val="Quote"/>
      </w:pPr>
      <w:r w:rsidRPr="007F530F">
        <w:t xml:space="preserve">The misconduct can be penetration by finger, penis or tongue, or by an object. It can be momentary or protracted. It can be committed </w:t>
      </w:r>
      <w:r w:rsidRPr="007F530F">
        <w:lastRenderedPageBreak/>
        <w:t>on all aged up to 12. The impact on the victim can be manageable or catastrophic.</w:t>
      </w:r>
      <w:r w:rsidRPr="007F530F">
        <w:rPr>
          <w:rStyle w:val="Superscript"/>
        </w:rPr>
        <w:footnoteReference w:id="215"/>
      </w:r>
    </w:p>
    <w:p w14:paraId="11656850" w14:textId="77777777" w:rsidR="00EF5C25" w:rsidRPr="007F530F" w:rsidRDefault="00EF5C25" w:rsidP="003B6CA4">
      <w:pPr>
        <w:ind w:left="851"/>
      </w:pPr>
      <w:r w:rsidRPr="007F530F">
        <w:t>Accordingly, the court considered any ‘mid-range’ of offence seriousness to be ‘an intangible concept’ and cautioned judges in ‘affording it too much weight in the sentencing exercise’.</w:t>
      </w:r>
      <w:r w:rsidRPr="007F530F">
        <w:rPr>
          <w:rStyle w:val="Superscript"/>
        </w:rPr>
        <w:footnoteReference w:id="216"/>
      </w:r>
    </w:p>
    <w:p w14:paraId="7A5F9169" w14:textId="77777777" w:rsidR="00EF5C25" w:rsidRPr="007F530F" w:rsidRDefault="00EF5C25" w:rsidP="00D83AF6">
      <w:pPr>
        <w:pStyle w:val="Numbered"/>
      </w:pPr>
      <w:r w:rsidRPr="007F530F">
        <w:t>As with the other applicable offences, increases in average prison sentences and total effective sentences towards the end of the reference period have also been observed for offences not sentenced as standard sentence offences. Stakeholders consulted by the Council suggested that increased community awareness about the nature and extent of harm suffered by child victims of sexual offending – the consequences of which persist into adult life – are most likely responsible, above and beyond the effect of any specific law reforms.</w:t>
      </w:r>
      <w:r w:rsidRPr="007F530F">
        <w:rPr>
          <w:rStyle w:val="Superscript"/>
        </w:rPr>
        <w:footnoteReference w:id="217"/>
      </w:r>
      <w:r w:rsidRPr="007F530F">
        <w:t xml:space="preserve"> Consecutive inquiries, most notably the Royal Commission into Institutional Responses to Child Sexual Abuse,</w:t>
      </w:r>
      <w:r w:rsidRPr="007F530F">
        <w:rPr>
          <w:rStyle w:val="Superscript"/>
        </w:rPr>
        <w:footnoteReference w:id="218"/>
      </w:r>
      <w:r w:rsidRPr="007F530F">
        <w:t xml:space="preserve"> were also considered to have played an important role:</w:t>
      </w:r>
    </w:p>
    <w:p w14:paraId="3F5A6CDE" w14:textId="77777777" w:rsidR="00EF5C25" w:rsidRPr="007F530F" w:rsidRDefault="00EF5C25" w:rsidP="005E5687">
      <w:pPr>
        <w:pStyle w:val="Quote"/>
      </w:pPr>
      <w:r w:rsidRPr="007F530F">
        <w:t xml:space="preserve">I wonder whether the increases are connected to much wider awareness in the community about the long-term impacts of [child sex offences]. That’s particularly when you look at what was happening in the royal commission [into institutional responses to child sexual abuse], and the publicity on the really serious long-term </w:t>
      </w:r>
      <w:r w:rsidRPr="007F530F">
        <w:lastRenderedPageBreak/>
        <w:t>impacts on people who were abused … It may be that there’s this recognition that sentences in the past have been too low, perhaps.</w:t>
      </w:r>
      <w:r w:rsidRPr="007F530F">
        <w:rPr>
          <w:rStyle w:val="Superscript"/>
        </w:rPr>
        <w:footnoteReference w:id="219"/>
      </w:r>
    </w:p>
    <w:p w14:paraId="0B0F6714" w14:textId="77777777" w:rsidR="00EF5C25" w:rsidRPr="007F530F" w:rsidRDefault="00EF5C25" w:rsidP="00723FA3">
      <w:pPr>
        <w:ind w:left="720"/>
      </w:pPr>
      <w:r w:rsidRPr="007F530F">
        <w:t>Further:</w:t>
      </w:r>
    </w:p>
    <w:p w14:paraId="68F2295A" w14:textId="77777777" w:rsidR="00EF5C25" w:rsidRPr="007F530F" w:rsidRDefault="00EF5C25" w:rsidP="005E5687">
      <w:pPr>
        <w:pStyle w:val="Quote"/>
      </w:pPr>
      <w:r w:rsidRPr="007F530F">
        <w:t>I think the growing recognition of the impact of sexual offending against children is there. There’s also a growing recognition of how that trauma is carried into their adult lives, and how that potentially also manifests itself in offending – potentially where victims become perpetrators as well.</w:t>
      </w:r>
      <w:r w:rsidRPr="007F530F">
        <w:rPr>
          <w:rStyle w:val="Superscript"/>
        </w:rPr>
        <w:footnoteReference w:id="220"/>
      </w:r>
    </w:p>
    <w:p w14:paraId="2D295FA7" w14:textId="77777777" w:rsidR="00EF5C25" w:rsidRPr="007F530F" w:rsidRDefault="00EF5C25" w:rsidP="006633AA">
      <w:pPr>
        <w:pStyle w:val="Heading2"/>
      </w:pPr>
      <w:r w:rsidRPr="007F530F">
        <w:t>How long were prison sentences for sexual penetration with a child aged 10/12 to 15?</w:t>
      </w:r>
    </w:p>
    <w:p w14:paraId="27474A1C" w14:textId="4140AEC4" w:rsidR="00EF5C25" w:rsidRPr="007F530F" w:rsidRDefault="00EF5C25" w:rsidP="00D83AF6">
      <w:pPr>
        <w:pStyle w:val="Numbered"/>
      </w:pPr>
      <w:r w:rsidRPr="007F530F">
        <w:t>During the reference period, 960 known</w:t>
      </w:r>
      <w:r w:rsidRPr="007F530F">
        <w:rPr>
          <w:rStyle w:val="Superscript"/>
        </w:rPr>
        <w:footnoteReference w:id="221"/>
      </w:r>
      <w:r w:rsidRPr="007F530F">
        <w:t xml:space="preserve"> charges of sexual penetration with a child aged 10/12 to 15</w:t>
      </w:r>
      <w:r w:rsidRPr="007F530F">
        <w:rPr>
          <w:rStyle w:val="Superscript"/>
        </w:rPr>
        <w:footnoteReference w:id="222"/>
      </w:r>
      <w:r w:rsidRPr="007F530F">
        <w:t xml:space="preserve"> received a non-aggregate sentence of imprisonment in the higher courts (the 13 charges of this offence sentenced in the Magistrates’ Court all received non-custodial sentences). The shortest sentence for this type of offending was 1 month,</w:t>
      </w:r>
      <w:r w:rsidRPr="007F530F">
        <w:rPr>
          <w:rStyle w:val="Superscript"/>
        </w:rPr>
        <w:footnoteReference w:id="223"/>
      </w:r>
      <w:r w:rsidRPr="007F530F">
        <w:t xml:space="preserve"> and the longest was 6 years and 10 months. The average sentence over the reference period was 2 </w:t>
      </w:r>
      <w:r w:rsidRPr="007F530F">
        <w:lastRenderedPageBreak/>
        <w:t>years and 8 months. Figure 23 shows the yearly average prison sentence for these offences. The average charge-level prison sentences exhibited a statistically significant upward trend.</w:t>
      </w:r>
      <w:r w:rsidRPr="007F530F">
        <w:rPr>
          <w:rStyle w:val="Superscript"/>
        </w:rPr>
        <w:footnoteReference w:id="224"/>
      </w:r>
      <w:r w:rsidRPr="007F530F">
        <w:t xml:space="preserve"> One distinct, potential contributor to this upward trend was the increase in July 2017 in the maximum penalty for this offence, from 10 years’ imprisonment where the child was not under the care, supervision or authority of the offender, to 15 years’ imprisonment in all cases.</w:t>
      </w:r>
      <w:r w:rsidRPr="007F530F">
        <w:rPr>
          <w:rStyle w:val="Superscript"/>
        </w:rPr>
        <w:footnoteReference w:id="225"/>
      </w:r>
    </w:p>
    <w:p w14:paraId="73210141" w14:textId="77777777" w:rsidR="00467E41" w:rsidRPr="007F530F" w:rsidRDefault="00467E41" w:rsidP="00D00197">
      <w:pPr>
        <w:pStyle w:val="Caption"/>
      </w:pPr>
      <w:r w:rsidRPr="00D00197">
        <w:t xml:space="preserve">Figure 23: </w:t>
      </w:r>
      <w:r w:rsidRPr="007F530F">
        <w:t xml:space="preserve">Average prison sentence (in years and months) imposed on charges of sexual penetration with a child aged 10/12 to 15 contrary to sections 45(1) and 49B of the </w:t>
      </w:r>
      <w:r w:rsidRPr="00D931C5">
        <w:rPr>
          <w:rStyle w:val="Emphasis"/>
        </w:rPr>
        <w:t>Crimes Act 1958</w:t>
      </w:r>
      <w:r w:rsidRPr="007F530F">
        <w:t xml:space="preserve"> (Vic), by year (960 charges)</w:t>
      </w:r>
    </w:p>
    <w:tbl>
      <w:tblPr>
        <w:tblStyle w:val="Table"/>
        <w:tblW w:w="5000" w:type="pct"/>
        <w:tblLook w:val="04A0" w:firstRow="1" w:lastRow="0" w:firstColumn="1" w:lastColumn="0" w:noHBand="0" w:noVBand="1"/>
      </w:tblPr>
      <w:tblGrid>
        <w:gridCol w:w="1590"/>
        <w:gridCol w:w="3574"/>
        <w:gridCol w:w="3852"/>
      </w:tblGrid>
      <w:tr w:rsidR="00BD0624" w:rsidRPr="00BD0624" w14:paraId="261044CC" w14:textId="77777777" w:rsidTr="003B6CA4">
        <w:trPr>
          <w:trHeight w:val="290"/>
          <w:tblHeader/>
        </w:trPr>
        <w:tc>
          <w:tcPr>
            <w:tcW w:w="1094" w:type="pct"/>
            <w:noWrap/>
            <w:hideMark/>
          </w:tcPr>
          <w:p w14:paraId="135507B2" w14:textId="77777777" w:rsidR="00BD0624" w:rsidRPr="00BD0624" w:rsidRDefault="00BD0624" w:rsidP="003B6CA4">
            <w:pPr>
              <w:pStyle w:val="TableHeading"/>
            </w:pPr>
            <w:r w:rsidRPr="00BD0624">
              <w:t>Year</w:t>
            </w:r>
          </w:p>
        </w:tc>
        <w:tc>
          <w:tcPr>
            <w:tcW w:w="1558" w:type="pct"/>
            <w:noWrap/>
            <w:hideMark/>
          </w:tcPr>
          <w:p w14:paraId="4014EAB1" w14:textId="77777777" w:rsidR="00BD0624" w:rsidRPr="00BD0624" w:rsidRDefault="00BD0624" w:rsidP="003B6CA4">
            <w:pPr>
              <w:pStyle w:val="TableHeading"/>
            </w:pPr>
            <w:r w:rsidRPr="00BD0624">
              <w:t>Number of charges sentenced</w:t>
            </w:r>
          </w:p>
        </w:tc>
        <w:tc>
          <w:tcPr>
            <w:tcW w:w="2348" w:type="pct"/>
            <w:noWrap/>
            <w:hideMark/>
          </w:tcPr>
          <w:p w14:paraId="7D7C5686" w14:textId="77777777" w:rsidR="00BD0624" w:rsidRPr="00BD0624" w:rsidRDefault="00BD0624" w:rsidP="003B6CA4">
            <w:pPr>
              <w:pStyle w:val="TableHeading"/>
            </w:pPr>
            <w:r w:rsidRPr="00BD0624">
              <w:t>Average sentence</w:t>
            </w:r>
          </w:p>
        </w:tc>
      </w:tr>
      <w:tr w:rsidR="00BD0624" w:rsidRPr="00BD0624" w14:paraId="676F0E09" w14:textId="77777777" w:rsidTr="003B6CA4">
        <w:trPr>
          <w:trHeight w:val="290"/>
        </w:trPr>
        <w:tc>
          <w:tcPr>
            <w:tcW w:w="1094" w:type="pct"/>
            <w:noWrap/>
            <w:hideMark/>
          </w:tcPr>
          <w:p w14:paraId="592C1229" w14:textId="77777777" w:rsidR="00BD0624" w:rsidRPr="000324BA" w:rsidRDefault="00BD0624" w:rsidP="003B6CA4">
            <w:pPr>
              <w:pStyle w:val="TableBody"/>
            </w:pPr>
            <w:r w:rsidRPr="000324BA">
              <w:t>2010</w:t>
            </w:r>
          </w:p>
        </w:tc>
        <w:tc>
          <w:tcPr>
            <w:tcW w:w="1558" w:type="pct"/>
            <w:noWrap/>
            <w:hideMark/>
          </w:tcPr>
          <w:p w14:paraId="0AC196C0" w14:textId="77777777" w:rsidR="00BD0624" w:rsidRPr="000324BA" w:rsidRDefault="00BD0624" w:rsidP="003B6CA4">
            <w:pPr>
              <w:pStyle w:val="TableBody"/>
            </w:pPr>
            <w:r w:rsidRPr="000324BA">
              <w:t>99</w:t>
            </w:r>
          </w:p>
        </w:tc>
        <w:tc>
          <w:tcPr>
            <w:tcW w:w="2348" w:type="pct"/>
            <w:noWrap/>
            <w:hideMark/>
          </w:tcPr>
          <w:p w14:paraId="3FC0EDC9" w14:textId="77777777" w:rsidR="00BD0624" w:rsidRPr="000324BA" w:rsidRDefault="00BD0624" w:rsidP="003B6CA4">
            <w:pPr>
              <w:pStyle w:val="TableBody"/>
            </w:pPr>
            <w:r w:rsidRPr="000324BA">
              <w:t>2 years and 2 months</w:t>
            </w:r>
          </w:p>
        </w:tc>
      </w:tr>
      <w:tr w:rsidR="00BD0624" w:rsidRPr="00BD0624" w14:paraId="39A67F7D" w14:textId="77777777" w:rsidTr="003B6CA4">
        <w:trPr>
          <w:trHeight w:val="290"/>
        </w:trPr>
        <w:tc>
          <w:tcPr>
            <w:tcW w:w="1094" w:type="pct"/>
            <w:noWrap/>
            <w:hideMark/>
          </w:tcPr>
          <w:p w14:paraId="2A7A5D31" w14:textId="77777777" w:rsidR="00BD0624" w:rsidRPr="000324BA" w:rsidRDefault="00BD0624" w:rsidP="003B6CA4">
            <w:pPr>
              <w:pStyle w:val="TableBody"/>
            </w:pPr>
            <w:r w:rsidRPr="000324BA">
              <w:t>2011</w:t>
            </w:r>
          </w:p>
        </w:tc>
        <w:tc>
          <w:tcPr>
            <w:tcW w:w="1558" w:type="pct"/>
            <w:noWrap/>
            <w:hideMark/>
          </w:tcPr>
          <w:p w14:paraId="3355E62F" w14:textId="77777777" w:rsidR="00BD0624" w:rsidRPr="000324BA" w:rsidRDefault="00BD0624" w:rsidP="003B6CA4">
            <w:pPr>
              <w:pStyle w:val="TableBody"/>
            </w:pPr>
            <w:r w:rsidRPr="000324BA">
              <w:t>139</w:t>
            </w:r>
          </w:p>
        </w:tc>
        <w:tc>
          <w:tcPr>
            <w:tcW w:w="2348" w:type="pct"/>
            <w:noWrap/>
            <w:hideMark/>
          </w:tcPr>
          <w:p w14:paraId="016C7A8F" w14:textId="77777777" w:rsidR="00BD0624" w:rsidRPr="000324BA" w:rsidRDefault="00BD0624" w:rsidP="003B6CA4">
            <w:pPr>
              <w:pStyle w:val="TableBody"/>
            </w:pPr>
            <w:r w:rsidRPr="000324BA">
              <w:t>2 years and 9 months</w:t>
            </w:r>
          </w:p>
        </w:tc>
      </w:tr>
      <w:tr w:rsidR="00BD0624" w:rsidRPr="00BD0624" w14:paraId="1906215E" w14:textId="77777777" w:rsidTr="003B6CA4">
        <w:trPr>
          <w:trHeight w:val="290"/>
        </w:trPr>
        <w:tc>
          <w:tcPr>
            <w:tcW w:w="1094" w:type="pct"/>
            <w:noWrap/>
            <w:hideMark/>
          </w:tcPr>
          <w:p w14:paraId="4375B973" w14:textId="77777777" w:rsidR="00BD0624" w:rsidRPr="000324BA" w:rsidRDefault="00BD0624" w:rsidP="003B6CA4">
            <w:pPr>
              <w:pStyle w:val="TableBody"/>
            </w:pPr>
            <w:r w:rsidRPr="000324BA">
              <w:t>2012</w:t>
            </w:r>
          </w:p>
        </w:tc>
        <w:tc>
          <w:tcPr>
            <w:tcW w:w="1558" w:type="pct"/>
            <w:noWrap/>
            <w:hideMark/>
          </w:tcPr>
          <w:p w14:paraId="16584A52" w14:textId="77777777" w:rsidR="00BD0624" w:rsidRPr="000324BA" w:rsidRDefault="00BD0624" w:rsidP="003B6CA4">
            <w:pPr>
              <w:pStyle w:val="TableBody"/>
            </w:pPr>
            <w:r w:rsidRPr="000324BA">
              <w:t>155</w:t>
            </w:r>
          </w:p>
        </w:tc>
        <w:tc>
          <w:tcPr>
            <w:tcW w:w="2348" w:type="pct"/>
            <w:noWrap/>
            <w:hideMark/>
          </w:tcPr>
          <w:p w14:paraId="5427E196" w14:textId="77777777" w:rsidR="00BD0624" w:rsidRPr="000324BA" w:rsidRDefault="00BD0624" w:rsidP="003B6CA4">
            <w:pPr>
              <w:pStyle w:val="TableBody"/>
            </w:pPr>
            <w:r w:rsidRPr="000324BA">
              <w:t>2 years and 10 months</w:t>
            </w:r>
          </w:p>
        </w:tc>
      </w:tr>
      <w:tr w:rsidR="00BD0624" w:rsidRPr="00BD0624" w14:paraId="56D5B10E" w14:textId="77777777" w:rsidTr="003B6CA4">
        <w:trPr>
          <w:trHeight w:val="290"/>
        </w:trPr>
        <w:tc>
          <w:tcPr>
            <w:tcW w:w="1094" w:type="pct"/>
            <w:noWrap/>
            <w:hideMark/>
          </w:tcPr>
          <w:p w14:paraId="1B3ADFE1" w14:textId="77777777" w:rsidR="00BD0624" w:rsidRPr="000324BA" w:rsidRDefault="00BD0624" w:rsidP="003B6CA4">
            <w:pPr>
              <w:pStyle w:val="TableBody"/>
            </w:pPr>
            <w:r w:rsidRPr="000324BA">
              <w:t>2013</w:t>
            </w:r>
          </w:p>
        </w:tc>
        <w:tc>
          <w:tcPr>
            <w:tcW w:w="1558" w:type="pct"/>
            <w:noWrap/>
            <w:hideMark/>
          </w:tcPr>
          <w:p w14:paraId="3CAB6E37" w14:textId="77777777" w:rsidR="00BD0624" w:rsidRPr="000324BA" w:rsidRDefault="00BD0624" w:rsidP="003B6CA4">
            <w:pPr>
              <w:pStyle w:val="TableBody"/>
            </w:pPr>
            <w:r w:rsidRPr="000324BA">
              <w:t>74</w:t>
            </w:r>
          </w:p>
        </w:tc>
        <w:tc>
          <w:tcPr>
            <w:tcW w:w="2348" w:type="pct"/>
            <w:noWrap/>
            <w:hideMark/>
          </w:tcPr>
          <w:p w14:paraId="17B005A8" w14:textId="77777777" w:rsidR="00BD0624" w:rsidRPr="000324BA" w:rsidRDefault="00BD0624" w:rsidP="003B6CA4">
            <w:pPr>
              <w:pStyle w:val="TableBody"/>
            </w:pPr>
            <w:r w:rsidRPr="000324BA">
              <w:t>2 years and 4 months</w:t>
            </w:r>
          </w:p>
        </w:tc>
      </w:tr>
      <w:tr w:rsidR="00BD0624" w:rsidRPr="00BD0624" w14:paraId="78B07B9D" w14:textId="77777777" w:rsidTr="003B6CA4">
        <w:trPr>
          <w:trHeight w:val="290"/>
        </w:trPr>
        <w:tc>
          <w:tcPr>
            <w:tcW w:w="1094" w:type="pct"/>
            <w:noWrap/>
            <w:hideMark/>
          </w:tcPr>
          <w:p w14:paraId="5EF65AAC" w14:textId="77777777" w:rsidR="00BD0624" w:rsidRPr="000324BA" w:rsidRDefault="00BD0624" w:rsidP="003B6CA4">
            <w:pPr>
              <w:pStyle w:val="TableBody"/>
            </w:pPr>
            <w:r w:rsidRPr="000324BA">
              <w:t>2014</w:t>
            </w:r>
          </w:p>
        </w:tc>
        <w:tc>
          <w:tcPr>
            <w:tcW w:w="1558" w:type="pct"/>
            <w:noWrap/>
            <w:hideMark/>
          </w:tcPr>
          <w:p w14:paraId="2C016A9A" w14:textId="77777777" w:rsidR="00BD0624" w:rsidRPr="000324BA" w:rsidRDefault="00BD0624" w:rsidP="003B6CA4">
            <w:pPr>
              <w:pStyle w:val="TableBody"/>
            </w:pPr>
            <w:r w:rsidRPr="000324BA">
              <w:t>60</w:t>
            </w:r>
          </w:p>
        </w:tc>
        <w:tc>
          <w:tcPr>
            <w:tcW w:w="2348" w:type="pct"/>
            <w:noWrap/>
            <w:hideMark/>
          </w:tcPr>
          <w:p w14:paraId="4D6361EC" w14:textId="77777777" w:rsidR="00BD0624" w:rsidRPr="000324BA" w:rsidRDefault="00BD0624" w:rsidP="003B6CA4">
            <w:pPr>
              <w:pStyle w:val="TableBody"/>
            </w:pPr>
            <w:r w:rsidRPr="000324BA">
              <w:t>2 years and 3 months</w:t>
            </w:r>
          </w:p>
        </w:tc>
      </w:tr>
      <w:tr w:rsidR="00BD0624" w:rsidRPr="00BD0624" w14:paraId="3A39B465" w14:textId="77777777" w:rsidTr="003B6CA4">
        <w:trPr>
          <w:trHeight w:val="290"/>
        </w:trPr>
        <w:tc>
          <w:tcPr>
            <w:tcW w:w="1094" w:type="pct"/>
            <w:noWrap/>
            <w:hideMark/>
          </w:tcPr>
          <w:p w14:paraId="258330EB" w14:textId="77777777" w:rsidR="00BD0624" w:rsidRPr="000324BA" w:rsidRDefault="00BD0624" w:rsidP="003B6CA4">
            <w:pPr>
              <w:pStyle w:val="TableBody"/>
            </w:pPr>
            <w:r w:rsidRPr="000324BA">
              <w:t>2015</w:t>
            </w:r>
          </w:p>
        </w:tc>
        <w:tc>
          <w:tcPr>
            <w:tcW w:w="1558" w:type="pct"/>
            <w:noWrap/>
            <w:hideMark/>
          </w:tcPr>
          <w:p w14:paraId="34F87D04" w14:textId="77777777" w:rsidR="00BD0624" w:rsidRPr="000324BA" w:rsidRDefault="00BD0624" w:rsidP="003B6CA4">
            <w:pPr>
              <w:pStyle w:val="TableBody"/>
            </w:pPr>
            <w:r w:rsidRPr="000324BA">
              <w:t>85</w:t>
            </w:r>
          </w:p>
        </w:tc>
        <w:tc>
          <w:tcPr>
            <w:tcW w:w="2348" w:type="pct"/>
            <w:noWrap/>
            <w:hideMark/>
          </w:tcPr>
          <w:p w14:paraId="3BE0CD88" w14:textId="77777777" w:rsidR="00BD0624" w:rsidRPr="000324BA" w:rsidRDefault="00BD0624" w:rsidP="003B6CA4">
            <w:pPr>
              <w:pStyle w:val="TableBody"/>
            </w:pPr>
            <w:r w:rsidRPr="000324BA">
              <w:t>2 years and 5 months</w:t>
            </w:r>
          </w:p>
        </w:tc>
      </w:tr>
      <w:tr w:rsidR="00BD0624" w:rsidRPr="00BD0624" w14:paraId="7D977DDE" w14:textId="77777777" w:rsidTr="003B6CA4">
        <w:trPr>
          <w:trHeight w:val="290"/>
        </w:trPr>
        <w:tc>
          <w:tcPr>
            <w:tcW w:w="1094" w:type="pct"/>
            <w:noWrap/>
            <w:hideMark/>
          </w:tcPr>
          <w:p w14:paraId="52CA664D" w14:textId="77777777" w:rsidR="00BD0624" w:rsidRPr="000324BA" w:rsidRDefault="00BD0624" w:rsidP="003B6CA4">
            <w:pPr>
              <w:pStyle w:val="TableBody"/>
            </w:pPr>
            <w:r w:rsidRPr="000324BA">
              <w:t>2016</w:t>
            </w:r>
          </w:p>
        </w:tc>
        <w:tc>
          <w:tcPr>
            <w:tcW w:w="1558" w:type="pct"/>
            <w:noWrap/>
            <w:hideMark/>
          </w:tcPr>
          <w:p w14:paraId="39C3691F" w14:textId="77777777" w:rsidR="00BD0624" w:rsidRPr="000324BA" w:rsidRDefault="00BD0624" w:rsidP="003B6CA4">
            <w:pPr>
              <w:pStyle w:val="TableBody"/>
            </w:pPr>
            <w:r w:rsidRPr="000324BA">
              <w:t>98</w:t>
            </w:r>
          </w:p>
        </w:tc>
        <w:tc>
          <w:tcPr>
            <w:tcW w:w="2348" w:type="pct"/>
            <w:noWrap/>
            <w:hideMark/>
          </w:tcPr>
          <w:p w14:paraId="18A4993D" w14:textId="77777777" w:rsidR="00BD0624" w:rsidRPr="000324BA" w:rsidRDefault="00BD0624" w:rsidP="003B6CA4">
            <w:pPr>
              <w:pStyle w:val="TableBody"/>
            </w:pPr>
            <w:r w:rsidRPr="000324BA">
              <w:t>2 years and 10 months</w:t>
            </w:r>
          </w:p>
        </w:tc>
      </w:tr>
      <w:tr w:rsidR="00BD0624" w:rsidRPr="00BD0624" w14:paraId="380B13A4" w14:textId="77777777" w:rsidTr="003B6CA4">
        <w:trPr>
          <w:trHeight w:val="290"/>
        </w:trPr>
        <w:tc>
          <w:tcPr>
            <w:tcW w:w="1094" w:type="pct"/>
            <w:noWrap/>
            <w:hideMark/>
          </w:tcPr>
          <w:p w14:paraId="37C49D24" w14:textId="77777777" w:rsidR="00BD0624" w:rsidRPr="000324BA" w:rsidRDefault="00BD0624" w:rsidP="003B6CA4">
            <w:pPr>
              <w:pStyle w:val="TableBody"/>
            </w:pPr>
            <w:r w:rsidRPr="000324BA">
              <w:t>2017</w:t>
            </w:r>
          </w:p>
        </w:tc>
        <w:tc>
          <w:tcPr>
            <w:tcW w:w="1558" w:type="pct"/>
            <w:noWrap/>
            <w:hideMark/>
          </w:tcPr>
          <w:p w14:paraId="0CCD52B6" w14:textId="77777777" w:rsidR="00BD0624" w:rsidRPr="000324BA" w:rsidRDefault="00BD0624" w:rsidP="003B6CA4">
            <w:pPr>
              <w:pStyle w:val="TableBody"/>
            </w:pPr>
            <w:r w:rsidRPr="000324BA">
              <w:t>74</w:t>
            </w:r>
          </w:p>
        </w:tc>
        <w:tc>
          <w:tcPr>
            <w:tcW w:w="2348" w:type="pct"/>
            <w:noWrap/>
            <w:hideMark/>
          </w:tcPr>
          <w:p w14:paraId="3BEAC16C" w14:textId="77777777" w:rsidR="00BD0624" w:rsidRPr="000324BA" w:rsidRDefault="00BD0624" w:rsidP="003B6CA4">
            <w:pPr>
              <w:pStyle w:val="TableBody"/>
            </w:pPr>
            <w:r w:rsidRPr="000324BA">
              <w:t>2 years and 7 months</w:t>
            </w:r>
          </w:p>
        </w:tc>
      </w:tr>
      <w:tr w:rsidR="00BD0624" w:rsidRPr="00BD0624" w14:paraId="13111471" w14:textId="77777777" w:rsidTr="003B6CA4">
        <w:trPr>
          <w:trHeight w:val="290"/>
        </w:trPr>
        <w:tc>
          <w:tcPr>
            <w:tcW w:w="1094" w:type="pct"/>
            <w:noWrap/>
            <w:hideMark/>
          </w:tcPr>
          <w:p w14:paraId="1BFD5864" w14:textId="77777777" w:rsidR="00BD0624" w:rsidRPr="000324BA" w:rsidRDefault="00BD0624" w:rsidP="003B6CA4">
            <w:pPr>
              <w:pStyle w:val="TableBody"/>
            </w:pPr>
            <w:r w:rsidRPr="000324BA">
              <w:t>2018</w:t>
            </w:r>
          </w:p>
        </w:tc>
        <w:tc>
          <w:tcPr>
            <w:tcW w:w="1558" w:type="pct"/>
            <w:noWrap/>
            <w:hideMark/>
          </w:tcPr>
          <w:p w14:paraId="6134B7B0" w14:textId="77777777" w:rsidR="00BD0624" w:rsidRPr="000324BA" w:rsidRDefault="00BD0624" w:rsidP="003B6CA4">
            <w:pPr>
              <w:pStyle w:val="TableBody"/>
            </w:pPr>
            <w:r w:rsidRPr="000324BA">
              <w:t>78</w:t>
            </w:r>
          </w:p>
        </w:tc>
        <w:tc>
          <w:tcPr>
            <w:tcW w:w="2348" w:type="pct"/>
            <w:noWrap/>
            <w:hideMark/>
          </w:tcPr>
          <w:p w14:paraId="3E77C017" w14:textId="77777777" w:rsidR="00BD0624" w:rsidRPr="000324BA" w:rsidRDefault="00BD0624" w:rsidP="003B6CA4">
            <w:pPr>
              <w:pStyle w:val="TableBody"/>
            </w:pPr>
            <w:r w:rsidRPr="000324BA">
              <w:t>3 years and 5 months</w:t>
            </w:r>
          </w:p>
        </w:tc>
      </w:tr>
      <w:tr w:rsidR="00BD0624" w:rsidRPr="00BD0624" w14:paraId="3583EC1C" w14:textId="77777777" w:rsidTr="003B6CA4">
        <w:trPr>
          <w:trHeight w:val="290"/>
        </w:trPr>
        <w:tc>
          <w:tcPr>
            <w:tcW w:w="1094" w:type="pct"/>
            <w:noWrap/>
            <w:hideMark/>
          </w:tcPr>
          <w:p w14:paraId="1149DD9D" w14:textId="77777777" w:rsidR="00BD0624" w:rsidRPr="000324BA" w:rsidRDefault="00BD0624" w:rsidP="003B6CA4">
            <w:pPr>
              <w:pStyle w:val="TableBody"/>
            </w:pPr>
            <w:r w:rsidRPr="000324BA">
              <w:t>2019</w:t>
            </w:r>
          </w:p>
        </w:tc>
        <w:tc>
          <w:tcPr>
            <w:tcW w:w="1558" w:type="pct"/>
            <w:noWrap/>
            <w:hideMark/>
          </w:tcPr>
          <w:p w14:paraId="59C78A1A" w14:textId="77777777" w:rsidR="00BD0624" w:rsidRPr="000324BA" w:rsidRDefault="00BD0624" w:rsidP="003B6CA4">
            <w:pPr>
              <w:pStyle w:val="TableBody"/>
            </w:pPr>
            <w:r w:rsidRPr="000324BA">
              <w:t>98</w:t>
            </w:r>
          </w:p>
        </w:tc>
        <w:tc>
          <w:tcPr>
            <w:tcW w:w="2348" w:type="pct"/>
            <w:noWrap/>
            <w:hideMark/>
          </w:tcPr>
          <w:p w14:paraId="5709FEE1" w14:textId="77777777" w:rsidR="00BD0624" w:rsidRPr="000324BA" w:rsidRDefault="00BD0624" w:rsidP="003B6CA4">
            <w:pPr>
              <w:pStyle w:val="TableBody"/>
            </w:pPr>
            <w:r w:rsidRPr="000324BA">
              <w:t>3 years and 2 months</w:t>
            </w:r>
          </w:p>
        </w:tc>
      </w:tr>
    </w:tbl>
    <w:p w14:paraId="74F2CFBD" w14:textId="6010403A" w:rsidR="00EF5C25" w:rsidRPr="007F530F" w:rsidRDefault="00EF5C25" w:rsidP="00D83AF6">
      <w:pPr>
        <w:pStyle w:val="Numbered"/>
      </w:pPr>
      <w:r w:rsidRPr="007F530F">
        <w:t>Between 2010 and 2019, there were 335 cases in which the offender received a prison sentence for a principal proven offence of sexual penetration with a child aged 10/12 to 15. Figure 24 shows the yearly average total effective sentence for the 335 cases. Given the fluctuations in the average total effective sentence, the overall increase was not part of a statistically significant trend.</w:t>
      </w:r>
      <w:r w:rsidRPr="007F530F">
        <w:rPr>
          <w:rStyle w:val="Superscript"/>
        </w:rPr>
        <w:footnoteReference w:id="226"/>
      </w:r>
      <w:r w:rsidRPr="007F530F">
        <w:t xml:space="preserve"> Total effective sentences ranged from 1 month </w:t>
      </w:r>
      <w:r w:rsidRPr="007F530F">
        <w:lastRenderedPageBreak/>
        <w:t>(in 3 cases receiving combined orders) to 15 years and 7 months (in a case involving 4 child sex offences). The average prison sentence over the reference period was 4 years and 1 month.</w:t>
      </w:r>
    </w:p>
    <w:p w14:paraId="2B8505D7" w14:textId="77777777" w:rsidR="00CC7ED7" w:rsidRPr="007F530F" w:rsidRDefault="00CC7ED7" w:rsidP="00D00197">
      <w:pPr>
        <w:pStyle w:val="Caption"/>
      </w:pPr>
      <w:r w:rsidRPr="00D00197">
        <w:t xml:space="preserve">Figure 24: </w:t>
      </w:r>
      <w:r w:rsidRPr="007F530F">
        <w:t xml:space="preserve">Average total effective sentence (in years and months) imposed in cases involving a charge of sexual penetration with a child aged 10/12 to 15 contrary to sections 45(1) and 49B of the </w:t>
      </w:r>
      <w:r w:rsidRPr="00D931C5">
        <w:rPr>
          <w:rStyle w:val="Emphasis"/>
        </w:rPr>
        <w:t>Crimes Act 1958</w:t>
      </w:r>
      <w:r w:rsidRPr="007F530F">
        <w:t xml:space="preserve"> (Vic) as the principal proven offence, by year (335 cases)</w:t>
      </w:r>
    </w:p>
    <w:tbl>
      <w:tblPr>
        <w:tblStyle w:val="Table"/>
        <w:tblW w:w="5000" w:type="pct"/>
        <w:tblLook w:val="04A0" w:firstRow="1" w:lastRow="0" w:firstColumn="1" w:lastColumn="0" w:noHBand="0" w:noVBand="1"/>
      </w:tblPr>
      <w:tblGrid>
        <w:gridCol w:w="1725"/>
        <w:gridCol w:w="3311"/>
        <w:gridCol w:w="3980"/>
      </w:tblGrid>
      <w:tr w:rsidR="00316565" w:rsidRPr="00316565" w14:paraId="6E1A2E02" w14:textId="77777777" w:rsidTr="00D22619">
        <w:trPr>
          <w:trHeight w:val="290"/>
          <w:tblHeader/>
        </w:trPr>
        <w:tc>
          <w:tcPr>
            <w:tcW w:w="957" w:type="pct"/>
            <w:noWrap/>
            <w:hideMark/>
          </w:tcPr>
          <w:p w14:paraId="13A3C4A6" w14:textId="77777777" w:rsidR="00316565" w:rsidRPr="00316565" w:rsidRDefault="00316565" w:rsidP="00D22619">
            <w:pPr>
              <w:pStyle w:val="TableHeading"/>
            </w:pPr>
            <w:r w:rsidRPr="00316565">
              <w:t>Year</w:t>
            </w:r>
          </w:p>
        </w:tc>
        <w:tc>
          <w:tcPr>
            <w:tcW w:w="1836" w:type="pct"/>
            <w:noWrap/>
            <w:hideMark/>
          </w:tcPr>
          <w:p w14:paraId="0CBBC2EA" w14:textId="77777777" w:rsidR="00316565" w:rsidRPr="00316565" w:rsidRDefault="00316565" w:rsidP="00D22619">
            <w:pPr>
              <w:pStyle w:val="TableHeading"/>
            </w:pPr>
            <w:r w:rsidRPr="00316565">
              <w:t>Number of cases sentenced</w:t>
            </w:r>
          </w:p>
        </w:tc>
        <w:tc>
          <w:tcPr>
            <w:tcW w:w="2207" w:type="pct"/>
            <w:noWrap/>
            <w:hideMark/>
          </w:tcPr>
          <w:p w14:paraId="1A313DBD" w14:textId="77777777" w:rsidR="00316565" w:rsidRPr="00316565" w:rsidRDefault="00316565" w:rsidP="00D22619">
            <w:pPr>
              <w:pStyle w:val="TableHeading"/>
            </w:pPr>
            <w:r w:rsidRPr="00316565">
              <w:t>Average sentence</w:t>
            </w:r>
          </w:p>
        </w:tc>
      </w:tr>
      <w:tr w:rsidR="00316565" w:rsidRPr="00316565" w14:paraId="55688A80" w14:textId="77777777" w:rsidTr="00D22619">
        <w:trPr>
          <w:trHeight w:val="290"/>
        </w:trPr>
        <w:tc>
          <w:tcPr>
            <w:tcW w:w="957" w:type="pct"/>
            <w:noWrap/>
            <w:hideMark/>
          </w:tcPr>
          <w:p w14:paraId="7D640553" w14:textId="77777777" w:rsidR="00316565" w:rsidRPr="00316565" w:rsidRDefault="00316565" w:rsidP="00D22619">
            <w:pPr>
              <w:pStyle w:val="TableBody"/>
            </w:pPr>
            <w:r w:rsidRPr="00316565">
              <w:t>2010</w:t>
            </w:r>
          </w:p>
        </w:tc>
        <w:tc>
          <w:tcPr>
            <w:tcW w:w="1836" w:type="pct"/>
            <w:noWrap/>
            <w:hideMark/>
          </w:tcPr>
          <w:p w14:paraId="012D3213" w14:textId="77777777" w:rsidR="00316565" w:rsidRPr="00316565" w:rsidRDefault="00316565" w:rsidP="00D22619">
            <w:pPr>
              <w:pStyle w:val="TableBody"/>
            </w:pPr>
            <w:r w:rsidRPr="00316565">
              <w:t>30</w:t>
            </w:r>
          </w:p>
        </w:tc>
        <w:tc>
          <w:tcPr>
            <w:tcW w:w="2207" w:type="pct"/>
            <w:noWrap/>
            <w:hideMark/>
          </w:tcPr>
          <w:p w14:paraId="3DE6AC30" w14:textId="77777777" w:rsidR="00316565" w:rsidRPr="00316565" w:rsidRDefault="00316565" w:rsidP="00D22619">
            <w:pPr>
              <w:pStyle w:val="TableBody"/>
            </w:pPr>
            <w:r w:rsidRPr="00316565">
              <w:t>3 years and 8 months</w:t>
            </w:r>
          </w:p>
        </w:tc>
      </w:tr>
      <w:tr w:rsidR="00316565" w:rsidRPr="00316565" w14:paraId="33186C8E" w14:textId="77777777" w:rsidTr="00D22619">
        <w:trPr>
          <w:trHeight w:val="290"/>
        </w:trPr>
        <w:tc>
          <w:tcPr>
            <w:tcW w:w="957" w:type="pct"/>
            <w:noWrap/>
            <w:hideMark/>
          </w:tcPr>
          <w:p w14:paraId="2696265F" w14:textId="77777777" w:rsidR="00316565" w:rsidRPr="00316565" w:rsidRDefault="00316565" w:rsidP="00D22619">
            <w:pPr>
              <w:pStyle w:val="TableBody"/>
            </w:pPr>
            <w:r w:rsidRPr="00316565">
              <w:t>2011</w:t>
            </w:r>
          </w:p>
        </w:tc>
        <w:tc>
          <w:tcPr>
            <w:tcW w:w="1836" w:type="pct"/>
            <w:noWrap/>
            <w:hideMark/>
          </w:tcPr>
          <w:p w14:paraId="694AC421" w14:textId="77777777" w:rsidR="00316565" w:rsidRPr="00316565" w:rsidRDefault="00316565" w:rsidP="00D22619">
            <w:pPr>
              <w:pStyle w:val="TableBody"/>
            </w:pPr>
            <w:r w:rsidRPr="00316565">
              <w:t>34</w:t>
            </w:r>
          </w:p>
        </w:tc>
        <w:tc>
          <w:tcPr>
            <w:tcW w:w="2207" w:type="pct"/>
            <w:noWrap/>
            <w:hideMark/>
          </w:tcPr>
          <w:p w14:paraId="745319F9" w14:textId="77777777" w:rsidR="00316565" w:rsidRPr="00316565" w:rsidRDefault="00316565" w:rsidP="00D22619">
            <w:pPr>
              <w:pStyle w:val="TableBody"/>
            </w:pPr>
            <w:r w:rsidRPr="00316565">
              <w:t>4 years and 11 months</w:t>
            </w:r>
          </w:p>
        </w:tc>
      </w:tr>
      <w:tr w:rsidR="00316565" w:rsidRPr="00316565" w14:paraId="6EE002D1" w14:textId="77777777" w:rsidTr="00D22619">
        <w:trPr>
          <w:trHeight w:val="290"/>
        </w:trPr>
        <w:tc>
          <w:tcPr>
            <w:tcW w:w="957" w:type="pct"/>
            <w:noWrap/>
            <w:hideMark/>
          </w:tcPr>
          <w:p w14:paraId="4B094A3E" w14:textId="77777777" w:rsidR="00316565" w:rsidRPr="00316565" w:rsidRDefault="00316565" w:rsidP="00D22619">
            <w:pPr>
              <w:pStyle w:val="TableBody"/>
            </w:pPr>
            <w:r w:rsidRPr="00316565">
              <w:t>2012</w:t>
            </w:r>
          </w:p>
        </w:tc>
        <w:tc>
          <w:tcPr>
            <w:tcW w:w="1836" w:type="pct"/>
            <w:noWrap/>
            <w:hideMark/>
          </w:tcPr>
          <w:p w14:paraId="3E721161" w14:textId="77777777" w:rsidR="00316565" w:rsidRPr="00316565" w:rsidRDefault="00316565" w:rsidP="00D22619">
            <w:pPr>
              <w:pStyle w:val="TableBody"/>
            </w:pPr>
            <w:r w:rsidRPr="00316565">
              <w:t>47</w:t>
            </w:r>
          </w:p>
        </w:tc>
        <w:tc>
          <w:tcPr>
            <w:tcW w:w="2207" w:type="pct"/>
            <w:noWrap/>
            <w:hideMark/>
          </w:tcPr>
          <w:p w14:paraId="39117C72" w14:textId="77777777" w:rsidR="00316565" w:rsidRPr="00316565" w:rsidRDefault="00316565" w:rsidP="00D22619">
            <w:pPr>
              <w:pStyle w:val="TableBody"/>
            </w:pPr>
            <w:r w:rsidRPr="00316565">
              <w:t>4 years and 6 months</w:t>
            </w:r>
          </w:p>
        </w:tc>
      </w:tr>
      <w:tr w:rsidR="00316565" w:rsidRPr="00316565" w14:paraId="6FA2F812" w14:textId="77777777" w:rsidTr="00D22619">
        <w:trPr>
          <w:trHeight w:val="290"/>
        </w:trPr>
        <w:tc>
          <w:tcPr>
            <w:tcW w:w="957" w:type="pct"/>
            <w:noWrap/>
            <w:hideMark/>
          </w:tcPr>
          <w:p w14:paraId="22D9113A" w14:textId="77777777" w:rsidR="00316565" w:rsidRPr="00316565" w:rsidRDefault="00316565" w:rsidP="00D22619">
            <w:pPr>
              <w:pStyle w:val="TableBody"/>
            </w:pPr>
            <w:r w:rsidRPr="00316565">
              <w:t>2013</w:t>
            </w:r>
          </w:p>
        </w:tc>
        <w:tc>
          <w:tcPr>
            <w:tcW w:w="1836" w:type="pct"/>
            <w:noWrap/>
            <w:hideMark/>
          </w:tcPr>
          <w:p w14:paraId="7C7696F0" w14:textId="77777777" w:rsidR="00316565" w:rsidRPr="00316565" w:rsidRDefault="00316565" w:rsidP="00D22619">
            <w:pPr>
              <w:pStyle w:val="TableBody"/>
            </w:pPr>
            <w:r w:rsidRPr="00316565">
              <w:t>28</w:t>
            </w:r>
          </w:p>
        </w:tc>
        <w:tc>
          <w:tcPr>
            <w:tcW w:w="2207" w:type="pct"/>
            <w:noWrap/>
            <w:hideMark/>
          </w:tcPr>
          <w:p w14:paraId="6C897038" w14:textId="77777777" w:rsidR="00316565" w:rsidRPr="00316565" w:rsidRDefault="00316565" w:rsidP="00D22619">
            <w:pPr>
              <w:pStyle w:val="TableBody"/>
            </w:pPr>
            <w:r w:rsidRPr="00316565">
              <w:t>4 years and 7 months</w:t>
            </w:r>
          </w:p>
        </w:tc>
      </w:tr>
      <w:tr w:rsidR="00D8661F" w:rsidRPr="00316565" w14:paraId="0FB6A1D1" w14:textId="77777777" w:rsidTr="00D22619">
        <w:trPr>
          <w:trHeight w:val="290"/>
        </w:trPr>
        <w:tc>
          <w:tcPr>
            <w:tcW w:w="957" w:type="pct"/>
            <w:noWrap/>
            <w:hideMark/>
          </w:tcPr>
          <w:p w14:paraId="5A13C1C0" w14:textId="77777777" w:rsidR="00D8661F" w:rsidRPr="00316565" w:rsidRDefault="00D8661F" w:rsidP="00D22619">
            <w:pPr>
              <w:pStyle w:val="TableBody"/>
            </w:pPr>
            <w:r w:rsidRPr="00316565">
              <w:t>2014</w:t>
            </w:r>
          </w:p>
        </w:tc>
        <w:tc>
          <w:tcPr>
            <w:tcW w:w="1836" w:type="pct"/>
            <w:noWrap/>
            <w:hideMark/>
          </w:tcPr>
          <w:p w14:paraId="42FCBC4A" w14:textId="77777777" w:rsidR="00D8661F" w:rsidRPr="00316565" w:rsidRDefault="00D8661F" w:rsidP="00D22619">
            <w:pPr>
              <w:pStyle w:val="TableBody"/>
            </w:pPr>
            <w:r w:rsidRPr="00316565">
              <w:t>26</w:t>
            </w:r>
          </w:p>
        </w:tc>
        <w:tc>
          <w:tcPr>
            <w:tcW w:w="2207" w:type="pct"/>
            <w:noWrap/>
            <w:hideMark/>
          </w:tcPr>
          <w:p w14:paraId="740F72DE" w14:textId="18DEF4A7" w:rsidR="00D8661F" w:rsidRPr="00316565" w:rsidRDefault="00D8661F" w:rsidP="00D22619">
            <w:pPr>
              <w:pStyle w:val="TableBody"/>
            </w:pPr>
            <w:r w:rsidRPr="00316565">
              <w:t>3 years</w:t>
            </w:r>
          </w:p>
        </w:tc>
      </w:tr>
      <w:tr w:rsidR="00316565" w:rsidRPr="00316565" w14:paraId="2F0CB2AC" w14:textId="77777777" w:rsidTr="00D22619">
        <w:trPr>
          <w:trHeight w:val="290"/>
        </w:trPr>
        <w:tc>
          <w:tcPr>
            <w:tcW w:w="957" w:type="pct"/>
            <w:noWrap/>
            <w:hideMark/>
          </w:tcPr>
          <w:p w14:paraId="6C6A8971" w14:textId="77777777" w:rsidR="00316565" w:rsidRPr="00316565" w:rsidRDefault="00316565" w:rsidP="00D22619">
            <w:pPr>
              <w:pStyle w:val="TableBody"/>
            </w:pPr>
            <w:r w:rsidRPr="00316565">
              <w:t>2015</w:t>
            </w:r>
          </w:p>
        </w:tc>
        <w:tc>
          <w:tcPr>
            <w:tcW w:w="1836" w:type="pct"/>
            <w:noWrap/>
            <w:hideMark/>
          </w:tcPr>
          <w:p w14:paraId="4E27AEEF" w14:textId="77777777" w:rsidR="00316565" w:rsidRPr="00316565" w:rsidRDefault="00316565" w:rsidP="00D22619">
            <w:pPr>
              <w:pStyle w:val="TableBody"/>
            </w:pPr>
            <w:r w:rsidRPr="00316565">
              <w:t>25</w:t>
            </w:r>
          </w:p>
        </w:tc>
        <w:tc>
          <w:tcPr>
            <w:tcW w:w="2207" w:type="pct"/>
            <w:noWrap/>
            <w:hideMark/>
          </w:tcPr>
          <w:p w14:paraId="636EDC77" w14:textId="77777777" w:rsidR="00316565" w:rsidRPr="00316565" w:rsidRDefault="00316565" w:rsidP="00D22619">
            <w:pPr>
              <w:pStyle w:val="TableBody"/>
            </w:pPr>
            <w:r w:rsidRPr="00316565">
              <w:t>3 years and 1 month</w:t>
            </w:r>
          </w:p>
        </w:tc>
      </w:tr>
      <w:tr w:rsidR="00316565" w:rsidRPr="00316565" w14:paraId="5F2C27A0" w14:textId="77777777" w:rsidTr="00D22619">
        <w:trPr>
          <w:trHeight w:val="290"/>
        </w:trPr>
        <w:tc>
          <w:tcPr>
            <w:tcW w:w="957" w:type="pct"/>
            <w:noWrap/>
            <w:hideMark/>
          </w:tcPr>
          <w:p w14:paraId="152F4A7A" w14:textId="77777777" w:rsidR="00316565" w:rsidRPr="00316565" w:rsidRDefault="00316565" w:rsidP="00D22619">
            <w:pPr>
              <w:pStyle w:val="TableBody"/>
            </w:pPr>
            <w:r w:rsidRPr="00316565">
              <w:t>2016</w:t>
            </w:r>
          </w:p>
        </w:tc>
        <w:tc>
          <w:tcPr>
            <w:tcW w:w="1836" w:type="pct"/>
            <w:noWrap/>
            <w:hideMark/>
          </w:tcPr>
          <w:p w14:paraId="5248E391" w14:textId="77777777" w:rsidR="00316565" w:rsidRPr="00316565" w:rsidRDefault="00316565" w:rsidP="00D22619">
            <w:pPr>
              <w:pStyle w:val="TableBody"/>
            </w:pPr>
            <w:r w:rsidRPr="00316565">
              <w:t>37</w:t>
            </w:r>
          </w:p>
        </w:tc>
        <w:tc>
          <w:tcPr>
            <w:tcW w:w="2207" w:type="pct"/>
            <w:noWrap/>
            <w:hideMark/>
          </w:tcPr>
          <w:p w14:paraId="514F02D3" w14:textId="77777777" w:rsidR="00316565" w:rsidRPr="00316565" w:rsidRDefault="00316565" w:rsidP="00D22619">
            <w:pPr>
              <w:pStyle w:val="TableBody"/>
            </w:pPr>
            <w:r w:rsidRPr="00316565">
              <w:t>3 years and 3 months</w:t>
            </w:r>
          </w:p>
        </w:tc>
      </w:tr>
      <w:tr w:rsidR="00316565" w:rsidRPr="00316565" w14:paraId="39603D10" w14:textId="77777777" w:rsidTr="00D22619">
        <w:trPr>
          <w:trHeight w:val="290"/>
        </w:trPr>
        <w:tc>
          <w:tcPr>
            <w:tcW w:w="957" w:type="pct"/>
            <w:noWrap/>
            <w:hideMark/>
          </w:tcPr>
          <w:p w14:paraId="3BF91033" w14:textId="77777777" w:rsidR="00316565" w:rsidRPr="00316565" w:rsidRDefault="00316565" w:rsidP="00D22619">
            <w:pPr>
              <w:pStyle w:val="TableBody"/>
            </w:pPr>
            <w:r w:rsidRPr="00316565">
              <w:t>2017</w:t>
            </w:r>
          </w:p>
        </w:tc>
        <w:tc>
          <w:tcPr>
            <w:tcW w:w="1836" w:type="pct"/>
            <w:noWrap/>
            <w:hideMark/>
          </w:tcPr>
          <w:p w14:paraId="5CEF3DA8" w14:textId="77777777" w:rsidR="00316565" w:rsidRPr="00316565" w:rsidRDefault="00316565" w:rsidP="00D22619">
            <w:pPr>
              <w:pStyle w:val="TableBody"/>
            </w:pPr>
            <w:r w:rsidRPr="00316565">
              <w:t>30</w:t>
            </w:r>
          </w:p>
        </w:tc>
        <w:tc>
          <w:tcPr>
            <w:tcW w:w="2207" w:type="pct"/>
            <w:noWrap/>
            <w:hideMark/>
          </w:tcPr>
          <w:p w14:paraId="611D3AA9" w14:textId="77777777" w:rsidR="00316565" w:rsidRPr="00316565" w:rsidRDefault="00316565" w:rsidP="00D22619">
            <w:pPr>
              <w:pStyle w:val="TableBody"/>
            </w:pPr>
            <w:r w:rsidRPr="00316565">
              <w:t>4 years and 1 month</w:t>
            </w:r>
          </w:p>
        </w:tc>
      </w:tr>
      <w:tr w:rsidR="00316565" w:rsidRPr="00316565" w14:paraId="16A0ACFC" w14:textId="77777777" w:rsidTr="00D22619">
        <w:trPr>
          <w:trHeight w:val="290"/>
        </w:trPr>
        <w:tc>
          <w:tcPr>
            <w:tcW w:w="957" w:type="pct"/>
            <w:noWrap/>
            <w:hideMark/>
          </w:tcPr>
          <w:p w14:paraId="3C135638" w14:textId="77777777" w:rsidR="00316565" w:rsidRPr="00316565" w:rsidRDefault="00316565" w:rsidP="00D22619">
            <w:pPr>
              <w:pStyle w:val="TableBody"/>
            </w:pPr>
            <w:r w:rsidRPr="00316565">
              <w:t>2018</w:t>
            </w:r>
          </w:p>
        </w:tc>
        <w:tc>
          <w:tcPr>
            <w:tcW w:w="1836" w:type="pct"/>
            <w:noWrap/>
            <w:hideMark/>
          </w:tcPr>
          <w:p w14:paraId="4CDF8027" w14:textId="77777777" w:rsidR="00316565" w:rsidRPr="00316565" w:rsidRDefault="00316565" w:rsidP="00D22619">
            <w:pPr>
              <w:pStyle w:val="TableBody"/>
            </w:pPr>
            <w:r w:rsidRPr="00316565">
              <w:t>33</w:t>
            </w:r>
          </w:p>
        </w:tc>
        <w:tc>
          <w:tcPr>
            <w:tcW w:w="2207" w:type="pct"/>
            <w:noWrap/>
            <w:hideMark/>
          </w:tcPr>
          <w:p w14:paraId="354441E5" w14:textId="77777777" w:rsidR="00316565" w:rsidRPr="00316565" w:rsidRDefault="00316565" w:rsidP="00D22619">
            <w:pPr>
              <w:pStyle w:val="TableBody"/>
            </w:pPr>
            <w:r w:rsidRPr="00316565">
              <w:t>5 years and 2 months</w:t>
            </w:r>
          </w:p>
        </w:tc>
      </w:tr>
      <w:tr w:rsidR="00316565" w:rsidRPr="00316565" w14:paraId="36432106" w14:textId="77777777" w:rsidTr="00D22619">
        <w:trPr>
          <w:trHeight w:val="290"/>
        </w:trPr>
        <w:tc>
          <w:tcPr>
            <w:tcW w:w="957" w:type="pct"/>
            <w:noWrap/>
            <w:hideMark/>
          </w:tcPr>
          <w:p w14:paraId="2D18FB44" w14:textId="77777777" w:rsidR="00316565" w:rsidRPr="00316565" w:rsidRDefault="00316565" w:rsidP="00D22619">
            <w:pPr>
              <w:pStyle w:val="TableBody"/>
            </w:pPr>
            <w:r w:rsidRPr="00316565">
              <w:t>2019</w:t>
            </w:r>
          </w:p>
        </w:tc>
        <w:tc>
          <w:tcPr>
            <w:tcW w:w="1836" w:type="pct"/>
            <w:noWrap/>
            <w:hideMark/>
          </w:tcPr>
          <w:p w14:paraId="326C30A0" w14:textId="77777777" w:rsidR="00316565" w:rsidRPr="00316565" w:rsidRDefault="00316565" w:rsidP="00D22619">
            <w:pPr>
              <w:pStyle w:val="TableBody"/>
            </w:pPr>
            <w:r w:rsidRPr="00316565">
              <w:t>45</w:t>
            </w:r>
          </w:p>
        </w:tc>
        <w:tc>
          <w:tcPr>
            <w:tcW w:w="2207" w:type="pct"/>
            <w:noWrap/>
            <w:hideMark/>
          </w:tcPr>
          <w:p w14:paraId="7B924A8E" w14:textId="77777777" w:rsidR="00316565" w:rsidRPr="00316565" w:rsidRDefault="00316565" w:rsidP="00D22619">
            <w:pPr>
              <w:pStyle w:val="TableBody"/>
            </w:pPr>
            <w:r w:rsidRPr="00316565">
              <w:t>4 years and 4 months</w:t>
            </w:r>
          </w:p>
        </w:tc>
      </w:tr>
    </w:tbl>
    <w:p w14:paraId="22186F03" w14:textId="045D402E" w:rsidR="00EF5C25" w:rsidRDefault="00EF5C25" w:rsidP="00D83AF6">
      <w:pPr>
        <w:pStyle w:val="Numbered"/>
      </w:pPr>
      <w:r w:rsidRPr="007F530F">
        <w:t>Of the 98 charges receiving non-aggregate sentences of imprisonment imposed in 2019 for this type of offending, 10 were standard sentence offences and 88 were not. While most of the standard sentence offences received prison sentences shorter than the standard sentence of 6 years, sentences were on average 19% longer than prison sentences imposed for the non-standard sentence offences.</w:t>
      </w:r>
      <w:r w:rsidRPr="007F530F">
        <w:rPr>
          <w:rStyle w:val="Superscript"/>
        </w:rPr>
        <w:footnoteReference w:id="227"/>
      </w:r>
      <w:r w:rsidRPr="007F530F">
        <w:t xml:space="preserve"> </w:t>
      </w:r>
    </w:p>
    <w:p w14:paraId="6C886002" w14:textId="1CD81ED9" w:rsidR="00E51832" w:rsidRPr="00E51832" w:rsidRDefault="00E51832" w:rsidP="007E35C5">
      <w:pPr>
        <w:keepNext/>
        <w:keepLines/>
        <w:pBdr>
          <w:top w:val="single" w:sz="4" w:space="1" w:color="auto"/>
          <w:left w:val="single" w:sz="4" w:space="4" w:color="auto"/>
          <w:bottom w:val="single" w:sz="4" w:space="1" w:color="auto"/>
          <w:right w:val="single" w:sz="4" w:space="4" w:color="auto"/>
        </w:pBdr>
      </w:pPr>
      <w:r w:rsidRPr="00E51832">
        <w:lastRenderedPageBreak/>
        <w:t>Average prison sentence imposed for sexual penetration with a child aged 10/12 to 15 (sections 45(1) and 49B) in the higher courts in 2019</w:t>
      </w:r>
    </w:p>
    <w:p w14:paraId="46D8157A" w14:textId="5217CE71" w:rsidR="00E51832" w:rsidRPr="00E51832" w:rsidRDefault="00E51832" w:rsidP="007E35C5">
      <w:pPr>
        <w:keepNext/>
        <w:keepLines/>
        <w:pBdr>
          <w:top w:val="single" w:sz="4" w:space="1" w:color="auto"/>
          <w:left w:val="single" w:sz="4" w:space="4" w:color="auto"/>
          <w:bottom w:val="single" w:sz="4" w:space="1" w:color="auto"/>
          <w:right w:val="single" w:sz="4" w:space="4" w:color="auto"/>
        </w:pBdr>
      </w:pPr>
      <w:r w:rsidRPr="00E51832">
        <w:t>Standard sentence offence (10 charges)</w:t>
      </w:r>
      <w:r>
        <w:t xml:space="preserve">: </w:t>
      </w:r>
      <w:r w:rsidRPr="00E51832">
        <w:t>3 years and 8 months</w:t>
      </w:r>
    </w:p>
    <w:p w14:paraId="6ABCC0C2" w14:textId="1CD02779" w:rsidR="00E51832" w:rsidRPr="00E51832" w:rsidRDefault="00E51832" w:rsidP="007E35C5">
      <w:pPr>
        <w:keepNext/>
        <w:keepLines/>
        <w:pBdr>
          <w:top w:val="single" w:sz="4" w:space="1" w:color="auto"/>
          <w:left w:val="single" w:sz="4" w:space="4" w:color="auto"/>
          <w:bottom w:val="single" w:sz="4" w:space="1" w:color="auto"/>
          <w:right w:val="single" w:sz="4" w:space="4" w:color="auto"/>
        </w:pBdr>
      </w:pPr>
      <w:r w:rsidRPr="00E51832">
        <w:t>Non-standard sentence offence (88 charges):</w:t>
      </w:r>
      <w:r>
        <w:t xml:space="preserve"> </w:t>
      </w:r>
      <w:r w:rsidRPr="00E51832">
        <w:t>3 years and 1 month</w:t>
      </w:r>
    </w:p>
    <w:p w14:paraId="1E67888E" w14:textId="77777777" w:rsidR="00EF5C25" w:rsidRPr="007F530F" w:rsidRDefault="00EF5C25" w:rsidP="00D83AF6">
      <w:pPr>
        <w:pStyle w:val="Numbered"/>
      </w:pPr>
      <w:r w:rsidRPr="007F530F">
        <w:t>Of the prison sentences imposed for the 10 standard sentence offences for this type of offending, 1 was above the standard sentence, 1 was equal to it, and 8 were below. Both before and after the reference period, sentencing remarks suggest that cases falling below the standard sentence were typically due to the offending falling ‘in the low range of seriousness’</w:t>
      </w:r>
      <w:r w:rsidRPr="007F530F">
        <w:rPr>
          <w:rStyle w:val="Superscript"/>
        </w:rPr>
        <w:footnoteReference w:id="228"/>
      </w:r>
      <w:r w:rsidRPr="007F530F">
        <w:t xml:space="preserve"> and/or, more often, subjective mitigatory factors such as a plea of guilty,</w:t>
      </w:r>
      <w:r w:rsidRPr="007F530F">
        <w:rPr>
          <w:rStyle w:val="Superscript"/>
        </w:rPr>
        <w:footnoteReference w:id="229"/>
      </w:r>
      <w:r w:rsidRPr="007F530F">
        <w:t xml:space="preserve"> which are not accounted for in the standard sentence for each offence. In one case, the court pointed to the offender’s ‘personal history, age, disability and the principles stated in </w:t>
      </w:r>
      <w:r w:rsidRPr="00D62402">
        <w:rPr>
          <w:rStyle w:val="Emphasis"/>
        </w:rPr>
        <w:t>Verdins</w:t>
      </w:r>
      <w:r w:rsidRPr="007F530F">
        <w:t>’ as reasons that the sentence imposed for sexual penetration of a 15-year-old victim resulted in ‘a markedly lesser sentence’ than the 6-year standard sentence.</w:t>
      </w:r>
      <w:r w:rsidRPr="007F530F">
        <w:rPr>
          <w:rStyle w:val="Superscript"/>
        </w:rPr>
        <w:footnoteReference w:id="230"/>
      </w:r>
      <w:r w:rsidRPr="007F530F">
        <w:t xml:space="preserve"> In another, the court pointed to the offender’s ‘youth’, ‘prospects of rehabilitation’ and ‘plea of guilty’ in explaining why the sentences fell below the standard sentence.</w:t>
      </w:r>
      <w:r w:rsidRPr="007F530F">
        <w:rPr>
          <w:rStyle w:val="Superscript"/>
        </w:rPr>
        <w:footnoteReference w:id="231"/>
      </w:r>
      <w:r w:rsidRPr="007F530F">
        <w:t xml:space="preserve"> And in yet another case, the court said:</w:t>
      </w:r>
    </w:p>
    <w:p w14:paraId="04EE677D" w14:textId="77777777" w:rsidR="00EF5C25" w:rsidRPr="007F530F" w:rsidRDefault="00EF5C25" w:rsidP="005E5687">
      <w:pPr>
        <w:pStyle w:val="Quote"/>
      </w:pPr>
      <w:r w:rsidRPr="007F530F">
        <w:t xml:space="preserve">having regard to all of the relevant factors in this case including the … offending being at the lower end of seriousness for this kind of offending, and the significant mitigatory factors in this case including </w:t>
      </w:r>
      <w:r w:rsidRPr="007F530F">
        <w:lastRenderedPageBreak/>
        <w:t>your youth, lack of prior offending and prospects of rehabilitation, I am of the view that a sentence lower than the standard sentence is appropriate.</w:t>
      </w:r>
      <w:r w:rsidRPr="007F530F">
        <w:rPr>
          <w:rStyle w:val="Superscript"/>
        </w:rPr>
        <w:footnoteReference w:id="232"/>
      </w:r>
    </w:p>
    <w:p w14:paraId="4904C6DB" w14:textId="77777777" w:rsidR="00EF5C25" w:rsidRPr="007F530F" w:rsidRDefault="00EF5C25" w:rsidP="00D22619">
      <w:pPr>
        <w:ind w:left="851"/>
      </w:pPr>
      <w:r w:rsidRPr="007F530F">
        <w:t>There are a growing number of cases in which sexual penetration with a child aged 12 to 15 has been sentenced as a standard sentence offence, and courts are able to refer to these under the standard sentence scheme. Rather than being left with ‘no real case to compare’,</w:t>
      </w:r>
      <w:r w:rsidRPr="007F530F">
        <w:rPr>
          <w:rStyle w:val="Superscript"/>
        </w:rPr>
        <w:footnoteReference w:id="233"/>
      </w:r>
      <w:r w:rsidRPr="007F530F">
        <w:t xml:space="preserve"> as was the situation when standard sentences were introduced, these emerging sentencing practices appear to be considered very useful in guiding decision-makers.</w:t>
      </w:r>
      <w:r w:rsidRPr="007F530F">
        <w:rPr>
          <w:rStyle w:val="Superscript"/>
        </w:rPr>
        <w:footnoteReference w:id="234"/>
      </w:r>
    </w:p>
    <w:p w14:paraId="574D8BFC" w14:textId="6C8C3A06" w:rsidR="00EF5C25" w:rsidRPr="007F530F" w:rsidRDefault="00EF5C25" w:rsidP="00F227A5">
      <w:pPr>
        <w:pStyle w:val="Heading1Numbered"/>
      </w:pPr>
      <w:bookmarkStart w:id="11" w:name="_Toc74904004"/>
      <w:r w:rsidRPr="007F530F">
        <w:lastRenderedPageBreak/>
        <w:t>Child sexual assault offences</w:t>
      </w:r>
      <w:bookmarkEnd w:id="11"/>
    </w:p>
    <w:p w14:paraId="550026E0" w14:textId="77777777" w:rsidR="00EF5C25" w:rsidRPr="007F530F" w:rsidRDefault="00EF5C25" w:rsidP="00F227A5">
      <w:pPr>
        <w:pStyle w:val="Numbered"/>
      </w:pPr>
      <w:r w:rsidRPr="007F530F">
        <w:t>This chapter discusses the number and types of child sexual assault offences</w:t>
      </w:r>
      <w:r w:rsidRPr="007F530F">
        <w:rPr>
          <w:rStyle w:val="Superscript"/>
        </w:rPr>
        <w:footnoteReference w:id="235"/>
      </w:r>
      <w:r w:rsidRPr="007F530F">
        <w:t xml:space="preserve"> recorded and sentenced between 2010 and 2019 and the sentencing outcomes for proven offences, including the duration of prison sentences.</w:t>
      </w:r>
    </w:p>
    <w:p w14:paraId="01E04189" w14:textId="77777777" w:rsidR="00EF5C25" w:rsidRPr="007F530F" w:rsidRDefault="00EF5C25" w:rsidP="00F227A5">
      <w:pPr>
        <w:pStyle w:val="Numbered"/>
      </w:pPr>
      <w:r w:rsidRPr="007F530F">
        <w:t xml:space="preserve">Like child sexual penetration offences, child sexual assault offences have evolved considerably since the enactment of the </w:t>
      </w:r>
      <w:r w:rsidRPr="00D62402">
        <w:rPr>
          <w:rStyle w:val="Emphasis"/>
        </w:rPr>
        <w:t xml:space="preserve">Crimes Act 1958 </w:t>
      </w:r>
      <w:r w:rsidRPr="007F530F">
        <w:t xml:space="preserve">(Vic). In 1981, the offence of </w:t>
      </w:r>
      <w:r w:rsidRPr="00D62402">
        <w:rPr>
          <w:rStyle w:val="Emphasis"/>
        </w:rPr>
        <w:t xml:space="preserve">gross indecency with a girl </w:t>
      </w:r>
      <w:r w:rsidRPr="007F530F">
        <w:t>was amended to apply in respect of both male and female victims.</w:t>
      </w:r>
      <w:r w:rsidRPr="007F530F">
        <w:rPr>
          <w:rStyle w:val="Superscript"/>
        </w:rPr>
        <w:footnoteReference w:id="236"/>
      </w:r>
      <w:r w:rsidRPr="007F530F">
        <w:t xml:space="preserve"> In 1991, the offence of indecent assault was separated into two offences: one for offences against adult victims and one for offences against child victims.</w:t>
      </w:r>
      <w:r w:rsidRPr="007F530F">
        <w:rPr>
          <w:rStyle w:val="Superscript"/>
        </w:rPr>
        <w:footnoteReference w:id="237"/>
      </w:r>
      <w:r w:rsidRPr="007F530F">
        <w:t xml:space="preserve"> And in 2006, the offence of indecent act with a child aged 16 under care, supervision or authority was expanded to also apply to 17-year-old victims.</w:t>
      </w:r>
      <w:r w:rsidRPr="007F530F">
        <w:rPr>
          <w:rStyle w:val="Superscript"/>
        </w:rPr>
        <w:footnoteReference w:id="238"/>
      </w:r>
      <w:r w:rsidRPr="007F530F">
        <w:t xml:space="preserve"> The current child sexual assault offences and their maximum penalties include sexual assault of a child aged under 16 (10 years’ imprisonment) and sexual assault of a child aged 16 or 17 under care, supervision or authority (5 years’ imprisonment).</w:t>
      </w:r>
      <w:r w:rsidRPr="007F530F">
        <w:rPr>
          <w:rStyle w:val="Superscript"/>
        </w:rPr>
        <w:footnoteReference w:id="239"/>
      </w:r>
      <w:r w:rsidRPr="007F530F">
        <w:t xml:space="preserve"> Sexual assault of a child aged under 16 was designated a standard </w:t>
      </w:r>
      <w:r w:rsidRPr="007F530F">
        <w:lastRenderedPageBreak/>
        <w:t>sentence offence as at 1 February 2018, with a standard sentence of 4 years. It is not a Category 1 offence.</w:t>
      </w:r>
    </w:p>
    <w:p w14:paraId="133ED64D" w14:textId="77777777" w:rsidR="00EF5C25" w:rsidRPr="007F530F" w:rsidRDefault="00EF5C25" w:rsidP="006633AA">
      <w:pPr>
        <w:pStyle w:val="Heading2"/>
      </w:pPr>
      <w:r w:rsidRPr="007F530F">
        <w:t>Number of recorded and sentenced child sexual assault offences</w:t>
      </w:r>
    </w:p>
    <w:p w14:paraId="6CAFFDEC" w14:textId="77777777" w:rsidR="00EF5C25" w:rsidRPr="007F530F" w:rsidRDefault="00EF5C25" w:rsidP="00F227A5">
      <w:pPr>
        <w:pStyle w:val="Numbered"/>
      </w:pPr>
      <w:r w:rsidRPr="007F530F">
        <w:t>Between 2010 and 2019, 21,480 child sexual assault offences were recorded by police in Victoria, with a steady increase to 2016 and a steady decrease since then (Figure 25).</w:t>
      </w:r>
      <w:r w:rsidRPr="007F530F">
        <w:rPr>
          <w:rStyle w:val="Superscript"/>
        </w:rPr>
        <w:footnoteReference w:id="240"/>
      </w:r>
      <w:r w:rsidRPr="007F530F">
        <w:t xml:space="preserve"> </w:t>
      </w:r>
    </w:p>
    <w:p w14:paraId="36AD2F2F" w14:textId="77777777" w:rsidR="00EF5C25" w:rsidRPr="007F530F" w:rsidRDefault="00EF5C25" w:rsidP="00D00197">
      <w:pPr>
        <w:pStyle w:val="Caption"/>
      </w:pPr>
      <w:r w:rsidRPr="00D00197">
        <w:t xml:space="preserve">Figure 25: </w:t>
      </w:r>
      <w:r w:rsidRPr="007F530F">
        <w:t>Number of child sexual assault offences recorded by police in Victoria, by year (21,480 offences)</w:t>
      </w:r>
    </w:p>
    <w:tbl>
      <w:tblPr>
        <w:tblStyle w:val="Table"/>
        <w:tblW w:w="5000" w:type="pct"/>
        <w:tblLook w:val="04A0" w:firstRow="1" w:lastRow="0" w:firstColumn="1" w:lastColumn="0" w:noHBand="0" w:noVBand="1"/>
      </w:tblPr>
      <w:tblGrid>
        <w:gridCol w:w="869"/>
        <w:gridCol w:w="8147"/>
      </w:tblGrid>
      <w:tr w:rsidR="00497029" w:rsidRPr="00497029" w14:paraId="49296237" w14:textId="77777777" w:rsidTr="00FC524A">
        <w:trPr>
          <w:trHeight w:val="290"/>
        </w:trPr>
        <w:tc>
          <w:tcPr>
            <w:tcW w:w="482" w:type="pct"/>
            <w:noWrap/>
            <w:hideMark/>
          </w:tcPr>
          <w:p w14:paraId="248BE4C3" w14:textId="77777777" w:rsidR="00497029" w:rsidRPr="00497029" w:rsidRDefault="00497029" w:rsidP="00FC524A">
            <w:pPr>
              <w:pStyle w:val="TableHeading"/>
            </w:pPr>
            <w:r w:rsidRPr="00497029">
              <w:t>Year</w:t>
            </w:r>
          </w:p>
        </w:tc>
        <w:tc>
          <w:tcPr>
            <w:tcW w:w="4518" w:type="pct"/>
            <w:noWrap/>
            <w:hideMark/>
          </w:tcPr>
          <w:p w14:paraId="25D3CB42" w14:textId="77777777" w:rsidR="00497029" w:rsidRPr="00497029" w:rsidRDefault="00497029" w:rsidP="00FC524A">
            <w:pPr>
              <w:pStyle w:val="TableHeading"/>
            </w:pPr>
            <w:r w:rsidRPr="00497029">
              <w:t>Number of child sexual assault offences recorded by police</w:t>
            </w:r>
          </w:p>
        </w:tc>
      </w:tr>
      <w:tr w:rsidR="00497029" w:rsidRPr="00497029" w14:paraId="46EFBBB3" w14:textId="77777777" w:rsidTr="00FC524A">
        <w:trPr>
          <w:trHeight w:val="290"/>
        </w:trPr>
        <w:tc>
          <w:tcPr>
            <w:tcW w:w="482" w:type="pct"/>
            <w:noWrap/>
            <w:hideMark/>
          </w:tcPr>
          <w:p w14:paraId="53A9BD82" w14:textId="77777777" w:rsidR="00497029" w:rsidRPr="00497029" w:rsidRDefault="00497029" w:rsidP="00FC524A">
            <w:pPr>
              <w:pStyle w:val="TableBody"/>
            </w:pPr>
            <w:r w:rsidRPr="00497029">
              <w:t>2010</w:t>
            </w:r>
          </w:p>
        </w:tc>
        <w:tc>
          <w:tcPr>
            <w:tcW w:w="4518" w:type="pct"/>
            <w:noWrap/>
            <w:hideMark/>
          </w:tcPr>
          <w:p w14:paraId="31D802CA" w14:textId="081D7211" w:rsidR="00497029" w:rsidRPr="00497029" w:rsidRDefault="00497029" w:rsidP="00FC524A">
            <w:pPr>
              <w:pStyle w:val="TableBody"/>
            </w:pPr>
            <w:r w:rsidRPr="00497029">
              <w:t>1</w:t>
            </w:r>
            <w:r w:rsidR="00984F90">
              <w:t>,</w:t>
            </w:r>
            <w:r w:rsidRPr="00497029">
              <w:t>440</w:t>
            </w:r>
          </w:p>
        </w:tc>
      </w:tr>
      <w:tr w:rsidR="00497029" w:rsidRPr="00497029" w14:paraId="3D1891E6" w14:textId="77777777" w:rsidTr="00FC524A">
        <w:trPr>
          <w:trHeight w:val="290"/>
        </w:trPr>
        <w:tc>
          <w:tcPr>
            <w:tcW w:w="482" w:type="pct"/>
            <w:noWrap/>
            <w:hideMark/>
          </w:tcPr>
          <w:p w14:paraId="7600A455" w14:textId="77777777" w:rsidR="00497029" w:rsidRPr="00497029" w:rsidRDefault="00497029" w:rsidP="00FC524A">
            <w:pPr>
              <w:pStyle w:val="TableBody"/>
            </w:pPr>
            <w:r w:rsidRPr="00497029">
              <w:t>2011</w:t>
            </w:r>
          </w:p>
        </w:tc>
        <w:tc>
          <w:tcPr>
            <w:tcW w:w="4518" w:type="pct"/>
            <w:noWrap/>
            <w:hideMark/>
          </w:tcPr>
          <w:p w14:paraId="11AD36B6" w14:textId="6CADA7DA" w:rsidR="00497029" w:rsidRPr="00497029" w:rsidRDefault="00497029" w:rsidP="00FC524A">
            <w:pPr>
              <w:pStyle w:val="TableBody"/>
            </w:pPr>
            <w:r w:rsidRPr="00497029">
              <w:t>1</w:t>
            </w:r>
            <w:r w:rsidR="00984F90">
              <w:t>,</w:t>
            </w:r>
            <w:r w:rsidRPr="00497029">
              <w:t>710</w:t>
            </w:r>
          </w:p>
        </w:tc>
      </w:tr>
      <w:tr w:rsidR="00497029" w:rsidRPr="00497029" w14:paraId="55B7223C" w14:textId="77777777" w:rsidTr="00FC524A">
        <w:trPr>
          <w:trHeight w:val="290"/>
        </w:trPr>
        <w:tc>
          <w:tcPr>
            <w:tcW w:w="482" w:type="pct"/>
            <w:noWrap/>
            <w:hideMark/>
          </w:tcPr>
          <w:p w14:paraId="72A1FDB7" w14:textId="77777777" w:rsidR="00497029" w:rsidRPr="00497029" w:rsidRDefault="00497029" w:rsidP="00FC524A">
            <w:pPr>
              <w:pStyle w:val="TableBody"/>
            </w:pPr>
            <w:r w:rsidRPr="00497029">
              <w:t>2012</w:t>
            </w:r>
          </w:p>
        </w:tc>
        <w:tc>
          <w:tcPr>
            <w:tcW w:w="4518" w:type="pct"/>
            <w:noWrap/>
            <w:hideMark/>
          </w:tcPr>
          <w:p w14:paraId="4B8F5B87" w14:textId="5D0D4071" w:rsidR="00497029" w:rsidRPr="00497029" w:rsidRDefault="00497029" w:rsidP="00FC524A">
            <w:pPr>
              <w:pStyle w:val="TableBody"/>
            </w:pPr>
            <w:r w:rsidRPr="00497029">
              <w:t>1</w:t>
            </w:r>
            <w:r w:rsidR="00984F90">
              <w:t>,</w:t>
            </w:r>
            <w:r w:rsidRPr="00497029">
              <w:t>888</w:t>
            </w:r>
          </w:p>
        </w:tc>
      </w:tr>
      <w:tr w:rsidR="00497029" w:rsidRPr="00497029" w14:paraId="79809AA0" w14:textId="77777777" w:rsidTr="00FC524A">
        <w:trPr>
          <w:trHeight w:val="290"/>
        </w:trPr>
        <w:tc>
          <w:tcPr>
            <w:tcW w:w="482" w:type="pct"/>
            <w:noWrap/>
            <w:hideMark/>
          </w:tcPr>
          <w:p w14:paraId="6DA9299E" w14:textId="77777777" w:rsidR="00497029" w:rsidRPr="00497029" w:rsidRDefault="00497029" w:rsidP="00FC524A">
            <w:pPr>
              <w:pStyle w:val="TableBody"/>
            </w:pPr>
            <w:r w:rsidRPr="00497029">
              <w:t>2013</w:t>
            </w:r>
          </w:p>
        </w:tc>
        <w:tc>
          <w:tcPr>
            <w:tcW w:w="4518" w:type="pct"/>
            <w:noWrap/>
            <w:hideMark/>
          </w:tcPr>
          <w:p w14:paraId="0DAE79BA" w14:textId="606E1EC4" w:rsidR="00497029" w:rsidRPr="00497029" w:rsidRDefault="00497029" w:rsidP="00FC524A">
            <w:pPr>
              <w:pStyle w:val="TableBody"/>
            </w:pPr>
            <w:r w:rsidRPr="00497029">
              <w:t>2</w:t>
            </w:r>
            <w:r w:rsidR="00984F90">
              <w:t>,</w:t>
            </w:r>
            <w:r w:rsidRPr="00497029">
              <w:t>100</w:t>
            </w:r>
          </w:p>
        </w:tc>
      </w:tr>
      <w:tr w:rsidR="00497029" w:rsidRPr="00497029" w14:paraId="03D0B5DE" w14:textId="77777777" w:rsidTr="00FC524A">
        <w:trPr>
          <w:trHeight w:val="290"/>
        </w:trPr>
        <w:tc>
          <w:tcPr>
            <w:tcW w:w="482" w:type="pct"/>
            <w:noWrap/>
            <w:hideMark/>
          </w:tcPr>
          <w:p w14:paraId="55B8E5F5" w14:textId="77777777" w:rsidR="00497029" w:rsidRPr="00497029" w:rsidRDefault="00497029" w:rsidP="00FC524A">
            <w:pPr>
              <w:pStyle w:val="TableBody"/>
            </w:pPr>
            <w:r w:rsidRPr="00497029">
              <w:t>2014</w:t>
            </w:r>
          </w:p>
        </w:tc>
        <w:tc>
          <w:tcPr>
            <w:tcW w:w="4518" w:type="pct"/>
            <w:noWrap/>
            <w:hideMark/>
          </w:tcPr>
          <w:p w14:paraId="315ACF55" w14:textId="7B9F3EBC" w:rsidR="00497029" w:rsidRPr="00497029" w:rsidRDefault="00497029" w:rsidP="00FC524A">
            <w:pPr>
              <w:pStyle w:val="TableBody"/>
            </w:pPr>
            <w:r w:rsidRPr="00497029">
              <w:t>2</w:t>
            </w:r>
            <w:r w:rsidR="00984F90">
              <w:t>,</w:t>
            </w:r>
            <w:r w:rsidRPr="00497029">
              <w:t>518</w:t>
            </w:r>
          </w:p>
        </w:tc>
      </w:tr>
      <w:tr w:rsidR="00497029" w:rsidRPr="00497029" w14:paraId="7F81E675" w14:textId="77777777" w:rsidTr="00FC524A">
        <w:trPr>
          <w:trHeight w:val="290"/>
        </w:trPr>
        <w:tc>
          <w:tcPr>
            <w:tcW w:w="482" w:type="pct"/>
            <w:noWrap/>
            <w:hideMark/>
          </w:tcPr>
          <w:p w14:paraId="78DDABC9" w14:textId="77777777" w:rsidR="00497029" w:rsidRPr="00497029" w:rsidRDefault="00497029" w:rsidP="00FC524A">
            <w:pPr>
              <w:pStyle w:val="TableBody"/>
            </w:pPr>
            <w:r w:rsidRPr="00497029">
              <w:t>2015</w:t>
            </w:r>
          </w:p>
        </w:tc>
        <w:tc>
          <w:tcPr>
            <w:tcW w:w="4518" w:type="pct"/>
            <w:noWrap/>
            <w:hideMark/>
          </w:tcPr>
          <w:p w14:paraId="6B142951" w14:textId="2736A3F7" w:rsidR="00497029" w:rsidRPr="00497029" w:rsidRDefault="00497029" w:rsidP="00FC524A">
            <w:pPr>
              <w:pStyle w:val="TableBody"/>
            </w:pPr>
            <w:r w:rsidRPr="00497029">
              <w:t>2</w:t>
            </w:r>
            <w:r w:rsidR="00984F90">
              <w:t>,</w:t>
            </w:r>
            <w:r w:rsidRPr="00497029">
              <w:t>577</w:t>
            </w:r>
          </w:p>
        </w:tc>
      </w:tr>
      <w:tr w:rsidR="00497029" w:rsidRPr="00497029" w14:paraId="21829C0C" w14:textId="77777777" w:rsidTr="00FC524A">
        <w:trPr>
          <w:trHeight w:val="290"/>
        </w:trPr>
        <w:tc>
          <w:tcPr>
            <w:tcW w:w="482" w:type="pct"/>
            <w:noWrap/>
            <w:hideMark/>
          </w:tcPr>
          <w:p w14:paraId="35731535" w14:textId="77777777" w:rsidR="00497029" w:rsidRPr="00497029" w:rsidRDefault="00497029" w:rsidP="00FC524A">
            <w:pPr>
              <w:pStyle w:val="TableBody"/>
            </w:pPr>
            <w:r w:rsidRPr="00497029">
              <w:t>2016</w:t>
            </w:r>
          </w:p>
        </w:tc>
        <w:tc>
          <w:tcPr>
            <w:tcW w:w="4518" w:type="pct"/>
            <w:noWrap/>
            <w:hideMark/>
          </w:tcPr>
          <w:p w14:paraId="1B017217" w14:textId="763D0355" w:rsidR="00497029" w:rsidRPr="00497029" w:rsidRDefault="00497029" w:rsidP="00FC524A">
            <w:pPr>
              <w:pStyle w:val="TableBody"/>
            </w:pPr>
            <w:r w:rsidRPr="00497029">
              <w:t>2</w:t>
            </w:r>
            <w:r w:rsidR="00984F90">
              <w:t>,</w:t>
            </w:r>
            <w:r w:rsidRPr="00497029">
              <w:t>820</w:t>
            </w:r>
          </w:p>
        </w:tc>
      </w:tr>
      <w:tr w:rsidR="00497029" w:rsidRPr="00497029" w14:paraId="203E83D0" w14:textId="77777777" w:rsidTr="00FC524A">
        <w:trPr>
          <w:trHeight w:val="290"/>
        </w:trPr>
        <w:tc>
          <w:tcPr>
            <w:tcW w:w="482" w:type="pct"/>
            <w:noWrap/>
            <w:hideMark/>
          </w:tcPr>
          <w:p w14:paraId="2AA93AF9" w14:textId="77777777" w:rsidR="00497029" w:rsidRPr="00497029" w:rsidRDefault="00497029" w:rsidP="00FC524A">
            <w:pPr>
              <w:pStyle w:val="TableBody"/>
            </w:pPr>
            <w:r w:rsidRPr="00497029">
              <w:t>2017</w:t>
            </w:r>
          </w:p>
        </w:tc>
        <w:tc>
          <w:tcPr>
            <w:tcW w:w="4518" w:type="pct"/>
            <w:noWrap/>
            <w:hideMark/>
          </w:tcPr>
          <w:p w14:paraId="3948284A" w14:textId="1DB5D475" w:rsidR="00497029" w:rsidRPr="00497029" w:rsidRDefault="00497029" w:rsidP="00FC524A">
            <w:pPr>
              <w:pStyle w:val="TableBody"/>
            </w:pPr>
            <w:r w:rsidRPr="00497029">
              <w:t>2</w:t>
            </w:r>
            <w:r w:rsidR="00984F90">
              <w:t>,</w:t>
            </w:r>
            <w:r w:rsidRPr="00497029">
              <w:t>583</w:t>
            </w:r>
          </w:p>
        </w:tc>
      </w:tr>
      <w:tr w:rsidR="00497029" w:rsidRPr="00497029" w14:paraId="5A4F7D39" w14:textId="77777777" w:rsidTr="00FC524A">
        <w:trPr>
          <w:trHeight w:val="290"/>
        </w:trPr>
        <w:tc>
          <w:tcPr>
            <w:tcW w:w="482" w:type="pct"/>
            <w:noWrap/>
            <w:hideMark/>
          </w:tcPr>
          <w:p w14:paraId="19538FBE" w14:textId="77777777" w:rsidR="00497029" w:rsidRPr="00497029" w:rsidRDefault="00497029" w:rsidP="00FC524A">
            <w:pPr>
              <w:pStyle w:val="TableBody"/>
            </w:pPr>
            <w:r w:rsidRPr="00497029">
              <w:t>2018</w:t>
            </w:r>
          </w:p>
        </w:tc>
        <w:tc>
          <w:tcPr>
            <w:tcW w:w="4518" w:type="pct"/>
            <w:noWrap/>
            <w:hideMark/>
          </w:tcPr>
          <w:p w14:paraId="35BE22F2" w14:textId="63A45AA7" w:rsidR="00497029" w:rsidRPr="00497029" w:rsidRDefault="00497029" w:rsidP="00FC524A">
            <w:pPr>
              <w:pStyle w:val="TableBody"/>
            </w:pPr>
            <w:r w:rsidRPr="00497029">
              <w:t>2</w:t>
            </w:r>
            <w:r w:rsidR="00984F90">
              <w:t>,</w:t>
            </w:r>
            <w:r w:rsidRPr="00497029">
              <w:t>025</w:t>
            </w:r>
          </w:p>
        </w:tc>
      </w:tr>
      <w:tr w:rsidR="00497029" w:rsidRPr="00497029" w14:paraId="601F392C" w14:textId="77777777" w:rsidTr="00FC524A">
        <w:trPr>
          <w:trHeight w:val="290"/>
        </w:trPr>
        <w:tc>
          <w:tcPr>
            <w:tcW w:w="482" w:type="pct"/>
            <w:noWrap/>
            <w:hideMark/>
          </w:tcPr>
          <w:p w14:paraId="3683CF58" w14:textId="77777777" w:rsidR="00497029" w:rsidRPr="00497029" w:rsidRDefault="00497029" w:rsidP="00FC524A">
            <w:pPr>
              <w:pStyle w:val="TableBody"/>
            </w:pPr>
            <w:r w:rsidRPr="00497029">
              <w:t>2019</w:t>
            </w:r>
          </w:p>
        </w:tc>
        <w:tc>
          <w:tcPr>
            <w:tcW w:w="4518" w:type="pct"/>
            <w:noWrap/>
            <w:hideMark/>
          </w:tcPr>
          <w:p w14:paraId="79B6426D" w14:textId="3336A3D1" w:rsidR="00497029" w:rsidRPr="00497029" w:rsidRDefault="00497029" w:rsidP="00FC524A">
            <w:pPr>
              <w:pStyle w:val="TableBody"/>
            </w:pPr>
            <w:r w:rsidRPr="00497029">
              <w:t>1</w:t>
            </w:r>
            <w:r w:rsidR="00984F90">
              <w:t>,</w:t>
            </w:r>
            <w:r w:rsidRPr="00497029">
              <w:t>819</w:t>
            </w:r>
          </w:p>
        </w:tc>
      </w:tr>
    </w:tbl>
    <w:p w14:paraId="41250FB6" w14:textId="77777777" w:rsidR="00EF5C25" w:rsidRPr="007F530F" w:rsidRDefault="00EF5C25" w:rsidP="00F227A5">
      <w:pPr>
        <w:pStyle w:val="Numbered"/>
      </w:pPr>
      <w:r w:rsidRPr="007F530F">
        <w:t>In that same timeframe, 4,595 child sexual assault charges were sentenced in 1,846 cases involving 1,793 offenders (Figure 26), almost all of whom were male (1,743). In contrast to the number of recorded offences each year, there was almost no significant change in the number of sentenced charges or cases, in either court level. Two-thirds of charges were sentenced in the higher courts (67%), while one-third were sentenced in the Magistrates’ Court, with the yearly number of cases sentenced in the lower court increasing in the second half of the reference period.</w:t>
      </w:r>
    </w:p>
    <w:p w14:paraId="45D8A1CB" w14:textId="77777777" w:rsidR="00EF5C25" w:rsidRPr="007F530F" w:rsidRDefault="00EF5C25" w:rsidP="00D00197">
      <w:pPr>
        <w:pStyle w:val="Caption"/>
      </w:pPr>
      <w:r w:rsidRPr="00D00197">
        <w:lastRenderedPageBreak/>
        <w:t>Figure 26:</w:t>
      </w:r>
      <w:r w:rsidRPr="007F530F">
        <w:t xml:space="preserve"> Number of charges and cases of sexual assault of a child sentenced in Victoria, by year (4,595 charges and 1,846 cases)</w:t>
      </w:r>
    </w:p>
    <w:tbl>
      <w:tblPr>
        <w:tblStyle w:val="Table"/>
        <w:tblW w:w="9122" w:type="dxa"/>
        <w:tblLook w:val="04A0" w:firstRow="1" w:lastRow="0" w:firstColumn="1" w:lastColumn="0" w:noHBand="0" w:noVBand="1"/>
      </w:tblPr>
      <w:tblGrid>
        <w:gridCol w:w="730"/>
        <w:gridCol w:w="2098"/>
        <w:gridCol w:w="2098"/>
        <w:gridCol w:w="2098"/>
        <w:gridCol w:w="2098"/>
      </w:tblGrid>
      <w:tr w:rsidR="003766D5" w:rsidRPr="005839B3" w14:paraId="7AA65E3D" w14:textId="77777777" w:rsidTr="00681A52">
        <w:trPr>
          <w:trHeight w:val="290"/>
        </w:trPr>
        <w:tc>
          <w:tcPr>
            <w:tcW w:w="730" w:type="dxa"/>
            <w:noWrap/>
            <w:hideMark/>
          </w:tcPr>
          <w:p w14:paraId="1EB1372F" w14:textId="77777777" w:rsidR="005839B3" w:rsidRPr="005839B3" w:rsidRDefault="005839B3" w:rsidP="00681A52">
            <w:pPr>
              <w:pStyle w:val="TableHeading"/>
            </w:pPr>
            <w:r w:rsidRPr="005839B3">
              <w:t>Year</w:t>
            </w:r>
          </w:p>
        </w:tc>
        <w:tc>
          <w:tcPr>
            <w:tcW w:w="2098" w:type="dxa"/>
            <w:noWrap/>
            <w:hideMark/>
          </w:tcPr>
          <w:p w14:paraId="0F9ECC83" w14:textId="77777777" w:rsidR="005839B3" w:rsidRPr="005839B3" w:rsidRDefault="005839B3" w:rsidP="00681A52">
            <w:pPr>
              <w:pStyle w:val="TableHeading"/>
            </w:pPr>
            <w:r w:rsidRPr="005839B3">
              <w:t>Charges sentenced in the higher courts</w:t>
            </w:r>
          </w:p>
        </w:tc>
        <w:tc>
          <w:tcPr>
            <w:tcW w:w="2098" w:type="dxa"/>
            <w:noWrap/>
            <w:hideMark/>
          </w:tcPr>
          <w:p w14:paraId="5A18672C" w14:textId="77777777" w:rsidR="005839B3" w:rsidRPr="005839B3" w:rsidRDefault="005839B3" w:rsidP="00681A52">
            <w:pPr>
              <w:pStyle w:val="TableHeading"/>
            </w:pPr>
            <w:r w:rsidRPr="005839B3">
              <w:t>Cases sentenced in the higher courts</w:t>
            </w:r>
          </w:p>
        </w:tc>
        <w:tc>
          <w:tcPr>
            <w:tcW w:w="2098" w:type="dxa"/>
            <w:noWrap/>
            <w:hideMark/>
          </w:tcPr>
          <w:p w14:paraId="753AFBEA" w14:textId="77777777" w:rsidR="005839B3" w:rsidRPr="005839B3" w:rsidRDefault="005839B3" w:rsidP="00681A52">
            <w:pPr>
              <w:pStyle w:val="TableHeading"/>
            </w:pPr>
            <w:r w:rsidRPr="005839B3">
              <w:t>Charges sentenced in the Magistrates' Court</w:t>
            </w:r>
          </w:p>
        </w:tc>
        <w:tc>
          <w:tcPr>
            <w:tcW w:w="2098" w:type="dxa"/>
            <w:noWrap/>
            <w:hideMark/>
          </w:tcPr>
          <w:p w14:paraId="72DF46A7" w14:textId="77777777" w:rsidR="005839B3" w:rsidRPr="005839B3" w:rsidRDefault="005839B3" w:rsidP="00681A52">
            <w:pPr>
              <w:pStyle w:val="TableHeading"/>
            </w:pPr>
            <w:r w:rsidRPr="005839B3">
              <w:t>Cases sentenced in the Magistrates' Court</w:t>
            </w:r>
          </w:p>
        </w:tc>
      </w:tr>
      <w:tr w:rsidR="003766D5" w:rsidRPr="005839B3" w14:paraId="6D710DA6" w14:textId="77777777" w:rsidTr="00681A52">
        <w:trPr>
          <w:trHeight w:val="290"/>
        </w:trPr>
        <w:tc>
          <w:tcPr>
            <w:tcW w:w="730" w:type="dxa"/>
            <w:noWrap/>
            <w:hideMark/>
          </w:tcPr>
          <w:p w14:paraId="5B7A47D0" w14:textId="77777777" w:rsidR="005839B3" w:rsidRPr="005839B3" w:rsidRDefault="005839B3" w:rsidP="00681A52">
            <w:pPr>
              <w:pStyle w:val="TableBody"/>
            </w:pPr>
            <w:r w:rsidRPr="005839B3">
              <w:t>2010</w:t>
            </w:r>
          </w:p>
        </w:tc>
        <w:tc>
          <w:tcPr>
            <w:tcW w:w="2098" w:type="dxa"/>
            <w:noWrap/>
            <w:hideMark/>
          </w:tcPr>
          <w:p w14:paraId="7D21E7ED" w14:textId="77777777" w:rsidR="005839B3" w:rsidRPr="005839B3" w:rsidRDefault="005839B3" w:rsidP="00681A52">
            <w:pPr>
              <w:pStyle w:val="TableBody"/>
            </w:pPr>
            <w:r w:rsidRPr="005839B3">
              <w:t>270</w:t>
            </w:r>
          </w:p>
        </w:tc>
        <w:tc>
          <w:tcPr>
            <w:tcW w:w="2098" w:type="dxa"/>
            <w:noWrap/>
            <w:hideMark/>
          </w:tcPr>
          <w:p w14:paraId="18CB687C" w14:textId="77777777" w:rsidR="005839B3" w:rsidRPr="005839B3" w:rsidRDefault="005839B3" w:rsidP="00681A52">
            <w:pPr>
              <w:pStyle w:val="TableBody"/>
            </w:pPr>
            <w:r w:rsidRPr="005839B3">
              <w:t>93</w:t>
            </w:r>
          </w:p>
        </w:tc>
        <w:tc>
          <w:tcPr>
            <w:tcW w:w="2098" w:type="dxa"/>
            <w:noWrap/>
            <w:hideMark/>
          </w:tcPr>
          <w:p w14:paraId="4E741A6A" w14:textId="77777777" w:rsidR="005839B3" w:rsidRPr="005839B3" w:rsidRDefault="005839B3" w:rsidP="00681A52">
            <w:pPr>
              <w:pStyle w:val="TableBody"/>
            </w:pPr>
            <w:r w:rsidRPr="005839B3">
              <w:t>122</w:t>
            </w:r>
          </w:p>
        </w:tc>
        <w:tc>
          <w:tcPr>
            <w:tcW w:w="2098" w:type="dxa"/>
            <w:noWrap/>
            <w:hideMark/>
          </w:tcPr>
          <w:p w14:paraId="57262548" w14:textId="77777777" w:rsidR="005839B3" w:rsidRPr="005839B3" w:rsidRDefault="005839B3" w:rsidP="00681A52">
            <w:pPr>
              <w:pStyle w:val="TableBody"/>
            </w:pPr>
            <w:r w:rsidRPr="005839B3">
              <w:t>65</w:t>
            </w:r>
          </w:p>
        </w:tc>
      </w:tr>
      <w:tr w:rsidR="003766D5" w:rsidRPr="005839B3" w14:paraId="3B76B603" w14:textId="77777777" w:rsidTr="00681A52">
        <w:trPr>
          <w:trHeight w:val="290"/>
        </w:trPr>
        <w:tc>
          <w:tcPr>
            <w:tcW w:w="730" w:type="dxa"/>
            <w:noWrap/>
            <w:hideMark/>
          </w:tcPr>
          <w:p w14:paraId="252598FC" w14:textId="77777777" w:rsidR="005839B3" w:rsidRPr="005839B3" w:rsidRDefault="005839B3" w:rsidP="00681A52">
            <w:pPr>
              <w:pStyle w:val="TableBody"/>
            </w:pPr>
            <w:r w:rsidRPr="005839B3">
              <w:t>2011</w:t>
            </w:r>
          </w:p>
        </w:tc>
        <w:tc>
          <w:tcPr>
            <w:tcW w:w="2098" w:type="dxa"/>
            <w:noWrap/>
            <w:hideMark/>
          </w:tcPr>
          <w:p w14:paraId="2E6AC2CE" w14:textId="77777777" w:rsidR="005839B3" w:rsidRPr="005839B3" w:rsidRDefault="005839B3" w:rsidP="00681A52">
            <w:pPr>
              <w:pStyle w:val="TableBody"/>
            </w:pPr>
            <w:r w:rsidRPr="005839B3">
              <w:t>400</w:t>
            </w:r>
          </w:p>
        </w:tc>
        <w:tc>
          <w:tcPr>
            <w:tcW w:w="2098" w:type="dxa"/>
            <w:noWrap/>
            <w:hideMark/>
          </w:tcPr>
          <w:p w14:paraId="50C028B5" w14:textId="77777777" w:rsidR="005839B3" w:rsidRPr="005839B3" w:rsidRDefault="005839B3" w:rsidP="00681A52">
            <w:pPr>
              <w:pStyle w:val="TableBody"/>
            </w:pPr>
            <w:r w:rsidRPr="005839B3">
              <w:t>109</w:t>
            </w:r>
          </w:p>
        </w:tc>
        <w:tc>
          <w:tcPr>
            <w:tcW w:w="2098" w:type="dxa"/>
            <w:noWrap/>
            <w:hideMark/>
          </w:tcPr>
          <w:p w14:paraId="76E699B8" w14:textId="77777777" w:rsidR="005839B3" w:rsidRPr="005839B3" w:rsidRDefault="005839B3" w:rsidP="00681A52">
            <w:pPr>
              <w:pStyle w:val="TableBody"/>
            </w:pPr>
            <w:r w:rsidRPr="005839B3">
              <w:t>118</w:t>
            </w:r>
          </w:p>
        </w:tc>
        <w:tc>
          <w:tcPr>
            <w:tcW w:w="2098" w:type="dxa"/>
            <w:noWrap/>
            <w:hideMark/>
          </w:tcPr>
          <w:p w14:paraId="07A40C40" w14:textId="77777777" w:rsidR="005839B3" w:rsidRPr="005839B3" w:rsidRDefault="005839B3" w:rsidP="00681A52">
            <w:pPr>
              <w:pStyle w:val="TableBody"/>
            </w:pPr>
            <w:r w:rsidRPr="005839B3">
              <w:t>66</w:t>
            </w:r>
          </w:p>
        </w:tc>
      </w:tr>
      <w:tr w:rsidR="003766D5" w:rsidRPr="005839B3" w14:paraId="4D0E6FCA" w14:textId="77777777" w:rsidTr="00681A52">
        <w:trPr>
          <w:trHeight w:val="290"/>
        </w:trPr>
        <w:tc>
          <w:tcPr>
            <w:tcW w:w="730" w:type="dxa"/>
            <w:noWrap/>
            <w:hideMark/>
          </w:tcPr>
          <w:p w14:paraId="543164DC" w14:textId="77777777" w:rsidR="005839B3" w:rsidRPr="005839B3" w:rsidRDefault="005839B3" w:rsidP="00681A52">
            <w:pPr>
              <w:pStyle w:val="TableBody"/>
            </w:pPr>
            <w:r w:rsidRPr="005839B3">
              <w:t>2012</w:t>
            </w:r>
          </w:p>
        </w:tc>
        <w:tc>
          <w:tcPr>
            <w:tcW w:w="2098" w:type="dxa"/>
            <w:noWrap/>
            <w:hideMark/>
          </w:tcPr>
          <w:p w14:paraId="05F7289D" w14:textId="77777777" w:rsidR="005839B3" w:rsidRPr="005839B3" w:rsidRDefault="005839B3" w:rsidP="00681A52">
            <w:pPr>
              <w:pStyle w:val="TableBody"/>
            </w:pPr>
            <w:r w:rsidRPr="005839B3">
              <w:t>366</w:t>
            </w:r>
          </w:p>
        </w:tc>
        <w:tc>
          <w:tcPr>
            <w:tcW w:w="2098" w:type="dxa"/>
            <w:noWrap/>
            <w:hideMark/>
          </w:tcPr>
          <w:p w14:paraId="75DDB698" w14:textId="77777777" w:rsidR="005839B3" w:rsidRPr="005839B3" w:rsidRDefault="005839B3" w:rsidP="00681A52">
            <w:pPr>
              <w:pStyle w:val="TableBody"/>
            </w:pPr>
            <w:r w:rsidRPr="005839B3">
              <w:t>134</w:t>
            </w:r>
          </w:p>
        </w:tc>
        <w:tc>
          <w:tcPr>
            <w:tcW w:w="2098" w:type="dxa"/>
            <w:noWrap/>
            <w:hideMark/>
          </w:tcPr>
          <w:p w14:paraId="55B2E1D3" w14:textId="77777777" w:rsidR="005839B3" w:rsidRPr="005839B3" w:rsidRDefault="005839B3" w:rsidP="00681A52">
            <w:pPr>
              <w:pStyle w:val="TableBody"/>
            </w:pPr>
            <w:r w:rsidRPr="005839B3">
              <w:t>113</w:t>
            </w:r>
          </w:p>
        </w:tc>
        <w:tc>
          <w:tcPr>
            <w:tcW w:w="2098" w:type="dxa"/>
            <w:noWrap/>
            <w:hideMark/>
          </w:tcPr>
          <w:p w14:paraId="4A8E3830" w14:textId="77777777" w:rsidR="005839B3" w:rsidRPr="005839B3" w:rsidRDefault="005839B3" w:rsidP="00681A52">
            <w:pPr>
              <w:pStyle w:val="TableBody"/>
            </w:pPr>
            <w:r w:rsidRPr="005839B3">
              <w:t>71</w:t>
            </w:r>
          </w:p>
        </w:tc>
      </w:tr>
      <w:tr w:rsidR="003766D5" w:rsidRPr="005839B3" w14:paraId="5550C3F9" w14:textId="77777777" w:rsidTr="00681A52">
        <w:trPr>
          <w:trHeight w:val="290"/>
        </w:trPr>
        <w:tc>
          <w:tcPr>
            <w:tcW w:w="730" w:type="dxa"/>
            <w:noWrap/>
            <w:hideMark/>
          </w:tcPr>
          <w:p w14:paraId="3DE376DE" w14:textId="77777777" w:rsidR="005839B3" w:rsidRPr="005839B3" w:rsidRDefault="005839B3" w:rsidP="00681A52">
            <w:pPr>
              <w:pStyle w:val="TableBody"/>
            </w:pPr>
            <w:r w:rsidRPr="005839B3">
              <w:t>2013</w:t>
            </w:r>
          </w:p>
        </w:tc>
        <w:tc>
          <w:tcPr>
            <w:tcW w:w="2098" w:type="dxa"/>
            <w:noWrap/>
            <w:hideMark/>
          </w:tcPr>
          <w:p w14:paraId="5A53FE5C" w14:textId="77777777" w:rsidR="005839B3" w:rsidRPr="005839B3" w:rsidRDefault="005839B3" w:rsidP="00681A52">
            <w:pPr>
              <w:pStyle w:val="TableBody"/>
            </w:pPr>
            <w:r w:rsidRPr="005839B3">
              <w:t>275</w:t>
            </w:r>
          </w:p>
        </w:tc>
        <w:tc>
          <w:tcPr>
            <w:tcW w:w="2098" w:type="dxa"/>
            <w:noWrap/>
            <w:hideMark/>
          </w:tcPr>
          <w:p w14:paraId="6351F5D9" w14:textId="77777777" w:rsidR="005839B3" w:rsidRPr="005839B3" w:rsidRDefault="005839B3" w:rsidP="00681A52">
            <w:pPr>
              <w:pStyle w:val="TableBody"/>
            </w:pPr>
            <w:r w:rsidRPr="005839B3">
              <w:t>92</w:t>
            </w:r>
          </w:p>
        </w:tc>
        <w:tc>
          <w:tcPr>
            <w:tcW w:w="2098" w:type="dxa"/>
            <w:noWrap/>
            <w:hideMark/>
          </w:tcPr>
          <w:p w14:paraId="5A516B49" w14:textId="77777777" w:rsidR="005839B3" w:rsidRPr="005839B3" w:rsidRDefault="005839B3" w:rsidP="00681A52">
            <w:pPr>
              <w:pStyle w:val="TableBody"/>
            </w:pPr>
            <w:r w:rsidRPr="005839B3">
              <w:t>119</w:t>
            </w:r>
          </w:p>
        </w:tc>
        <w:tc>
          <w:tcPr>
            <w:tcW w:w="2098" w:type="dxa"/>
            <w:noWrap/>
            <w:hideMark/>
          </w:tcPr>
          <w:p w14:paraId="008DA71D" w14:textId="77777777" w:rsidR="005839B3" w:rsidRPr="005839B3" w:rsidRDefault="005839B3" w:rsidP="00681A52">
            <w:pPr>
              <w:pStyle w:val="TableBody"/>
            </w:pPr>
            <w:r w:rsidRPr="005839B3">
              <w:t>63</w:t>
            </w:r>
          </w:p>
        </w:tc>
      </w:tr>
      <w:tr w:rsidR="003766D5" w:rsidRPr="005839B3" w14:paraId="311CE9B8" w14:textId="77777777" w:rsidTr="00681A52">
        <w:trPr>
          <w:trHeight w:val="290"/>
        </w:trPr>
        <w:tc>
          <w:tcPr>
            <w:tcW w:w="730" w:type="dxa"/>
            <w:noWrap/>
            <w:hideMark/>
          </w:tcPr>
          <w:p w14:paraId="167B0964" w14:textId="77777777" w:rsidR="005839B3" w:rsidRPr="005839B3" w:rsidRDefault="005839B3" w:rsidP="00681A52">
            <w:pPr>
              <w:pStyle w:val="TableBody"/>
            </w:pPr>
            <w:r w:rsidRPr="005839B3">
              <w:t>2014</w:t>
            </w:r>
          </w:p>
        </w:tc>
        <w:tc>
          <w:tcPr>
            <w:tcW w:w="2098" w:type="dxa"/>
            <w:noWrap/>
            <w:hideMark/>
          </w:tcPr>
          <w:p w14:paraId="09240FC8" w14:textId="77777777" w:rsidR="005839B3" w:rsidRPr="005839B3" w:rsidRDefault="005839B3" w:rsidP="00681A52">
            <w:pPr>
              <w:pStyle w:val="TableBody"/>
            </w:pPr>
            <w:r w:rsidRPr="005839B3">
              <w:t>337</w:t>
            </w:r>
          </w:p>
        </w:tc>
        <w:tc>
          <w:tcPr>
            <w:tcW w:w="2098" w:type="dxa"/>
            <w:noWrap/>
            <w:hideMark/>
          </w:tcPr>
          <w:p w14:paraId="477E25F3" w14:textId="77777777" w:rsidR="005839B3" w:rsidRPr="005839B3" w:rsidRDefault="005839B3" w:rsidP="00681A52">
            <w:pPr>
              <w:pStyle w:val="TableBody"/>
            </w:pPr>
            <w:r w:rsidRPr="005839B3">
              <w:t>113</w:t>
            </w:r>
          </w:p>
        </w:tc>
        <w:tc>
          <w:tcPr>
            <w:tcW w:w="2098" w:type="dxa"/>
            <w:noWrap/>
            <w:hideMark/>
          </w:tcPr>
          <w:p w14:paraId="4D82C141" w14:textId="77777777" w:rsidR="005839B3" w:rsidRPr="005839B3" w:rsidRDefault="005839B3" w:rsidP="00681A52">
            <w:pPr>
              <w:pStyle w:val="TableBody"/>
            </w:pPr>
            <w:r w:rsidRPr="005839B3">
              <w:t>227</w:t>
            </w:r>
          </w:p>
        </w:tc>
        <w:tc>
          <w:tcPr>
            <w:tcW w:w="2098" w:type="dxa"/>
            <w:noWrap/>
            <w:hideMark/>
          </w:tcPr>
          <w:p w14:paraId="2C3CBC9F" w14:textId="77777777" w:rsidR="005839B3" w:rsidRPr="005839B3" w:rsidRDefault="005839B3" w:rsidP="00681A52">
            <w:pPr>
              <w:pStyle w:val="TableBody"/>
            </w:pPr>
            <w:r w:rsidRPr="005839B3">
              <w:t>113</w:t>
            </w:r>
          </w:p>
        </w:tc>
      </w:tr>
      <w:tr w:rsidR="003766D5" w:rsidRPr="005839B3" w14:paraId="7A476789" w14:textId="77777777" w:rsidTr="00681A52">
        <w:trPr>
          <w:trHeight w:val="290"/>
        </w:trPr>
        <w:tc>
          <w:tcPr>
            <w:tcW w:w="730" w:type="dxa"/>
            <w:noWrap/>
            <w:hideMark/>
          </w:tcPr>
          <w:p w14:paraId="3D3EF609" w14:textId="77777777" w:rsidR="005839B3" w:rsidRPr="005839B3" w:rsidRDefault="005839B3" w:rsidP="00681A52">
            <w:pPr>
              <w:pStyle w:val="TableBody"/>
            </w:pPr>
            <w:r w:rsidRPr="005839B3">
              <w:t>2015</w:t>
            </w:r>
          </w:p>
        </w:tc>
        <w:tc>
          <w:tcPr>
            <w:tcW w:w="2098" w:type="dxa"/>
            <w:noWrap/>
            <w:hideMark/>
          </w:tcPr>
          <w:p w14:paraId="337187F8" w14:textId="77777777" w:rsidR="005839B3" w:rsidRPr="005839B3" w:rsidRDefault="005839B3" w:rsidP="00681A52">
            <w:pPr>
              <w:pStyle w:val="TableBody"/>
            </w:pPr>
            <w:r w:rsidRPr="005839B3">
              <w:t>307</w:t>
            </w:r>
          </w:p>
        </w:tc>
        <w:tc>
          <w:tcPr>
            <w:tcW w:w="2098" w:type="dxa"/>
            <w:noWrap/>
            <w:hideMark/>
          </w:tcPr>
          <w:p w14:paraId="257A00A0" w14:textId="77777777" w:rsidR="005839B3" w:rsidRPr="005839B3" w:rsidRDefault="005839B3" w:rsidP="00681A52">
            <w:pPr>
              <w:pStyle w:val="TableBody"/>
            </w:pPr>
            <w:r w:rsidRPr="005839B3">
              <w:t>99</w:t>
            </w:r>
          </w:p>
        </w:tc>
        <w:tc>
          <w:tcPr>
            <w:tcW w:w="2098" w:type="dxa"/>
            <w:noWrap/>
            <w:hideMark/>
          </w:tcPr>
          <w:p w14:paraId="5476B132" w14:textId="77777777" w:rsidR="005839B3" w:rsidRPr="005839B3" w:rsidRDefault="005839B3" w:rsidP="00681A52">
            <w:pPr>
              <w:pStyle w:val="TableBody"/>
            </w:pPr>
            <w:r w:rsidRPr="005839B3">
              <w:t>172</w:t>
            </w:r>
          </w:p>
        </w:tc>
        <w:tc>
          <w:tcPr>
            <w:tcW w:w="2098" w:type="dxa"/>
            <w:noWrap/>
            <w:hideMark/>
          </w:tcPr>
          <w:p w14:paraId="6878B868" w14:textId="77777777" w:rsidR="005839B3" w:rsidRPr="005839B3" w:rsidRDefault="005839B3" w:rsidP="00681A52">
            <w:pPr>
              <w:pStyle w:val="TableBody"/>
            </w:pPr>
            <w:r w:rsidRPr="005839B3">
              <w:t>83</w:t>
            </w:r>
          </w:p>
        </w:tc>
      </w:tr>
      <w:tr w:rsidR="003766D5" w:rsidRPr="005839B3" w14:paraId="411CF892" w14:textId="77777777" w:rsidTr="00681A52">
        <w:trPr>
          <w:trHeight w:val="290"/>
        </w:trPr>
        <w:tc>
          <w:tcPr>
            <w:tcW w:w="730" w:type="dxa"/>
            <w:noWrap/>
            <w:hideMark/>
          </w:tcPr>
          <w:p w14:paraId="205BF958" w14:textId="77777777" w:rsidR="005839B3" w:rsidRPr="005839B3" w:rsidRDefault="005839B3" w:rsidP="00681A52">
            <w:pPr>
              <w:pStyle w:val="TableBody"/>
            </w:pPr>
            <w:r w:rsidRPr="005839B3">
              <w:t>2016</w:t>
            </w:r>
          </w:p>
        </w:tc>
        <w:tc>
          <w:tcPr>
            <w:tcW w:w="2098" w:type="dxa"/>
            <w:noWrap/>
            <w:hideMark/>
          </w:tcPr>
          <w:p w14:paraId="03796124" w14:textId="77777777" w:rsidR="005839B3" w:rsidRPr="005839B3" w:rsidRDefault="005839B3" w:rsidP="00681A52">
            <w:pPr>
              <w:pStyle w:val="TableBody"/>
            </w:pPr>
            <w:r w:rsidRPr="005839B3">
              <w:t>307</w:t>
            </w:r>
          </w:p>
        </w:tc>
        <w:tc>
          <w:tcPr>
            <w:tcW w:w="2098" w:type="dxa"/>
            <w:noWrap/>
            <w:hideMark/>
          </w:tcPr>
          <w:p w14:paraId="62905015" w14:textId="77777777" w:rsidR="005839B3" w:rsidRPr="005839B3" w:rsidRDefault="005839B3" w:rsidP="00681A52">
            <w:pPr>
              <w:pStyle w:val="TableBody"/>
            </w:pPr>
            <w:r w:rsidRPr="005839B3">
              <w:t>113</w:t>
            </w:r>
          </w:p>
        </w:tc>
        <w:tc>
          <w:tcPr>
            <w:tcW w:w="2098" w:type="dxa"/>
            <w:noWrap/>
            <w:hideMark/>
          </w:tcPr>
          <w:p w14:paraId="555D23B3" w14:textId="77777777" w:rsidR="005839B3" w:rsidRPr="005839B3" w:rsidRDefault="005839B3" w:rsidP="00681A52">
            <w:pPr>
              <w:pStyle w:val="TableBody"/>
            </w:pPr>
            <w:r w:rsidRPr="005839B3">
              <w:t>184</w:t>
            </w:r>
          </w:p>
        </w:tc>
        <w:tc>
          <w:tcPr>
            <w:tcW w:w="2098" w:type="dxa"/>
            <w:noWrap/>
            <w:hideMark/>
          </w:tcPr>
          <w:p w14:paraId="712F5D58" w14:textId="77777777" w:rsidR="005839B3" w:rsidRPr="005839B3" w:rsidRDefault="005839B3" w:rsidP="00681A52">
            <w:pPr>
              <w:pStyle w:val="TableBody"/>
            </w:pPr>
            <w:r w:rsidRPr="005839B3">
              <w:t>89</w:t>
            </w:r>
          </w:p>
        </w:tc>
      </w:tr>
      <w:tr w:rsidR="003766D5" w:rsidRPr="005839B3" w14:paraId="05B76AB8" w14:textId="77777777" w:rsidTr="00681A52">
        <w:trPr>
          <w:trHeight w:val="290"/>
        </w:trPr>
        <w:tc>
          <w:tcPr>
            <w:tcW w:w="730" w:type="dxa"/>
            <w:noWrap/>
            <w:hideMark/>
          </w:tcPr>
          <w:p w14:paraId="0F78DFC5" w14:textId="77777777" w:rsidR="005839B3" w:rsidRPr="005839B3" w:rsidRDefault="005839B3" w:rsidP="00681A52">
            <w:pPr>
              <w:pStyle w:val="TableBody"/>
            </w:pPr>
            <w:r w:rsidRPr="005839B3">
              <w:t>2017</w:t>
            </w:r>
          </w:p>
        </w:tc>
        <w:tc>
          <w:tcPr>
            <w:tcW w:w="2098" w:type="dxa"/>
            <w:noWrap/>
            <w:hideMark/>
          </w:tcPr>
          <w:p w14:paraId="2B2D3D2B" w14:textId="77777777" w:rsidR="005839B3" w:rsidRPr="005839B3" w:rsidRDefault="005839B3" w:rsidP="00681A52">
            <w:pPr>
              <w:pStyle w:val="TableBody"/>
            </w:pPr>
            <w:r w:rsidRPr="005839B3">
              <w:t>227</w:t>
            </w:r>
          </w:p>
        </w:tc>
        <w:tc>
          <w:tcPr>
            <w:tcW w:w="2098" w:type="dxa"/>
            <w:noWrap/>
            <w:hideMark/>
          </w:tcPr>
          <w:p w14:paraId="019061BB" w14:textId="77777777" w:rsidR="005839B3" w:rsidRPr="005839B3" w:rsidRDefault="005839B3" w:rsidP="00681A52">
            <w:pPr>
              <w:pStyle w:val="TableBody"/>
            </w:pPr>
            <w:r w:rsidRPr="005839B3">
              <w:t>71</w:t>
            </w:r>
          </w:p>
        </w:tc>
        <w:tc>
          <w:tcPr>
            <w:tcW w:w="2098" w:type="dxa"/>
            <w:noWrap/>
            <w:hideMark/>
          </w:tcPr>
          <w:p w14:paraId="1B0204E0" w14:textId="77777777" w:rsidR="005839B3" w:rsidRPr="005839B3" w:rsidRDefault="005839B3" w:rsidP="00681A52">
            <w:pPr>
              <w:pStyle w:val="TableBody"/>
            </w:pPr>
            <w:r w:rsidRPr="005839B3">
              <w:t>161</w:t>
            </w:r>
          </w:p>
        </w:tc>
        <w:tc>
          <w:tcPr>
            <w:tcW w:w="2098" w:type="dxa"/>
            <w:noWrap/>
            <w:hideMark/>
          </w:tcPr>
          <w:p w14:paraId="3781B2DC" w14:textId="77777777" w:rsidR="005839B3" w:rsidRPr="005839B3" w:rsidRDefault="005839B3" w:rsidP="00681A52">
            <w:pPr>
              <w:pStyle w:val="TableBody"/>
            </w:pPr>
            <w:r w:rsidRPr="005839B3">
              <w:t>87</w:t>
            </w:r>
          </w:p>
        </w:tc>
      </w:tr>
      <w:tr w:rsidR="003766D5" w:rsidRPr="005839B3" w14:paraId="57047D7A" w14:textId="77777777" w:rsidTr="00681A52">
        <w:trPr>
          <w:trHeight w:val="290"/>
        </w:trPr>
        <w:tc>
          <w:tcPr>
            <w:tcW w:w="730" w:type="dxa"/>
            <w:noWrap/>
            <w:hideMark/>
          </w:tcPr>
          <w:p w14:paraId="6885C6E5" w14:textId="77777777" w:rsidR="005839B3" w:rsidRPr="005839B3" w:rsidRDefault="005839B3" w:rsidP="00681A52">
            <w:pPr>
              <w:pStyle w:val="TableBody"/>
            </w:pPr>
            <w:r w:rsidRPr="005839B3">
              <w:t>2018</w:t>
            </w:r>
          </w:p>
        </w:tc>
        <w:tc>
          <w:tcPr>
            <w:tcW w:w="2098" w:type="dxa"/>
            <w:noWrap/>
            <w:hideMark/>
          </w:tcPr>
          <w:p w14:paraId="6F2C25EA" w14:textId="77777777" w:rsidR="005839B3" w:rsidRPr="005839B3" w:rsidRDefault="005839B3" w:rsidP="00681A52">
            <w:pPr>
              <w:pStyle w:val="TableBody"/>
            </w:pPr>
            <w:r w:rsidRPr="005839B3">
              <w:t>261</w:t>
            </w:r>
          </w:p>
        </w:tc>
        <w:tc>
          <w:tcPr>
            <w:tcW w:w="2098" w:type="dxa"/>
            <w:noWrap/>
            <w:hideMark/>
          </w:tcPr>
          <w:p w14:paraId="0BB78356" w14:textId="77777777" w:rsidR="005839B3" w:rsidRPr="005839B3" w:rsidRDefault="005839B3" w:rsidP="00681A52">
            <w:pPr>
              <w:pStyle w:val="TableBody"/>
            </w:pPr>
            <w:r w:rsidRPr="005839B3">
              <w:t>98</w:t>
            </w:r>
          </w:p>
        </w:tc>
        <w:tc>
          <w:tcPr>
            <w:tcW w:w="2098" w:type="dxa"/>
            <w:noWrap/>
            <w:hideMark/>
          </w:tcPr>
          <w:p w14:paraId="1A364180" w14:textId="77777777" w:rsidR="005839B3" w:rsidRPr="005839B3" w:rsidRDefault="005839B3" w:rsidP="00681A52">
            <w:pPr>
              <w:pStyle w:val="TableBody"/>
            </w:pPr>
            <w:r w:rsidRPr="005839B3">
              <w:t>181</w:t>
            </w:r>
          </w:p>
        </w:tc>
        <w:tc>
          <w:tcPr>
            <w:tcW w:w="2098" w:type="dxa"/>
            <w:noWrap/>
            <w:hideMark/>
          </w:tcPr>
          <w:p w14:paraId="2E7B9B60" w14:textId="77777777" w:rsidR="005839B3" w:rsidRPr="005839B3" w:rsidRDefault="005839B3" w:rsidP="00681A52">
            <w:pPr>
              <w:pStyle w:val="TableBody"/>
            </w:pPr>
            <w:r w:rsidRPr="005839B3">
              <w:t>93</w:t>
            </w:r>
          </w:p>
        </w:tc>
      </w:tr>
      <w:tr w:rsidR="003766D5" w:rsidRPr="005839B3" w14:paraId="4A02938D" w14:textId="77777777" w:rsidTr="00681A52">
        <w:trPr>
          <w:trHeight w:val="290"/>
        </w:trPr>
        <w:tc>
          <w:tcPr>
            <w:tcW w:w="730" w:type="dxa"/>
            <w:noWrap/>
            <w:hideMark/>
          </w:tcPr>
          <w:p w14:paraId="624E95B9" w14:textId="77777777" w:rsidR="005839B3" w:rsidRPr="005839B3" w:rsidRDefault="005839B3" w:rsidP="00681A52">
            <w:pPr>
              <w:pStyle w:val="TableBody"/>
            </w:pPr>
            <w:r w:rsidRPr="005839B3">
              <w:t>2019</w:t>
            </w:r>
          </w:p>
        </w:tc>
        <w:tc>
          <w:tcPr>
            <w:tcW w:w="2098" w:type="dxa"/>
            <w:noWrap/>
            <w:hideMark/>
          </w:tcPr>
          <w:p w14:paraId="7BD2C354" w14:textId="77777777" w:rsidR="005839B3" w:rsidRPr="005839B3" w:rsidRDefault="005839B3" w:rsidP="00681A52">
            <w:pPr>
              <w:pStyle w:val="TableBody"/>
            </w:pPr>
            <w:r w:rsidRPr="005839B3">
              <w:t>308</w:t>
            </w:r>
          </w:p>
        </w:tc>
        <w:tc>
          <w:tcPr>
            <w:tcW w:w="2098" w:type="dxa"/>
            <w:noWrap/>
            <w:hideMark/>
          </w:tcPr>
          <w:p w14:paraId="5F9C67A6" w14:textId="77777777" w:rsidR="005839B3" w:rsidRPr="005839B3" w:rsidRDefault="005839B3" w:rsidP="00681A52">
            <w:pPr>
              <w:pStyle w:val="TableBody"/>
            </w:pPr>
            <w:r w:rsidRPr="005839B3">
              <w:t>119</w:t>
            </w:r>
          </w:p>
        </w:tc>
        <w:tc>
          <w:tcPr>
            <w:tcW w:w="2098" w:type="dxa"/>
            <w:noWrap/>
            <w:hideMark/>
          </w:tcPr>
          <w:p w14:paraId="0E412825" w14:textId="77777777" w:rsidR="005839B3" w:rsidRPr="005839B3" w:rsidRDefault="005839B3" w:rsidP="00681A52">
            <w:pPr>
              <w:pStyle w:val="TableBody"/>
            </w:pPr>
            <w:r w:rsidRPr="005839B3">
              <w:t>140</w:t>
            </w:r>
          </w:p>
        </w:tc>
        <w:tc>
          <w:tcPr>
            <w:tcW w:w="2098" w:type="dxa"/>
            <w:noWrap/>
            <w:hideMark/>
          </w:tcPr>
          <w:p w14:paraId="74ADC8F0" w14:textId="77777777" w:rsidR="005839B3" w:rsidRPr="005839B3" w:rsidRDefault="005839B3" w:rsidP="00681A52">
            <w:pPr>
              <w:pStyle w:val="TableBody"/>
            </w:pPr>
            <w:r w:rsidRPr="005839B3">
              <w:t>75</w:t>
            </w:r>
          </w:p>
        </w:tc>
      </w:tr>
    </w:tbl>
    <w:p w14:paraId="499FB697" w14:textId="77777777" w:rsidR="00EF5C25" w:rsidRPr="007F530F" w:rsidRDefault="00EF5C25" w:rsidP="00F227A5">
      <w:pPr>
        <w:pStyle w:val="Numbered"/>
      </w:pPr>
      <w:r w:rsidRPr="007F530F">
        <w:t xml:space="preserve">Table 10 shows which specific child sexual assault offences were sentenced and in how many cases. The vast majority of charges (87%) were indecent acts with a child contrary to section 47(1) of the </w:t>
      </w:r>
      <w:r w:rsidRPr="00D62402">
        <w:rPr>
          <w:rStyle w:val="Emphasis"/>
        </w:rPr>
        <w:t xml:space="preserve">Crimes Act 1958 </w:t>
      </w:r>
      <w:r w:rsidRPr="007F530F">
        <w:t>(Vic), though about 6% were charges of historical offences that had occurred prior to August 1991.</w:t>
      </w:r>
    </w:p>
    <w:p w14:paraId="6C240C97" w14:textId="77777777" w:rsidR="00BF31AB" w:rsidRDefault="00BF31AB" w:rsidP="00D00197">
      <w:pPr>
        <w:pStyle w:val="Caption"/>
        <w:sectPr w:rsidR="00BF31AB" w:rsidSect="00D6349A">
          <w:pgSz w:w="11906" w:h="16838"/>
          <w:pgMar w:top="1440" w:right="1440" w:bottom="1440" w:left="1440" w:header="720" w:footer="720" w:gutter="0"/>
          <w:cols w:space="720"/>
          <w:noEndnote/>
          <w:docGrid w:linePitch="326"/>
        </w:sectPr>
      </w:pPr>
    </w:p>
    <w:p w14:paraId="0F2C8A89" w14:textId="1E0620C6" w:rsidR="00EF5C25" w:rsidRPr="007F530F" w:rsidRDefault="00EF5C25" w:rsidP="00D00197">
      <w:pPr>
        <w:pStyle w:val="Caption"/>
      </w:pPr>
      <w:r w:rsidRPr="00D00197">
        <w:lastRenderedPageBreak/>
        <w:t xml:space="preserve">Table 10: </w:t>
      </w:r>
      <w:r w:rsidRPr="007F530F">
        <w:t>Number of child sexual assault offences sentenced in Victoria, 2010 to 2019, by operational period and statutory reference (4,595 charges and 1,846 cases)</w:t>
      </w:r>
    </w:p>
    <w:tbl>
      <w:tblPr>
        <w:tblStyle w:val="Table"/>
        <w:tblW w:w="5068" w:type="pct"/>
        <w:tblLook w:val="0020" w:firstRow="1" w:lastRow="0" w:firstColumn="0" w:lastColumn="0" w:noHBand="0" w:noVBand="0"/>
      </w:tblPr>
      <w:tblGrid>
        <w:gridCol w:w="1929"/>
        <w:gridCol w:w="1657"/>
        <w:gridCol w:w="1965"/>
        <w:gridCol w:w="1841"/>
        <w:gridCol w:w="1411"/>
        <w:gridCol w:w="1238"/>
        <w:gridCol w:w="2050"/>
        <w:gridCol w:w="2047"/>
      </w:tblGrid>
      <w:tr w:rsidR="005871FE" w:rsidRPr="007F530F" w14:paraId="648BE18A" w14:textId="77777777" w:rsidTr="004C26BD">
        <w:trPr>
          <w:trHeight w:val="60"/>
          <w:tblHeader/>
        </w:trPr>
        <w:tc>
          <w:tcPr>
            <w:tcW w:w="682" w:type="pct"/>
          </w:tcPr>
          <w:p w14:paraId="3A0183E0" w14:textId="0EAF14FF" w:rsidR="005871FE" w:rsidRPr="00BF31AB" w:rsidRDefault="005871FE" w:rsidP="000C5929">
            <w:pPr>
              <w:pStyle w:val="TableHeading"/>
              <w:rPr>
                <w:rFonts w:cstheme="minorBidi"/>
                <w:szCs w:val="20"/>
                <w:lang w:val="en-AU"/>
              </w:rPr>
            </w:pPr>
            <w:r w:rsidRPr="00BF31AB">
              <w:rPr>
                <w:szCs w:val="20"/>
              </w:rPr>
              <w:t>Offence</w:t>
            </w:r>
          </w:p>
        </w:tc>
        <w:tc>
          <w:tcPr>
            <w:tcW w:w="586" w:type="pct"/>
          </w:tcPr>
          <w:p w14:paraId="672CF3C0" w14:textId="6DC542CA" w:rsidR="005871FE" w:rsidRPr="00BF31AB" w:rsidRDefault="005871FE" w:rsidP="000C5929">
            <w:pPr>
              <w:pStyle w:val="TableHeading"/>
              <w:rPr>
                <w:rFonts w:cstheme="minorBidi"/>
                <w:szCs w:val="20"/>
                <w:lang w:val="en-AU"/>
              </w:rPr>
            </w:pPr>
            <w:r w:rsidRPr="00BF31AB">
              <w:rPr>
                <w:szCs w:val="20"/>
              </w:rPr>
              <w:t>Statutory reference</w:t>
            </w:r>
            <w:r w:rsidRPr="00BF31AB">
              <w:rPr>
                <w:szCs w:val="20"/>
              </w:rPr>
              <w:br/>
            </w:r>
            <w:r w:rsidRPr="00BF31AB">
              <w:rPr>
                <w:rStyle w:val="Emphasis"/>
                <w:szCs w:val="20"/>
              </w:rPr>
              <w:t xml:space="preserve">Crimes Act 1958 </w:t>
            </w:r>
            <w:r w:rsidRPr="00BF31AB">
              <w:rPr>
                <w:szCs w:val="20"/>
              </w:rPr>
              <w:t>(Vic)</w:t>
            </w:r>
          </w:p>
        </w:tc>
        <w:tc>
          <w:tcPr>
            <w:tcW w:w="695" w:type="pct"/>
          </w:tcPr>
          <w:p w14:paraId="4290029D" w14:textId="43A03C83" w:rsidR="005871FE" w:rsidRPr="00BF31AB" w:rsidRDefault="005871FE" w:rsidP="000C5929">
            <w:pPr>
              <w:pStyle w:val="TableHeading"/>
              <w:rPr>
                <w:rFonts w:cstheme="minorBidi"/>
                <w:szCs w:val="20"/>
                <w:lang w:val="en-AU"/>
              </w:rPr>
            </w:pPr>
            <w:r w:rsidRPr="00BF31AB">
              <w:rPr>
                <w:szCs w:val="20"/>
              </w:rPr>
              <w:t>Operational period</w:t>
            </w:r>
          </w:p>
        </w:tc>
        <w:tc>
          <w:tcPr>
            <w:tcW w:w="651" w:type="pct"/>
          </w:tcPr>
          <w:p w14:paraId="29C11029" w14:textId="753E549D" w:rsidR="005871FE" w:rsidRPr="00BF31AB" w:rsidRDefault="005871FE" w:rsidP="000C5929">
            <w:pPr>
              <w:pStyle w:val="TableHeading"/>
              <w:rPr>
                <w:rFonts w:cstheme="minorBidi"/>
                <w:szCs w:val="20"/>
                <w:lang w:val="en-AU"/>
              </w:rPr>
            </w:pPr>
            <w:r w:rsidRPr="00BF31AB">
              <w:rPr>
                <w:szCs w:val="20"/>
              </w:rPr>
              <w:t>Maximum penalty</w:t>
            </w:r>
          </w:p>
        </w:tc>
        <w:tc>
          <w:tcPr>
            <w:tcW w:w="499" w:type="pct"/>
          </w:tcPr>
          <w:p w14:paraId="6E95C78A" w14:textId="50667FB2" w:rsidR="005871FE" w:rsidRPr="00BF31AB" w:rsidRDefault="005871FE" w:rsidP="000C5929">
            <w:pPr>
              <w:pStyle w:val="TableHeading"/>
              <w:rPr>
                <w:szCs w:val="20"/>
              </w:rPr>
            </w:pPr>
            <w:r w:rsidRPr="00BF31AB">
              <w:rPr>
                <w:szCs w:val="20"/>
              </w:rPr>
              <w:t>Higher courts  charges</w:t>
            </w:r>
          </w:p>
        </w:tc>
        <w:tc>
          <w:tcPr>
            <w:tcW w:w="438" w:type="pct"/>
          </w:tcPr>
          <w:p w14:paraId="0314E063" w14:textId="073DA4A3" w:rsidR="005871FE" w:rsidRPr="00BF31AB" w:rsidRDefault="005871FE" w:rsidP="000C5929">
            <w:pPr>
              <w:pStyle w:val="TableHeading"/>
              <w:rPr>
                <w:szCs w:val="20"/>
              </w:rPr>
            </w:pPr>
            <w:r w:rsidRPr="00BF31AB">
              <w:rPr>
                <w:szCs w:val="20"/>
              </w:rPr>
              <w:t>Higher courts cases</w:t>
            </w:r>
          </w:p>
        </w:tc>
        <w:tc>
          <w:tcPr>
            <w:tcW w:w="725" w:type="pct"/>
          </w:tcPr>
          <w:p w14:paraId="52F0F521" w14:textId="62E1B3F1" w:rsidR="005871FE" w:rsidRPr="00BF31AB" w:rsidRDefault="005871FE" w:rsidP="000C5929">
            <w:pPr>
              <w:pStyle w:val="TableHeading"/>
              <w:rPr>
                <w:szCs w:val="20"/>
              </w:rPr>
            </w:pPr>
            <w:r w:rsidRPr="00BF31AB">
              <w:rPr>
                <w:szCs w:val="20"/>
              </w:rPr>
              <w:t>Magistrates’ Court charges</w:t>
            </w:r>
          </w:p>
        </w:tc>
        <w:tc>
          <w:tcPr>
            <w:tcW w:w="724" w:type="pct"/>
          </w:tcPr>
          <w:p w14:paraId="00F8D18E" w14:textId="07C0FD45" w:rsidR="005871FE" w:rsidRPr="00BF31AB" w:rsidRDefault="005871FE" w:rsidP="000C5929">
            <w:pPr>
              <w:pStyle w:val="TableHeading"/>
              <w:rPr>
                <w:szCs w:val="20"/>
              </w:rPr>
            </w:pPr>
            <w:r w:rsidRPr="00BF31AB">
              <w:rPr>
                <w:szCs w:val="20"/>
              </w:rPr>
              <w:t>Magistrates’ Court cases</w:t>
            </w:r>
          </w:p>
        </w:tc>
      </w:tr>
      <w:tr w:rsidR="00EF5C25" w:rsidRPr="007F530F" w14:paraId="7B23537D" w14:textId="77777777" w:rsidTr="004C26BD">
        <w:trPr>
          <w:trHeight w:val="60"/>
        </w:trPr>
        <w:tc>
          <w:tcPr>
            <w:tcW w:w="682" w:type="pct"/>
          </w:tcPr>
          <w:p w14:paraId="7FC76030" w14:textId="77777777" w:rsidR="00EF5C25" w:rsidRPr="00BF31AB" w:rsidRDefault="00EF5C25" w:rsidP="000C5929">
            <w:pPr>
              <w:pStyle w:val="TableBody"/>
              <w:rPr>
                <w:szCs w:val="20"/>
              </w:rPr>
            </w:pPr>
            <w:r w:rsidRPr="00BF31AB">
              <w:rPr>
                <w:szCs w:val="20"/>
              </w:rPr>
              <w:t>Indecent assault of a male aged under 16</w:t>
            </w:r>
            <w:r w:rsidRPr="00BF31AB">
              <w:rPr>
                <w:szCs w:val="20"/>
                <w:vertAlign w:val="superscript"/>
              </w:rPr>
              <w:t>a</w:t>
            </w:r>
          </w:p>
        </w:tc>
        <w:tc>
          <w:tcPr>
            <w:tcW w:w="586" w:type="pct"/>
          </w:tcPr>
          <w:p w14:paraId="1EC21BAF" w14:textId="77777777" w:rsidR="00EF5C25" w:rsidRPr="00BF31AB" w:rsidRDefault="00EF5C25" w:rsidP="000C5929">
            <w:pPr>
              <w:pStyle w:val="TableBody"/>
              <w:rPr>
                <w:szCs w:val="20"/>
              </w:rPr>
            </w:pPr>
            <w:r w:rsidRPr="00BF31AB">
              <w:rPr>
                <w:szCs w:val="20"/>
              </w:rPr>
              <w:t>Section 68(3)</w:t>
            </w:r>
          </w:p>
        </w:tc>
        <w:tc>
          <w:tcPr>
            <w:tcW w:w="695" w:type="pct"/>
          </w:tcPr>
          <w:p w14:paraId="17ACC0FF"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April 1959</w:t>
            </w:r>
            <w:r w:rsidRPr="00BF31AB">
              <w:rPr>
                <w:szCs w:val="20"/>
              </w:rPr>
              <w:br/>
            </w:r>
            <w:r w:rsidRPr="00BF31AB">
              <w:rPr>
                <w:rStyle w:val="Strong"/>
                <w:szCs w:val="20"/>
              </w:rPr>
              <w:t>To</w:t>
            </w:r>
            <w:r w:rsidRPr="00BF31AB">
              <w:rPr>
                <w:szCs w:val="20"/>
              </w:rPr>
              <w:t xml:space="preserve"> 7 November 1967</w:t>
            </w:r>
          </w:p>
        </w:tc>
        <w:tc>
          <w:tcPr>
            <w:tcW w:w="651" w:type="pct"/>
          </w:tcPr>
          <w:p w14:paraId="5974C7DC" w14:textId="77777777" w:rsidR="00EF5C25" w:rsidRPr="00BF31AB" w:rsidRDefault="00EF5C25" w:rsidP="000C5929">
            <w:pPr>
              <w:pStyle w:val="TableBody"/>
              <w:rPr>
                <w:szCs w:val="20"/>
              </w:rPr>
            </w:pPr>
            <w:r w:rsidRPr="00BF31AB">
              <w:rPr>
                <w:szCs w:val="20"/>
              </w:rPr>
              <w:t>10 years</w:t>
            </w:r>
          </w:p>
        </w:tc>
        <w:tc>
          <w:tcPr>
            <w:tcW w:w="499" w:type="pct"/>
          </w:tcPr>
          <w:p w14:paraId="702418DD" w14:textId="77777777" w:rsidR="00EF5C25" w:rsidRPr="00BF31AB" w:rsidRDefault="00EF5C25" w:rsidP="000C5929">
            <w:pPr>
              <w:pStyle w:val="TableBody"/>
              <w:rPr>
                <w:szCs w:val="20"/>
              </w:rPr>
            </w:pPr>
            <w:r w:rsidRPr="00BF31AB">
              <w:rPr>
                <w:szCs w:val="20"/>
              </w:rPr>
              <w:t>90</w:t>
            </w:r>
          </w:p>
        </w:tc>
        <w:tc>
          <w:tcPr>
            <w:tcW w:w="438" w:type="pct"/>
          </w:tcPr>
          <w:p w14:paraId="33DABD3D" w14:textId="77777777" w:rsidR="00EF5C25" w:rsidRPr="00BF31AB" w:rsidRDefault="00EF5C25" w:rsidP="000C5929">
            <w:pPr>
              <w:pStyle w:val="TableBody"/>
              <w:rPr>
                <w:szCs w:val="20"/>
              </w:rPr>
            </w:pPr>
            <w:r w:rsidRPr="00BF31AB">
              <w:rPr>
                <w:szCs w:val="20"/>
              </w:rPr>
              <w:t>16</w:t>
            </w:r>
          </w:p>
        </w:tc>
        <w:tc>
          <w:tcPr>
            <w:tcW w:w="725" w:type="pct"/>
          </w:tcPr>
          <w:p w14:paraId="699A96D0" w14:textId="77777777" w:rsidR="00EF5C25" w:rsidRPr="00BF31AB" w:rsidRDefault="00EF5C25" w:rsidP="000C5929">
            <w:pPr>
              <w:pStyle w:val="TableBody"/>
              <w:rPr>
                <w:szCs w:val="20"/>
              </w:rPr>
            </w:pPr>
            <w:r w:rsidRPr="00BF31AB">
              <w:rPr>
                <w:szCs w:val="20"/>
              </w:rPr>
              <w:t>17</w:t>
            </w:r>
          </w:p>
        </w:tc>
        <w:tc>
          <w:tcPr>
            <w:tcW w:w="724" w:type="pct"/>
          </w:tcPr>
          <w:p w14:paraId="6A98989B" w14:textId="77777777" w:rsidR="00EF5C25" w:rsidRPr="00BF31AB" w:rsidRDefault="00EF5C25" w:rsidP="000C5929">
            <w:pPr>
              <w:pStyle w:val="TableBody"/>
              <w:rPr>
                <w:szCs w:val="20"/>
              </w:rPr>
            </w:pPr>
            <w:r w:rsidRPr="00BF31AB">
              <w:rPr>
                <w:szCs w:val="20"/>
              </w:rPr>
              <w:t>8</w:t>
            </w:r>
          </w:p>
        </w:tc>
      </w:tr>
      <w:tr w:rsidR="00EF5C25" w:rsidRPr="007F530F" w14:paraId="55D759D2" w14:textId="77777777" w:rsidTr="004C26BD">
        <w:trPr>
          <w:trHeight w:val="60"/>
        </w:trPr>
        <w:tc>
          <w:tcPr>
            <w:tcW w:w="682" w:type="pct"/>
          </w:tcPr>
          <w:p w14:paraId="1546D2CE" w14:textId="77777777" w:rsidR="00EF5C25" w:rsidRPr="00BF31AB" w:rsidRDefault="00EF5C25" w:rsidP="000C5929">
            <w:pPr>
              <w:pStyle w:val="TableBody"/>
              <w:rPr>
                <w:szCs w:val="20"/>
              </w:rPr>
            </w:pPr>
            <w:r w:rsidRPr="00BF31AB">
              <w:rPr>
                <w:szCs w:val="20"/>
              </w:rPr>
              <w:t>Gross indecency with a girl aged under 16</w:t>
            </w:r>
            <w:r w:rsidRPr="00BF31AB">
              <w:rPr>
                <w:szCs w:val="20"/>
                <w:vertAlign w:val="superscript"/>
              </w:rPr>
              <w:t>b</w:t>
            </w:r>
          </w:p>
        </w:tc>
        <w:tc>
          <w:tcPr>
            <w:tcW w:w="586" w:type="pct"/>
          </w:tcPr>
          <w:p w14:paraId="5911EDFE" w14:textId="77777777" w:rsidR="00EF5C25" w:rsidRPr="00BF31AB" w:rsidRDefault="00EF5C25" w:rsidP="000C5929">
            <w:pPr>
              <w:pStyle w:val="TableBody"/>
              <w:rPr>
                <w:szCs w:val="20"/>
              </w:rPr>
            </w:pPr>
            <w:r w:rsidRPr="00BF31AB">
              <w:rPr>
                <w:szCs w:val="20"/>
              </w:rPr>
              <w:t>Section 69(1)(a)</w:t>
            </w:r>
          </w:p>
        </w:tc>
        <w:tc>
          <w:tcPr>
            <w:tcW w:w="695" w:type="pct"/>
          </w:tcPr>
          <w:p w14:paraId="1FE41C37"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April 1959</w:t>
            </w:r>
            <w:r w:rsidRPr="00BF31AB">
              <w:rPr>
                <w:szCs w:val="20"/>
              </w:rPr>
              <w:br/>
            </w:r>
            <w:r w:rsidRPr="00BF31AB">
              <w:rPr>
                <w:rStyle w:val="Strong"/>
                <w:szCs w:val="20"/>
              </w:rPr>
              <w:t>To</w:t>
            </w:r>
            <w:r w:rsidRPr="00BF31AB">
              <w:rPr>
                <w:szCs w:val="20"/>
              </w:rPr>
              <w:t xml:space="preserve"> 28 February 1981</w:t>
            </w:r>
          </w:p>
        </w:tc>
        <w:tc>
          <w:tcPr>
            <w:tcW w:w="651" w:type="pct"/>
          </w:tcPr>
          <w:p w14:paraId="0D1B35E3" w14:textId="77777777" w:rsidR="00EF5C25" w:rsidRPr="00BF31AB" w:rsidRDefault="00EF5C25" w:rsidP="000C5929">
            <w:pPr>
              <w:pStyle w:val="TableBody"/>
              <w:rPr>
                <w:szCs w:val="20"/>
              </w:rPr>
            </w:pPr>
            <w:r w:rsidRPr="00BF31AB">
              <w:rPr>
                <w:szCs w:val="20"/>
              </w:rPr>
              <w:t xml:space="preserve">2 years </w:t>
            </w:r>
            <w:r w:rsidRPr="00BF31AB">
              <w:rPr>
                <w:szCs w:val="20"/>
              </w:rPr>
              <w:br/>
              <w:t>(3 years for subsequent offences)</w:t>
            </w:r>
          </w:p>
        </w:tc>
        <w:tc>
          <w:tcPr>
            <w:tcW w:w="499" w:type="pct"/>
          </w:tcPr>
          <w:p w14:paraId="67EEF903" w14:textId="77777777" w:rsidR="00EF5C25" w:rsidRPr="00BF31AB" w:rsidRDefault="00EF5C25" w:rsidP="000C5929">
            <w:pPr>
              <w:pStyle w:val="TableBody"/>
              <w:rPr>
                <w:szCs w:val="20"/>
              </w:rPr>
            </w:pPr>
            <w:r w:rsidRPr="00BF31AB">
              <w:rPr>
                <w:szCs w:val="20"/>
              </w:rPr>
              <w:t>59</w:t>
            </w:r>
          </w:p>
        </w:tc>
        <w:tc>
          <w:tcPr>
            <w:tcW w:w="438" w:type="pct"/>
          </w:tcPr>
          <w:p w14:paraId="55D3E718" w14:textId="77777777" w:rsidR="00EF5C25" w:rsidRPr="00BF31AB" w:rsidRDefault="00EF5C25" w:rsidP="000C5929">
            <w:pPr>
              <w:pStyle w:val="TableBody"/>
              <w:rPr>
                <w:szCs w:val="20"/>
              </w:rPr>
            </w:pPr>
            <w:r w:rsidRPr="00BF31AB">
              <w:rPr>
                <w:szCs w:val="20"/>
              </w:rPr>
              <w:t>32</w:t>
            </w:r>
          </w:p>
        </w:tc>
        <w:tc>
          <w:tcPr>
            <w:tcW w:w="725" w:type="pct"/>
          </w:tcPr>
          <w:p w14:paraId="3D5558FD" w14:textId="77777777" w:rsidR="00EF5C25" w:rsidRPr="00BF31AB" w:rsidRDefault="00EF5C25" w:rsidP="000C5929">
            <w:pPr>
              <w:pStyle w:val="TableBody"/>
              <w:rPr>
                <w:szCs w:val="20"/>
              </w:rPr>
            </w:pPr>
            <w:r w:rsidRPr="00BF31AB">
              <w:rPr>
                <w:szCs w:val="20"/>
              </w:rPr>
              <w:t>10</w:t>
            </w:r>
          </w:p>
        </w:tc>
        <w:tc>
          <w:tcPr>
            <w:tcW w:w="724" w:type="pct"/>
          </w:tcPr>
          <w:p w14:paraId="0E43B083" w14:textId="77777777" w:rsidR="00EF5C25" w:rsidRPr="00BF31AB" w:rsidRDefault="00EF5C25" w:rsidP="000C5929">
            <w:pPr>
              <w:pStyle w:val="TableBody"/>
              <w:rPr>
                <w:szCs w:val="20"/>
              </w:rPr>
            </w:pPr>
            <w:r w:rsidRPr="00BF31AB">
              <w:rPr>
                <w:szCs w:val="20"/>
              </w:rPr>
              <w:t>4</w:t>
            </w:r>
          </w:p>
        </w:tc>
      </w:tr>
      <w:tr w:rsidR="00EF5C25" w:rsidRPr="007F530F" w14:paraId="438C65AA" w14:textId="77777777" w:rsidTr="004C26BD">
        <w:trPr>
          <w:trHeight w:val="60"/>
        </w:trPr>
        <w:tc>
          <w:tcPr>
            <w:tcW w:w="682" w:type="pct"/>
          </w:tcPr>
          <w:p w14:paraId="419DAB06" w14:textId="77777777" w:rsidR="00EF5C25" w:rsidRPr="00BF31AB" w:rsidRDefault="00EF5C25" w:rsidP="000C5929">
            <w:pPr>
              <w:pStyle w:val="TableBody"/>
              <w:rPr>
                <w:szCs w:val="20"/>
              </w:rPr>
            </w:pPr>
            <w:r w:rsidRPr="00BF31AB">
              <w:rPr>
                <w:szCs w:val="20"/>
              </w:rPr>
              <w:t>Assault with intent to sexually penetrate a child aged under 10</w:t>
            </w:r>
          </w:p>
        </w:tc>
        <w:tc>
          <w:tcPr>
            <w:tcW w:w="586" w:type="pct"/>
          </w:tcPr>
          <w:p w14:paraId="58B6E7EF" w14:textId="77777777" w:rsidR="00EF5C25" w:rsidRPr="00BF31AB" w:rsidRDefault="00EF5C25" w:rsidP="000C5929">
            <w:pPr>
              <w:pStyle w:val="TableBody"/>
              <w:rPr>
                <w:szCs w:val="20"/>
              </w:rPr>
            </w:pPr>
            <w:r w:rsidRPr="00BF31AB">
              <w:rPr>
                <w:szCs w:val="20"/>
              </w:rPr>
              <w:t>Section 47(2)</w:t>
            </w:r>
          </w:p>
        </w:tc>
        <w:tc>
          <w:tcPr>
            <w:tcW w:w="695" w:type="pct"/>
          </w:tcPr>
          <w:p w14:paraId="7BECA518"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March 1981</w:t>
            </w:r>
            <w:r w:rsidRPr="00BF31AB">
              <w:rPr>
                <w:szCs w:val="20"/>
              </w:rPr>
              <w:br/>
            </w:r>
            <w:r w:rsidRPr="00BF31AB">
              <w:rPr>
                <w:rStyle w:val="Strong"/>
                <w:szCs w:val="20"/>
              </w:rPr>
              <w:t>To</w:t>
            </w:r>
            <w:r w:rsidRPr="00BF31AB">
              <w:rPr>
                <w:szCs w:val="20"/>
              </w:rPr>
              <w:t xml:space="preserve"> 4 August 1991</w:t>
            </w:r>
          </w:p>
        </w:tc>
        <w:tc>
          <w:tcPr>
            <w:tcW w:w="651" w:type="pct"/>
          </w:tcPr>
          <w:p w14:paraId="408691CA" w14:textId="77777777" w:rsidR="00EF5C25" w:rsidRPr="00BF31AB" w:rsidRDefault="00EF5C25" w:rsidP="000C5929">
            <w:pPr>
              <w:pStyle w:val="TableBody"/>
              <w:rPr>
                <w:szCs w:val="20"/>
              </w:rPr>
            </w:pPr>
            <w:r w:rsidRPr="00BF31AB">
              <w:rPr>
                <w:szCs w:val="20"/>
              </w:rPr>
              <w:t>10 years</w:t>
            </w:r>
          </w:p>
        </w:tc>
        <w:tc>
          <w:tcPr>
            <w:tcW w:w="499" w:type="pct"/>
          </w:tcPr>
          <w:p w14:paraId="0593C6D5" w14:textId="77777777" w:rsidR="00EF5C25" w:rsidRPr="00BF31AB" w:rsidRDefault="00EF5C25" w:rsidP="000C5929">
            <w:pPr>
              <w:pStyle w:val="TableBody"/>
              <w:rPr>
                <w:szCs w:val="20"/>
              </w:rPr>
            </w:pPr>
            <w:r w:rsidRPr="00BF31AB">
              <w:rPr>
                <w:szCs w:val="20"/>
              </w:rPr>
              <w:t>2</w:t>
            </w:r>
          </w:p>
        </w:tc>
        <w:tc>
          <w:tcPr>
            <w:tcW w:w="438" w:type="pct"/>
          </w:tcPr>
          <w:p w14:paraId="113F81B2" w14:textId="77777777" w:rsidR="00EF5C25" w:rsidRPr="00BF31AB" w:rsidRDefault="00EF5C25" w:rsidP="000C5929">
            <w:pPr>
              <w:pStyle w:val="TableBody"/>
              <w:rPr>
                <w:szCs w:val="20"/>
              </w:rPr>
            </w:pPr>
            <w:r w:rsidRPr="00BF31AB">
              <w:rPr>
                <w:szCs w:val="20"/>
              </w:rPr>
              <w:t>1</w:t>
            </w:r>
          </w:p>
        </w:tc>
        <w:tc>
          <w:tcPr>
            <w:tcW w:w="725" w:type="pct"/>
          </w:tcPr>
          <w:p w14:paraId="4C5F3280" w14:textId="77777777" w:rsidR="00EF5C25" w:rsidRPr="00BF31AB" w:rsidRDefault="00EF5C25" w:rsidP="000C5929">
            <w:pPr>
              <w:pStyle w:val="TableBody"/>
              <w:rPr>
                <w:szCs w:val="20"/>
              </w:rPr>
            </w:pPr>
            <w:r w:rsidRPr="00BF31AB">
              <w:rPr>
                <w:szCs w:val="20"/>
              </w:rPr>
              <w:t>0</w:t>
            </w:r>
          </w:p>
        </w:tc>
        <w:tc>
          <w:tcPr>
            <w:tcW w:w="724" w:type="pct"/>
          </w:tcPr>
          <w:p w14:paraId="7B21321C" w14:textId="77777777" w:rsidR="00EF5C25" w:rsidRPr="00BF31AB" w:rsidRDefault="00EF5C25" w:rsidP="000C5929">
            <w:pPr>
              <w:pStyle w:val="TableBody"/>
              <w:rPr>
                <w:szCs w:val="20"/>
              </w:rPr>
            </w:pPr>
            <w:r w:rsidRPr="00BF31AB">
              <w:rPr>
                <w:szCs w:val="20"/>
              </w:rPr>
              <w:t>0</w:t>
            </w:r>
          </w:p>
        </w:tc>
      </w:tr>
      <w:tr w:rsidR="00EF5C25" w:rsidRPr="007F530F" w14:paraId="1ADF8F59" w14:textId="77777777" w:rsidTr="004C26BD">
        <w:trPr>
          <w:trHeight w:val="60"/>
        </w:trPr>
        <w:tc>
          <w:tcPr>
            <w:tcW w:w="682" w:type="pct"/>
          </w:tcPr>
          <w:p w14:paraId="7C251095" w14:textId="77777777" w:rsidR="00EF5C25" w:rsidRPr="00BF31AB" w:rsidRDefault="00EF5C25" w:rsidP="000C5929">
            <w:pPr>
              <w:pStyle w:val="TableBody"/>
              <w:rPr>
                <w:szCs w:val="20"/>
              </w:rPr>
            </w:pPr>
            <w:r w:rsidRPr="00BF31AB">
              <w:rPr>
                <w:szCs w:val="20"/>
              </w:rPr>
              <w:t>Gross indecency with a person aged under 16</w:t>
            </w:r>
          </w:p>
        </w:tc>
        <w:tc>
          <w:tcPr>
            <w:tcW w:w="586" w:type="pct"/>
          </w:tcPr>
          <w:p w14:paraId="34FA1E90" w14:textId="77777777" w:rsidR="00EF5C25" w:rsidRPr="00BF31AB" w:rsidRDefault="00EF5C25" w:rsidP="000C5929">
            <w:pPr>
              <w:pStyle w:val="TableBody"/>
              <w:rPr>
                <w:szCs w:val="20"/>
              </w:rPr>
            </w:pPr>
            <w:r w:rsidRPr="00BF31AB">
              <w:rPr>
                <w:szCs w:val="20"/>
              </w:rPr>
              <w:t>Section 50(1)(a)</w:t>
            </w:r>
          </w:p>
        </w:tc>
        <w:tc>
          <w:tcPr>
            <w:tcW w:w="695" w:type="pct"/>
          </w:tcPr>
          <w:p w14:paraId="7A734CA8"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March 1981</w:t>
            </w:r>
            <w:r w:rsidRPr="00BF31AB">
              <w:rPr>
                <w:szCs w:val="20"/>
              </w:rPr>
              <w:br/>
            </w:r>
            <w:r w:rsidRPr="00BF31AB">
              <w:rPr>
                <w:rStyle w:val="Strong"/>
                <w:szCs w:val="20"/>
              </w:rPr>
              <w:t>To</w:t>
            </w:r>
            <w:r w:rsidRPr="00BF31AB">
              <w:rPr>
                <w:szCs w:val="20"/>
              </w:rPr>
              <w:t xml:space="preserve"> 4 August 1991</w:t>
            </w:r>
          </w:p>
        </w:tc>
        <w:tc>
          <w:tcPr>
            <w:tcW w:w="651" w:type="pct"/>
          </w:tcPr>
          <w:p w14:paraId="3450BAC6" w14:textId="77777777" w:rsidR="00EF5C25" w:rsidRPr="00BF31AB" w:rsidRDefault="00EF5C25" w:rsidP="000C5929">
            <w:pPr>
              <w:pStyle w:val="TableBody"/>
              <w:rPr>
                <w:szCs w:val="20"/>
              </w:rPr>
            </w:pPr>
            <w:r w:rsidRPr="00BF31AB">
              <w:rPr>
                <w:szCs w:val="20"/>
              </w:rPr>
              <w:t xml:space="preserve">2 years </w:t>
            </w:r>
            <w:r w:rsidRPr="00BF31AB">
              <w:rPr>
                <w:szCs w:val="20"/>
              </w:rPr>
              <w:br/>
              <w:t>(3 years for subsequent offences)</w:t>
            </w:r>
          </w:p>
        </w:tc>
        <w:tc>
          <w:tcPr>
            <w:tcW w:w="499" w:type="pct"/>
          </w:tcPr>
          <w:p w14:paraId="181A0D95" w14:textId="77777777" w:rsidR="00EF5C25" w:rsidRPr="00BF31AB" w:rsidRDefault="00EF5C25" w:rsidP="000C5929">
            <w:pPr>
              <w:pStyle w:val="TableBody"/>
              <w:rPr>
                <w:szCs w:val="20"/>
              </w:rPr>
            </w:pPr>
            <w:r w:rsidRPr="00BF31AB">
              <w:rPr>
                <w:szCs w:val="20"/>
              </w:rPr>
              <w:t>86</w:t>
            </w:r>
          </w:p>
        </w:tc>
        <w:tc>
          <w:tcPr>
            <w:tcW w:w="438" w:type="pct"/>
          </w:tcPr>
          <w:p w14:paraId="3A87C3D4" w14:textId="77777777" w:rsidR="00EF5C25" w:rsidRPr="00BF31AB" w:rsidRDefault="00EF5C25" w:rsidP="000C5929">
            <w:pPr>
              <w:pStyle w:val="TableBody"/>
              <w:rPr>
                <w:szCs w:val="20"/>
              </w:rPr>
            </w:pPr>
            <w:r w:rsidRPr="00BF31AB">
              <w:rPr>
                <w:szCs w:val="20"/>
              </w:rPr>
              <w:t>47</w:t>
            </w:r>
          </w:p>
        </w:tc>
        <w:tc>
          <w:tcPr>
            <w:tcW w:w="725" w:type="pct"/>
          </w:tcPr>
          <w:p w14:paraId="0570666C" w14:textId="77777777" w:rsidR="00EF5C25" w:rsidRPr="00BF31AB" w:rsidRDefault="00EF5C25" w:rsidP="000C5929">
            <w:pPr>
              <w:pStyle w:val="TableBody"/>
              <w:rPr>
                <w:szCs w:val="20"/>
              </w:rPr>
            </w:pPr>
            <w:r w:rsidRPr="00BF31AB">
              <w:rPr>
                <w:szCs w:val="20"/>
              </w:rPr>
              <w:t>16</w:t>
            </w:r>
          </w:p>
        </w:tc>
        <w:tc>
          <w:tcPr>
            <w:tcW w:w="724" w:type="pct"/>
          </w:tcPr>
          <w:p w14:paraId="4415FEDF" w14:textId="77777777" w:rsidR="00EF5C25" w:rsidRPr="00BF31AB" w:rsidRDefault="00EF5C25" w:rsidP="000C5929">
            <w:pPr>
              <w:pStyle w:val="TableBody"/>
              <w:rPr>
                <w:szCs w:val="20"/>
              </w:rPr>
            </w:pPr>
            <w:r w:rsidRPr="00BF31AB">
              <w:rPr>
                <w:szCs w:val="20"/>
              </w:rPr>
              <w:t>12</w:t>
            </w:r>
          </w:p>
        </w:tc>
      </w:tr>
      <w:tr w:rsidR="00EF5C25" w:rsidRPr="007F530F" w14:paraId="1AB95504" w14:textId="77777777" w:rsidTr="004C26BD">
        <w:trPr>
          <w:trHeight w:val="60"/>
        </w:trPr>
        <w:tc>
          <w:tcPr>
            <w:tcW w:w="682" w:type="pct"/>
          </w:tcPr>
          <w:p w14:paraId="0D8B171C" w14:textId="77777777" w:rsidR="00EF5C25" w:rsidRPr="00BF31AB" w:rsidRDefault="00EF5C25" w:rsidP="000C5929">
            <w:pPr>
              <w:pStyle w:val="TableBody"/>
              <w:rPr>
                <w:szCs w:val="20"/>
              </w:rPr>
            </w:pPr>
            <w:r w:rsidRPr="00BF31AB">
              <w:rPr>
                <w:szCs w:val="20"/>
              </w:rPr>
              <w:t>Gross indecency with a person aged under 16 under care, supervision or authority</w:t>
            </w:r>
          </w:p>
        </w:tc>
        <w:tc>
          <w:tcPr>
            <w:tcW w:w="586" w:type="pct"/>
          </w:tcPr>
          <w:p w14:paraId="2C02557B" w14:textId="77777777" w:rsidR="00EF5C25" w:rsidRPr="00BF31AB" w:rsidRDefault="00EF5C25" w:rsidP="000C5929">
            <w:pPr>
              <w:pStyle w:val="TableBody"/>
              <w:rPr>
                <w:szCs w:val="20"/>
              </w:rPr>
            </w:pPr>
            <w:r w:rsidRPr="00BF31AB">
              <w:rPr>
                <w:szCs w:val="20"/>
              </w:rPr>
              <w:t>Section 50(2)(a)</w:t>
            </w:r>
          </w:p>
        </w:tc>
        <w:tc>
          <w:tcPr>
            <w:tcW w:w="695" w:type="pct"/>
          </w:tcPr>
          <w:p w14:paraId="70960E05"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March 1981</w:t>
            </w:r>
            <w:r w:rsidRPr="00BF31AB">
              <w:rPr>
                <w:szCs w:val="20"/>
              </w:rPr>
              <w:br/>
            </w:r>
            <w:r w:rsidRPr="00BF31AB">
              <w:rPr>
                <w:rStyle w:val="Strong"/>
                <w:szCs w:val="20"/>
              </w:rPr>
              <w:t>To</w:t>
            </w:r>
            <w:r w:rsidRPr="00BF31AB">
              <w:rPr>
                <w:szCs w:val="20"/>
              </w:rPr>
              <w:t xml:space="preserve"> 4 August 1991</w:t>
            </w:r>
          </w:p>
        </w:tc>
        <w:tc>
          <w:tcPr>
            <w:tcW w:w="651" w:type="pct"/>
          </w:tcPr>
          <w:p w14:paraId="47A4DAD0" w14:textId="77777777" w:rsidR="00EF5C25" w:rsidRPr="00BF31AB" w:rsidRDefault="00EF5C25" w:rsidP="000C5929">
            <w:pPr>
              <w:pStyle w:val="TableBody"/>
              <w:rPr>
                <w:szCs w:val="20"/>
              </w:rPr>
            </w:pPr>
            <w:r w:rsidRPr="00BF31AB">
              <w:rPr>
                <w:szCs w:val="20"/>
              </w:rPr>
              <w:t>3 years</w:t>
            </w:r>
          </w:p>
        </w:tc>
        <w:tc>
          <w:tcPr>
            <w:tcW w:w="499" w:type="pct"/>
          </w:tcPr>
          <w:p w14:paraId="1A6B474A" w14:textId="77777777" w:rsidR="00EF5C25" w:rsidRPr="00BF31AB" w:rsidRDefault="00EF5C25" w:rsidP="000C5929">
            <w:pPr>
              <w:pStyle w:val="TableBody"/>
              <w:rPr>
                <w:szCs w:val="20"/>
              </w:rPr>
            </w:pPr>
            <w:r w:rsidRPr="00BF31AB">
              <w:rPr>
                <w:szCs w:val="20"/>
              </w:rPr>
              <w:t>14</w:t>
            </w:r>
          </w:p>
        </w:tc>
        <w:tc>
          <w:tcPr>
            <w:tcW w:w="438" w:type="pct"/>
          </w:tcPr>
          <w:p w14:paraId="209AA0AD" w14:textId="77777777" w:rsidR="00EF5C25" w:rsidRPr="00BF31AB" w:rsidRDefault="00EF5C25" w:rsidP="000C5929">
            <w:pPr>
              <w:pStyle w:val="TableBody"/>
              <w:rPr>
                <w:szCs w:val="20"/>
              </w:rPr>
            </w:pPr>
            <w:r w:rsidRPr="00BF31AB">
              <w:rPr>
                <w:szCs w:val="20"/>
              </w:rPr>
              <w:t>9</w:t>
            </w:r>
          </w:p>
        </w:tc>
        <w:tc>
          <w:tcPr>
            <w:tcW w:w="725" w:type="pct"/>
          </w:tcPr>
          <w:p w14:paraId="6712C890" w14:textId="77777777" w:rsidR="00EF5C25" w:rsidRPr="00BF31AB" w:rsidRDefault="00EF5C25" w:rsidP="000C5929">
            <w:pPr>
              <w:pStyle w:val="TableBody"/>
              <w:rPr>
                <w:szCs w:val="20"/>
              </w:rPr>
            </w:pPr>
            <w:r w:rsidRPr="00BF31AB">
              <w:rPr>
                <w:szCs w:val="20"/>
              </w:rPr>
              <w:t>0</w:t>
            </w:r>
          </w:p>
        </w:tc>
        <w:tc>
          <w:tcPr>
            <w:tcW w:w="724" w:type="pct"/>
          </w:tcPr>
          <w:p w14:paraId="56A53399" w14:textId="77777777" w:rsidR="00EF5C25" w:rsidRPr="00BF31AB" w:rsidRDefault="00EF5C25" w:rsidP="000C5929">
            <w:pPr>
              <w:pStyle w:val="TableBody"/>
              <w:rPr>
                <w:szCs w:val="20"/>
              </w:rPr>
            </w:pPr>
            <w:r w:rsidRPr="00BF31AB">
              <w:rPr>
                <w:szCs w:val="20"/>
              </w:rPr>
              <w:t>0</w:t>
            </w:r>
          </w:p>
        </w:tc>
      </w:tr>
      <w:tr w:rsidR="00EF5C25" w:rsidRPr="007F530F" w14:paraId="5A4EF0A2" w14:textId="77777777" w:rsidTr="004C26BD">
        <w:trPr>
          <w:trHeight w:val="60"/>
        </w:trPr>
        <w:tc>
          <w:tcPr>
            <w:tcW w:w="682" w:type="pct"/>
          </w:tcPr>
          <w:p w14:paraId="52FF4B86" w14:textId="77777777" w:rsidR="00EF5C25" w:rsidRPr="00BF31AB" w:rsidRDefault="00EF5C25" w:rsidP="000C5929">
            <w:pPr>
              <w:pStyle w:val="TableBody"/>
              <w:rPr>
                <w:szCs w:val="20"/>
              </w:rPr>
            </w:pPr>
            <w:r w:rsidRPr="00BF31AB">
              <w:rPr>
                <w:szCs w:val="20"/>
              </w:rPr>
              <w:t>Indecent act with a child aged under 16</w:t>
            </w:r>
          </w:p>
        </w:tc>
        <w:tc>
          <w:tcPr>
            <w:tcW w:w="586" w:type="pct"/>
          </w:tcPr>
          <w:p w14:paraId="2701420D" w14:textId="77777777" w:rsidR="00EF5C25" w:rsidRPr="00BF31AB" w:rsidRDefault="00EF5C25" w:rsidP="000C5929">
            <w:pPr>
              <w:pStyle w:val="TableBody"/>
              <w:rPr>
                <w:szCs w:val="20"/>
              </w:rPr>
            </w:pPr>
            <w:r w:rsidRPr="00BF31AB">
              <w:rPr>
                <w:szCs w:val="20"/>
              </w:rPr>
              <w:t>Section 47(1)</w:t>
            </w:r>
          </w:p>
        </w:tc>
        <w:tc>
          <w:tcPr>
            <w:tcW w:w="695" w:type="pct"/>
          </w:tcPr>
          <w:p w14:paraId="764FB58D"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5 August 1991</w:t>
            </w:r>
            <w:r w:rsidRPr="00BF31AB">
              <w:rPr>
                <w:szCs w:val="20"/>
              </w:rPr>
              <w:br/>
            </w:r>
            <w:r w:rsidRPr="00BF31AB">
              <w:rPr>
                <w:rStyle w:val="Strong"/>
                <w:szCs w:val="20"/>
              </w:rPr>
              <w:t>To</w:t>
            </w:r>
            <w:r w:rsidRPr="00BF31AB">
              <w:rPr>
                <w:szCs w:val="20"/>
              </w:rPr>
              <w:t xml:space="preserve"> 30 June 2017</w:t>
            </w:r>
          </w:p>
        </w:tc>
        <w:tc>
          <w:tcPr>
            <w:tcW w:w="651" w:type="pct"/>
          </w:tcPr>
          <w:p w14:paraId="6AF4D157" w14:textId="77777777" w:rsidR="00EF5C25" w:rsidRPr="00BF31AB" w:rsidRDefault="00EF5C25" w:rsidP="000C5929">
            <w:pPr>
              <w:pStyle w:val="TableBody"/>
              <w:rPr>
                <w:szCs w:val="20"/>
              </w:rPr>
            </w:pPr>
            <w:r w:rsidRPr="00BF31AB">
              <w:rPr>
                <w:szCs w:val="20"/>
              </w:rPr>
              <w:t>10 years</w:t>
            </w:r>
          </w:p>
        </w:tc>
        <w:tc>
          <w:tcPr>
            <w:tcW w:w="499" w:type="pct"/>
          </w:tcPr>
          <w:p w14:paraId="4D0FDED5" w14:textId="77777777" w:rsidR="00EF5C25" w:rsidRPr="00BF31AB" w:rsidRDefault="00EF5C25" w:rsidP="000C5929">
            <w:pPr>
              <w:pStyle w:val="TableBody"/>
              <w:rPr>
                <w:szCs w:val="20"/>
              </w:rPr>
            </w:pPr>
            <w:r w:rsidRPr="00BF31AB">
              <w:rPr>
                <w:szCs w:val="20"/>
              </w:rPr>
              <w:t>2,649</w:t>
            </w:r>
          </w:p>
        </w:tc>
        <w:tc>
          <w:tcPr>
            <w:tcW w:w="438" w:type="pct"/>
          </w:tcPr>
          <w:p w14:paraId="74E45E54" w14:textId="77777777" w:rsidR="00EF5C25" w:rsidRPr="00BF31AB" w:rsidRDefault="00EF5C25" w:rsidP="000C5929">
            <w:pPr>
              <w:pStyle w:val="TableBody"/>
              <w:rPr>
                <w:szCs w:val="20"/>
              </w:rPr>
            </w:pPr>
            <w:r w:rsidRPr="00BF31AB">
              <w:rPr>
                <w:szCs w:val="20"/>
              </w:rPr>
              <w:t>897</w:t>
            </w:r>
          </w:p>
        </w:tc>
        <w:tc>
          <w:tcPr>
            <w:tcW w:w="725" w:type="pct"/>
          </w:tcPr>
          <w:p w14:paraId="7803AB42" w14:textId="77777777" w:rsidR="00EF5C25" w:rsidRPr="00BF31AB" w:rsidRDefault="00EF5C25" w:rsidP="000C5929">
            <w:pPr>
              <w:pStyle w:val="TableBody"/>
              <w:rPr>
                <w:szCs w:val="20"/>
              </w:rPr>
            </w:pPr>
            <w:r w:rsidRPr="00BF31AB">
              <w:rPr>
                <w:szCs w:val="20"/>
              </w:rPr>
              <w:t>1,328</w:t>
            </w:r>
          </w:p>
        </w:tc>
        <w:tc>
          <w:tcPr>
            <w:tcW w:w="724" w:type="pct"/>
          </w:tcPr>
          <w:p w14:paraId="3FCDEECC" w14:textId="77777777" w:rsidR="00EF5C25" w:rsidRPr="00BF31AB" w:rsidRDefault="00EF5C25" w:rsidP="000C5929">
            <w:pPr>
              <w:pStyle w:val="TableBody"/>
              <w:rPr>
                <w:szCs w:val="20"/>
              </w:rPr>
            </w:pPr>
            <w:r w:rsidRPr="00BF31AB">
              <w:rPr>
                <w:szCs w:val="20"/>
              </w:rPr>
              <w:t>699</w:t>
            </w:r>
          </w:p>
        </w:tc>
      </w:tr>
      <w:tr w:rsidR="00EF5C25" w:rsidRPr="007F530F" w14:paraId="6E67008B" w14:textId="77777777" w:rsidTr="004C26BD">
        <w:trPr>
          <w:trHeight w:val="60"/>
        </w:trPr>
        <w:tc>
          <w:tcPr>
            <w:tcW w:w="682" w:type="pct"/>
          </w:tcPr>
          <w:p w14:paraId="21725F9A" w14:textId="77777777" w:rsidR="00EF5C25" w:rsidRPr="00BF31AB" w:rsidRDefault="00EF5C25" w:rsidP="000C5929">
            <w:pPr>
              <w:pStyle w:val="TableBody"/>
              <w:rPr>
                <w:szCs w:val="20"/>
              </w:rPr>
            </w:pPr>
            <w:r w:rsidRPr="00BF31AB">
              <w:rPr>
                <w:szCs w:val="20"/>
              </w:rPr>
              <w:t xml:space="preserve">Indecent act with a child aged 16 under care, </w:t>
            </w:r>
            <w:r w:rsidRPr="00BF31AB">
              <w:rPr>
                <w:szCs w:val="20"/>
              </w:rPr>
              <w:lastRenderedPageBreak/>
              <w:t>supervision or authority</w:t>
            </w:r>
          </w:p>
        </w:tc>
        <w:tc>
          <w:tcPr>
            <w:tcW w:w="586" w:type="pct"/>
          </w:tcPr>
          <w:p w14:paraId="3BCA6E3D" w14:textId="77777777" w:rsidR="00EF5C25" w:rsidRPr="00BF31AB" w:rsidRDefault="00EF5C25" w:rsidP="000C5929">
            <w:pPr>
              <w:pStyle w:val="TableBody"/>
              <w:rPr>
                <w:szCs w:val="20"/>
              </w:rPr>
            </w:pPr>
            <w:r w:rsidRPr="00BF31AB">
              <w:rPr>
                <w:szCs w:val="20"/>
              </w:rPr>
              <w:lastRenderedPageBreak/>
              <w:t>Section 49(1)</w:t>
            </w:r>
          </w:p>
        </w:tc>
        <w:tc>
          <w:tcPr>
            <w:tcW w:w="695" w:type="pct"/>
          </w:tcPr>
          <w:p w14:paraId="5FF3E516"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5 August 1991</w:t>
            </w:r>
            <w:r w:rsidRPr="00BF31AB">
              <w:rPr>
                <w:szCs w:val="20"/>
              </w:rPr>
              <w:br/>
            </w:r>
            <w:r w:rsidRPr="00BF31AB">
              <w:rPr>
                <w:rStyle w:val="Strong"/>
                <w:szCs w:val="20"/>
              </w:rPr>
              <w:lastRenderedPageBreak/>
              <w:t>To</w:t>
            </w:r>
            <w:r w:rsidRPr="00BF31AB">
              <w:rPr>
                <w:szCs w:val="20"/>
              </w:rPr>
              <w:t xml:space="preserve"> 30 November 2006</w:t>
            </w:r>
          </w:p>
        </w:tc>
        <w:tc>
          <w:tcPr>
            <w:tcW w:w="651" w:type="pct"/>
          </w:tcPr>
          <w:p w14:paraId="2AA86F69" w14:textId="77777777" w:rsidR="00EF5C25" w:rsidRPr="00BF31AB" w:rsidRDefault="00EF5C25" w:rsidP="000C5929">
            <w:pPr>
              <w:pStyle w:val="TableBody"/>
              <w:rPr>
                <w:szCs w:val="20"/>
              </w:rPr>
            </w:pPr>
            <w:r w:rsidRPr="00BF31AB">
              <w:rPr>
                <w:rStyle w:val="Strong"/>
                <w:szCs w:val="20"/>
              </w:rPr>
              <w:lastRenderedPageBreak/>
              <w:t>Before 22 April 1992:</w:t>
            </w:r>
            <w:r w:rsidRPr="00BF31AB">
              <w:rPr>
                <w:szCs w:val="20"/>
              </w:rPr>
              <w:br/>
              <w:t>2 years</w:t>
            </w:r>
          </w:p>
          <w:p w14:paraId="1AC6D0A2" w14:textId="77777777" w:rsidR="00EF5C25" w:rsidRPr="00BF31AB" w:rsidRDefault="00EF5C25" w:rsidP="000C5929">
            <w:pPr>
              <w:pStyle w:val="TableBody"/>
              <w:rPr>
                <w:szCs w:val="20"/>
              </w:rPr>
            </w:pPr>
            <w:r w:rsidRPr="00BF31AB">
              <w:rPr>
                <w:rStyle w:val="Strong"/>
                <w:szCs w:val="20"/>
              </w:rPr>
              <w:lastRenderedPageBreak/>
              <w:t>22 April 1992 to 30 August 1997:</w:t>
            </w:r>
            <w:r w:rsidRPr="00BF31AB">
              <w:rPr>
                <w:rStyle w:val="Strong"/>
                <w:szCs w:val="20"/>
              </w:rPr>
              <w:br/>
            </w:r>
            <w:r w:rsidRPr="00BF31AB">
              <w:rPr>
                <w:szCs w:val="20"/>
              </w:rPr>
              <w:t xml:space="preserve">3 years </w:t>
            </w:r>
          </w:p>
          <w:p w14:paraId="583EA740" w14:textId="77777777" w:rsidR="00EF5C25" w:rsidRPr="00BF31AB" w:rsidRDefault="00EF5C25" w:rsidP="000C5929">
            <w:pPr>
              <w:pStyle w:val="TableBody"/>
              <w:rPr>
                <w:szCs w:val="20"/>
              </w:rPr>
            </w:pPr>
            <w:r w:rsidRPr="00BF31AB">
              <w:rPr>
                <w:rStyle w:val="Strong"/>
                <w:szCs w:val="20"/>
              </w:rPr>
              <w:t>From 1 September 1997:</w:t>
            </w:r>
            <w:r w:rsidRPr="00BF31AB">
              <w:rPr>
                <w:rStyle w:val="Strong"/>
                <w:szCs w:val="20"/>
              </w:rPr>
              <w:br/>
            </w:r>
            <w:r w:rsidRPr="00BF31AB">
              <w:rPr>
                <w:szCs w:val="20"/>
              </w:rPr>
              <w:t>5 years</w:t>
            </w:r>
          </w:p>
        </w:tc>
        <w:tc>
          <w:tcPr>
            <w:tcW w:w="499" w:type="pct"/>
          </w:tcPr>
          <w:p w14:paraId="76A31844" w14:textId="77777777" w:rsidR="00EF5C25" w:rsidRPr="00BF31AB" w:rsidRDefault="00EF5C25" w:rsidP="000C5929">
            <w:pPr>
              <w:pStyle w:val="TableBody"/>
              <w:rPr>
                <w:szCs w:val="20"/>
              </w:rPr>
            </w:pPr>
            <w:r w:rsidRPr="00BF31AB">
              <w:rPr>
                <w:szCs w:val="20"/>
              </w:rPr>
              <w:lastRenderedPageBreak/>
              <w:t>13</w:t>
            </w:r>
          </w:p>
        </w:tc>
        <w:tc>
          <w:tcPr>
            <w:tcW w:w="438" w:type="pct"/>
          </w:tcPr>
          <w:p w14:paraId="69E6D69F" w14:textId="77777777" w:rsidR="00EF5C25" w:rsidRPr="00BF31AB" w:rsidRDefault="00EF5C25" w:rsidP="000C5929">
            <w:pPr>
              <w:pStyle w:val="TableBody"/>
              <w:rPr>
                <w:szCs w:val="20"/>
              </w:rPr>
            </w:pPr>
            <w:r w:rsidRPr="00BF31AB">
              <w:rPr>
                <w:szCs w:val="20"/>
              </w:rPr>
              <w:t>5</w:t>
            </w:r>
          </w:p>
        </w:tc>
        <w:tc>
          <w:tcPr>
            <w:tcW w:w="725" w:type="pct"/>
          </w:tcPr>
          <w:p w14:paraId="57C47D95" w14:textId="77777777" w:rsidR="00EF5C25" w:rsidRPr="00BF31AB" w:rsidRDefault="00EF5C25" w:rsidP="000C5929">
            <w:pPr>
              <w:pStyle w:val="TableBody"/>
              <w:rPr>
                <w:szCs w:val="20"/>
              </w:rPr>
            </w:pPr>
            <w:r w:rsidRPr="00BF31AB">
              <w:rPr>
                <w:szCs w:val="20"/>
              </w:rPr>
              <w:t>5</w:t>
            </w:r>
          </w:p>
        </w:tc>
        <w:tc>
          <w:tcPr>
            <w:tcW w:w="724" w:type="pct"/>
          </w:tcPr>
          <w:p w14:paraId="2812A595" w14:textId="77777777" w:rsidR="00EF5C25" w:rsidRPr="00BF31AB" w:rsidRDefault="00EF5C25" w:rsidP="000C5929">
            <w:pPr>
              <w:pStyle w:val="TableBody"/>
              <w:rPr>
                <w:szCs w:val="20"/>
              </w:rPr>
            </w:pPr>
            <w:r w:rsidRPr="00BF31AB">
              <w:rPr>
                <w:szCs w:val="20"/>
              </w:rPr>
              <w:t>3</w:t>
            </w:r>
          </w:p>
        </w:tc>
      </w:tr>
      <w:tr w:rsidR="00EF5C25" w:rsidRPr="007F530F" w14:paraId="0EBF8E7A" w14:textId="77777777" w:rsidTr="004C26BD">
        <w:trPr>
          <w:trHeight w:val="60"/>
        </w:trPr>
        <w:tc>
          <w:tcPr>
            <w:tcW w:w="682" w:type="pct"/>
          </w:tcPr>
          <w:p w14:paraId="008CD647" w14:textId="77777777" w:rsidR="00EF5C25" w:rsidRPr="00BF31AB" w:rsidRDefault="00EF5C25" w:rsidP="000C5929">
            <w:pPr>
              <w:pStyle w:val="TableBody"/>
              <w:rPr>
                <w:szCs w:val="20"/>
              </w:rPr>
            </w:pPr>
            <w:r w:rsidRPr="00BF31AB">
              <w:rPr>
                <w:szCs w:val="20"/>
              </w:rPr>
              <w:t>Indecent act with a child aged 16 or 17 under care, supervision or authority</w:t>
            </w:r>
          </w:p>
        </w:tc>
        <w:tc>
          <w:tcPr>
            <w:tcW w:w="586" w:type="pct"/>
          </w:tcPr>
          <w:p w14:paraId="360505FC" w14:textId="77777777" w:rsidR="00EF5C25" w:rsidRPr="00BF31AB" w:rsidRDefault="00EF5C25" w:rsidP="000C5929">
            <w:pPr>
              <w:pStyle w:val="TableBody"/>
              <w:rPr>
                <w:szCs w:val="20"/>
              </w:rPr>
            </w:pPr>
            <w:r w:rsidRPr="00BF31AB">
              <w:rPr>
                <w:szCs w:val="20"/>
              </w:rPr>
              <w:t>Section 49(1)</w:t>
            </w:r>
          </w:p>
        </w:tc>
        <w:tc>
          <w:tcPr>
            <w:tcW w:w="695" w:type="pct"/>
          </w:tcPr>
          <w:p w14:paraId="79C3641E"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December 2006</w:t>
            </w:r>
            <w:r w:rsidRPr="00BF31AB">
              <w:rPr>
                <w:szCs w:val="20"/>
              </w:rPr>
              <w:br/>
            </w:r>
            <w:r w:rsidRPr="00BF31AB">
              <w:rPr>
                <w:rStyle w:val="Strong"/>
                <w:szCs w:val="20"/>
              </w:rPr>
              <w:t>To</w:t>
            </w:r>
            <w:r w:rsidRPr="00BF31AB">
              <w:rPr>
                <w:szCs w:val="20"/>
              </w:rPr>
              <w:t xml:space="preserve"> 30 June 2017</w:t>
            </w:r>
          </w:p>
        </w:tc>
        <w:tc>
          <w:tcPr>
            <w:tcW w:w="651" w:type="pct"/>
          </w:tcPr>
          <w:p w14:paraId="57E4DAD1" w14:textId="77777777" w:rsidR="00EF5C25" w:rsidRPr="00BF31AB" w:rsidRDefault="00EF5C25" w:rsidP="000C5929">
            <w:pPr>
              <w:pStyle w:val="TableBody"/>
              <w:rPr>
                <w:szCs w:val="20"/>
              </w:rPr>
            </w:pPr>
            <w:r w:rsidRPr="00BF31AB">
              <w:rPr>
                <w:szCs w:val="20"/>
              </w:rPr>
              <w:t>5 years</w:t>
            </w:r>
          </w:p>
        </w:tc>
        <w:tc>
          <w:tcPr>
            <w:tcW w:w="499" w:type="pct"/>
          </w:tcPr>
          <w:p w14:paraId="01AB70F3" w14:textId="77777777" w:rsidR="00EF5C25" w:rsidRPr="00BF31AB" w:rsidRDefault="00EF5C25" w:rsidP="000C5929">
            <w:pPr>
              <w:pStyle w:val="TableBody"/>
              <w:rPr>
                <w:szCs w:val="20"/>
              </w:rPr>
            </w:pPr>
            <w:r w:rsidRPr="00BF31AB">
              <w:rPr>
                <w:szCs w:val="20"/>
              </w:rPr>
              <w:t>82</w:t>
            </w:r>
          </w:p>
        </w:tc>
        <w:tc>
          <w:tcPr>
            <w:tcW w:w="438" w:type="pct"/>
          </w:tcPr>
          <w:p w14:paraId="2918D8C5" w14:textId="77777777" w:rsidR="00EF5C25" w:rsidRPr="00BF31AB" w:rsidRDefault="00EF5C25" w:rsidP="000C5929">
            <w:pPr>
              <w:pStyle w:val="TableBody"/>
              <w:rPr>
                <w:szCs w:val="20"/>
              </w:rPr>
            </w:pPr>
            <w:r w:rsidRPr="00BF31AB">
              <w:rPr>
                <w:szCs w:val="20"/>
              </w:rPr>
              <w:t>39</w:t>
            </w:r>
          </w:p>
        </w:tc>
        <w:tc>
          <w:tcPr>
            <w:tcW w:w="725" w:type="pct"/>
          </w:tcPr>
          <w:p w14:paraId="3940C3C7" w14:textId="77777777" w:rsidR="00EF5C25" w:rsidRPr="00BF31AB" w:rsidRDefault="00EF5C25" w:rsidP="000C5929">
            <w:pPr>
              <w:pStyle w:val="TableBody"/>
              <w:rPr>
                <w:szCs w:val="20"/>
              </w:rPr>
            </w:pPr>
            <w:r w:rsidRPr="00BF31AB">
              <w:rPr>
                <w:szCs w:val="20"/>
              </w:rPr>
              <w:t>69</w:t>
            </w:r>
          </w:p>
        </w:tc>
        <w:tc>
          <w:tcPr>
            <w:tcW w:w="724" w:type="pct"/>
          </w:tcPr>
          <w:p w14:paraId="04A37B58" w14:textId="77777777" w:rsidR="00EF5C25" w:rsidRPr="00BF31AB" w:rsidRDefault="00EF5C25" w:rsidP="000C5929">
            <w:pPr>
              <w:pStyle w:val="TableBody"/>
              <w:rPr>
                <w:szCs w:val="20"/>
              </w:rPr>
            </w:pPr>
            <w:r w:rsidRPr="00BF31AB">
              <w:rPr>
                <w:szCs w:val="20"/>
              </w:rPr>
              <w:t>32</w:t>
            </w:r>
          </w:p>
        </w:tc>
      </w:tr>
      <w:tr w:rsidR="00EF5C25" w:rsidRPr="007F530F" w14:paraId="2963776D" w14:textId="77777777" w:rsidTr="004C26BD">
        <w:trPr>
          <w:trHeight w:val="60"/>
        </w:trPr>
        <w:tc>
          <w:tcPr>
            <w:tcW w:w="682" w:type="pct"/>
          </w:tcPr>
          <w:p w14:paraId="65C997F0" w14:textId="77777777" w:rsidR="00EF5C25" w:rsidRPr="00BF31AB" w:rsidRDefault="00EF5C25" w:rsidP="000C5929">
            <w:pPr>
              <w:pStyle w:val="TableBody"/>
              <w:rPr>
                <w:szCs w:val="20"/>
              </w:rPr>
            </w:pPr>
            <w:r w:rsidRPr="00BF31AB">
              <w:rPr>
                <w:szCs w:val="20"/>
              </w:rPr>
              <w:t>Sexual assault of a child aged under 16</w:t>
            </w:r>
          </w:p>
        </w:tc>
        <w:tc>
          <w:tcPr>
            <w:tcW w:w="586" w:type="pct"/>
          </w:tcPr>
          <w:p w14:paraId="01D6C62E" w14:textId="77777777" w:rsidR="00EF5C25" w:rsidRPr="00BF31AB" w:rsidRDefault="00EF5C25" w:rsidP="000C5929">
            <w:pPr>
              <w:pStyle w:val="TableBody"/>
              <w:rPr>
                <w:szCs w:val="20"/>
              </w:rPr>
            </w:pPr>
            <w:r w:rsidRPr="00BF31AB">
              <w:rPr>
                <w:szCs w:val="20"/>
              </w:rPr>
              <w:t>Section 49D</w:t>
            </w:r>
          </w:p>
        </w:tc>
        <w:tc>
          <w:tcPr>
            <w:tcW w:w="695" w:type="pct"/>
          </w:tcPr>
          <w:p w14:paraId="277D8D15"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July 2017</w:t>
            </w:r>
            <w:r w:rsidRPr="00BF31AB">
              <w:rPr>
                <w:szCs w:val="20"/>
              </w:rPr>
              <w:br/>
            </w:r>
            <w:r w:rsidRPr="00BF31AB">
              <w:rPr>
                <w:rStyle w:val="Strong"/>
                <w:szCs w:val="20"/>
              </w:rPr>
              <w:t>To</w:t>
            </w:r>
            <w:r w:rsidRPr="00BF31AB">
              <w:rPr>
                <w:szCs w:val="20"/>
              </w:rPr>
              <w:t xml:space="preserve"> present</w:t>
            </w:r>
          </w:p>
        </w:tc>
        <w:tc>
          <w:tcPr>
            <w:tcW w:w="651" w:type="pct"/>
          </w:tcPr>
          <w:p w14:paraId="169A2537" w14:textId="77777777" w:rsidR="00EF5C25" w:rsidRPr="00BF31AB" w:rsidRDefault="00EF5C25" w:rsidP="000C5929">
            <w:pPr>
              <w:pStyle w:val="TableBody"/>
              <w:rPr>
                <w:szCs w:val="20"/>
              </w:rPr>
            </w:pPr>
            <w:r w:rsidRPr="00BF31AB">
              <w:rPr>
                <w:szCs w:val="20"/>
              </w:rPr>
              <w:t>10 years</w:t>
            </w:r>
          </w:p>
        </w:tc>
        <w:tc>
          <w:tcPr>
            <w:tcW w:w="499" w:type="pct"/>
          </w:tcPr>
          <w:p w14:paraId="32927D82" w14:textId="77777777" w:rsidR="00EF5C25" w:rsidRPr="00BF31AB" w:rsidRDefault="00EF5C25" w:rsidP="000C5929">
            <w:pPr>
              <w:pStyle w:val="TableBody"/>
              <w:rPr>
                <w:szCs w:val="20"/>
              </w:rPr>
            </w:pPr>
            <w:r w:rsidRPr="00BF31AB">
              <w:rPr>
                <w:szCs w:val="20"/>
              </w:rPr>
              <w:t>62</w:t>
            </w:r>
          </w:p>
        </w:tc>
        <w:tc>
          <w:tcPr>
            <w:tcW w:w="438" w:type="pct"/>
          </w:tcPr>
          <w:p w14:paraId="38E5A57D" w14:textId="77777777" w:rsidR="00EF5C25" w:rsidRPr="00BF31AB" w:rsidRDefault="00EF5C25" w:rsidP="000C5929">
            <w:pPr>
              <w:pStyle w:val="TableBody"/>
              <w:rPr>
                <w:szCs w:val="20"/>
              </w:rPr>
            </w:pPr>
            <w:r w:rsidRPr="00BF31AB">
              <w:rPr>
                <w:szCs w:val="20"/>
              </w:rPr>
              <w:t>38</w:t>
            </w:r>
          </w:p>
        </w:tc>
        <w:tc>
          <w:tcPr>
            <w:tcW w:w="725" w:type="pct"/>
          </w:tcPr>
          <w:p w14:paraId="5D0A8E44" w14:textId="77777777" w:rsidR="00EF5C25" w:rsidRPr="00BF31AB" w:rsidRDefault="00EF5C25" w:rsidP="000C5929">
            <w:pPr>
              <w:pStyle w:val="TableBody"/>
              <w:rPr>
                <w:szCs w:val="20"/>
              </w:rPr>
            </w:pPr>
            <w:r w:rsidRPr="00BF31AB">
              <w:rPr>
                <w:szCs w:val="20"/>
              </w:rPr>
              <w:t>84</w:t>
            </w:r>
          </w:p>
        </w:tc>
        <w:tc>
          <w:tcPr>
            <w:tcW w:w="724" w:type="pct"/>
          </w:tcPr>
          <w:p w14:paraId="7900A915" w14:textId="77777777" w:rsidR="00EF5C25" w:rsidRPr="00BF31AB" w:rsidRDefault="00EF5C25" w:rsidP="000C5929">
            <w:pPr>
              <w:pStyle w:val="TableBody"/>
              <w:rPr>
                <w:szCs w:val="20"/>
              </w:rPr>
            </w:pPr>
            <w:r w:rsidRPr="00BF31AB">
              <w:rPr>
                <w:szCs w:val="20"/>
              </w:rPr>
              <w:t>56</w:t>
            </w:r>
          </w:p>
        </w:tc>
      </w:tr>
      <w:tr w:rsidR="00EF5C25" w:rsidRPr="007F530F" w14:paraId="7B488BEA" w14:textId="77777777" w:rsidTr="004C26BD">
        <w:trPr>
          <w:trHeight w:val="60"/>
        </w:trPr>
        <w:tc>
          <w:tcPr>
            <w:tcW w:w="682" w:type="pct"/>
          </w:tcPr>
          <w:p w14:paraId="67E9608B" w14:textId="77777777" w:rsidR="00EF5C25" w:rsidRPr="00BF31AB" w:rsidRDefault="00EF5C25" w:rsidP="000C5929">
            <w:pPr>
              <w:pStyle w:val="TableBody"/>
              <w:rPr>
                <w:szCs w:val="20"/>
              </w:rPr>
            </w:pPr>
            <w:r w:rsidRPr="00BF31AB">
              <w:rPr>
                <w:szCs w:val="20"/>
              </w:rPr>
              <w:t>Sexual assault of a child aged 16 or 17 under care, supervision or authority</w:t>
            </w:r>
          </w:p>
        </w:tc>
        <w:tc>
          <w:tcPr>
            <w:tcW w:w="586" w:type="pct"/>
          </w:tcPr>
          <w:p w14:paraId="7F29AD6D" w14:textId="77777777" w:rsidR="00EF5C25" w:rsidRPr="00BF31AB" w:rsidRDefault="00EF5C25" w:rsidP="000C5929">
            <w:pPr>
              <w:pStyle w:val="TableBody"/>
              <w:rPr>
                <w:szCs w:val="20"/>
              </w:rPr>
            </w:pPr>
            <w:r w:rsidRPr="00BF31AB">
              <w:rPr>
                <w:szCs w:val="20"/>
              </w:rPr>
              <w:t>Section 49E</w:t>
            </w:r>
          </w:p>
        </w:tc>
        <w:tc>
          <w:tcPr>
            <w:tcW w:w="695" w:type="pct"/>
          </w:tcPr>
          <w:p w14:paraId="7CEF353E" w14:textId="77777777" w:rsidR="00EF5C25" w:rsidRPr="00BF31AB" w:rsidRDefault="00EF5C25" w:rsidP="000C5929">
            <w:pPr>
              <w:pStyle w:val="TableBody"/>
              <w:rPr>
                <w:szCs w:val="20"/>
              </w:rPr>
            </w:pPr>
            <w:r w:rsidRPr="00BF31AB">
              <w:rPr>
                <w:rStyle w:val="Strong"/>
                <w:szCs w:val="20"/>
              </w:rPr>
              <w:t>From</w:t>
            </w:r>
            <w:r w:rsidRPr="00BF31AB">
              <w:rPr>
                <w:szCs w:val="20"/>
              </w:rPr>
              <w:t xml:space="preserve"> 1 July 2017</w:t>
            </w:r>
            <w:r w:rsidRPr="00BF31AB">
              <w:rPr>
                <w:szCs w:val="20"/>
              </w:rPr>
              <w:br/>
            </w:r>
            <w:r w:rsidRPr="00BF31AB">
              <w:rPr>
                <w:rStyle w:val="Strong"/>
                <w:szCs w:val="20"/>
              </w:rPr>
              <w:t>To</w:t>
            </w:r>
            <w:r w:rsidRPr="00BF31AB">
              <w:rPr>
                <w:szCs w:val="20"/>
              </w:rPr>
              <w:t xml:space="preserve"> present</w:t>
            </w:r>
          </w:p>
        </w:tc>
        <w:tc>
          <w:tcPr>
            <w:tcW w:w="651" w:type="pct"/>
          </w:tcPr>
          <w:p w14:paraId="7FDA7518" w14:textId="77777777" w:rsidR="00EF5C25" w:rsidRPr="00BF31AB" w:rsidRDefault="00EF5C25" w:rsidP="000C5929">
            <w:pPr>
              <w:pStyle w:val="TableBody"/>
              <w:rPr>
                <w:szCs w:val="20"/>
              </w:rPr>
            </w:pPr>
            <w:r w:rsidRPr="00BF31AB">
              <w:rPr>
                <w:szCs w:val="20"/>
              </w:rPr>
              <w:t>5 years</w:t>
            </w:r>
          </w:p>
        </w:tc>
        <w:tc>
          <w:tcPr>
            <w:tcW w:w="499" w:type="pct"/>
          </w:tcPr>
          <w:p w14:paraId="7ACB175F" w14:textId="77777777" w:rsidR="00EF5C25" w:rsidRPr="00BF31AB" w:rsidRDefault="00EF5C25" w:rsidP="000C5929">
            <w:pPr>
              <w:pStyle w:val="TableBody"/>
              <w:rPr>
                <w:szCs w:val="20"/>
              </w:rPr>
            </w:pPr>
            <w:r w:rsidRPr="00BF31AB">
              <w:rPr>
                <w:szCs w:val="20"/>
              </w:rPr>
              <w:t>1</w:t>
            </w:r>
          </w:p>
        </w:tc>
        <w:tc>
          <w:tcPr>
            <w:tcW w:w="438" w:type="pct"/>
          </w:tcPr>
          <w:p w14:paraId="5C4C88E0" w14:textId="77777777" w:rsidR="00EF5C25" w:rsidRPr="00BF31AB" w:rsidRDefault="00EF5C25" w:rsidP="000C5929">
            <w:pPr>
              <w:pStyle w:val="TableBody"/>
              <w:rPr>
                <w:szCs w:val="20"/>
              </w:rPr>
            </w:pPr>
            <w:r w:rsidRPr="00BF31AB">
              <w:rPr>
                <w:szCs w:val="20"/>
              </w:rPr>
              <w:t>1</w:t>
            </w:r>
          </w:p>
        </w:tc>
        <w:tc>
          <w:tcPr>
            <w:tcW w:w="725" w:type="pct"/>
          </w:tcPr>
          <w:p w14:paraId="7F2BF2D5" w14:textId="77777777" w:rsidR="00EF5C25" w:rsidRPr="00BF31AB" w:rsidRDefault="00EF5C25" w:rsidP="000C5929">
            <w:pPr>
              <w:pStyle w:val="TableBody"/>
              <w:rPr>
                <w:szCs w:val="20"/>
              </w:rPr>
            </w:pPr>
            <w:r w:rsidRPr="00BF31AB">
              <w:rPr>
                <w:szCs w:val="20"/>
              </w:rPr>
              <w:t>8</w:t>
            </w:r>
          </w:p>
        </w:tc>
        <w:tc>
          <w:tcPr>
            <w:tcW w:w="724" w:type="pct"/>
          </w:tcPr>
          <w:p w14:paraId="540FC013" w14:textId="77777777" w:rsidR="00EF5C25" w:rsidRPr="00BF31AB" w:rsidRDefault="00EF5C25" w:rsidP="000C5929">
            <w:pPr>
              <w:pStyle w:val="TableBody"/>
              <w:rPr>
                <w:szCs w:val="20"/>
              </w:rPr>
            </w:pPr>
            <w:r w:rsidRPr="00BF31AB">
              <w:rPr>
                <w:szCs w:val="20"/>
              </w:rPr>
              <w:t>3</w:t>
            </w:r>
          </w:p>
        </w:tc>
      </w:tr>
      <w:tr w:rsidR="00EF5C25" w:rsidRPr="007F530F" w14:paraId="1455E178" w14:textId="77777777" w:rsidTr="004C26BD">
        <w:trPr>
          <w:trHeight w:val="60"/>
        </w:trPr>
        <w:tc>
          <w:tcPr>
            <w:tcW w:w="682" w:type="pct"/>
          </w:tcPr>
          <w:p w14:paraId="292C893E" w14:textId="77777777" w:rsidR="00EF5C25" w:rsidRPr="00BF31AB" w:rsidRDefault="00EF5C25" w:rsidP="000C5929">
            <w:pPr>
              <w:pStyle w:val="TableBody"/>
              <w:rPr>
                <w:rStyle w:val="Strong"/>
                <w:szCs w:val="20"/>
              </w:rPr>
            </w:pPr>
            <w:r w:rsidRPr="00BF31AB">
              <w:rPr>
                <w:rStyle w:val="Strong"/>
                <w:szCs w:val="20"/>
              </w:rPr>
              <w:t>Total</w:t>
            </w:r>
          </w:p>
        </w:tc>
        <w:tc>
          <w:tcPr>
            <w:tcW w:w="586" w:type="pct"/>
          </w:tcPr>
          <w:p w14:paraId="2C99E578" w14:textId="580C7613" w:rsidR="00EF5C25" w:rsidRPr="002746CC" w:rsidRDefault="00DC16BC" w:rsidP="000C5929">
            <w:pPr>
              <w:pStyle w:val="TableBody"/>
            </w:pPr>
            <w:r w:rsidRPr="002746CC">
              <w:t>–</w:t>
            </w:r>
          </w:p>
        </w:tc>
        <w:tc>
          <w:tcPr>
            <w:tcW w:w="695" w:type="pct"/>
          </w:tcPr>
          <w:p w14:paraId="2704ED2F" w14:textId="711A9A2E" w:rsidR="00EF5C25" w:rsidRPr="002746CC" w:rsidRDefault="00DC16BC" w:rsidP="000C5929">
            <w:pPr>
              <w:pStyle w:val="TableBody"/>
            </w:pPr>
            <w:r w:rsidRPr="002746CC">
              <w:t>–</w:t>
            </w:r>
          </w:p>
        </w:tc>
        <w:tc>
          <w:tcPr>
            <w:tcW w:w="651" w:type="pct"/>
          </w:tcPr>
          <w:p w14:paraId="030BED95" w14:textId="2499CA67" w:rsidR="00EF5C25" w:rsidRPr="002746CC" w:rsidRDefault="00DC16BC" w:rsidP="000C5929">
            <w:pPr>
              <w:pStyle w:val="TableBody"/>
            </w:pPr>
            <w:r w:rsidRPr="002746CC">
              <w:t>–</w:t>
            </w:r>
          </w:p>
        </w:tc>
        <w:tc>
          <w:tcPr>
            <w:tcW w:w="499" w:type="pct"/>
          </w:tcPr>
          <w:p w14:paraId="7BA627DF" w14:textId="77777777" w:rsidR="00EF5C25" w:rsidRPr="00BF31AB" w:rsidRDefault="00EF5C25" w:rsidP="000C5929">
            <w:pPr>
              <w:pStyle w:val="TableBody"/>
              <w:rPr>
                <w:rStyle w:val="Strong"/>
                <w:szCs w:val="20"/>
              </w:rPr>
            </w:pPr>
            <w:r w:rsidRPr="00BF31AB">
              <w:rPr>
                <w:rStyle w:val="Strong"/>
                <w:szCs w:val="20"/>
              </w:rPr>
              <w:t>3,058</w:t>
            </w:r>
          </w:p>
        </w:tc>
        <w:tc>
          <w:tcPr>
            <w:tcW w:w="438" w:type="pct"/>
          </w:tcPr>
          <w:p w14:paraId="30547F70" w14:textId="77777777" w:rsidR="00EF5C25" w:rsidRPr="00BF31AB" w:rsidRDefault="00EF5C25" w:rsidP="000C5929">
            <w:pPr>
              <w:pStyle w:val="TableBody"/>
              <w:rPr>
                <w:rStyle w:val="Strong"/>
                <w:szCs w:val="20"/>
              </w:rPr>
            </w:pPr>
            <w:r w:rsidRPr="00BF31AB">
              <w:rPr>
                <w:rStyle w:val="Strong"/>
                <w:szCs w:val="20"/>
              </w:rPr>
              <w:t>1,041</w:t>
            </w:r>
            <w:r w:rsidRPr="00696ADB">
              <w:rPr>
                <w:rStyle w:val="Strong"/>
                <w:vertAlign w:val="superscript"/>
              </w:rPr>
              <w:t>c</w:t>
            </w:r>
          </w:p>
        </w:tc>
        <w:tc>
          <w:tcPr>
            <w:tcW w:w="725" w:type="pct"/>
          </w:tcPr>
          <w:p w14:paraId="34A9CBF9" w14:textId="77777777" w:rsidR="00EF5C25" w:rsidRPr="00BF31AB" w:rsidRDefault="00EF5C25" w:rsidP="000C5929">
            <w:pPr>
              <w:pStyle w:val="TableBody"/>
              <w:rPr>
                <w:rStyle w:val="Strong"/>
                <w:szCs w:val="20"/>
              </w:rPr>
            </w:pPr>
            <w:r w:rsidRPr="00BF31AB">
              <w:rPr>
                <w:rStyle w:val="Strong"/>
                <w:szCs w:val="20"/>
              </w:rPr>
              <w:t>1,537</w:t>
            </w:r>
          </w:p>
        </w:tc>
        <w:tc>
          <w:tcPr>
            <w:tcW w:w="724" w:type="pct"/>
          </w:tcPr>
          <w:p w14:paraId="7102D297" w14:textId="77777777" w:rsidR="00EF5C25" w:rsidRPr="00BF31AB" w:rsidRDefault="00EF5C25" w:rsidP="000C5929">
            <w:pPr>
              <w:pStyle w:val="TableBody"/>
              <w:rPr>
                <w:rStyle w:val="Strong"/>
                <w:szCs w:val="20"/>
              </w:rPr>
            </w:pPr>
            <w:r w:rsidRPr="00BF31AB">
              <w:rPr>
                <w:rStyle w:val="Strong"/>
                <w:szCs w:val="20"/>
              </w:rPr>
              <w:t>805</w:t>
            </w:r>
          </w:p>
        </w:tc>
      </w:tr>
    </w:tbl>
    <w:p w14:paraId="43D31C84" w14:textId="77777777" w:rsidR="00EF5C25" w:rsidRPr="007F530F" w:rsidRDefault="00EF5C25" w:rsidP="00C10631">
      <w:pPr>
        <w:pStyle w:val="Footnote"/>
      </w:pPr>
      <w:r w:rsidRPr="007F530F">
        <w:t>a.</w:t>
      </w:r>
      <w:r w:rsidRPr="007F530F">
        <w:tab/>
        <w:t>While this offence did not contain a threshold for the victim’s age, sentencing data sometimes specified when this offence was committed against ‘a male aged under 16’.</w:t>
      </w:r>
    </w:p>
    <w:p w14:paraId="14F9DAD5" w14:textId="77777777" w:rsidR="00EF5C25" w:rsidRPr="007F530F" w:rsidRDefault="00EF5C25" w:rsidP="00C10631">
      <w:pPr>
        <w:pStyle w:val="Footnote"/>
      </w:pPr>
      <w:r w:rsidRPr="007F530F">
        <w:t>b.</w:t>
      </w:r>
      <w:r w:rsidRPr="007F530F">
        <w:tab/>
        <w:t xml:space="preserve">This offence includes 5 charges of gross indecency with a girl aged under 16 against section 66(1)(a) of the </w:t>
      </w:r>
      <w:r w:rsidRPr="00D62402">
        <w:rPr>
          <w:rStyle w:val="Emphasis"/>
        </w:rPr>
        <w:t>Crimes Act 1928</w:t>
      </w:r>
      <w:r w:rsidRPr="007F530F">
        <w:t xml:space="preserve"> (Vic) and 32 charges of gross indecency with a girl aged under 16 against section 69(1)(a) of the </w:t>
      </w:r>
      <w:r w:rsidRPr="00D62402">
        <w:rPr>
          <w:rStyle w:val="Emphasis"/>
        </w:rPr>
        <w:t xml:space="preserve">Crimes Act 1957 </w:t>
      </w:r>
      <w:r w:rsidRPr="007F530F">
        <w:t>(Vic). It was assumed that these were data entry errors.</w:t>
      </w:r>
    </w:p>
    <w:p w14:paraId="504CDFEA" w14:textId="77777777" w:rsidR="00EF5C25" w:rsidRPr="007F530F" w:rsidRDefault="00EF5C25" w:rsidP="00C10631">
      <w:pPr>
        <w:pStyle w:val="Footnote"/>
      </w:pPr>
      <w:r w:rsidRPr="007F530F">
        <w:t>c.</w:t>
      </w:r>
      <w:r w:rsidRPr="007F530F">
        <w:tab/>
        <w:t xml:space="preserve">The total number of cases for both jurisdictions is lower than the sum of the above rows because there were some cases in which multiple child sexual assault offences under various statutory references were sentenced together. </w:t>
      </w:r>
    </w:p>
    <w:p w14:paraId="695DA18E" w14:textId="77777777" w:rsidR="00BF31AB" w:rsidRDefault="00BF31AB" w:rsidP="006633AA">
      <w:pPr>
        <w:pStyle w:val="Heading2"/>
        <w:sectPr w:rsidR="00BF31AB" w:rsidSect="00BF31AB">
          <w:pgSz w:w="16838" w:h="11906" w:orient="landscape"/>
          <w:pgMar w:top="1440" w:right="1440" w:bottom="1440" w:left="1440" w:header="720" w:footer="720" w:gutter="0"/>
          <w:cols w:space="720"/>
          <w:noEndnote/>
          <w:docGrid w:linePitch="326"/>
        </w:sectPr>
      </w:pPr>
    </w:p>
    <w:p w14:paraId="3036F93D" w14:textId="5C48A137" w:rsidR="00EF5C25" w:rsidRPr="007F530F" w:rsidRDefault="00EF5C25" w:rsidP="006633AA">
      <w:pPr>
        <w:pStyle w:val="Heading2"/>
      </w:pPr>
      <w:r w:rsidRPr="007F530F">
        <w:lastRenderedPageBreak/>
        <w:t>Sentence types imposed for child sexual assault offences</w:t>
      </w:r>
    </w:p>
    <w:p w14:paraId="48045BD9" w14:textId="77777777" w:rsidR="00EF5C25" w:rsidRPr="007F530F" w:rsidRDefault="00EF5C25" w:rsidP="00F227A5">
      <w:pPr>
        <w:pStyle w:val="Numbered"/>
      </w:pPr>
      <w:r w:rsidRPr="007F530F">
        <w:t>Table 11 shows the sentence types imposed for all child sexual assault offences over the reference period.</w:t>
      </w:r>
      <w:r w:rsidRPr="007F530F">
        <w:rPr>
          <w:rStyle w:val="Superscript"/>
        </w:rPr>
        <w:footnoteReference w:id="241"/>
      </w:r>
      <w:r w:rsidRPr="007F530F">
        <w:t xml:space="preserve"> While child sexual assault offences have the same maximum penalty as adult sexual assault offences (10 years’ imprisonment), child sexual assault offences were more than twice as likely to be sentenced in the higher courts (67% versus 30%), almost twice as likely to receive an immediate custodial sentence in the Magistrates’ Court (39% versus 22%), and slightly more likely to receive an immediate custodial sentence in the higher courts (85% versus 80%). </w:t>
      </w:r>
    </w:p>
    <w:p w14:paraId="33BDBB2A" w14:textId="77777777" w:rsidR="00634ECA" w:rsidRDefault="00634ECA" w:rsidP="00D00197">
      <w:pPr>
        <w:pStyle w:val="Caption"/>
        <w:sectPr w:rsidR="00634ECA" w:rsidSect="00D6349A">
          <w:pgSz w:w="11906" w:h="16838"/>
          <w:pgMar w:top="1440" w:right="1440" w:bottom="1440" w:left="1440" w:header="720" w:footer="720" w:gutter="0"/>
          <w:cols w:space="720"/>
          <w:noEndnote/>
          <w:docGrid w:linePitch="326"/>
        </w:sectPr>
      </w:pPr>
    </w:p>
    <w:p w14:paraId="6A4460A2" w14:textId="65EF9897" w:rsidR="00EF5C25" w:rsidRPr="007F530F" w:rsidRDefault="00EF5C25" w:rsidP="00D00197">
      <w:pPr>
        <w:pStyle w:val="Caption"/>
      </w:pPr>
      <w:r w:rsidRPr="00D00197">
        <w:lastRenderedPageBreak/>
        <w:t xml:space="preserve">Table 11: </w:t>
      </w:r>
      <w:r w:rsidRPr="007F530F">
        <w:t>Number and proportion of each sentence type imposed for child sexual assault offences sentenced in Victoria, 2010 to 2019 (4,595 charges: 3,058 in the higher courts and 1,537 in the Magistrates’ Court)</w:t>
      </w:r>
    </w:p>
    <w:tbl>
      <w:tblPr>
        <w:tblStyle w:val="Table"/>
        <w:tblW w:w="0" w:type="auto"/>
        <w:tblLook w:val="0020" w:firstRow="1" w:lastRow="0" w:firstColumn="0" w:lastColumn="0" w:noHBand="0" w:noVBand="0"/>
      </w:tblPr>
      <w:tblGrid>
        <w:gridCol w:w="4259"/>
        <w:gridCol w:w="868"/>
        <w:gridCol w:w="868"/>
        <w:gridCol w:w="868"/>
        <w:gridCol w:w="904"/>
        <w:gridCol w:w="868"/>
        <w:gridCol w:w="868"/>
        <w:gridCol w:w="868"/>
        <w:gridCol w:w="868"/>
        <w:gridCol w:w="868"/>
        <w:gridCol w:w="868"/>
        <w:gridCol w:w="973"/>
      </w:tblGrid>
      <w:tr w:rsidR="00715489" w:rsidRPr="007F530F" w14:paraId="75C882D7" w14:textId="77777777" w:rsidTr="00E37DAA">
        <w:trPr>
          <w:trHeight w:val="60"/>
          <w:tblHeader/>
        </w:trPr>
        <w:tc>
          <w:tcPr>
            <w:tcW w:w="0" w:type="auto"/>
          </w:tcPr>
          <w:p w14:paraId="05FEABF3" w14:textId="0D55DE31" w:rsidR="00715489" w:rsidRPr="005F6AE1" w:rsidRDefault="00715489" w:rsidP="00841071">
            <w:pPr>
              <w:pStyle w:val="TableHeading"/>
              <w:rPr>
                <w:szCs w:val="20"/>
              </w:rPr>
            </w:pPr>
            <w:r w:rsidRPr="005F6AE1">
              <w:rPr>
                <w:szCs w:val="20"/>
              </w:rPr>
              <w:t>Outcome  and court level</w:t>
            </w:r>
          </w:p>
        </w:tc>
        <w:tc>
          <w:tcPr>
            <w:tcW w:w="0" w:type="auto"/>
          </w:tcPr>
          <w:p w14:paraId="16173CAE" w14:textId="77777777" w:rsidR="00715489" w:rsidRPr="005F6AE1" w:rsidRDefault="00715489" w:rsidP="00DF5757">
            <w:pPr>
              <w:pStyle w:val="TableHeading"/>
              <w:rPr>
                <w:szCs w:val="20"/>
              </w:rPr>
            </w:pPr>
            <w:r w:rsidRPr="005F6AE1">
              <w:rPr>
                <w:szCs w:val="20"/>
              </w:rPr>
              <w:t>2010</w:t>
            </w:r>
          </w:p>
        </w:tc>
        <w:tc>
          <w:tcPr>
            <w:tcW w:w="0" w:type="auto"/>
          </w:tcPr>
          <w:p w14:paraId="147FA9EB" w14:textId="77777777" w:rsidR="00715489" w:rsidRPr="005F6AE1" w:rsidRDefault="00715489" w:rsidP="00DF5757">
            <w:pPr>
              <w:pStyle w:val="TableHeading"/>
              <w:rPr>
                <w:szCs w:val="20"/>
              </w:rPr>
            </w:pPr>
            <w:r w:rsidRPr="005F6AE1">
              <w:rPr>
                <w:szCs w:val="20"/>
              </w:rPr>
              <w:t>2011</w:t>
            </w:r>
          </w:p>
        </w:tc>
        <w:tc>
          <w:tcPr>
            <w:tcW w:w="0" w:type="auto"/>
          </w:tcPr>
          <w:p w14:paraId="00A65386" w14:textId="77777777" w:rsidR="00715489" w:rsidRPr="005F6AE1" w:rsidRDefault="00715489" w:rsidP="00DF5757">
            <w:pPr>
              <w:pStyle w:val="TableHeading"/>
              <w:rPr>
                <w:szCs w:val="20"/>
              </w:rPr>
            </w:pPr>
            <w:r w:rsidRPr="005F6AE1">
              <w:rPr>
                <w:szCs w:val="20"/>
              </w:rPr>
              <w:t>2012</w:t>
            </w:r>
          </w:p>
        </w:tc>
        <w:tc>
          <w:tcPr>
            <w:tcW w:w="0" w:type="auto"/>
          </w:tcPr>
          <w:p w14:paraId="07DEE32C" w14:textId="77777777" w:rsidR="00715489" w:rsidRPr="005F6AE1" w:rsidRDefault="00715489" w:rsidP="00DF5757">
            <w:pPr>
              <w:pStyle w:val="TableHeading"/>
              <w:rPr>
                <w:szCs w:val="20"/>
              </w:rPr>
            </w:pPr>
            <w:r w:rsidRPr="005F6AE1">
              <w:rPr>
                <w:szCs w:val="20"/>
              </w:rPr>
              <w:t>2013</w:t>
            </w:r>
          </w:p>
        </w:tc>
        <w:tc>
          <w:tcPr>
            <w:tcW w:w="0" w:type="auto"/>
          </w:tcPr>
          <w:p w14:paraId="0CBDB7E6" w14:textId="77777777" w:rsidR="00715489" w:rsidRPr="005F6AE1" w:rsidRDefault="00715489" w:rsidP="00DF5757">
            <w:pPr>
              <w:pStyle w:val="TableHeading"/>
              <w:rPr>
                <w:szCs w:val="20"/>
              </w:rPr>
            </w:pPr>
            <w:r w:rsidRPr="005F6AE1">
              <w:rPr>
                <w:szCs w:val="20"/>
              </w:rPr>
              <w:t>2014</w:t>
            </w:r>
          </w:p>
        </w:tc>
        <w:tc>
          <w:tcPr>
            <w:tcW w:w="0" w:type="auto"/>
          </w:tcPr>
          <w:p w14:paraId="6544B846" w14:textId="77777777" w:rsidR="00715489" w:rsidRPr="005F6AE1" w:rsidRDefault="00715489" w:rsidP="00DF5757">
            <w:pPr>
              <w:pStyle w:val="TableHeading"/>
              <w:rPr>
                <w:szCs w:val="20"/>
              </w:rPr>
            </w:pPr>
            <w:r w:rsidRPr="005F6AE1">
              <w:rPr>
                <w:szCs w:val="20"/>
              </w:rPr>
              <w:t>2015</w:t>
            </w:r>
          </w:p>
        </w:tc>
        <w:tc>
          <w:tcPr>
            <w:tcW w:w="0" w:type="auto"/>
          </w:tcPr>
          <w:p w14:paraId="185E4317" w14:textId="77777777" w:rsidR="00715489" w:rsidRPr="005F6AE1" w:rsidRDefault="00715489" w:rsidP="00DF5757">
            <w:pPr>
              <w:pStyle w:val="TableHeading"/>
              <w:rPr>
                <w:szCs w:val="20"/>
              </w:rPr>
            </w:pPr>
            <w:r w:rsidRPr="005F6AE1">
              <w:rPr>
                <w:szCs w:val="20"/>
              </w:rPr>
              <w:t>2016</w:t>
            </w:r>
          </w:p>
        </w:tc>
        <w:tc>
          <w:tcPr>
            <w:tcW w:w="0" w:type="auto"/>
          </w:tcPr>
          <w:p w14:paraId="7340897E" w14:textId="77777777" w:rsidR="00715489" w:rsidRPr="005F6AE1" w:rsidRDefault="00715489" w:rsidP="00DF5757">
            <w:pPr>
              <w:pStyle w:val="TableHeading"/>
              <w:rPr>
                <w:szCs w:val="20"/>
              </w:rPr>
            </w:pPr>
            <w:r w:rsidRPr="005F6AE1">
              <w:rPr>
                <w:szCs w:val="20"/>
              </w:rPr>
              <w:t>2017</w:t>
            </w:r>
          </w:p>
        </w:tc>
        <w:tc>
          <w:tcPr>
            <w:tcW w:w="0" w:type="auto"/>
          </w:tcPr>
          <w:p w14:paraId="0DE79333" w14:textId="77777777" w:rsidR="00715489" w:rsidRPr="005F6AE1" w:rsidRDefault="00715489" w:rsidP="00DF5757">
            <w:pPr>
              <w:pStyle w:val="TableHeading"/>
              <w:rPr>
                <w:szCs w:val="20"/>
              </w:rPr>
            </w:pPr>
            <w:r w:rsidRPr="005F6AE1">
              <w:rPr>
                <w:szCs w:val="20"/>
              </w:rPr>
              <w:t>2018</w:t>
            </w:r>
          </w:p>
        </w:tc>
        <w:tc>
          <w:tcPr>
            <w:tcW w:w="0" w:type="auto"/>
          </w:tcPr>
          <w:p w14:paraId="0806B8B6" w14:textId="77777777" w:rsidR="00715489" w:rsidRPr="005F6AE1" w:rsidRDefault="00715489" w:rsidP="00DF5757">
            <w:pPr>
              <w:pStyle w:val="TableHeading"/>
              <w:rPr>
                <w:szCs w:val="20"/>
              </w:rPr>
            </w:pPr>
            <w:r w:rsidRPr="005F6AE1">
              <w:rPr>
                <w:szCs w:val="20"/>
              </w:rPr>
              <w:t>2019</w:t>
            </w:r>
          </w:p>
        </w:tc>
        <w:tc>
          <w:tcPr>
            <w:tcW w:w="0" w:type="auto"/>
          </w:tcPr>
          <w:p w14:paraId="04E8E5E7" w14:textId="77777777" w:rsidR="00715489" w:rsidRPr="00E76B3C" w:rsidRDefault="00715489" w:rsidP="00E76B3C">
            <w:pPr>
              <w:pStyle w:val="TableHeading"/>
            </w:pPr>
            <w:r w:rsidRPr="00E76B3C">
              <w:t>Total</w:t>
            </w:r>
          </w:p>
        </w:tc>
      </w:tr>
      <w:tr w:rsidR="00715489" w:rsidRPr="007F530F" w14:paraId="632CAE6A" w14:textId="77777777" w:rsidTr="00377374">
        <w:trPr>
          <w:trHeight w:val="60"/>
        </w:trPr>
        <w:tc>
          <w:tcPr>
            <w:tcW w:w="0" w:type="auto"/>
          </w:tcPr>
          <w:p w14:paraId="3088FA85" w14:textId="6E960D2B" w:rsidR="00715489" w:rsidRPr="005F6AE1" w:rsidRDefault="00715489" w:rsidP="00DC75F7">
            <w:pPr>
              <w:pStyle w:val="TableBody"/>
              <w:rPr>
                <w:szCs w:val="20"/>
              </w:rPr>
            </w:pPr>
            <w:r w:rsidRPr="005F6AE1">
              <w:rPr>
                <w:szCs w:val="20"/>
              </w:rPr>
              <w:t>Immediate custodial sentence, higher courts</w:t>
            </w:r>
          </w:p>
        </w:tc>
        <w:tc>
          <w:tcPr>
            <w:tcW w:w="0" w:type="auto"/>
          </w:tcPr>
          <w:p w14:paraId="11FF90CB" w14:textId="77777777" w:rsidR="00715489" w:rsidRPr="005F6AE1" w:rsidRDefault="00715489" w:rsidP="00AC34F3">
            <w:pPr>
              <w:pStyle w:val="TableBody"/>
              <w:rPr>
                <w:szCs w:val="20"/>
              </w:rPr>
            </w:pPr>
            <w:r w:rsidRPr="005F6AE1">
              <w:rPr>
                <w:szCs w:val="20"/>
              </w:rPr>
              <w:t>231</w:t>
            </w:r>
            <w:r w:rsidRPr="005F6AE1">
              <w:rPr>
                <w:szCs w:val="20"/>
              </w:rPr>
              <w:br/>
              <w:t>(86%)</w:t>
            </w:r>
          </w:p>
        </w:tc>
        <w:tc>
          <w:tcPr>
            <w:tcW w:w="0" w:type="auto"/>
          </w:tcPr>
          <w:p w14:paraId="1462725F" w14:textId="77777777" w:rsidR="00715489" w:rsidRPr="005F6AE1" w:rsidRDefault="00715489" w:rsidP="00AC34F3">
            <w:pPr>
              <w:pStyle w:val="TableBody"/>
              <w:rPr>
                <w:szCs w:val="20"/>
              </w:rPr>
            </w:pPr>
            <w:r w:rsidRPr="005F6AE1">
              <w:rPr>
                <w:szCs w:val="20"/>
              </w:rPr>
              <w:t>357</w:t>
            </w:r>
            <w:r w:rsidRPr="005F6AE1">
              <w:rPr>
                <w:szCs w:val="20"/>
              </w:rPr>
              <w:br/>
              <w:t>(89%)</w:t>
            </w:r>
          </w:p>
        </w:tc>
        <w:tc>
          <w:tcPr>
            <w:tcW w:w="0" w:type="auto"/>
          </w:tcPr>
          <w:p w14:paraId="1FCA69F3" w14:textId="77777777" w:rsidR="00715489" w:rsidRPr="005F6AE1" w:rsidRDefault="00715489" w:rsidP="00AC34F3">
            <w:pPr>
              <w:pStyle w:val="TableBody"/>
              <w:rPr>
                <w:szCs w:val="20"/>
              </w:rPr>
            </w:pPr>
            <w:r w:rsidRPr="005F6AE1">
              <w:rPr>
                <w:szCs w:val="20"/>
              </w:rPr>
              <w:t>313</w:t>
            </w:r>
            <w:r w:rsidRPr="005F6AE1">
              <w:rPr>
                <w:szCs w:val="20"/>
              </w:rPr>
              <w:br/>
              <w:t>(86%)</w:t>
            </w:r>
          </w:p>
        </w:tc>
        <w:tc>
          <w:tcPr>
            <w:tcW w:w="0" w:type="auto"/>
          </w:tcPr>
          <w:p w14:paraId="334F5509" w14:textId="77777777" w:rsidR="00715489" w:rsidRPr="005F6AE1" w:rsidRDefault="00715489" w:rsidP="00AC34F3">
            <w:pPr>
              <w:pStyle w:val="TableBody"/>
              <w:rPr>
                <w:szCs w:val="20"/>
              </w:rPr>
            </w:pPr>
            <w:r w:rsidRPr="005F6AE1">
              <w:rPr>
                <w:szCs w:val="20"/>
              </w:rPr>
              <w:t>224</w:t>
            </w:r>
            <w:r w:rsidRPr="005F6AE1">
              <w:rPr>
                <w:szCs w:val="20"/>
              </w:rPr>
              <w:br/>
              <w:t>(81%)</w:t>
            </w:r>
          </w:p>
        </w:tc>
        <w:tc>
          <w:tcPr>
            <w:tcW w:w="0" w:type="auto"/>
          </w:tcPr>
          <w:p w14:paraId="057E183C" w14:textId="77777777" w:rsidR="00715489" w:rsidRPr="005F6AE1" w:rsidRDefault="00715489" w:rsidP="00AC34F3">
            <w:pPr>
              <w:pStyle w:val="TableBody"/>
              <w:rPr>
                <w:szCs w:val="20"/>
              </w:rPr>
            </w:pPr>
            <w:r w:rsidRPr="005F6AE1">
              <w:rPr>
                <w:szCs w:val="20"/>
              </w:rPr>
              <w:t>277</w:t>
            </w:r>
            <w:r w:rsidRPr="005F6AE1">
              <w:rPr>
                <w:szCs w:val="20"/>
              </w:rPr>
              <w:br/>
              <w:t>(82%)</w:t>
            </w:r>
          </w:p>
        </w:tc>
        <w:tc>
          <w:tcPr>
            <w:tcW w:w="0" w:type="auto"/>
          </w:tcPr>
          <w:p w14:paraId="517460BB" w14:textId="77777777" w:rsidR="00715489" w:rsidRPr="005F6AE1" w:rsidRDefault="00715489" w:rsidP="00AC34F3">
            <w:pPr>
              <w:pStyle w:val="TableBody"/>
              <w:rPr>
                <w:szCs w:val="20"/>
              </w:rPr>
            </w:pPr>
            <w:r w:rsidRPr="005F6AE1">
              <w:rPr>
                <w:szCs w:val="20"/>
              </w:rPr>
              <w:t>262</w:t>
            </w:r>
            <w:r w:rsidRPr="005F6AE1">
              <w:rPr>
                <w:szCs w:val="20"/>
              </w:rPr>
              <w:br/>
              <w:t>(85%)</w:t>
            </w:r>
          </w:p>
        </w:tc>
        <w:tc>
          <w:tcPr>
            <w:tcW w:w="0" w:type="auto"/>
          </w:tcPr>
          <w:p w14:paraId="78AFC2D7" w14:textId="77777777" w:rsidR="00715489" w:rsidRPr="005F6AE1" w:rsidRDefault="00715489" w:rsidP="00AC34F3">
            <w:pPr>
              <w:pStyle w:val="TableBody"/>
              <w:rPr>
                <w:szCs w:val="20"/>
              </w:rPr>
            </w:pPr>
            <w:r w:rsidRPr="005F6AE1">
              <w:rPr>
                <w:szCs w:val="20"/>
              </w:rPr>
              <w:t>251</w:t>
            </w:r>
            <w:r w:rsidRPr="005F6AE1">
              <w:rPr>
                <w:szCs w:val="20"/>
              </w:rPr>
              <w:br/>
              <w:t>(82%)</w:t>
            </w:r>
          </w:p>
        </w:tc>
        <w:tc>
          <w:tcPr>
            <w:tcW w:w="0" w:type="auto"/>
          </w:tcPr>
          <w:p w14:paraId="09D2BB4E" w14:textId="77777777" w:rsidR="00715489" w:rsidRPr="005F6AE1" w:rsidRDefault="00715489" w:rsidP="00AC34F3">
            <w:pPr>
              <w:pStyle w:val="TableBody"/>
              <w:rPr>
                <w:szCs w:val="20"/>
              </w:rPr>
            </w:pPr>
            <w:r w:rsidRPr="005F6AE1">
              <w:rPr>
                <w:szCs w:val="20"/>
              </w:rPr>
              <w:t>199</w:t>
            </w:r>
            <w:r w:rsidRPr="005F6AE1">
              <w:rPr>
                <w:szCs w:val="20"/>
              </w:rPr>
              <w:br/>
              <w:t>(88%)</w:t>
            </w:r>
          </w:p>
        </w:tc>
        <w:tc>
          <w:tcPr>
            <w:tcW w:w="0" w:type="auto"/>
          </w:tcPr>
          <w:p w14:paraId="746842ED" w14:textId="77777777" w:rsidR="00715489" w:rsidRPr="005F6AE1" w:rsidRDefault="00715489" w:rsidP="00AC34F3">
            <w:pPr>
              <w:pStyle w:val="TableBody"/>
              <w:rPr>
                <w:szCs w:val="20"/>
              </w:rPr>
            </w:pPr>
            <w:r w:rsidRPr="005F6AE1">
              <w:rPr>
                <w:szCs w:val="20"/>
              </w:rPr>
              <w:t>227</w:t>
            </w:r>
            <w:r w:rsidRPr="005F6AE1">
              <w:rPr>
                <w:szCs w:val="20"/>
              </w:rPr>
              <w:br/>
              <w:t>(87%)</w:t>
            </w:r>
          </w:p>
        </w:tc>
        <w:tc>
          <w:tcPr>
            <w:tcW w:w="0" w:type="auto"/>
          </w:tcPr>
          <w:p w14:paraId="5EDC62A6" w14:textId="77777777" w:rsidR="00715489" w:rsidRPr="005F6AE1" w:rsidRDefault="00715489" w:rsidP="00AC34F3">
            <w:pPr>
              <w:pStyle w:val="TableBody"/>
              <w:rPr>
                <w:szCs w:val="20"/>
              </w:rPr>
            </w:pPr>
            <w:r w:rsidRPr="005F6AE1">
              <w:rPr>
                <w:szCs w:val="20"/>
              </w:rPr>
              <w:t>247</w:t>
            </w:r>
            <w:r w:rsidRPr="005F6AE1">
              <w:rPr>
                <w:szCs w:val="20"/>
              </w:rPr>
              <w:br/>
              <w:t>(80%)</w:t>
            </w:r>
          </w:p>
        </w:tc>
        <w:tc>
          <w:tcPr>
            <w:tcW w:w="0" w:type="auto"/>
          </w:tcPr>
          <w:p w14:paraId="47C17184" w14:textId="77777777" w:rsidR="00715489" w:rsidRPr="005F6AE1" w:rsidRDefault="00715489" w:rsidP="00AC34F3">
            <w:pPr>
              <w:pStyle w:val="TableBody"/>
              <w:rPr>
                <w:rStyle w:val="Strong"/>
                <w:szCs w:val="20"/>
              </w:rPr>
            </w:pPr>
            <w:r w:rsidRPr="005F6AE1">
              <w:rPr>
                <w:rStyle w:val="Strong"/>
                <w:szCs w:val="20"/>
              </w:rPr>
              <w:t>2,590</w:t>
            </w:r>
            <w:r w:rsidRPr="005F6AE1">
              <w:rPr>
                <w:rStyle w:val="Strong"/>
                <w:szCs w:val="20"/>
              </w:rPr>
              <w:br/>
              <w:t>(85%)</w:t>
            </w:r>
          </w:p>
        </w:tc>
      </w:tr>
      <w:tr w:rsidR="00715489" w:rsidRPr="007F530F" w14:paraId="45D9676E" w14:textId="77777777" w:rsidTr="00377374">
        <w:trPr>
          <w:trHeight w:val="60"/>
        </w:trPr>
        <w:tc>
          <w:tcPr>
            <w:tcW w:w="0" w:type="auto"/>
          </w:tcPr>
          <w:p w14:paraId="6A0A97CE" w14:textId="4391D5D5" w:rsidR="00715489" w:rsidRPr="005F6AE1" w:rsidRDefault="00715489" w:rsidP="00DC75F7">
            <w:pPr>
              <w:pStyle w:val="TableBody"/>
              <w:rPr>
                <w:szCs w:val="20"/>
              </w:rPr>
            </w:pPr>
            <w:r w:rsidRPr="005F6AE1">
              <w:rPr>
                <w:szCs w:val="20"/>
              </w:rPr>
              <w:t>Immediate custodial sentence, Magistrates’ Court</w:t>
            </w:r>
          </w:p>
        </w:tc>
        <w:tc>
          <w:tcPr>
            <w:tcW w:w="0" w:type="auto"/>
          </w:tcPr>
          <w:p w14:paraId="336EAC8D" w14:textId="77777777" w:rsidR="00715489" w:rsidRPr="005F6AE1" w:rsidRDefault="00715489" w:rsidP="00AC34F3">
            <w:pPr>
              <w:pStyle w:val="TableBody"/>
              <w:rPr>
                <w:szCs w:val="20"/>
              </w:rPr>
            </w:pPr>
            <w:r w:rsidRPr="005F6AE1">
              <w:rPr>
                <w:szCs w:val="20"/>
              </w:rPr>
              <w:t>36</w:t>
            </w:r>
            <w:r w:rsidRPr="005F6AE1">
              <w:rPr>
                <w:szCs w:val="20"/>
              </w:rPr>
              <w:br/>
              <w:t>(30%)</w:t>
            </w:r>
          </w:p>
        </w:tc>
        <w:tc>
          <w:tcPr>
            <w:tcW w:w="0" w:type="auto"/>
          </w:tcPr>
          <w:p w14:paraId="37DE7A96" w14:textId="77777777" w:rsidR="00715489" w:rsidRPr="005F6AE1" w:rsidRDefault="00715489" w:rsidP="00AC34F3">
            <w:pPr>
              <w:pStyle w:val="TableBody"/>
              <w:rPr>
                <w:szCs w:val="20"/>
              </w:rPr>
            </w:pPr>
            <w:r w:rsidRPr="005F6AE1">
              <w:rPr>
                <w:szCs w:val="20"/>
              </w:rPr>
              <w:t>34</w:t>
            </w:r>
            <w:r w:rsidRPr="005F6AE1">
              <w:rPr>
                <w:szCs w:val="20"/>
              </w:rPr>
              <w:br/>
              <w:t>(29%)</w:t>
            </w:r>
          </w:p>
        </w:tc>
        <w:tc>
          <w:tcPr>
            <w:tcW w:w="0" w:type="auto"/>
          </w:tcPr>
          <w:p w14:paraId="6D118C67" w14:textId="77777777" w:rsidR="00715489" w:rsidRPr="005F6AE1" w:rsidRDefault="00715489" w:rsidP="00AC34F3">
            <w:pPr>
              <w:pStyle w:val="TableBody"/>
              <w:rPr>
                <w:szCs w:val="20"/>
              </w:rPr>
            </w:pPr>
            <w:r w:rsidRPr="005F6AE1">
              <w:rPr>
                <w:szCs w:val="20"/>
              </w:rPr>
              <w:t>28</w:t>
            </w:r>
            <w:r w:rsidRPr="005F6AE1">
              <w:rPr>
                <w:szCs w:val="20"/>
              </w:rPr>
              <w:br/>
              <w:t>(25%)</w:t>
            </w:r>
          </w:p>
        </w:tc>
        <w:tc>
          <w:tcPr>
            <w:tcW w:w="0" w:type="auto"/>
          </w:tcPr>
          <w:p w14:paraId="5544494C" w14:textId="77777777" w:rsidR="00715489" w:rsidRPr="005F6AE1" w:rsidRDefault="00715489" w:rsidP="00AC34F3">
            <w:pPr>
              <w:pStyle w:val="TableBody"/>
              <w:rPr>
                <w:szCs w:val="20"/>
              </w:rPr>
            </w:pPr>
            <w:r w:rsidRPr="005F6AE1">
              <w:rPr>
                <w:szCs w:val="20"/>
              </w:rPr>
              <w:t>28</w:t>
            </w:r>
            <w:r w:rsidRPr="005F6AE1">
              <w:rPr>
                <w:szCs w:val="20"/>
              </w:rPr>
              <w:br/>
              <w:t>(24%)</w:t>
            </w:r>
          </w:p>
        </w:tc>
        <w:tc>
          <w:tcPr>
            <w:tcW w:w="0" w:type="auto"/>
          </w:tcPr>
          <w:p w14:paraId="37BCC872" w14:textId="77777777" w:rsidR="00715489" w:rsidRPr="005F6AE1" w:rsidRDefault="00715489" w:rsidP="00AC34F3">
            <w:pPr>
              <w:pStyle w:val="TableBody"/>
              <w:rPr>
                <w:szCs w:val="20"/>
              </w:rPr>
            </w:pPr>
            <w:r w:rsidRPr="005F6AE1">
              <w:rPr>
                <w:szCs w:val="20"/>
              </w:rPr>
              <w:t>120</w:t>
            </w:r>
            <w:r w:rsidRPr="005F6AE1">
              <w:rPr>
                <w:szCs w:val="20"/>
              </w:rPr>
              <w:br/>
              <w:t>(53%)</w:t>
            </w:r>
          </w:p>
        </w:tc>
        <w:tc>
          <w:tcPr>
            <w:tcW w:w="0" w:type="auto"/>
          </w:tcPr>
          <w:p w14:paraId="60627D1A" w14:textId="77777777" w:rsidR="00715489" w:rsidRPr="005F6AE1" w:rsidRDefault="00715489" w:rsidP="00AC34F3">
            <w:pPr>
              <w:pStyle w:val="TableBody"/>
              <w:rPr>
                <w:szCs w:val="20"/>
              </w:rPr>
            </w:pPr>
            <w:r w:rsidRPr="005F6AE1">
              <w:rPr>
                <w:szCs w:val="20"/>
              </w:rPr>
              <w:t>48</w:t>
            </w:r>
            <w:r w:rsidRPr="005F6AE1">
              <w:rPr>
                <w:szCs w:val="20"/>
              </w:rPr>
              <w:br/>
              <w:t>(28%)</w:t>
            </w:r>
          </w:p>
        </w:tc>
        <w:tc>
          <w:tcPr>
            <w:tcW w:w="0" w:type="auto"/>
          </w:tcPr>
          <w:p w14:paraId="3D66376C" w14:textId="77777777" w:rsidR="00715489" w:rsidRPr="005F6AE1" w:rsidRDefault="00715489" w:rsidP="00AC34F3">
            <w:pPr>
              <w:pStyle w:val="TableBody"/>
              <w:rPr>
                <w:szCs w:val="20"/>
              </w:rPr>
            </w:pPr>
            <w:r w:rsidRPr="005F6AE1">
              <w:rPr>
                <w:szCs w:val="20"/>
              </w:rPr>
              <w:t>69</w:t>
            </w:r>
            <w:r w:rsidRPr="005F6AE1">
              <w:rPr>
                <w:szCs w:val="20"/>
              </w:rPr>
              <w:br/>
              <w:t>(38%)</w:t>
            </w:r>
          </w:p>
        </w:tc>
        <w:tc>
          <w:tcPr>
            <w:tcW w:w="0" w:type="auto"/>
          </w:tcPr>
          <w:p w14:paraId="1568F012" w14:textId="77777777" w:rsidR="00715489" w:rsidRPr="005F6AE1" w:rsidRDefault="00715489" w:rsidP="00AC34F3">
            <w:pPr>
              <w:pStyle w:val="TableBody"/>
              <w:rPr>
                <w:szCs w:val="20"/>
              </w:rPr>
            </w:pPr>
            <w:r w:rsidRPr="005F6AE1">
              <w:rPr>
                <w:szCs w:val="20"/>
              </w:rPr>
              <w:t>84</w:t>
            </w:r>
            <w:r w:rsidRPr="005F6AE1">
              <w:rPr>
                <w:szCs w:val="20"/>
              </w:rPr>
              <w:br/>
              <w:t>(52%)</w:t>
            </w:r>
          </w:p>
        </w:tc>
        <w:tc>
          <w:tcPr>
            <w:tcW w:w="0" w:type="auto"/>
          </w:tcPr>
          <w:p w14:paraId="75CEA11A" w14:textId="77777777" w:rsidR="00715489" w:rsidRPr="005F6AE1" w:rsidRDefault="00715489" w:rsidP="00AC34F3">
            <w:pPr>
              <w:pStyle w:val="TableBody"/>
              <w:rPr>
                <w:szCs w:val="20"/>
              </w:rPr>
            </w:pPr>
            <w:r w:rsidRPr="005F6AE1">
              <w:rPr>
                <w:szCs w:val="20"/>
              </w:rPr>
              <w:t>79</w:t>
            </w:r>
            <w:r w:rsidRPr="005F6AE1">
              <w:rPr>
                <w:szCs w:val="20"/>
              </w:rPr>
              <w:br/>
              <w:t>(44%)</w:t>
            </w:r>
          </w:p>
        </w:tc>
        <w:tc>
          <w:tcPr>
            <w:tcW w:w="0" w:type="auto"/>
          </w:tcPr>
          <w:p w14:paraId="130755FD" w14:textId="77777777" w:rsidR="00715489" w:rsidRPr="005F6AE1" w:rsidRDefault="00715489" w:rsidP="00AC34F3">
            <w:pPr>
              <w:pStyle w:val="TableBody"/>
              <w:rPr>
                <w:szCs w:val="20"/>
              </w:rPr>
            </w:pPr>
            <w:r w:rsidRPr="005F6AE1">
              <w:rPr>
                <w:szCs w:val="20"/>
              </w:rPr>
              <w:t>72</w:t>
            </w:r>
            <w:r w:rsidRPr="005F6AE1">
              <w:rPr>
                <w:szCs w:val="20"/>
              </w:rPr>
              <w:br/>
              <w:t>(51%)</w:t>
            </w:r>
          </w:p>
        </w:tc>
        <w:tc>
          <w:tcPr>
            <w:tcW w:w="0" w:type="auto"/>
          </w:tcPr>
          <w:p w14:paraId="1B7A81FC" w14:textId="77777777" w:rsidR="00715489" w:rsidRPr="005F6AE1" w:rsidRDefault="00715489" w:rsidP="00AC34F3">
            <w:pPr>
              <w:pStyle w:val="TableBody"/>
              <w:rPr>
                <w:rStyle w:val="Strong"/>
                <w:szCs w:val="20"/>
              </w:rPr>
            </w:pPr>
            <w:r w:rsidRPr="005F6AE1">
              <w:rPr>
                <w:rStyle w:val="Strong"/>
                <w:szCs w:val="20"/>
              </w:rPr>
              <w:t>598</w:t>
            </w:r>
            <w:r w:rsidRPr="005F6AE1">
              <w:rPr>
                <w:rStyle w:val="Strong"/>
                <w:szCs w:val="20"/>
              </w:rPr>
              <w:br/>
              <w:t>(39%)</w:t>
            </w:r>
          </w:p>
        </w:tc>
      </w:tr>
      <w:tr w:rsidR="00715489" w:rsidRPr="007F530F" w14:paraId="6BC7F1D4" w14:textId="77777777" w:rsidTr="00377374">
        <w:trPr>
          <w:trHeight w:val="60"/>
        </w:trPr>
        <w:tc>
          <w:tcPr>
            <w:tcW w:w="0" w:type="auto"/>
          </w:tcPr>
          <w:p w14:paraId="00371545" w14:textId="36FA4418" w:rsidR="00715489" w:rsidRPr="005F6AE1" w:rsidRDefault="00715489" w:rsidP="00DC75F7">
            <w:pPr>
              <w:pStyle w:val="TableBody"/>
              <w:rPr>
                <w:szCs w:val="20"/>
              </w:rPr>
            </w:pPr>
            <w:r w:rsidRPr="005F6AE1">
              <w:rPr>
                <w:szCs w:val="20"/>
              </w:rPr>
              <w:t>Community order, higher courts</w:t>
            </w:r>
          </w:p>
        </w:tc>
        <w:tc>
          <w:tcPr>
            <w:tcW w:w="0" w:type="auto"/>
          </w:tcPr>
          <w:p w14:paraId="5C37B43C" w14:textId="77777777" w:rsidR="00715489" w:rsidRPr="005F6AE1" w:rsidRDefault="00715489" w:rsidP="00AC34F3">
            <w:pPr>
              <w:pStyle w:val="TableBody"/>
              <w:rPr>
                <w:szCs w:val="20"/>
              </w:rPr>
            </w:pPr>
            <w:r w:rsidRPr="005F6AE1">
              <w:rPr>
                <w:szCs w:val="20"/>
              </w:rPr>
              <w:t>11</w:t>
            </w:r>
            <w:r w:rsidRPr="005F6AE1">
              <w:rPr>
                <w:szCs w:val="20"/>
              </w:rPr>
              <w:br/>
              <w:t>(4%)</w:t>
            </w:r>
          </w:p>
        </w:tc>
        <w:tc>
          <w:tcPr>
            <w:tcW w:w="0" w:type="auto"/>
          </w:tcPr>
          <w:p w14:paraId="600A362A" w14:textId="77777777" w:rsidR="00715489" w:rsidRPr="005F6AE1" w:rsidRDefault="00715489" w:rsidP="00AC34F3">
            <w:pPr>
              <w:pStyle w:val="TableBody"/>
              <w:rPr>
                <w:szCs w:val="20"/>
              </w:rPr>
            </w:pPr>
            <w:r w:rsidRPr="005F6AE1">
              <w:rPr>
                <w:szCs w:val="20"/>
              </w:rPr>
              <w:t>14</w:t>
            </w:r>
            <w:r w:rsidRPr="005F6AE1">
              <w:rPr>
                <w:szCs w:val="20"/>
              </w:rPr>
              <w:br/>
              <w:t>(4%)</w:t>
            </w:r>
          </w:p>
        </w:tc>
        <w:tc>
          <w:tcPr>
            <w:tcW w:w="0" w:type="auto"/>
          </w:tcPr>
          <w:p w14:paraId="02CCE5B8" w14:textId="77777777" w:rsidR="00715489" w:rsidRPr="005F6AE1" w:rsidRDefault="00715489" w:rsidP="00AC34F3">
            <w:pPr>
              <w:pStyle w:val="TableBody"/>
              <w:rPr>
                <w:szCs w:val="20"/>
              </w:rPr>
            </w:pPr>
            <w:r w:rsidRPr="005F6AE1">
              <w:rPr>
                <w:szCs w:val="20"/>
              </w:rPr>
              <w:t>27</w:t>
            </w:r>
            <w:r w:rsidRPr="005F6AE1">
              <w:rPr>
                <w:szCs w:val="20"/>
              </w:rPr>
              <w:br/>
              <w:t>(7%)</w:t>
            </w:r>
          </w:p>
        </w:tc>
        <w:tc>
          <w:tcPr>
            <w:tcW w:w="0" w:type="auto"/>
          </w:tcPr>
          <w:p w14:paraId="09956C02" w14:textId="77777777" w:rsidR="00715489" w:rsidRPr="005F6AE1" w:rsidRDefault="00715489" w:rsidP="00AC34F3">
            <w:pPr>
              <w:pStyle w:val="TableBody"/>
              <w:rPr>
                <w:szCs w:val="20"/>
              </w:rPr>
            </w:pPr>
            <w:r w:rsidRPr="005F6AE1">
              <w:rPr>
                <w:szCs w:val="20"/>
              </w:rPr>
              <w:t>26</w:t>
            </w:r>
            <w:r w:rsidRPr="005F6AE1">
              <w:rPr>
                <w:szCs w:val="20"/>
              </w:rPr>
              <w:br/>
              <w:t>(9%)</w:t>
            </w:r>
          </w:p>
        </w:tc>
        <w:tc>
          <w:tcPr>
            <w:tcW w:w="0" w:type="auto"/>
          </w:tcPr>
          <w:p w14:paraId="445D49FE" w14:textId="77777777" w:rsidR="00715489" w:rsidRPr="005F6AE1" w:rsidRDefault="00715489" w:rsidP="00AC34F3">
            <w:pPr>
              <w:pStyle w:val="TableBody"/>
              <w:rPr>
                <w:szCs w:val="20"/>
              </w:rPr>
            </w:pPr>
            <w:r w:rsidRPr="005F6AE1">
              <w:rPr>
                <w:szCs w:val="20"/>
              </w:rPr>
              <w:t>33</w:t>
            </w:r>
            <w:r w:rsidRPr="005F6AE1">
              <w:rPr>
                <w:szCs w:val="20"/>
              </w:rPr>
              <w:br/>
              <w:t>(10%)</w:t>
            </w:r>
          </w:p>
        </w:tc>
        <w:tc>
          <w:tcPr>
            <w:tcW w:w="0" w:type="auto"/>
          </w:tcPr>
          <w:p w14:paraId="49EC67C3" w14:textId="77777777" w:rsidR="00715489" w:rsidRPr="005F6AE1" w:rsidRDefault="00715489" w:rsidP="00AC34F3">
            <w:pPr>
              <w:pStyle w:val="TableBody"/>
              <w:rPr>
                <w:szCs w:val="20"/>
              </w:rPr>
            </w:pPr>
            <w:r w:rsidRPr="005F6AE1">
              <w:rPr>
                <w:szCs w:val="20"/>
              </w:rPr>
              <w:t>34</w:t>
            </w:r>
            <w:r w:rsidRPr="005F6AE1">
              <w:rPr>
                <w:szCs w:val="20"/>
              </w:rPr>
              <w:br/>
              <w:t>(11%)</w:t>
            </w:r>
          </w:p>
        </w:tc>
        <w:tc>
          <w:tcPr>
            <w:tcW w:w="0" w:type="auto"/>
          </w:tcPr>
          <w:p w14:paraId="0D556DDF" w14:textId="77777777" w:rsidR="00715489" w:rsidRPr="005F6AE1" w:rsidRDefault="00715489" w:rsidP="00AC34F3">
            <w:pPr>
              <w:pStyle w:val="TableBody"/>
              <w:rPr>
                <w:szCs w:val="20"/>
              </w:rPr>
            </w:pPr>
            <w:r w:rsidRPr="005F6AE1">
              <w:rPr>
                <w:szCs w:val="20"/>
              </w:rPr>
              <w:t>35</w:t>
            </w:r>
            <w:r w:rsidRPr="005F6AE1">
              <w:rPr>
                <w:szCs w:val="20"/>
              </w:rPr>
              <w:br/>
              <w:t>(11%)</w:t>
            </w:r>
          </w:p>
        </w:tc>
        <w:tc>
          <w:tcPr>
            <w:tcW w:w="0" w:type="auto"/>
          </w:tcPr>
          <w:p w14:paraId="2164C92C" w14:textId="77777777" w:rsidR="00715489" w:rsidRPr="005F6AE1" w:rsidRDefault="00715489" w:rsidP="00AC34F3">
            <w:pPr>
              <w:pStyle w:val="TableBody"/>
              <w:rPr>
                <w:szCs w:val="20"/>
              </w:rPr>
            </w:pPr>
            <w:r w:rsidRPr="005F6AE1">
              <w:rPr>
                <w:szCs w:val="20"/>
              </w:rPr>
              <w:t>18</w:t>
            </w:r>
            <w:r w:rsidRPr="005F6AE1">
              <w:rPr>
                <w:szCs w:val="20"/>
              </w:rPr>
              <w:br/>
              <w:t>(8%)</w:t>
            </w:r>
          </w:p>
        </w:tc>
        <w:tc>
          <w:tcPr>
            <w:tcW w:w="0" w:type="auto"/>
          </w:tcPr>
          <w:p w14:paraId="32866990" w14:textId="77777777" w:rsidR="00715489" w:rsidRPr="005F6AE1" w:rsidRDefault="00715489" w:rsidP="00AC34F3">
            <w:pPr>
              <w:pStyle w:val="TableBody"/>
              <w:rPr>
                <w:szCs w:val="20"/>
              </w:rPr>
            </w:pPr>
            <w:r w:rsidRPr="005F6AE1">
              <w:rPr>
                <w:szCs w:val="20"/>
              </w:rPr>
              <w:t>25</w:t>
            </w:r>
            <w:r w:rsidRPr="005F6AE1">
              <w:rPr>
                <w:szCs w:val="20"/>
              </w:rPr>
              <w:br/>
              <w:t>(10%)</w:t>
            </w:r>
          </w:p>
        </w:tc>
        <w:tc>
          <w:tcPr>
            <w:tcW w:w="0" w:type="auto"/>
          </w:tcPr>
          <w:p w14:paraId="698C8536" w14:textId="77777777" w:rsidR="00715489" w:rsidRPr="005F6AE1" w:rsidRDefault="00715489" w:rsidP="00AC34F3">
            <w:pPr>
              <w:pStyle w:val="TableBody"/>
              <w:rPr>
                <w:szCs w:val="20"/>
              </w:rPr>
            </w:pPr>
            <w:r w:rsidRPr="005F6AE1">
              <w:rPr>
                <w:szCs w:val="20"/>
              </w:rPr>
              <w:t>33</w:t>
            </w:r>
            <w:r w:rsidRPr="005F6AE1">
              <w:rPr>
                <w:szCs w:val="20"/>
              </w:rPr>
              <w:br/>
              <w:t>(11%)</w:t>
            </w:r>
          </w:p>
        </w:tc>
        <w:tc>
          <w:tcPr>
            <w:tcW w:w="0" w:type="auto"/>
          </w:tcPr>
          <w:p w14:paraId="4EDF68E5" w14:textId="77777777" w:rsidR="00715489" w:rsidRPr="005F6AE1" w:rsidRDefault="00715489" w:rsidP="00AC34F3">
            <w:pPr>
              <w:pStyle w:val="TableBody"/>
              <w:rPr>
                <w:rStyle w:val="Strong"/>
                <w:szCs w:val="20"/>
              </w:rPr>
            </w:pPr>
            <w:r w:rsidRPr="005F6AE1">
              <w:rPr>
                <w:rStyle w:val="Strong"/>
                <w:szCs w:val="20"/>
              </w:rPr>
              <w:t>256</w:t>
            </w:r>
            <w:r w:rsidRPr="005F6AE1">
              <w:rPr>
                <w:rStyle w:val="Strong"/>
                <w:szCs w:val="20"/>
              </w:rPr>
              <w:br/>
              <w:t>(8%)</w:t>
            </w:r>
          </w:p>
        </w:tc>
      </w:tr>
      <w:tr w:rsidR="00715489" w:rsidRPr="007F530F" w14:paraId="43259F60" w14:textId="77777777" w:rsidTr="00377374">
        <w:trPr>
          <w:trHeight w:val="60"/>
        </w:trPr>
        <w:tc>
          <w:tcPr>
            <w:tcW w:w="0" w:type="auto"/>
          </w:tcPr>
          <w:p w14:paraId="2AD0A80E" w14:textId="1D9D9B36" w:rsidR="00715489" w:rsidRPr="005F6AE1" w:rsidRDefault="00715489" w:rsidP="00DC75F7">
            <w:pPr>
              <w:pStyle w:val="TableBody"/>
              <w:rPr>
                <w:szCs w:val="20"/>
              </w:rPr>
            </w:pPr>
            <w:r w:rsidRPr="005F6AE1">
              <w:rPr>
                <w:szCs w:val="20"/>
              </w:rPr>
              <w:t>Community order, Magistrates’ Court</w:t>
            </w:r>
          </w:p>
        </w:tc>
        <w:tc>
          <w:tcPr>
            <w:tcW w:w="0" w:type="auto"/>
          </w:tcPr>
          <w:p w14:paraId="21CBF755" w14:textId="77777777" w:rsidR="00715489" w:rsidRPr="005F6AE1" w:rsidRDefault="00715489" w:rsidP="00AC34F3">
            <w:pPr>
              <w:pStyle w:val="TableBody"/>
              <w:rPr>
                <w:szCs w:val="20"/>
              </w:rPr>
            </w:pPr>
            <w:r w:rsidRPr="005F6AE1">
              <w:rPr>
                <w:szCs w:val="20"/>
              </w:rPr>
              <w:t>52</w:t>
            </w:r>
            <w:r w:rsidRPr="005F6AE1">
              <w:rPr>
                <w:szCs w:val="20"/>
              </w:rPr>
              <w:br/>
              <w:t>(39%)</w:t>
            </w:r>
          </w:p>
        </w:tc>
        <w:tc>
          <w:tcPr>
            <w:tcW w:w="0" w:type="auto"/>
          </w:tcPr>
          <w:p w14:paraId="28DC2DFB" w14:textId="77777777" w:rsidR="00715489" w:rsidRPr="005F6AE1" w:rsidRDefault="00715489" w:rsidP="00AC34F3">
            <w:pPr>
              <w:pStyle w:val="TableBody"/>
              <w:rPr>
                <w:szCs w:val="20"/>
              </w:rPr>
            </w:pPr>
            <w:r w:rsidRPr="005F6AE1">
              <w:rPr>
                <w:szCs w:val="20"/>
              </w:rPr>
              <w:t>39</w:t>
            </w:r>
            <w:r w:rsidRPr="005F6AE1">
              <w:rPr>
                <w:szCs w:val="20"/>
              </w:rPr>
              <w:br/>
              <w:t>(29%)</w:t>
            </w:r>
          </w:p>
        </w:tc>
        <w:tc>
          <w:tcPr>
            <w:tcW w:w="0" w:type="auto"/>
          </w:tcPr>
          <w:p w14:paraId="21DCAF35" w14:textId="77777777" w:rsidR="00715489" w:rsidRPr="005F6AE1" w:rsidRDefault="00715489" w:rsidP="00AC34F3">
            <w:pPr>
              <w:pStyle w:val="TableBody"/>
              <w:rPr>
                <w:szCs w:val="20"/>
              </w:rPr>
            </w:pPr>
            <w:r w:rsidRPr="005F6AE1">
              <w:rPr>
                <w:szCs w:val="20"/>
              </w:rPr>
              <w:t>53</w:t>
            </w:r>
            <w:r w:rsidRPr="005F6AE1">
              <w:rPr>
                <w:szCs w:val="20"/>
              </w:rPr>
              <w:br/>
              <w:t>(46%)</w:t>
            </w:r>
          </w:p>
        </w:tc>
        <w:tc>
          <w:tcPr>
            <w:tcW w:w="0" w:type="auto"/>
          </w:tcPr>
          <w:p w14:paraId="2A3A407F" w14:textId="77777777" w:rsidR="00715489" w:rsidRPr="005F6AE1" w:rsidRDefault="00715489" w:rsidP="00AC34F3">
            <w:pPr>
              <w:pStyle w:val="TableBody"/>
              <w:rPr>
                <w:szCs w:val="20"/>
              </w:rPr>
            </w:pPr>
            <w:r w:rsidRPr="005F6AE1">
              <w:rPr>
                <w:szCs w:val="20"/>
              </w:rPr>
              <w:t>48</w:t>
            </w:r>
            <w:r w:rsidRPr="005F6AE1">
              <w:rPr>
                <w:szCs w:val="20"/>
              </w:rPr>
              <w:br/>
              <w:t>(40%)</w:t>
            </w:r>
          </w:p>
        </w:tc>
        <w:tc>
          <w:tcPr>
            <w:tcW w:w="0" w:type="auto"/>
          </w:tcPr>
          <w:p w14:paraId="17C9237A" w14:textId="77777777" w:rsidR="00715489" w:rsidRPr="005F6AE1" w:rsidRDefault="00715489" w:rsidP="00AC34F3">
            <w:pPr>
              <w:pStyle w:val="TableBody"/>
              <w:rPr>
                <w:szCs w:val="20"/>
              </w:rPr>
            </w:pPr>
            <w:r w:rsidRPr="005F6AE1">
              <w:rPr>
                <w:szCs w:val="20"/>
              </w:rPr>
              <w:t>67</w:t>
            </w:r>
            <w:r w:rsidRPr="005F6AE1">
              <w:rPr>
                <w:szCs w:val="20"/>
              </w:rPr>
              <w:br/>
              <w:t>(30%)</w:t>
            </w:r>
          </w:p>
        </w:tc>
        <w:tc>
          <w:tcPr>
            <w:tcW w:w="0" w:type="auto"/>
          </w:tcPr>
          <w:p w14:paraId="1A62C2E9" w14:textId="77777777" w:rsidR="00715489" w:rsidRPr="005F6AE1" w:rsidRDefault="00715489" w:rsidP="00AC34F3">
            <w:pPr>
              <w:pStyle w:val="TableBody"/>
              <w:rPr>
                <w:szCs w:val="20"/>
              </w:rPr>
            </w:pPr>
            <w:r w:rsidRPr="005F6AE1">
              <w:rPr>
                <w:szCs w:val="20"/>
              </w:rPr>
              <w:t>92</w:t>
            </w:r>
            <w:r w:rsidRPr="005F6AE1">
              <w:rPr>
                <w:szCs w:val="20"/>
              </w:rPr>
              <w:br/>
              <w:t>(53%)</w:t>
            </w:r>
          </w:p>
        </w:tc>
        <w:tc>
          <w:tcPr>
            <w:tcW w:w="0" w:type="auto"/>
          </w:tcPr>
          <w:p w14:paraId="59DC11FA" w14:textId="77777777" w:rsidR="00715489" w:rsidRPr="005F6AE1" w:rsidRDefault="00715489" w:rsidP="00AC34F3">
            <w:pPr>
              <w:pStyle w:val="TableBody"/>
              <w:rPr>
                <w:szCs w:val="20"/>
              </w:rPr>
            </w:pPr>
            <w:r w:rsidRPr="005F6AE1">
              <w:rPr>
                <w:szCs w:val="20"/>
              </w:rPr>
              <w:t>89</w:t>
            </w:r>
            <w:r w:rsidRPr="005F6AE1">
              <w:rPr>
                <w:szCs w:val="20"/>
              </w:rPr>
              <w:br/>
              <w:t>(48%)</w:t>
            </w:r>
          </w:p>
        </w:tc>
        <w:tc>
          <w:tcPr>
            <w:tcW w:w="0" w:type="auto"/>
          </w:tcPr>
          <w:p w14:paraId="6AAA7989" w14:textId="77777777" w:rsidR="00715489" w:rsidRPr="005F6AE1" w:rsidRDefault="00715489" w:rsidP="00AC34F3">
            <w:pPr>
              <w:pStyle w:val="TableBody"/>
              <w:rPr>
                <w:szCs w:val="20"/>
              </w:rPr>
            </w:pPr>
            <w:r w:rsidRPr="005F6AE1">
              <w:rPr>
                <w:szCs w:val="20"/>
              </w:rPr>
              <w:t>53</w:t>
            </w:r>
            <w:r w:rsidRPr="005F6AE1">
              <w:rPr>
                <w:szCs w:val="20"/>
              </w:rPr>
              <w:br/>
              <w:t>(33%)</w:t>
            </w:r>
          </w:p>
        </w:tc>
        <w:tc>
          <w:tcPr>
            <w:tcW w:w="0" w:type="auto"/>
          </w:tcPr>
          <w:p w14:paraId="2905752E" w14:textId="77777777" w:rsidR="00715489" w:rsidRPr="005F6AE1" w:rsidRDefault="00715489" w:rsidP="00AC34F3">
            <w:pPr>
              <w:pStyle w:val="TableBody"/>
              <w:rPr>
                <w:szCs w:val="20"/>
              </w:rPr>
            </w:pPr>
            <w:r w:rsidRPr="005F6AE1">
              <w:rPr>
                <w:szCs w:val="20"/>
              </w:rPr>
              <w:t>65</w:t>
            </w:r>
            <w:r w:rsidRPr="005F6AE1">
              <w:rPr>
                <w:szCs w:val="20"/>
              </w:rPr>
              <w:br/>
              <w:t>(36%)</w:t>
            </w:r>
          </w:p>
        </w:tc>
        <w:tc>
          <w:tcPr>
            <w:tcW w:w="0" w:type="auto"/>
          </w:tcPr>
          <w:p w14:paraId="516D3B94" w14:textId="77777777" w:rsidR="00715489" w:rsidRPr="005F6AE1" w:rsidRDefault="00715489" w:rsidP="00AC34F3">
            <w:pPr>
              <w:pStyle w:val="TableBody"/>
              <w:rPr>
                <w:szCs w:val="20"/>
              </w:rPr>
            </w:pPr>
            <w:r w:rsidRPr="005F6AE1">
              <w:rPr>
                <w:szCs w:val="20"/>
              </w:rPr>
              <w:t>48</w:t>
            </w:r>
            <w:r w:rsidRPr="005F6AE1">
              <w:rPr>
                <w:szCs w:val="20"/>
              </w:rPr>
              <w:br/>
              <w:t>(34%)</w:t>
            </w:r>
          </w:p>
        </w:tc>
        <w:tc>
          <w:tcPr>
            <w:tcW w:w="0" w:type="auto"/>
          </w:tcPr>
          <w:p w14:paraId="66937CBF" w14:textId="77777777" w:rsidR="00715489" w:rsidRPr="005F6AE1" w:rsidRDefault="00715489" w:rsidP="00AC34F3">
            <w:pPr>
              <w:pStyle w:val="TableBody"/>
              <w:rPr>
                <w:rStyle w:val="Strong"/>
                <w:szCs w:val="20"/>
              </w:rPr>
            </w:pPr>
            <w:r w:rsidRPr="005F6AE1">
              <w:rPr>
                <w:rStyle w:val="Strong"/>
                <w:szCs w:val="20"/>
              </w:rPr>
              <w:t>606</w:t>
            </w:r>
            <w:r w:rsidRPr="005F6AE1">
              <w:rPr>
                <w:rStyle w:val="Strong"/>
                <w:szCs w:val="20"/>
              </w:rPr>
              <w:br/>
              <w:t>(39%)</w:t>
            </w:r>
          </w:p>
        </w:tc>
      </w:tr>
      <w:tr w:rsidR="00715489" w:rsidRPr="007F530F" w14:paraId="4CC4E192" w14:textId="77777777" w:rsidTr="00377374">
        <w:trPr>
          <w:trHeight w:val="60"/>
        </w:trPr>
        <w:tc>
          <w:tcPr>
            <w:tcW w:w="0" w:type="auto"/>
          </w:tcPr>
          <w:p w14:paraId="1FEA5542" w14:textId="3D1988AC" w:rsidR="00715489" w:rsidRPr="005F6AE1" w:rsidRDefault="00715489" w:rsidP="00DC75F7">
            <w:pPr>
              <w:pStyle w:val="TableBody"/>
              <w:rPr>
                <w:szCs w:val="20"/>
              </w:rPr>
            </w:pPr>
            <w:r w:rsidRPr="005F6AE1">
              <w:rPr>
                <w:szCs w:val="20"/>
              </w:rPr>
              <w:t>Wholly suspended sentence, higher courts</w:t>
            </w:r>
          </w:p>
        </w:tc>
        <w:tc>
          <w:tcPr>
            <w:tcW w:w="0" w:type="auto"/>
          </w:tcPr>
          <w:p w14:paraId="7BD57C7F" w14:textId="77777777" w:rsidR="00715489" w:rsidRPr="005F6AE1" w:rsidRDefault="00715489" w:rsidP="00AC34F3">
            <w:pPr>
              <w:pStyle w:val="TableBody"/>
              <w:rPr>
                <w:szCs w:val="20"/>
              </w:rPr>
            </w:pPr>
            <w:r w:rsidRPr="005F6AE1">
              <w:rPr>
                <w:szCs w:val="20"/>
              </w:rPr>
              <w:t>21</w:t>
            </w:r>
            <w:r w:rsidRPr="005F6AE1">
              <w:rPr>
                <w:szCs w:val="20"/>
              </w:rPr>
              <w:br/>
              <w:t>(8%)</w:t>
            </w:r>
          </w:p>
        </w:tc>
        <w:tc>
          <w:tcPr>
            <w:tcW w:w="0" w:type="auto"/>
          </w:tcPr>
          <w:p w14:paraId="481604D4" w14:textId="77777777" w:rsidR="00715489" w:rsidRPr="005F6AE1" w:rsidRDefault="00715489" w:rsidP="00AC34F3">
            <w:pPr>
              <w:pStyle w:val="TableBody"/>
              <w:rPr>
                <w:szCs w:val="20"/>
              </w:rPr>
            </w:pPr>
            <w:r w:rsidRPr="005F6AE1">
              <w:rPr>
                <w:szCs w:val="20"/>
              </w:rPr>
              <w:t>27</w:t>
            </w:r>
            <w:r w:rsidRPr="005F6AE1">
              <w:rPr>
                <w:szCs w:val="20"/>
              </w:rPr>
              <w:br/>
              <w:t>(7%)</w:t>
            </w:r>
          </w:p>
        </w:tc>
        <w:tc>
          <w:tcPr>
            <w:tcW w:w="0" w:type="auto"/>
          </w:tcPr>
          <w:p w14:paraId="0FC41A0D" w14:textId="77777777" w:rsidR="00715489" w:rsidRPr="005F6AE1" w:rsidRDefault="00715489" w:rsidP="00AC34F3">
            <w:pPr>
              <w:pStyle w:val="TableBody"/>
              <w:rPr>
                <w:szCs w:val="20"/>
              </w:rPr>
            </w:pPr>
            <w:r w:rsidRPr="005F6AE1">
              <w:rPr>
                <w:szCs w:val="20"/>
              </w:rPr>
              <w:t>18</w:t>
            </w:r>
            <w:r w:rsidRPr="005F6AE1">
              <w:rPr>
                <w:szCs w:val="20"/>
              </w:rPr>
              <w:br/>
              <w:t>(5%)</w:t>
            </w:r>
          </w:p>
        </w:tc>
        <w:tc>
          <w:tcPr>
            <w:tcW w:w="0" w:type="auto"/>
          </w:tcPr>
          <w:p w14:paraId="712820D0" w14:textId="77777777" w:rsidR="00715489" w:rsidRPr="005F6AE1" w:rsidRDefault="00715489" w:rsidP="00AC34F3">
            <w:pPr>
              <w:pStyle w:val="TableBody"/>
              <w:rPr>
                <w:szCs w:val="20"/>
              </w:rPr>
            </w:pPr>
            <w:r w:rsidRPr="005F6AE1">
              <w:rPr>
                <w:szCs w:val="20"/>
              </w:rPr>
              <w:t>24</w:t>
            </w:r>
            <w:r w:rsidRPr="005F6AE1">
              <w:rPr>
                <w:szCs w:val="20"/>
              </w:rPr>
              <w:br/>
              <w:t>(9%)</w:t>
            </w:r>
          </w:p>
        </w:tc>
        <w:tc>
          <w:tcPr>
            <w:tcW w:w="0" w:type="auto"/>
          </w:tcPr>
          <w:p w14:paraId="2B7FBF54" w14:textId="77777777" w:rsidR="00715489" w:rsidRPr="005F6AE1" w:rsidRDefault="00715489" w:rsidP="00AC34F3">
            <w:pPr>
              <w:pStyle w:val="TableBody"/>
              <w:rPr>
                <w:szCs w:val="20"/>
              </w:rPr>
            </w:pPr>
            <w:r w:rsidRPr="005F6AE1">
              <w:rPr>
                <w:szCs w:val="20"/>
              </w:rPr>
              <w:t>23</w:t>
            </w:r>
            <w:r w:rsidRPr="005F6AE1">
              <w:rPr>
                <w:szCs w:val="20"/>
              </w:rPr>
              <w:br/>
              <w:t>(7%)</w:t>
            </w:r>
          </w:p>
        </w:tc>
        <w:tc>
          <w:tcPr>
            <w:tcW w:w="0" w:type="auto"/>
          </w:tcPr>
          <w:p w14:paraId="5EDBC56B" w14:textId="77777777" w:rsidR="00715489" w:rsidRPr="005F6AE1" w:rsidRDefault="00715489" w:rsidP="00AC34F3">
            <w:pPr>
              <w:pStyle w:val="TableBody"/>
              <w:rPr>
                <w:szCs w:val="20"/>
              </w:rPr>
            </w:pPr>
            <w:r w:rsidRPr="005F6AE1">
              <w:rPr>
                <w:szCs w:val="20"/>
              </w:rPr>
              <w:t>7</w:t>
            </w:r>
            <w:r w:rsidRPr="005F6AE1">
              <w:rPr>
                <w:szCs w:val="20"/>
              </w:rPr>
              <w:br/>
              <w:t>(2%)</w:t>
            </w:r>
          </w:p>
        </w:tc>
        <w:tc>
          <w:tcPr>
            <w:tcW w:w="0" w:type="auto"/>
          </w:tcPr>
          <w:p w14:paraId="303173C9" w14:textId="77777777" w:rsidR="00715489" w:rsidRPr="005F6AE1" w:rsidRDefault="00715489" w:rsidP="00AC34F3">
            <w:pPr>
              <w:pStyle w:val="TableBody"/>
              <w:rPr>
                <w:szCs w:val="20"/>
              </w:rPr>
            </w:pPr>
            <w:r w:rsidRPr="005F6AE1">
              <w:rPr>
                <w:szCs w:val="20"/>
              </w:rPr>
              <w:t>9</w:t>
            </w:r>
            <w:r w:rsidRPr="005F6AE1">
              <w:rPr>
                <w:szCs w:val="20"/>
              </w:rPr>
              <w:br/>
              <w:t>(3%)</w:t>
            </w:r>
          </w:p>
        </w:tc>
        <w:tc>
          <w:tcPr>
            <w:tcW w:w="0" w:type="auto"/>
          </w:tcPr>
          <w:p w14:paraId="7433BEA8" w14:textId="77777777" w:rsidR="00715489" w:rsidRPr="005F6AE1" w:rsidRDefault="00715489" w:rsidP="00AC34F3">
            <w:pPr>
              <w:pStyle w:val="TableBody"/>
              <w:rPr>
                <w:szCs w:val="20"/>
              </w:rPr>
            </w:pPr>
            <w:r w:rsidRPr="005F6AE1">
              <w:rPr>
                <w:szCs w:val="20"/>
              </w:rPr>
              <w:t>10</w:t>
            </w:r>
            <w:r w:rsidRPr="005F6AE1">
              <w:rPr>
                <w:szCs w:val="20"/>
              </w:rPr>
              <w:br/>
              <w:t>(4%)</w:t>
            </w:r>
          </w:p>
        </w:tc>
        <w:tc>
          <w:tcPr>
            <w:tcW w:w="0" w:type="auto"/>
          </w:tcPr>
          <w:p w14:paraId="00262EAB" w14:textId="77777777" w:rsidR="00715489" w:rsidRPr="005F6AE1" w:rsidRDefault="00715489" w:rsidP="00AC34F3">
            <w:pPr>
              <w:pStyle w:val="TableBody"/>
              <w:rPr>
                <w:szCs w:val="20"/>
              </w:rPr>
            </w:pPr>
            <w:r w:rsidRPr="005F6AE1">
              <w:rPr>
                <w:szCs w:val="20"/>
              </w:rPr>
              <w:t>9</w:t>
            </w:r>
            <w:r w:rsidRPr="005F6AE1">
              <w:rPr>
                <w:szCs w:val="20"/>
              </w:rPr>
              <w:br/>
              <w:t>(3%)</w:t>
            </w:r>
          </w:p>
        </w:tc>
        <w:tc>
          <w:tcPr>
            <w:tcW w:w="0" w:type="auto"/>
          </w:tcPr>
          <w:p w14:paraId="53D8FE82" w14:textId="77777777" w:rsidR="00715489" w:rsidRPr="005F6AE1" w:rsidRDefault="00715489" w:rsidP="00AC34F3">
            <w:pPr>
              <w:pStyle w:val="TableBody"/>
              <w:rPr>
                <w:szCs w:val="20"/>
              </w:rPr>
            </w:pPr>
            <w:r w:rsidRPr="005F6AE1">
              <w:rPr>
                <w:szCs w:val="20"/>
              </w:rPr>
              <w:t>22</w:t>
            </w:r>
            <w:r w:rsidRPr="005F6AE1">
              <w:rPr>
                <w:szCs w:val="20"/>
              </w:rPr>
              <w:br/>
              <w:t>(7%)</w:t>
            </w:r>
          </w:p>
        </w:tc>
        <w:tc>
          <w:tcPr>
            <w:tcW w:w="0" w:type="auto"/>
          </w:tcPr>
          <w:p w14:paraId="46A89765" w14:textId="77777777" w:rsidR="00715489" w:rsidRPr="005F6AE1" w:rsidRDefault="00715489" w:rsidP="00AC34F3">
            <w:pPr>
              <w:pStyle w:val="TableBody"/>
              <w:rPr>
                <w:rStyle w:val="Strong"/>
                <w:szCs w:val="20"/>
              </w:rPr>
            </w:pPr>
            <w:r w:rsidRPr="005F6AE1">
              <w:rPr>
                <w:rStyle w:val="Strong"/>
                <w:szCs w:val="20"/>
              </w:rPr>
              <w:t>170</w:t>
            </w:r>
            <w:r w:rsidRPr="005F6AE1">
              <w:rPr>
                <w:rStyle w:val="Strong"/>
                <w:szCs w:val="20"/>
              </w:rPr>
              <w:br/>
              <w:t>(6%)</w:t>
            </w:r>
          </w:p>
        </w:tc>
      </w:tr>
      <w:tr w:rsidR="00715489" w:rsidRPr="007F530F" w14:paraId="46BD4EEB" w14:textId="77777777" w:rsidTr="00377374">
        <w:trPr>
          <w:trHeight w:val="60"/>
        </w:trPr>
        <w:tc>
          <w:tcPr>
            <w:tcW w:w="0" w:type="auto"/>
          </w:tcPr>
          <w:p w14:paraId="1ED49C02" w14:textId="4529E4D4" w:rsidR="00715489" w:rsidRPr="005F6AE1" w:rsidRDefault="00715489" w:rsidP="00DC75F7">
            <w:pPr>
              <w:pStyle w:val="TableBody"/>
              <w:rPr>
                <w:szCs w:val="20"/>
              </w:rPr>
            </w:pPr>
            <w:r w:rsidRPr="005F6AE1">
              <w:rPr>
                <w:szCs w:val="20"/>
              </w:rPr>
              <w:t>Wholly suspended sentence, Magistrates’ Court</w:t>
            </w:r>
          </w:p>
        </w:tc>
        <w:tc>
          <w:tcPr>
            <w:tcW w:w="0" w:type="auto"/>
          </w:tcPr>
          <w:p w14:paraId="5D71AC6D" w14:textId="77777777" w:rsidR="00715489" w:rsidRPr="005F6AE1" w:rsidRDefault="00715489" w:rsidP="00AC34F3">
            <w:pPr>
              <w:pStyle w:val="TableBody"/>
              <w:rPr>
                <w:szCs w:val="20"/>
              </w:rPr>
            </w:pPr>
            <w:r w:rsidRPr="005F6AE1">
              <w:rPr>
                <w:szCs w:val="20"/>
              </w:rPr>
              <w:t>20</w:t>
            </w:r>
            <w:r w:rsidRPr="005F6AE1">
              <w:rPr>
                <w:szCs w:val="20"/>
              </w:rPr>
              <w:br/>
              <w:t>(16%)</w:t>
            </w:r>
          </w:p>
        </w:tc>
        <w:tc>
          <w:tcPr>
            <w:tcW w:w="0" w:type="auto"/>
          </w:tcPr>
          <w:p w14:paraId="6CF0B82C" w14:textId="77777777" w:rsidR="00715489" w:rsidRPr="005F6AE1" w:rsidRDefault="00715489" w:rsidP="00AC34F3">
            <w:pPr>
              <w:pStyle w:val="TableBody"/>
              <w:rPr>
                <w:szCs w:val="20"/>
              </w:rPr>
            </w:pPr>
            <w:r w:rsidRPr="005F6AE1">
              <w:rPr>
                <w:szCs w:val="20"/>
              </w:rPr>
              <w:t>35</w:t>
            </w:r>
            <w:r w:rsidRPr="005F6AE1">
              <w:rPr>
                <w:szCs w:val="20"/>
              </w:rPr>
              <w:br/>
              <w:t>(30%)</w:t>
            </w:r>
          </w:p>
        </w:tc>
        <w:tc>
          <w:tcPr>
            <w:tcW w:w="0" w:type="auto"/>
          </w:tcPr>
          <w:p w14:paraId="69D6635F" w14:textId="77777777" w:rsidR="00715489" w:rsidRPr="005F6AE1" w:rsidRDefault="00715489" w:rsidP="00AC34F3">
            <w:pPr>
              <w:pStyle w:val="TableBody"/>
              <w:rPr>
                <w:szCs w:val="20"/>
              </w:rPr>
            </w:pPr>
            <w:r w:rsidRPr="005F6AE1">
              <w:rPr>
                <w:szCs w:val="20"/>
              </w:rPr>
              <w:t>14</w:t>
            </w:r>
            <w:r w:rsidRPr="005F6AE1">
              <w:rPr>
                <w:szCs w:val="20"/>
              </w:rPr>
              <w:br/>
              <w:t>(12%)</w:t>
            </w:r>
          </w:p>
        </w:tc>
        <w:tc>
          <w:tcPr>
            <w:tcW w:w="0" w:type="auto"/>
          </w:tcPr>
          <w:p w14:paraId="60AF2939" w14:textId="77777777" w:rsidR="00715489" w:rsidRPr="005F6AE1" w:rsidRDefault="00715489" w:rsidP="00AC34F3">
            <w:pPr>
              <w:pStyle w:val="TableBody"/>
              <w:rPr>
                <w:szCs w:val="20"/>
              </w:rPr>
            </w:pPr>
            <w:r w:rsidRPr="005F6AE1">
              <w:rPr>
                <w:szCs w:val="20"/>
              </w:rPr>
              <w:t>22</w:t>
            </w:r>
            <w:r w:rsidRPr="005F6AE1">
              <w:rPr>
                <w:szCs w:val="20"/>
              </w:rPr>
              <w:br/>
              <w:t>(18%)</w:t>
            </w:r>
          </w:p>
        </w:tc>
        <w:tc>
          <w:tcPr>
            <w:tcW w:w="0" w:type="auto"/>
          </w:tcPr>
          <w:p w14:paraId="3ACD5742" w14:textId="77777777" w:rsidR="00715489" w:rsidRPr="005F6AE1" w:rsidRDefault="00715489" w:rsidP="00AC34F3">
            <w:pPr>
              <w:pStyle w:val="TableBody"/>
              <w:rPr>
                <w:szCs w:val="20"/>
              </w:rPr>
            </w:pPr>
            <w:r w:rsidRPr="005F6AE1">
              <w:rPr>
                <w:szCs w:val="20"/>
              </w:rPr>
              <w:t>24</w:t>
            </w:r>
            <w:r w:rsidRPr="005F6AE1">
              <w:rPr>
                <w:szCs w:val="20"/>
              </w:rPr>
              <w:br/>
              <w:t>(11%)</w:t>
            </w:r>
          </w:p>
        </w:tc>
        <w:tc>
          <w:tcPr>
            <w:tcW w:w="0" w:type="auto"/>
          </w:tcPr>
          <w:p w14:paraId="729959DD" w14:textId="77777777" w:rsidR="00715489" w:rsidRPr="005F6AE1" w:rsidRDefault="00715489" w:rsidP="00AC34F3">
            <w:pPr>
              <w:pStyle w:val="TableBody"/>
              <w:rPr>
                <w:szCs w:val="20"/>
              </w:rPr>
            </w:pPr>
            <w:r w:rsidRPr="005F6AE1">
              <w:rPr>
                <w:szCs w:val="20"/>
              </w:rPr>
              <w:t>11</w:t>
            </w:r>
            <w:r w:rsidRPr="005F6AE1">
              <w:rPr>
                <w:szCs w:val="20"/>
              </w:rPr>
              <w:br/>
              <w:t>(6%)</w:t>
            </w:r>
          </w:p>
        </w:tc>
        <w:tc>
          <w:tcPr>
            <w:tcW w:w="0" w:type="auto"/>
          </w:tcPr>
          <w:p w14:paraId="001959CB" w14:textId="77777777" w:rsidR="00715489" w:rsidRPr="005F6AE1" w:rsidRDefault="00715489" w:rsidP="00AC34F3">
            <w:pPr>
              <w:pStyle w:val="TableBody"/>
              <w:rPr>
                <w:szCs w:val="20"/>
              </w:rPr>
            </w:pPr>
            <w:r w:rsidRPr="005F6AE1">
              <w:rPr>
                <w:szCs w:val="20"/>
              </w:rPr>
              <w:t>7</w:t>
            </w:r>
            <w:r w:rsidRPr="005F6AE1">
              <w:rPr>
                <w:szCs w:val="20"/>
              </w:rPr>
              <w:br/>
              <w:t>(4%)</w:t>
            </w:r>
          </w:p>
        </w:tc>
        <w:tc>
          <w:tcPr>
            <w:tcW w:w="0" w:type="auto"/>
          </w:tcPr>
          <w:p w14:paraId="67966070" w14:textId="77777777" w:rsidR="00715489" w:rsidRPr="005F6AE1" w:rsidRDefault="00715489" w:rsidP="00AC34F3">
            <w:pPr>
              <w:pStyle w:val="TableBody"/>
              <w:rPr>
                <w:szCs w:val="20"/>
              </w:rPr>
            </w:pPr>
            <w:r w:rsidRPr="005F6AE1">
              <w:rPr>
                <w:szCs w:val="20"/>
              </w:rPr>
              <w:t>6</w:t>
            </w:r>
            <w:r w:rsidRPr="005F6AE1">
              <w:rPr>
                <w:szCs w:val="20"/>
              </w:rPr>
              <w:br/>
              <w:t>(4%)</w:t>
            </w:r>
          </w:p>
        </w:tc>
        <w:tc>
          <w:tcPr>
            <w:tcW w:w="0" w:type="auto"/>
          </w:tcPr>
          <w:p w14:paraId="0EFEA287" w14:textId="77777777" w:rsidR="00715489" w:rsidRPr="005F6AE1" w:rsidRDefault="00715489" w:rsidP="00AC34F3">
            <w:pPr>
              <w:pStyle w:val="TableBody"/>
              <w:rPr>
                <w:szCs w:val="20"/>
              </w:rPr>
            </w:pPr>
            <w:r w:rsidRPr="005F6AE1">
              <w:rPr>
                <w:szCs w:val="20"/>
              </w:rPr>
              <w:t>15</w:t>
            </w:r>
            <w:r w:rsidRPr="005F6AE1">
              <w:rPr>
                <w:szCs w:val="20"/>
              </w:rPr>
              <w:br/>
              <w:t>(8%)</w:t>
            </w:r>
          </w:p>
        </w:tc>
        <w:tc>
          <w:tcPr>
            <w:tcW w:w="0" w:type="auto"/>
          </w:tcPr>
          <w:p w14:paraId="59ADBD21" w14:textId="77777777" w:rsidR="00715489" w:rsidRPr="005F6AE1" w:rsidRDefault="00715489" w:rsidP="00AC34F3">
            <w:pPr>
              <w:pStyle w:val="TableBody"/>
              <w:rPr>
                <w:szCs w:val="20"/>
              </w:rPr>
            </w:pPr>
            <w:r w:rsidRPr="005F6AE1">
              <w:rPr>
                <w:szCs w:val="20"/>
              </w:rPr>
              <w:t>7</w:t>
            </w:r>
            <w:r w:rsidRPr="005F6AE1">
              <w:rPr>
                <w:szCs w:val="20"/>
              </w:rPr>
              <w:br/>
              <w:t>(5%)</w:t>
            </w:r>
          </w:p>
        </w:tc>
        <w:tc>
          <w:tcPr>
            <w:tcW w:w="0" w:type="auto"/>
          </w:tcPr>
          <w:p w14:paraId="793D7BA5" w14:textId="77777777" w:rsidR="00715489" w:rsidRPr="005F6AE1" w:rsidRDefault="00715489" w:rsidP="00AC34F3">
            <w:pPr>
              <w:pStyle w:val="TableBody"/>
              <w:rPr>
                <w:rStyle w:val="Strong"/>
                <w:szCs w:val="20"/>
              </w:rPr>
            </w:pPr>
            <w:r w:rsidRPr="005F6AE1">
              <w:rPr>
                <w:rStyle w:val="Strong"/>
                <w:szCs w:val="20"/>
              </w:rPr>
              <w:t>161</w:t>
            </w:r>
            <w:r w:rsidRPr="005F6AE1">
              <w:rPr>
                <w:rStyle w:val="Strong"/>
                <w:szCs w:val="20"/>
              </w:rPr>
              <w:br/>
              <w:t>(10%)</w:t>
            </w:r>
          </w:p>
        </w:tc>
      </w:tr>
      <w:tr w:rsidR="00715489" w:rsidRPr="007F530F" w14:paraId="233E9B39" w14:textId="77777777" w:rsidTr="00377374">
        <w:trPr>
          <w:trHeight w:val="60"/>
        </w:trPr>
        <w:tc>
          <w:tcPr>
            <w:tcW w:w="0" w:type="auto"/>
          </w:tcPr>
          <w:p w14:paraId="1E858611" w14:textId="6308D243" w:rsidR="00715489" w:rsidRPr="005F6AE1" w:rsidRDefault="00715489" w:rsidP="00DC75F7">
            <w:pPr>
              <w:pStyle w:val="TableBody"/>
              <w:rPr>
                <w:szCs w:val="20"/>
              </w:rPr>
            </w:pPr>
            <w:r w:rsidRPr="005F6AE1">
              <w:rPr>
                <w:szCs w:val="20"/>
              </w:rPr>
              <w:t>Other, higher courts</w:t>
            </w:r>
          </w:p>
        </w:tc>
        <w:tc>
          <w:tcPr>
            <w:tcW w:w="0" w:type="auto"/>
          </w:tcPr>
          <w:p w14:paraId="0374F440" w14:textId="77777777" w:rsidR="00715489" w:rsidRPr="005F6AE1" w:rsidRDefault="00715489" w:rsidP="00AC34F3">
            <w:pPr>
              <w:pStyle w:val="TableBody"/>
              <w:rPr>
                <w:szCs w:val="20"/>
              </w:rPr>
            </w:pPr>
            <w:r w:rsidRPr="005F6AE1">
              <w:rPr>
                <w:szCs w:val="20"/>
              </w:rPr>
              <w:t>7</w:t>
            </w:r>
            <w:r w:rsidRPr="005F6AE1">
              <w:rPr>
                <w:szCs w:val="20"/>
              </w:rPr>
              <w:br/>
              <w:t>(3%)</w:t>
            </w:r>
          </w:p>
        </w:tc>
        <w:tc>
          <w:tcPr>
            <w:tcW w:w="0" w:type="auto"/>
          </w:tcPr>
          <w:p w14:paraId="38CAE5F6" w14:textId="77777777" w:rsidR="00715489" w:rsidRPr="005F6AE1" w:rsidRDefault="00715489" w:rsidP="00AC34F3">
            <w:pPr>
              <w:pStyle w:val="TableBody"/>
              <w:rPr>
                <w:szCs w:val="20"/>
              </w:rPr>
            </w:pPr>
            <w:r w:rsidRPr="005F6AE1">
              <w:rPr>
                <w:szCs w:val="20"/>
              </w:rPr>
              <w:t>2</w:t>
            </w:r>
            <w:r w:rsidRPr="005F6AE1">
              <w:rPr>
                <w:szCs w:val="20"/>
              </w:rPr>
              <w:br/>
              <w:t>(1%)</w:t>
            </w:r>
          </w:p>
        </w:tc>
        <w:tc>
          <w:tcPr>
            <w:tcW w:w="0" w:type="auto"/>
          </w:tcPr>
          <w:p w14:paraId="5AE4D65F" w14:textId="77777777" w:rsidR="00715489" w:rsidRPr="005F6AE1" w:rsidRDefault="00715489" w:rsidP="00AC34F3">
            <w:pPr>
              <w:pStyle w:val="TableBody"/>
              <w:rPr>
                <w:szCs w:val="20"/>
              </w:rPr>
            </w:pPr>
            <w:r w:rsidRPr="005F6AE1">
              <w:rPr>
                <w:szCs w:val="20"/>
              </w:rPr>
              <w:t>8</w:t>
            </w:r>
            <w:r w:rsidRPr="005F6AE1">
              <w:rPr>
                <w:szCs w:val="20"/>
              </w:rPr>
              <w:br/>
              <w:t>(2%)</w:t>
            </w:r>
          </w:p>
        </w:tc>
        <w:tc>
          <w:tcPr>
            <w:tcW w:w="0" w:type="auto"/>
          </w:tcPr>
          <w:p w14:paraId="1800E9B5" w14:textId="77777777" w:rsidR="00715489" w:rsidRPr="005F6AE1" w:rsidRDefault="00715489" w:rsidP="00AC34F3">
            <w:pPr>
              <w:pStyle w:val="TableBody"/>
              <w:rPr>
                <w:szCs w:val="20"/>
              </w:rPr>
            </w:pPr>
            <w:r w:rsidRPr="005F6AE1">
              <w:rPr>
                <w:szCs w:val="20"/>
              </w:rPr>
              <w:t>1</w:t>
            </w:r>
            <w:r w:rsidRPr="005F6AE1">
              <w:rPr>
                <w:szCs w:val="20"/>
              </w:rPr>
              <w:br/>
              <w:t>(&lt;1%)</w:t>
            </w:r>
          </w:p>
        </w:tc>
        <w:tc>
          <w:tcPr>
            <w:tcW w:w="0" w:type="auto"/>
          </w:tcPr>
          <w:p w14:paraId="76128D82" w14:textId="77777777" w:rsidR="00715489" w:rsidRPr="005F6AE1" w:rsidRDefault="00715489" w:rsidP="00AC34F3">
            <w:pPr>
              <w:pStyle w:val="TableBody"/>
              <w:rPr>
                <w:szCs w:val="20"/>
              </w:rPr>
            </w:pPr>
            <w:r w:rsidRPr="005F6AE1">
              <w:rPr>
                <w:szCs w:val="20"/>
              </w:rPr>
              <w:t>4</w:t>
            </w:r>
            <w:r w:rsidRPr="005F6AE1">
              <w:rPr>
                <w:szCs w:val="20"/>
              </w:rPr>
              <w:br/>
              <w:t>(1%)</w:t>
            </w:r>
          </w:p>
        </w:tc>
        <w:tc>
          <w:tcPr>
            <w:tcW w:w="0" w:type="auto"/>
          </w:tcPr>
          <w:p w14:paraId="40CB9C61" w14:textId="77777777" w:rsidR="00715489" w:rsidRPr="005F6AE1" w:rsidRDefault="00715489" w:rsidP="00AC34F3">
            <w:pPr>
              <w:pStyle w:val="TableBody"/>
              <w:rPr>
                <w:szCs w:val="20"/>
              </w:rPr>
            </w:pPr>
            <w:r w:rsidRPr="005F6AE1">
              <w:rPr>
                <w:szCs w:val="20"/>
              </w:rPr>
              <w:t>4</w:t>
            </w:r>
            <w:r w:rsidRPr="005F6AE1">
              <w:rPr>
                <w:szCs w:val="20"/>
              </w:rPr>
              <w:br/>
              <w:t>(1%)</w:t>
            </w:r>
          </w:p>
        </w:tc>
        <w:tc>
          <w:tcPr>
            <w:tcW w:w="0" w:type="auto"/>
          </w:tcPr>
          <w:p w14:paraId="5E3AFB4B" w14:textId="77777777" w:rsidR="00715489" w:rsidRPr="005F6AE1" w:rsidRDefault="00715489" w:rsidP="00AC34F3">
            <w:pPr>
              <w:pStyle w:val="TableBody"/>
              <w:rPr>
                <w:szCs w:val="20"/>
              </w:rPr>
            </w:pPr>
            <w:r w:rsidRPr="005F6AE1">
              <w:rPr>
                <w:szCs w:val="20"/>
              </w:rPr>
              <w:t>10</w:t>
            </w:r>
            <w:r w:rsidRPr="005F6AE1">
              <w:rPr>
                <w:szCs w:val="20"/>
              </w:rPr>
              <w:br/>
              <w:t>(3%)</w:t>
            </w:r>
          </w:p>
        </w:tc>
        <w:tc>
          <w:tcPr>
            <w:tcW w:w="0" w:type="auto"/>
          </w:tcPr>
          <w:p w14:paraId="17C76615" w14:textId="77777777" w:rsidR="00715489" w:rsidRPr="005F6AE1" w:rsidRDefault="00715489" w:rsidP="00AC34F3">
            <w:pPr>
              <w:pStyle w:val="TableBody"/>
              <w:rPr>
                <w:szCs w:val="20"/>
              </w:rPr>
            </w:pPr>
            <w:r w:rsidRPr="005F6AE1">
              <w:rPr>
                <w:szCs w:val="20"/>
              </w:rPr>
              <w:t>–</w:t>
            </w:r>
          </w:p>
        </w:tc>
        <w:tc>
          <w:tcPr>
            <w:tcW w:w="0" w:type="auto"/>
          </w:tcPr>
          <w:p w14:paraId="57A3F471" w14:textId="77777777" w:rsidR="00715489" w:rsidRPr="005F6AE1" w:rsidRDefault="00715489" w:rsidP="00AC34F3">
            <w:pPr>
              <w:pStyle w:val="TableBody"/>
              <w:rPr>
                <w:szCs w:val="20"/>
              </w:rPr>
            </w:pPr>
            <w:r w:rsidRPr="005F6AE1">
              <w:rPr>
                <w:szCs w:val="20"/>
              </w:rPr>
              <w:t xml:space="preserve"> –</w:t>
            </w:r>
          </w:p>
        </w:tc>
        <w:tc>
          <w:tcPr>
            <w:tcW w:w="0" w:type="auto"/>
          </w:tcPr>
          <w:p w14:paraId="47E57176" w14:textId="77777777" w:rsidR="00715489" w:rsidRPr="005F6AE1" w:rsidRDefault="00715489" w:rsidP="00AC34F3">
            <w:pPr>
              <w:pStyle w:val="TableBody"/>
              <w:rPr>
                <w:szCs w:val="20"/>
              </w:rPr>
            </w:pPr>
            <w:r w:rsidRPr="005F6AE1">
              <w:rPr>
                <w:szCs w:val="20"/>
              </w:rPr>
              <w:t>6</w:t>
            </w:r>
            <w:r w:rsidRPr="005F6AE1">
              <w:rPr>
                <w:szCs w:val="20"/>
              </w:rPr>
              <w:br/>
              <w:t>(2%)</w:t>
            </w:r>
          </w:p>
        </w:tc>
        <w:tc>
          <w:tcPr>
            <w:tcW w:w="0" w:type="auto"/>
          </w:tcPr>
          <w:p w14:paraId="483E909C" w14:textId="77777777" w:rsidR="00715489" w:rsidRPr="005F6AE1" w:rsidRDefault="00715489" w:rsidP="00AC34F3">
            <w:pPr>
              <w:pStyle w:val="TableBody"/>
              <w:rPr>
                <w:rStyle w:val="Strong"/>
                <w:szCs w:val="20"/>
              </w:rPr>
            </w:pPr>
            <w:r w:rsidRPr="005F6AE1">
              <w:rPr>
                <w:rStyle w:val="Strong"/>
                <w:szCs w:val="20"/>
              </w:rPr>
              <w:t>42</w:t>
            </w:r>
            <w:r w:rsidRPr="005F6AE1">
              <w:rPr>
                <w:rStyle w:val="Strong"/>
                <w:szCs w:val="20"/>
              </w:rPr>
              <w:br/>
              <w:t>(1%)</w:t>
            </w:r>
          </w:p>
        </w:tc>
      </w:tr>
      <w:tr w:rsidR="00715489" w:rsidRPr="007F530F" w14:paraId="1D72DB90" w14:textId="77777777" w:rsidTr="00377374">
        <w:trPr>
          <w:trHeight w:val="60"/>
        </w:trPr>
        <w:tc>
          <w:tcPr>
            <w:tcW w:w="0" w:type="auto"/>
          </w:tcPr>
          <w:p w14:paraId="24454259" w14:textId="07DC8CB4" w:rsidR="00715489" w:rsidRPr="005F6AE1" w:rsidRDefault="00715489" w:rsidP="00DC75F7">
            <w:pPr>
              <w:pStyle w:val="TableBody"/>
              <w:rPr>
                <w:szCs w:val="20"/>
              </w:rPr>
            </w:pPr>
            <w:r w:rsidRPr="005F6AE1">
              <w:rPr>
                <w:szCs w:val="20"/>
              </w:rPr>
              <w:t>Other, Magistrates’ Court</w:t>
            </w:r>
          </w:p>
        </w:tc>
        <w:tc>
          <w:tcPr>
            <w:tcW w:w="0" w:type="auto"/>
          </w:tcPr>
          <w:p w14:paraId="100F2561" w14:textId="77777777" w:rsidR="00715489" w:rsidRPr="005F6AE1" w:rsidRDefault="00715489" w:rsidP="00AC34F3">
            <w:pPr>
              <w:pStyle w:val="TableBody"/>
              <w:rPr>
                <w:szCs w:val="20"/>
              </w:rPr>
            </w:pPr>
            <w:r w:rsidRPr="005F6AE1">
              <w:rPr>
                <w:szCs w:val="20"/>
              </w:rPr>
              <w:t>14</w:t>
            </w:r>
            <w:r w:rsidRPr="005F6AE1">
              <w:rPr>
                <w:szCs w:val="20"/>
              </w:rPr>
              <w:br/>
              <w:t>(11%)</w:t>
            </w:r>
          </w:p>
        </w:tc>
        <w:tc>
          <w:tcPr>
            <w:tcW w:w="0" w:type="auto"/>
          </w:tcPr>
          <w:p w14:paraId="3019B3EF" w14:textId="77777777" w:rsidR="00715489" w:rsidRPr="005F6AE1" w:rsidRDefault="00715489" w:rsidP="00AC34F3">
            <w:pPr>
              <w:pStyle w:val="TableBody"/>
              <w:rPr>
                <w:szCs w:val="20"/>
              </w:rPr>
            </w:pPr>
            <w:r w:rsidRPr="005F6AE1">
              <w:rPr>
                <w:szCs w:val="20"/>
              </w:rPr>
              <w:t>10</w:t>
            </w:r>
            <w:r w:rsidRPr="005F6AE1">
              <w:rPr>
                <w:szCs w:val="20"/>
              </w:rPr>
              <w:br/>
              <w:t>(8%)</w:t>
            </w:r>
          </w:p>
        </w:tc>
        <w:tc>
          <w:tcPr>
            <w:tcW w:w="0" w:type="auto"/>
          </w:tcPr>
          <w:p w14:paraId="6518AC6B" w14:textId="77777777" w:rsidR="00715489" w:rsidRPr="005F6AE1" w:rsidRDefault="00715489" w:rsidP="00AC34F3">
            <w:pPr>
              <w:pStyle w:val="TableBody"/>
              <w:rPr>
                <w:szCs w:val="20"/>
              </w:rPr>
            </w:pPr>
            <w:r w:rsidRPr="005F6AE1">
              <w:rPr>
                <w:szCs w:val="20"/>
              </w:rPr>
              <w:t>18</w:t>
            </w:r>
            <w:r w:rsidRPr="005F6AE1">
              <w:rPr>
                <w:szCs w:val="20"/>
              </w:rPr>
              <w:br/>
              <w:t>(16%)</w:t>
            </w:r>
          </w:p>
        </w:tc>
        <w:tc>
          <w:tcPr>
            <w:tcW w:w="0" w:type="auto"/>
          </w:tcPr>
          <w:p w14:paraId="7E9B617B" w14:textId="77777777" w:rsidR="00715489" w:rsidRPr="005F6AE1" w:rsidRDefault="00715489" w:rsidP="00AC34F3">
            <w:pPr>
              <w:pStyle w:val="TableBody"/>
              <w:rPr>
                <w:szCs w:val="20"/>
              </w:rPr>
            </w:pPr>
            <w:r w:rsidRPr="005F6AE1">
              <w:rPr>
                <w:szCs w:val="20"/>
              </w:rPr>
              <w:t>21</w:t>
            </w:r>
            <w:r w:rsidRPr="005F6AE1">
              <w:rPr>
                <w:szCs w:val="20"/>
              </w:rPr>
              <w:br/>
              <w:t>(18%)</w:t>
            </w:r>
          </w:p>
        </w:tc>
        <w:tc>
          <w:tcPr>
            <w:tcW w:w="0" w:type="auto"/>
          </w:tcPr>
          <w:p w14:paraId="29F79901" w14:textId="77777777" w:rsidR="00715489" w:rsidRPr="005F6AE1" w:rsidRDefault="00715489" w:rsidP="00AC34F3">
            <w:pPr>
              <w:pStyle w:val="TableBody"/>
              <w:rPr>
                <w:szCs w:val="20"/>
              </w:rPr>
            </w:pPr>
            <w:r w:rsidRPr="005F6AE1">
              <w:rPr>
                <w:szCs w:val="20"/>
              </w:rPr>
              <w:t>16</w:t>
            </w:r>
            <w:r w:rsidRPr="005F6AE1">
              <w:rPr>
                <w:szCs w:val="20"/>
              </w:rPr>
              <w:br/>
              <w:t>(7%)</w:t>
            </w:r>
          </w:p>
        </w:tc>
        <w:tc>
          <w:tcPr>
            <w:tcW w:w="0" w:type="auto"/>
          </w:tcPr>
          <w:p w14:paraId="1AB595CE" w14:textId="77777777" w:rsidR="00715489" w:rsidRPr="005F6AE1" w:rsidRDefault="00715489" w:rsidP="00AC34F3">
            <w:pPr>
              <w:pStyle w:val="TableBody"/>
              <w:rPr>
                <w:szCs w:val="20"/>
              </w:rPr>
            </w:pPr>
            <w:r w:rsidRPr="005F6AE1">
              <w:rPr>
                <w:szCs w:val="20"/>
              </w:rPr>
              <w:t>21</w:t>
            </w:r>
            <w:r w:rsidRPr="005F6AE1">
              <w:rPr>
                <w:szCs w:val="20"/>
              </w:rPr>
              <w:br/>
              <w:t>(12%)</w:t>
            </w:r>
          </w:p>
        </w:tc>
        <w:tc>
          <w:tcPr>
            <w:tcW w:w="0" w:type="auto"/>
          </w:tcPr>
          <w:p w14:paraId="4340BC87" w14:textId="77777777" w:rsidR="00715489" w:rsidRPr="005F6AE1" w:rsidRDefault="00715489" w:rsidP="00AC34F3">
            <w:pPr>
              <w:pStyle w:val="TableBody"/>
              <w:rPr>
                <w:szCs w:val="20"/>
              </w:rPr>
            </w:pPr>
            <w:r w:rsidRPr="005F6AE1">
              <w:rPr>
                <w:szCs w:val="20"/>
              </w:rPr>
              <w:t>19</w:t>
            </w:r>
            <w:r w:rsidRPr="005F6AE1">
              <w:rPr>
                <w:szCs w:val="20"/>
              </w:rPr>
              <w:br/>
              <w:t>(10%)</w:t>
            </w:r>
          </w:p>
        </w:tc>
        <w:tc>
          <w:tcPr>
            <w:tcW w:w="0" w:type="auto"/>
          </w:tcPr>
          <w:p w14:paraId="258D65D4" w14:textId="77777777" w:rsidR="00715489" w:rsidRPr="005F6AE1" w:rsidRDefault="00715489" w:rsidP="00AC34F3">
            <w:pPr>
              <w:pStyle w:val="TableBody"/>
              <w:rPr>
                <w:szCs w:val="20"/>
              </w:rPr>
            </w:pPr>
            <w:r w:rsidRPr="005F6AE1">
              <w:rPr>
                <w:szCs w:val="20"/>
              </w:rPr>
              <w:t>18</w:t>
            </w:r>
            <w:r w:rsidRPr="005F6AE1">
              <w:rPr>
                <w:szCs w:val="20"/>
              </w:rPr>
              <w:br/>
              <w:t>(11%)</w:t>
            </w:r>
          </w:p>
        </w:tc>
        <w:tc>
          <w:tcPr>
            <w:tcW w:w="0" w:type="auto"/>
          </w:tcPr>
          <w:p w14:paraId="3C88473D" w14:textId="77777777" w:rsidR="00715489" w:rsidRPr="005F6AE1" w:rsidRDefault="00715489" w:rsidP="00AC34F3">
            <w:pPr>
              <w:pStyle w:val="TableBody"/>
              <w:rPr>
                <w:szCs w:val="20"/>
              </w:rPr>
            </w:pPr>
            <w:r w:rsidRPr="005F6AE1">
              <w:rPr>
                <w:szCs w:val="20"/>
              </w:rPr>
              <w:t>22</w:t>
            </w:r>
            <w:r w:rsidRPr="005F6AE1">
              <w:rPr>
                <w:szCs w:val="20"/>
              </w:rPr>
              <w:br/>
              <w:t>(12%)</w:t>
            </w:r>
          </w:p>
        </w:tc>
        <w:tc>
          <w:tcPr>
            <w:tcW w:w="0" w:type="auto"/>
          </w:tcPr>
          <w:p w14:paraId="5321C51A" w14:textId="77777777" w:rsidR="00715489" w:rsidRPr="005F6AE1" w:rsidRDefault="00715489" w:rsidP="00AC34F3">
            <w:pPr>
              <w:pStyle w:val="TableBody"/>
              <w:rPr>
                <w:szCs w:val="20"/>
              </w:rPr>
            </w:pPr>
            <w:r w:rsidRPr="005F6AE1">
              <w:rPr>
                <w:szCs w:val="20"/>
              </w:rPr>
              <w:t>13</w:t>
            </w:r>
            <w:r w:rsidRPr="005F6AE1">
              <w:rPr>
                <w:szCs w:val="20"/>
              </w:rPr>
              <w:br/>
              <w:t>(9%)</w:t>
            </w:r>
          </w:p>
        </w:tc>
        <w:tc>
          <w:tcPr>
            <w:tcW w:w="0" w:type="auto"/>
          </w:tcPr>
          <w:p w14:paraId="51935D65" w14:textId="77777777" w:rsidR="00715489" w:rsidRPr="005F6AE1" w:rsidRDefault="00715489" w:rsidP="00AC34F3">
            <w:pPr>
              <w:pStyle w:val="TableBody"/>
              <w:rPr>
                <w:rStyle w:val="Strong"/>
                <w:szCs w:val="20"/>
              </w:rPr>
            </w:pPr>
            <w:r w:rsidRPr="005F6AE1">
              <w:rPr>
                <w:rStyle w:val="Strong"/>
                <w:szCs w:val="20"/>
              </w:rPr>
              <w:t>172</w:t>
            </w:r>
            <w:r w:rsidRPr="005F6AE1">
              <w:rPr>
                <w:rStyle w:val="Strong"/>
                <w:szCs w:val="20"/>
              </w:rPr>
              <w:br/>
              <w:t>(11%)</w:t>
            </w:r>
          </w:p>
        </w:tc>
      </w:tr>
      <w:tr w:rsidR="00715489" w:rsidRPr="007F530F" w14:paraId="38F1F719" w14:textId="77777777" w:rsidTr="00377374">
        <w:trPr>
          <w:trHeight w:val="60"/>
        </w:trPr>
        <w:tc>
          <w:tcPr>
            <w:tcW w:w="0" w:type="auto"/>
          </w:tcPr>
          <w:p w14:paraId="697AF62B" w14:textId="426E5CF6" w:rsidR="00715489" w:rsidRPr="005F6AE1" w:rsidRDefault="00715489" w:rsidP="00A478DF">
            <w:pPr>
              <w:pStyle w:val="TableBody"/>
              <w:rPr>
                <w:szCs w:val="20"/>
              </w:rPr>
            </w:pPr>
            <w:r w:rsidRPr="005F6AE1">
              <w:rPr>
                <w:rStyle w:val="Strong"/>
                <w:szCs w:val="20"/>
              </w:rPr>
              <w:t>Total (higher courts)</w:t>
            </w:r>
          </w:p>
        </w:tc>
        <w:tc>
          <w:tcPr>
            <w:tcW w:w="0" w:type="auto"/>
          </w:tcPr>
          <w:p w14:paraId="2D42C0D7" w14:textId="7C0DD1A5" w:rsidR="00715489" w:rsidRPr="005F6AE1" w:rsidRDefault="00715489" w:rsidP="00A478DF">
            <w:pPr>
              <w:pStyle w:val="TableBody"/>
              <w:rPr>
                <w:szCs w:val="20"/>
              </w:rPr>
            </w:pPr>
            <w:r w:rsidRPr="005F6AE1">
              <w:rPr>
                <w:rStyle w:val="Strong"/>
                <w:szCs w:val="20"/>
              </w:rPr>
              <w:t>270</w:t>
            </w:r>
          </w:p>
        </w:tc>
        <w:tc>
          <w:tcPr>
            <w:tcW w:w="0" w:type="auto"/>
          </w:tcPr>
          <w:p w14:paraId="74ECBD30" w14:textId="3930A20D" w:rsidR="00715489" w:rsidRPr="005F6AE1" w:rsidRDefault="00715489" w:rsidP="00A478DF">
            <w:pPr>
              <w:pStyle w:val="TableBody"/>
              <w:rPr>
                <w:szCs w:val="20"/>
              </w:rPr>
            </w:pPr>
            <w:r w:rsidRPr="005F6AE1">
              <w:rPr>
                <w:rStyle w:val="Strong"/>
                <w:szCs w:val="20"/>
              </w:rPr>
              <w:t>400</w:t>
            </w:r>
          </w:p>
        </w:tc>
        <w:tc>
          <w:tcPr>
            <w:tcW w:w="0" w:type="auto"/>
          </w:tcPr>
          <w:p w14:paraId="3922C669" w14:textId="19C590FC" w:rsidR="00715489" w:rsidRPr="005F6AE1" w:rsidRDefault="00715489" w:rsidP="00A478DF">
            <w:pPr>
              <w:pStyle w:val="TableBody"/>
              <w:rPr>
                <w:szCs w:val="20"/>
              </w:rPr>
            </w:pPr>
            <w:r w:rsidRPr="005F6AE1">
              <w:rPr>
                <w:rStyle w:val="Strong"/>
                <w:szCs w:val="20"/>
              </w:rPr>
              <w:t>366</w:t>
            </w:r>
          </w:p>
        </w:tc>
        <w:tc>
          <w:tcPr>
            <w:tcW w:w="0" w:type="auto"/>
          </w:tcPr>
          <w:p w14:paraId="06227A3F" w14:textId="4B57D93B" w:rsidR="00715489" w:rsidRPr="005F6AE1" w:rsidRDefault="00715489" w:rsidP="00A478DF">
            <w:pPr>
              <w:pStyle w:val="TableBody"/>
              <w:rPr>
                <w:szCs w:val="20"/>
              </w:rPr>
            </w:pPr>
            <w:r w:rsidRPr="005F6AE1">
              <w:rPr>
                <w:rStyle w:val="Strong"/>
                <w:szCs w:val="20"/>
              </w:rPr>
              <w:t>275</w:t>
            </w:r>
          </w:p>
        </w:tc>
        <w:tc>
          <w:tcPr>
            <w:tcW w:w="0" w:type="auto"/>
          </w:tcPr>
          <w:p w14:paraId="73B87D07" w14:textId="0435836E" w:rsidR="00715489" w:rsidRPr="005F6AE1" w:rsidRDefault="00715489" w:rsidP="00A478DF">
            <w:pPr>
              <w:pStyle w:val="TableBody"/>
              <w:rPr>
                <w:szCs w:val="20"/>
              </w:rPr>
            </w:pPr>
            <w:r w:rsidRPr="005F6AE1">
              <w:rPr>
                <w:rStyle w:val="Strong"/>
                <w:szCs w:val="20"/>
              </w:rPr>
              <w:t>337</w:t>
            </w:r>
          </w:p>
        </w:tc>
        <w:tc>
          <w:tcPr>
            <w:tcW w:w="0" w:type="auto"/>
          </w:tcPr>
          <w:p w14:paraId="07A173F3" w14:textId="13FFC205" w:rsidR="00715489" w:rsidRPr="005F6AE1" w:rsidRDefault="00715489" w:rsidP="00A478DF">
            <w:pPr>
              <w:pStyle w:val="TableBody"/>
              <w:rPr>
                <w:szCs w:val="20"/>
              </w:rPr>
            </w:pPr>
            <w:r w:rsidRPr="005F6AE1">
              <w:rPr>
                <w:rStyle w:val="Strong"/>
                <w:szCs w:val="20"/>
              </w:rPr>
              <w:t>307</w:t>
            </w:r>
          </w:p>
        </w:tc>
        <w:tc>
          <w:tcPr>
            <w:tcW w:w="0" w:type="auto"/>
          </w:tcPr>
          <w:p w14:paraId="57E9F53C" w14:textId="55C2EFFD" w:rsidR="00715489" w:rsidRPr="005F6AE1" w:rsidRDefault="00715489" w:rsidP="00A478DF">
            <w:pPr>
              <w:pStyle w:val="TableBody"/>
              <w:rPr>
                <w:szCs w:val="20"/>
              </w:rPr>
            </w:pPr>
            <w:r w:rsidRPr="005F6AE1">
              <w:rPr>
                <w:rStyle w:val="Strong"/>
                <w:szCs w:val="20"/>
              </w:rPr>
              <w:t>307</w:t>
            </w:r>
          </w:p>
        </w:tc>
        <w:tc>
          <w:tcPr>
            <w:tcW w:w="0" w:type="auto"/>
          </w:tcPr>
          <w:p w14:paraId="4571F555" w14:textId="327DA343" w:rsidR="00715489" w:rsidRPr="005F6AE1" w:rsidRDefault="00715489" w:rsidP="00A478DF">
            <w:pPr>
              <w:pStyle w:val="TableBody"/>
              <w:rPr>
                <w:szCs w:val="20"/>
              </w:rPr>
            </w:pPr>
            <w:r w:rsidRPr="005F6AE1">
              <w:rPr>
                <w:rStyle w:val="Strong"/>
                <w:szCs w:val="20"/>
              </w:rPr>
              <w:t>227</w:t>
            </w:r>
          </w:p>
        </w:tc>
        <w:tc>
          <w:tcPr>
            <w:tcW w:w="0" w:type="auto"/>
          </w:tcPr>
          <w:p w14:paraId="3FDDA55B" w14:textId="18ED1FD4" w:rsidR="00715489" w:rsidRPr="005F6AE1" w:rsidRDefault="00715489" w:rsidP="00A478DF">
            <w:pPr>
              <w:pStyle w:val="TableBody"/>
              <w:rPr>
                <w:szCs w:val="20"/>
              </w:rPr>
            </w:pPr>
            <w:r w:rsidRPr="005F6AE1">
              <w:rPr>
                <w:rStyle w:val="Strong"/>
                <w:szCs w:val="20"/>
              </w:rPr>
              <w:t>261</w:t>
            </w:r>
          </w:p>
        </w:tc>
        <w:tc>
          <w:tcPr>
            <w:tcW w:w="0" w:type="auto"/>
          </w:tcPr>
          <w:p w14:paraId="351D67FB" w14:textId="5BEABD5D" w:rsidR="00715489" w:rsidRPr="005F6AE1" w:rsidRDefault="00715489" w:rsidP="00A478DF">
            <w:pPr>
              <w:pStyle w:val="TableBody"/>
              <w:rPr>
                <w:szCs w:val="20"/>
              </w:rPr>
            </w:pPr>
            <w:r w:rsidRPr="005F6AE1">
              <w:rPr>
                <w:rStyle w:val="Strong"/>
                <w:szCs w:val="20"/>
              </w:rPr>
              <w:t>308</w:t>
            </w:r>
          </w:p>
        </w:tc>
        <w:tc>
          <w:tcPr>
            <w:tcW w:w="0" w:type="auto"/>
          </w:tcPr>
          <w:p w14:paraId="442ACC71" w14:textId="576F7F36" w:rsidR="00715489" w:rsidRPr="005F6AE1" w:rsidRDefault="00715489" w:rsidP="00A478DF">
            <w:pPr>
              <w:pStyle w:val="TableBody"/>
              <w:rPr>
                <w:rStyle w:val="Strong"/>
                <w:szCs w:val="20"/>
              </w:rPr>
            </w:pPr>
            <w:r w:rsidRPr="005F6AE1">
              <w:rPr>
                <w:rStyle w:val="Strong"/>
                <w:szCs w:val="20"/>
              </w:rPr>
              <w:t>3,058</w:t>
            </w:r>
          </w:p>
        </w:tc>
      </w:tr>
      <w:tr w:rsidR="00715489" w:rsidRPr="007F530F" w14:paraId="5B3E9F5E" w14:textId="77777777" w:rsidTr="00377374">
        <w:trPr>
          <w:trHeight w:val="60"/>
        </w:trPr>
        <w:tc>
          <w:tcPr>
            <w:tcW w:w="0" w:type="auto"/>
          </w:tcPr>
          <w:p w14:paraId="41BCC040" w14:textId="30A0A8BE" w:rsidR="00715489" w:rsidRPr="005F6AE1" w:rsidRDefault="00715489" w:rsidP="00A478DF">
            <w:pPr>
              <w:pStyle w:val="TableBody"/>
              <w:rPr>
                <w:szCs w:val="20"/>
              </w:rPr>
            </w:pPr>
            <w:r w:rsidRPr="005F6AE1">
              <w:rPr>
                <w:rStyle w:val="Strong"/>
                <w:szCs w:val="20"/>
              </w:rPr>
              <w:t>Total (Magistrates’ Court)</w:t>
            </w:r>
          </w:p>
        </w:tc>
        <w:tc>
          <w:tcPr>
            <w:tcW w:w="0" w:type="auto"/>
          </w:tcPr>
          <w:p w14:paraId="01281F69" w14:textId="6B702011" w:rsidR="00715489" w:rsidRPr="005F6AE1" w:rsidRDefault="00715489" w:rsidP="00A478DF">
            <w:pPr>
              <w:pStyle w:val="TableBody"/>
              <w:rPr>
                <w:szCs w:val="20"/>
              </w:rPr>
            </w:pPr>
            <w:r w:rsidRPr="005F6AE1">
              <w:rPr>
                <w:rStyle w:val="Strong"/>
                <w:szCs w:val="20"/>
              </w:rPr>
              <w:t>122</w:t>
            </w:r>
          </w:p>
        </w:tc>
        <w:tc>
          <w:tcPr>
            <w:tcW w:w="0" w:type="auto"/>
          </w:tcPr>
          <w:p w14:paraId="7B49AF8B" w14:textId="478B2A21" w:rsidR="00715489" w:rsidRPr="005F6AE1" w:rsidRDefault="00715489" w:rsidP="00A478DF">
            <w:pPr>
              <w:pStyle w:val="TableBody"/>
              <w:rPr>
                <w:szCs w:val="20"/>
              </w:rPr>
            </w:pPr>
            <w:r w:rsidRPr="005F6AE1">
              <w:rPr>
                <w:rStyle w:val="Strong"/>
                <w:szCs w:val="20"/>
              </w:rPr>
              <w:t>118</w:t>
            </w:r>
          </w:p>
        </w:tc>
        <w:tc>
          <w:tcPr>
            <w:tcW w:w="0" w:type="auto"/>
          </w:tcPr>
          <w:p w14:paraId="54E074BC" w14:textId="40DC1ADD" w:rsidR="00715489" w:rsidRPr="005F6AE1" w:rsidRDefault="00715489" w:rsidP="00A478DF">
            <w:pPr>
              <w:pStyle w:val="TableBody"/>
              <w:rPr>
                <w:szCs w:val="20"/>
              </w:rPr>
            </w:pPr>
            <w:r w:rsidRPr="005F6AE1">
              <w:rPr>
                <w:rStyle w:val="Strong"/>
                <w:szCs w:val="20"/>
              </w:rPr>
              <w:t>113</w:t>
            </w:r>
          </w:p>
        </w:tc>
        <w:tc>
          <w:tcPr>
            <w:tcW w:w="0" w:type="auto"/>
          </w:tcPr>
          <w:p w14:paraId="41EB44D0" w14:textId="56FF792F" w:rsidR="00715489" w:rsidRPr="005F6AE1" w:rsidRDefault="00715489" w:rsidP="00A478DF">
            <w:pPr>
              <w:pStyle w:val="TableBody"/>
              <w:rPr>
                <w:szCs w:val="20"/>
              </w:rPr>
            </w:pPr>
            <w:r w:rsidRPr="005F6AE1">
              <w:rPr>
                <w:rStyle w:val="Strong"/>
                <w:szCs w:val="20"/>
              </w:rPr>
              <w:t>119</w:t>
            </w:r>
          </w:p>
        </w:tc>
        <w:tc>
          <w:tcPr>
            <w:tcW w:w="0" w:type="auto"/>
          </w:tcPr>
          <w:p w14:paraId="79BBA458" w14:textId="21D8E54E" w:rsidR="00715489" w:rsidRPr="005F6AE1" w:rsidRDefault="00715489" w:rsidP="00A478DF">
            <w:pPr>
              <w:pStyle w:val="TableBody"/>
              <w:rPr>
                <w:szCs w:val="20"/>
              </w:rPr>
            </w:pPr>
            <w:r w:rsidRPr="005F6AE1">
              <w:rPr>
                <w:rStyle w:val="Strong"/>
                <w:szCs w:val="20"/>
              </w:rPr>
              <w:t>227</w:t>
            </w:r>
          </w:p>
        </w:tc>
        <w:tc>
          <w:tcPr>
            <w:tcW w:w="0" w:type="auto"/>
          </w:tcPr>
          <w:p w14:paraId="2E9CBA6F" w14:textId="18E1A406" w:rsidR="00715489" w:rsidRPr="005F6AE1" w:rsidRDefault="00715489" w:rsidP="00A478DF">
            <w:pPr>
              <w:pStyle w:val="TableBody"/>
              <w:rPr>
                <w:szCs w:val="20"/>
              </w:rPr>
            </w:pPr>
            <w:r w:rsidRPr="005F6AE1">
              <w:rPr>
                <w:rStyle w:val="Strong"/>
                <w:szCs w:val="20"/>
              </w:rPr>
              <w:t>172</w:t>
            </w:r>
          </w:p>
        </w:tc>
        <w:tc>
          <w:tcPr>
            <w:tcW w:w="0" w:type="auto"/>
          </w:tcPr>
          <w:p w14:paraId="4DA8EE8B" w14:textId="235E46FC" w:rsidR="00715489" w:rsidRPr="005F6AE1" w:rsidRDefault="00715489" w:rsidP="00A478DF">
            <w:pPr>
              <w:pStyle w:val="TableBody"/>
              <w:rPr>
                <w:szCs w:val="20"/>
              </w:rPr>
            </w:pPr>
            <w:r w:rsidRPr="005F6AE1">
              <w:rPr>
                <w:rStyle w:val="Strong"/>
                <w:szCs w:val="20"/>
              </w:rPr>
              <w:t>184</w:t>
            </w:r>
          </w:p>
        </w:tc>
        <w:tc>
          <w:tcPr>
            <w:tcW w:w="0" w:type="auto"/>
          </w:tcPr>
          <w:p w14:paraId="64D42981" w14:textId="72D5EBFD" w:rsidR="00715489" w:rsidRPr="005F6AE1" w:rsidRDefault="00715489" w:rsidP="00A478DF">
            <w:pPr>
              <w:pStyle w:val="TableBody"/>
              <w:rPr>
                <w:szCs w:val="20"/>
              </w:rPr>
            </w:pPr>
            <w:r w:rsidRPr="005F6AE1">
              <w:rPr>
                <w:rStyle w:val="Strong"/>
                <w:szCs w:val="20"/>
              </w:rPr>
              <w:t>161</w:t>
            </w:r>
          </w:p>
        </w:tc>
        <w:tc>
          <w:tcPr>
            <w:tcW w:w="0" w:type="auto"/>
          </w:tcPr>
          <w:p w14:paraId="3A491FFE" w14:textId="13CB3CD4" w:rsidR="00715489" w:rsidRPr="005F6AE1" w:rsidRDefault="00715489" w:rsidP="00A478DF">
            <w:pPr>
              <w:pStyle w:val="TableBody"/>
              <w:rPr>
                <w:szCs w:val="20"/>
              </w:rPr>
            </w:pPr>
            <w:r w:rsidRPr="005F6AE1">
              <w:rPr>
                <w:rStyle w:val="Strong"/>
                <w:szCs w:val="20"/>
              </w:rPr>
              <w:t>181</w:t>
            </w:r>
          </w:p>
        </w:tc>
        <w:tc>
          <w:tcPr>
            <w:tcW w:w="0" w:type="auto"/>
          </w:tcPr>
          <w:p w14:paraId="225D1CDB" w14:textId="76E9447D" w:rsidR="00715489" w:rsidRPr="005F6AE1" w:rsidRDefault="00715489" w:rsidP="00A478DF">
            <w:pPr>
              <w:pStyle w:val="TableBody"/>
              <w:rPr>
                <w:szCs w:val="20"/>
              </w:rPr>
            </w:pPr>
            <w:r w:rsidRPr="005F6AE1">
              <w:rPr>
                <w:rStyle w:val="Strong"/>
                <w:szCs w:val="20"/>
              </w:rPr>
              <w:t>140</w:t>
            </w:r>
          </w:p>
        </w:tc>
        <w:tc>
          <w:tcPr>
            <w:tcW w:w="0" w:type="auto"/>
          </w:tcPr>
          <w:p w14:paraId="6928BF45" w14:textId="6DF56771" w:rsidR="00715489" w:rsidRPr="005F6AE1" w:rsidRDefault="00715489" w:rsidP="00A478DF">
            <w:pPr>
              <w:pStyle w:val="TableBody"/>
              <w:rPr>
                <w:rStyle w:val="Strong"/>
                <w:szCs w:val="20"/>
              </w:rPr>
            </w:pPr>
            <w:r w:rsidRPr="005F6AE1">
              <w:rPr>
                <w:rStyle w:val="Strong"/>
                <w:szCs w:val="20"/>
              </w:rPr>
              <w:t>1,537</w:t>
            </w:r>
          </w:p>
        </w:tc>
      </w:tr>
      <w:tr w:rsidR="00715489" w:rsidRPr="007F530F" w14:paraId="774466C7" w14:textId="77777777" w:rsidTr="00377374">
        <w:trPr>
          <w:trHeight w:val="60"/>
        </w:trPr>
        <w:tc>
          <w:tcPr>
            <w:tcW w:w="0" w:type="auto"/>
          </w:tcPr>
          <w:p w14:paraId="4DBC5541" w14:textId="0D4A08AF" w:rsidR="00715489" w:rsidRPr="005F6AE1" w:rsidRDefault="00715489" w:rsidP="00A478DF">
            <w:pPr>
              <w:pStyle w:val="TableBody"/>
              <w:rPr>
                <w:szCs w:val="20"/>
              </w:rPr>
            </w:pPr>
            <w:r w:rsidRPr="005F6AE1">
              <w:rPr>
                <w:rStyle w:val="Strong"/>
                <w:szCs w:val="20"/>
              </w:rPr>
              <w:t>Total (all courts)</w:t>
            </w:r>
          </w:p>
        </w:tc>
        <w:tc>
          <w:tcPr>
            <w:tcW w:w="0" w:type="auto"/>
          </w:tcPr>
          <w:p w14:paraId="4D1F6BCA" w14:textId="7A8E59F3" w:rsidR="00715489" w:rsidRPr="005F6AE1" w:rsidRDefault="00715489" w:rsidP="00A478DF">
            <w:pPr>
              <w:pStyle w:val="TableBody"/>
              <w:rPr>
                <w:szCs w:val="20"/>
              </w:rPr>
            </w:pPr>
            <w:r w:rsidRPr="005F6AE1">
              <w:rPr>
                <w:rStyle w:val="Strong"/>
                <w:szCs w:val="20"/>
              </w:rPr>
              <w:t>392</w:t>
            </w:r>
          </w:p>
        </w:tc>
        <w:tc>
          <w:tcPr>
            <w:tcW w:w="0" w:type="auto"/>
          </w:tcPr>
          <w:p w14:paraId="497701AB" w14:textId="421DC1E1" w:rsidR="00715489" w:rsidRPr="005F6AE1" w:rsidRDefault="00715489" w:rsidP="00A478DF">
            <w:pPr>
              <w:pStyle w:val="TableBody"/>
              <w:rPr>
                <w:szCs w:val="20"/>
              </w:rPr>
            </w:pPr>
            <w:r w:rsidRPr="005F6AE1">
              <w:rPr>
                <w:rStyle w:val="Strong"/>
                <w:szCs w:val="20"/>
              </w:rPr>
              <w:t>518</w:t>
            </w:r>
          </w:p>
        </w:tc>
        <w:tc>
          <w:tcPr>
            <w:tcW w:w="0" w:type="auto"/>
          </w:tcPr>
          <w:p w14:paraId="7587DC6D" w14:textId="0AA39F4C" w:rsidR="00715489" w:rsidRPr="005F6AE1" w:rsidRDefault="00715489" w:rsidP="00A478DF">
            <w:pPr>
              <w:pStyle w:val="TableBody"/>
              <w:rPr>
                <w:szCs w:val="20"/>
              </w:rPr>
            </w:pPr>
            <w:r w:rsidRPr="005F6AE1">
              <w:rPr>
                <w:rStyle w:val="Strong"/>
                <w:szCs w:val="20"/>
              </w:rPr>
              <w:t>479</w:t>
            </w:r>
          </w:p>
        </w:tc>
        <w:tc>
          <w:tcPr>
            <w:tcW w:w="0" w:type="auto"/>
          </w:tcPr>
          <w:p w14:paraId="78204398" w14:textId="4222CFD2" w:rsidR="00715489" w:rsidRPr="005F6AE1" w:rsidRDefault="00715489" w:rsidP="00A478DF">
            <w:pPr>
              <w:pStyle w:val="TableBody"/>
              <w:rPr>
                <w:szCs w:val="20"/>
              </w:rPr>
            </w:pPr>
            <w:r w:rsidRPr="005F6AE1">
              <w:rPr>
                <w:rStyle w:val="Strong"/>
                <w:szCs w:val="20"/>
              </w:rPr>
              <w:t>394</w:t>
            </w:r>
          </w:p>
        </w:tc>
        <w:tc>
          <w:tcPr>
            <w:tcW w:w="0" w:type="auto"/>
          </w:tcPr>
          <w:p w14:paraId="08CE241F" w14:textId="4C8B8162" w:rsidR="00715489" w:rsidRPr="005F6AE1" w:rsidRDefault="00715489" w:rsidP="00A478DF">
            <w:pPr>
              <w:pStyle w:val="TableBody"/>
              <w:rPr>
                <w:szCs w:val="20"/>
              </w:rPr>
            </w:pPr>
            <w:r w:rsidRPr="005F6AE1">
              <w:rPr>
                <w:rStyle w:val="Strong"/>
                <w:szCs w:val="20"/>
              </w:rPr>
              <w:t>564</w:t>
            </w:r>
          </w:p>
        </w:tc>
        <w:tc>
          <w:tcPr>
            <w:tcW w:w="0" w:type="auto"/>
          </w:tcPr>
          <w:p w14:paraId="674C5D26" w14:textId="1EEF5B21" w:rsidR="00715489" w:rsidRPr="005F6AE1" w:rsidRDefault="00715489" w:rsidP="00A478DF">
            <w:pPr>
              <w:pStyle w:val="TableBody"/>
              <w:rPr>
                <w:szCs w:val="20"/>
              </w:rPr>
            </w:pPr>
            <w:r w:rsidRPr="005F6AE1">
              <w:rPr>
                <w:rStyle w:val="Strong"/>
                <w:szCs w:val="20"/>
              </w:rPr>
              <w:t>479</w:t>
            </w:r>
          </w:p>
        </w:tc>
        <w:tc>
          <w:tcPr>
            <w:tcW w:w="0" w:type="auto"/>
          </w:tcPr>
          <w:p w14:paraId="779E7B3B" w14:textId="5F87C240" w:rsidR="00715489" w:rsidRPr="005F6AE1" w:rsidRDefault="00715489" w:rsidP="00A478DF">
            <w:pPr>
              <w:pStyle w:val="TableBody"/>
              <w:rPr>
                <w:szCs w:val="20"/>
              </w:rPr>
            </w:pPr>
            <w:r w:rsidRPr="005F6AE1">
              <w:rPr>
                <w:rStyle w:val="Strong"/>
                <w:szCs w:val="20"/>
              </w:rPr>
              <w:t>491</w:t>
            </w:r>
          </w:p>
        </w:tc>
        <w:tc>
          <w:tcPr>
            <w:tcW w:w="0" w:type="auto"/>
          </w:tcPr>
          <w:p w14:paraId="15EA6D03" w14:textId="7633F31A" w:rsidR="00715489" w:rsidRPr="005F6AE1" w:rsidRDefault="00715489" w:rsidP="00A478DF">
            <w:pPr>
              <w:pStyle w:val="TableBody"/>
              <w:rPr>
                <w:szCs w:val="20"/>
              </w:rPr>
            </w:pPr>
            <w:r w:rsidRPr="005F6AE1">
              <w:rPr>
                <w:rStyle w:val="Strong"/>
                <w:szCs w:val="20"/>
              </w:rPr>
              <w:t>388</w:t>
            </w:r>
          </w:p>
        </w:tc>
        <w:tc>
          <w:tcPr>
            <w:tcW w:w="0" w:type="auto"/>
          </w:tcPr>
          <w:p w14:paraId="5D64D931" w14:textId="42023531" w:rsidR="00715489" w:rsidRPr="005F6AE1" w:rsidRDefault="00715489" w:rsidP="00A478DF">
            <w:pPr>
              <w:pStyle w:val="TableBody"/>
              <w:rPr>
                <w:szCs w:val="20"/>
              </w:rPr>
            </w:pPr>
            <w:r w:rsidRPr="005F6AE1">
              <w:rPr>
                <w:rStyle w:val="Strong"/>
                <w:szCs w:val="20"/>
              </w:rPr>
              <w:t>442</w:t>
            </w:r>
          </w:p>
        </w:tc>
        <w:tc>
          <w:tcPr>
            <w:tcW w:w="0" w:type="auto"/>
          </w:tcPr>
          <w:p w14:paraId="00ED031F" w14:textId="69BF5F4E" w:rsidR="00715489" w:rsidRPr="005F6AE1" w:rsidRDefault="00715489" w:rsidP="00A478DF">
            <w:pPr>
              <w:pStyle w:val="TableBody"/>
              <w:rPr>
                <w:szCs w:val="20"/>
              </w:rPr>
            </w:pPr>
            <w:r w:rsidRPr="005F6AE1">
              <w:rPr>
                <w:rStyle w:val="Strong"/>
                <w:szCs w:val="20"/>
              </w:rPr>
              <w:t>448</w:t>
            </w:r>
          </w:p>
        </w:tc>
        <w:tc>
          <w:tcPr>
            <w:tcW w:w="0" w:type="auto"/>
          </w:tcPr>
          <w:p w14:paraId="1F9D7955" w14:textId="6DB8309D" w:rsidR="00715489" w:rsidRPr="005F6AE1" w:rsidRDefault="00715489" w:rsidP="00A478DF">
            <w:pPr>
              <w:pStyle w:val="TableBody"/>
              <w:rPr>
                <w:rStyle w:val="Strong"/>
                <w:szCs w:val="20"/>
              </w:rPr>
            </w:pPr>
            <w:r w:rsidRPr="005F6AE1">
              <w:rPr>
                <w:rStyle w:val="Strong"/>
                <w:szCs w:val="20"/>
              </w:rPr>
              <w:t>4,595</w:t>
            </w:r>
          </w:p>
        </w:tc>
      </w:tr>
    </w:tbl>
    <w:p w14:paraId="7C960246" w14:textId="77777777" w:rsidR="00634ECA" w:rsidRDefault="00634ECA" w:rsidP="00F227A5">
      <w:pPr>
        <w:pStyle w:val="Numbered"/>
        <w:sectPr w:rsidR="00634ECA" w:rsidSect="00634ECA">
          <w:pgSz w:w="16838" w:h="11906" w:orient="landscape"/>
          <w:pgMar w:top="1440" w:right="1440" w:bottom="1440" w:left="1440" w:header="720" w:footer="720" w:gutter="0"/>
          <w:cols w:space="720"/>
          <w:noEndnote/>
          <w:docGrid w:linePitch="326"/>
        </w:sectPr>
      </w:pPr>
    </w:p>
    <w:p w14:paraId="38F07C86" w14:textId="10C1F9BA" w:rsidR="00EF5C25" w:rsidRPr="007F530F" w:rsidRDefault="00EF5C25" w:rsidP="00F227A5">
      <w:pPr>
        <w:pStyle w:val="Numbered"/>
      </w:pPr>
      <w:r w:rsidRPr="007F530F">
        <w:lastRenderedPageBreak/>
        <w:t>In the Magistrates’ Court, the rate of immediate custodial sentences increased significantly during the reference period (Figure 27). In the higher courts, the rate of community orders also increased (coinciding with the introduction of community correction orders and the handing down of the guideline judgment on their use</w:t>
      </w:r>
      <w:r w:rsidRPr="007F530F">
        <w:rPr>
          <w:rStyle w:val="Superscript"/>
        </w:rPr>
        <w:footnoteReference w:id="242"/>
      </w:r>
      <w:r w:rsidRPr="007F530F">
        <w:t xml:space="preserve">), while the rate of immediate custodial sentences remained relatively high (80% or more) and stable. One stakeholder suggested that the increase in the number of cases sentenced in the Magistrates’ Court from 2013 onwards may have been caused by changes in jurisdiction selection. In particular, there may have been more cases being prosecuted in the summary stream and/or more successful applications for summary jurisdiction by defendants, leading to more serious forms of this offence being heard and determined in the Magistrates’ Court, in turn causing an increase in the rate of immediate custodial sentences. This is consistent with the increase in the number of cases sentenced in the Magistrates’ Court since 2015 (see Figure 27). </w:t>
      </w:r>
    </w:p>
    <w:p w14:paraId="7CE5E623" w14:textId="77777777" w:rsidR="00EF5C25" w:rsidRPr="007F530F" w:rsidRDefault="00EF5C25" w:rsidP="00D00197">
      <w:pPr>
        <w:pStyle w:val="Caption"/>
      </w:pPr>
      <w:r w:rsidRPr="00D00197">
        <w:t xml:space="preserve">Figure 27: </w:t>
      </w:r>
      <w:r w:rsidRPr="007F530F">
        <w:t>Proportion of child sexual assault offences receiving immediate custodial sentences in Victoria, by year and court (4,595 charges: 3,058 in the higher courts and 1,537 in the Magistrates’ Court)</w:t>
      </w:r>
    </w:p>
    <w:tbl>
      <w:tblPr>
        <w:tblStyle w:val="Table"/>
        <w:tblW w:w="5000" w:type="pct"/>
        <w:tblLayout w:type="fixed"/>
        <w:tblLook w:val="04A0" w:firstRow="1" w:lastRow="0" w:firstColumn="1" w:lastColumn="0" w:noHBand="0" w:noVBand="1"/>
      </w:tblPr>
      <w:tblGrid>
        <w:gridCol w:w="3005"/>
        <w:gridCol w:w="3005"/>
        <w:gridCol w:w="3006"/>
      </w:tblGrid>
      <w:tr w:rsidR="00406201" w:rsidRPr="009A2EE7" w14:paraId="4B4FE614" w14:textId="77777777" w:rsidTr="00E37DAA">
        <w:trPr>
          <w:trHeight w:val="290"/>
          <w:tblHeader/>
        </w:trPr>
        <w:tc>
          <w:tcPr>
            <w:tcW w:w="1666" w:type="pct"/>
            <w:noWrap/>
            <w:hideMark/>
          </w:tcPr>
          <w:p w14:paraId="10704EBF" w14:textId="77777777" w:rsidR="009A2EE7" w:rsidRPr="00406201" w:rsidRDefault="009A2EE7" w:rsidP="00406201">
            <w:pPr>
              <w:pStyle w:val="TableHeading"/>
            </w:pPr>
            <w:r w:rsidRPr="00406201">
              <w:t>Year</w:t>
            </w:r>
          </w:p>
        </w:tc>
        <w:tc>
          <w:tcPr>
            <w:tcW w:w="1666" w:type="pct"/>
            <w:noWrap/>
            <w:hideMark/>
          </w:tcPr>
          <w:p w14:paraId="3F89C111" w14:textId="77777777" w:rsidR="009A2EE7" w:rsidRPr="00406201" w:rsidRDefault="009A2EE7" w:rsidP="00406201">
            <w:pPr>
              <w:pStyle w:val="TableHeading"/>
            </w:pPr>
            <w:r w:rsidRPr="00406201">
              <w:t>Percentage custodial sentences in the higher courts</w:t>
            </w:r>
          </w:p>
        </w:tc>
        <w:tc>
          <w:tcPr>
            <w:tcW w:w="1667" w:type="pct"/>
            <w:noWrap/>
            <w:hideMark/>
          </w:tcPr>
          <w:p w14:paraId="22C06E30" w14:textId="77777777" w:rsidR="009A2EE7" w:rsidRPr="00406201" w:rsidRDefault="009A2EE7" w:rsidP="00406201">
            <w:pPr>
              <w:pStyle w:val="TableHeading"/>
            </w:pPr>
            <w:r w:rsidRPr="00406201">
              <w:t>Percentage custodial sentences in the Magistrates' Court</w:t>
            </w:r>
          </w:p>
        </w:tc>
      </w:tr>
      <w:tr w:rsidR="00406201" w:rsidRPr="009A2EE7" w14:paraId="5B7787B8" w14:textId="77777777" w:rsidTr="00406201">
        <w:trPr>
          <w:trHeight w:val="290"/>
        </w:trPr>
        <w:tc>
          <w:tcPr>
            <w:tcW w:w="1666" w:type="pct"/>
            <w:noWrap/>
            <w:hideMark/>
          </w:tcPr>
          <w:p w14:paraId="533A6169" w14:textId="77777777" w:rsidR="009A2EE7" w:rsidRPr="009A2EE7" w:rsidRDefault="009A2EE7" w:rsidP="00406201">
            <w:pPr>
              <w:pStyle w:val="TableBody"/>
            </w:pPr>
            <w:r w:rsidRPr="009A2EE7">
              <w:t>2010</w:t>
            </w:r>
          </w:p>
        </w:tc>
        <w:tc>
          <w:tcPr>
            <w:tcW w:w="1666" w:type="pct"/>
            <w:noWrap/>
            <w:hideMark/>
          </w:tcPr>
          <w:p w14:paraId="01B7D250" w14:textId="77777777" w:rsidR="009A2EE7" w:rsidRPr="009A2EE7" w:rsidRDefault="009A2EE7" w:rsidP="00406201">
            <w:pPr>
              <w:pStyle w:val="TableBody"/>
            </w:pPr>
            <w:r w:rsidRPr="009A2EE7">
              <w:t>86%</w:t>
            </w:r>
          </w:p>
        </w:tc>
        <w:tc>
          <w:tcPr>
            <w:tcW w:w="1667" w:type="pct"/>
            <w:noWrap/>
            <w:hideMark/>
          </w:tcPr>
          <w:p w14:paraId="040C0063" w14:textId="77777777" w:rsidR="009A2EE7" w:rsidRPr="009A2EE7" w:rsidRDefault="009A2EE7" w:rsidP="00406201">
            <w:pPr>
              <w:pStyle w:val="TableBody"/>
            </w:pPr>
            <w:r w:rsidRPr="009A2EE7">
              <w:t>30%</w:t>
            </w:r>
          </w:p>
        </w:tc>
      </w:tr>
      <w:tr w:rsidR="00406201" w:rsidRPr="009A2EE7" w14:paraId="4624DDFB" w14:textId="77777777" w:rsidTr="00406201">
        <w:trPr>
          <w:trHeight w:val="290"/>
        </w:trPr>
        <w:tc>
          <w:tcPr>
            <w:tcW w:w="1666" w:type="pct"/>
            <w:noWrap/>
            <w:hideMark/>
          </w:tcPr>
          <w:p w14:paraId="139E7FB2" w14:textId="77777777" w:rsidR="009A2EE7" w:rsidRPr="009A2EE7" w:rsidRDefault="009A2EE7" w:rsidP="00406201">
            <w:pPr>
              <w:pStyle w:val="TableBody"/>
            </w:pPr>
            <w:r w:rsidRPr="009A2EE7">
              <w:t>2011</w:t>
            </w:r>
          </w:p>
        </w:tc>
        <w:tc>
          <w:tcPr>
            <w:tcW w:w="1666" w:type="pct"/>
            <w:noWrap/>
            <w:hideMark/>
          </w:tcPr>
          <w:p w14:paraId="42957C65" w14:textId="77777777" w:rsidR="009A2EE7" w:rsidRPr="009A2EE7" w:rsidRDefault="009A2EE7" w:rsidP="00406201">
            <w:pPr>
              <w:pStyle w:val="TableBody"/>
            </w:pPr>
            <w:r w:rsidRPr="009A2EE7">
              <w:t>89%</w:t>
            </w:r>
          </w:p>
        </w:tc>
        <w:tc>
          <w:tcPr>
            <w:tcW w:w="1667" w:type="pct"/>
            <w:noWrap/>
            <w:hideMark/>
          </w:tcPr>
          <w:p w14:paraId="7BD21963" w14:textId="77777777" w:rsidR="009A2EE7" w:rsidRPr="009A2EE7" w:rsidRDefault="009A2EE7" w:rsidP="00406201">
            <w:pPr>
              <w:pStyle w:val="TableBody"/>
            </w:pPr>
            <w:r w:rsidRPr="009A2EE7">
              <w:t>29%</w:t>
            </w:r>
          </w:p>
        </w:tc>
      </w:tr>
      <w:tr w:rsidR="00406201" w:rsidRPr="009A2EE7" w14:paraId="36AED910" w14:textId="77777777" w:rsidTr="00406201">
        <w:trPr>
          <w:trHeight w:val="290"/>
        </w:trPr>
        <w:tc>
          <w:tcPr>
            <w:tcW w:w="1666" w:type="pct"/>
            <w:noWrap/>
            <w:hideMark/>
          </w:tcPr>
          <w:p w14:paraId="0F64B922" w14:textId="77777777" w:rsidR="009A2EE7" w:rsidRPr="009A2EE7" w:rsidRDefault="009A2EE7" w:rsidP="00406201">
            <w:pPr>
              <w:pStyle w:val="TableBody"/>
            </w:pPr>
            <w:r w:rsidRPr="009A2EE7">
              <w:t>2012</w:t>
            </w:r>
          </w:p>
        </w:tc>
        <w:tc>
          <w:tcPr>
            <w:tcW w:w="1666" w:type="pct"/>
            <w:noWrap/>
            <w:hideMark/>
          </w:tcPr>
          <w:p w14:paraId="261F03C0" w14:textId="77777777" w:rsidR="009A2EE7" w:rsidRPr="009A2EE7" w:rsidRDefault="009A2EE7" w:rsidP="00406201">
            <w:pPr>
              <w:pStyle w:val="TableBody"/>
            </w:pPr>
            <w:r w:rsidRPr="009A2EE7">
              <w:t>86%</w:t>
            </w:r>
          </w:p>
        </w:tc>
        <w:tc>
          <w:tcPr>
            <w:tcW w:w="1667" w:type="pct"/>
            <w:noWrap/>
            <w:hideMark/>
          </w:tcPr>
          <w:p w14:paraId="0EDFB1A6" w14:textId="77777777" w:rsidR="009A2EE7" w:rsidRPr="009A2EE7" w:rsidRDefault="009A2EE7" w:rsidP="00406201">
            <w:pPr>
              <w:pStyle w:val="TableBody"/>
            </w:pPr>
            <w:r w:rsidRPr="009A2EE7">
              <w:t>25%</w:t>
            </w:r>
          </w:p>
        </w:tc>
      </w:tr>
      <w:tr w:rsidR="00406201" w:rsidRPr="009A2EE7" w14:paraId="33D962B7" w14:textId="77777777" w:rsidTr="00406201">
        <w:trPr>
          <w:trHeight w:val="290"/>
        </w:trPr>
        <w:tc>
          <w:tcPr>
            <w:tcW w:w="1666" w:type="pct"/>
            <w:noWrap/>
            <w:hideMark/>
          </w:tcPr>
          <w:p w14:paraId="6CCA17A5" w14:textId="77777777" w:rsidR="009A2EE7" w:rsidRPr="009A2EE7" w:rsidRDefault="009A2EE7" w:rsidP="00406201">
            <w:pPr>
              <w:pStyle w:val="TableBody"/>
            </w:pPr>
            <w:r w:rsidRPr="009A2EE7">
              <w:t>2013</w:t>
            </w:r>
          </w:p>
        </w:tc>
        <w:tc>
          <w:tcPr>
            <w:tcW w:w="1666" w:type="pct"/>
            <w:noWrap/>
            <w:hideMark/>
          </w:tcPr>
          <w:p w14:paraId="1FFA172B" w14:textId="77777777" w:rsidR="009A2EE7" w:rsidRPr="009A2EE7" w:rsidRDefault="009A2EE7" w:rsidP="00406201">
            <w:pPr>
              <w:pStyle w:val="TableBody"/>
            </w:pPr>
            <w:r w:rsidRPr="009A2EE7">
              <w:t>81%</w:t>
            </w:r>
          </w:p>
        </w:tc>
        <w:tc>
          <w:tcPr>
            <w:tcW w:w="1667" w:type="pct"/>
            <w:noWrap/>
            <w:hideMark/>
          </w:tcPr>
          <w:p w14:paraId="58579AC5" w14:textId="77777777" w:rsidR="009A2EE7" w:rsidRPr="009A2EE7" w:rsidRDefault="009A2EE7" w:rsidP="00406201">
            <w:pPr>
              <w:pStyle w:val="TableBody"/>
            </w:pPr>
            <w:r w:rsidRPr="009A2EE7">
              <w:t>24%</w:t>
            </w:r>
          </w:p>
        </w:tc>
      </w:tr>
      <w:tr w:rsidR="00406201" w:rsidRPr="009A2EE7" w14:paraId="00A2F2D9" w14:textId="77777777" w:rsidTr="00406201">
        <w:trPr>
          <w:trHeight w:val="290"/>
        </w:trPr>
        <w:tc>
          <w:tcPr>
            <w:tcW w:w="1666" w:type="pct"/>
            <w:noWrap/>
            <w:hideMark/>
          </w:tcPr>
          <w:p w14:paraId="35ACD694" w14:textId="77777777" w:rsidR="009A2EE7" w:rsidRPr="009A2EE7" w:rsidRDefault="009A2EE7" w:rsidP="00406201">
            <w:pPr>
              <w:pStyle w:val="TableBody"/>
            </w:pPr>
            <w:r w:rsidRPr="009A2EE7">
              <w:t>2014</w:t>
            </w:r>
          </w:p>
        </w:tc>
        <w:tc>
          <w:tcPr>
            <w:tcW w:w="1666" w:type="pct"/>
            <w:noWrap/>
            <w:hideMark/>
          </w:tcPr>
          <w:p w14:paraId="42B0CC46" w14:textId="77777777" w:rsidR="009A2EE7" w:rsidRPr="009A2EE7" w:rsidRDefault="009A2EE7" w:rsidP="00406201">
            <w:pPr>
              <w:pStyle w:val="TableBody"/>
            </w:pPr>
            <w:r w:rsidRPr="009A2EE7">
              <w:t>82%</w:t>
            </w:r>
          </w:p>
        </w:tc>
        <w:tc>
          <w:tcPr>
            <w:tcW w:w="1667" w:type="pct"/>
            <w:noWrap/>
            <w:hideMark/>
          </w:tcPr>
          <w:p w14:paraId="13997179" w14:textId="77777777" w:rsidR="009A2EE7" w:rsidRPr="009A2EE7" w:rsidRDefault="009A2EE7" w:rsidP="00406201">
            <w:pPr>
              <w:pStyle w:val="TableBody"/>
            </w:pPr>
            <w:r w:rsidRPr="009A2EE7">
              <w:t>53%</w:t>
            </w:r>
          </w:p>
        </w:tc>
      </w:tr>
      <w:tr w:rsidR="00406201" w:rsidRPr="009A2EE7" w14:paraId="491B204A" w14:textId="77777777" w:rsidTr="00406201">
        <w:trPr>
          <w:trHeight w:val="290"/>
        </w:trPr>
        <w:tc>
          <w:tcPr>
            <w:tcW w:w="1666" w:type="pct"/>
            <w:noWrap/>
            <w:hideMark/>
          </w:tcPr>
          <w:p w14:paraId="064B11AD" w14:textId="77777777" w:rsidR="009A2EE7" w:rsidRPr="009A2EE7" w:rsidRDefault="009A2EE7" w:rsidP="00406201">
            <w:pPr>
              <w:pStyle w:val="TableBody"/>
            </w:pPr>
            <w:r w:rsidRPr="009A2EE7">
              <w:t>2015</w:t>
            </w:r>
          </w:p>
        </w:tc>
        <w:tc>
          <w:tcPr>
            <w:tcW w:w="1666" w:type="pct"/>
            <w:noWrap/>
            <w:hideMark/>
          </w:tcPr>
          <w:p w14:paraId="08F1DF16" w14:textId="77777777" w:rsidR="009A2EE7" w:rsidRPr="009A2EE7" w:rsidRDefault="009A2EE7" w:rsidP="00406201">
            <w:pPr>
              <w:pStyle w:val="TableBody"/>
            </w:pPr>
            <w:r w:rsidRPr="009A2EE7">
              <w:t>85%</w:t>
            </w:r>
          </w:p>
        </w:tc>
        <w:tc>
          <w:tcPr>
            <w:tcW w:w="1667" w:type="pct"/>
            <w:noWrap/>
            <w:hideMark/>
          </w:tcPr>
          <w:p w14:paraId="420807AC" w14:textId="77777777" w:rsidR="009A2EE7" w:rsidRPr="009A2EE7" w:rsidRDefault="009A2EE7" w:rsidP="00406201">
            <w:pPr>
              <w:pStyle w:val="TableBody"/>
            </w:pPr>
            <w:r w:rsidRPr="009A2EE7">
              <w:t>28%</w:t>
            </w:r>
          </w:p>
        </w:tc>
      </w:tr>
      <w:tr w:rsidR="00406201" w:rsidRPr="009A2EE7" w14:paraId="2AA0456D" w14:textId="77777777" w:rsidTr="00406201">
        <w:trPr>
          <w:trHeight w:val="290"/>
        </w:trPr>
        <w:tc>
          <w:tcPr>
            <w:tcW w:w="1666" w:type="pct"/>
            <w:noWrap/>
            <w:hideMark/>
          </w:tcPr>
          <w:p w14:paraId="30B29BE3" w14:textId="77777777" w:rsidR="009A2EE7" w:rsidRPr="009A2EE7" w:rsidRDefault="009A2EE7" w:rsidP="00406201">
            <w:pPr>
              <w:pStyle w:val="TableBody"/>
            </w:pPr>
            <w:r w:rsidRPr="009A2EE7">
              <w:t>2016</w:t>
            </w:r>
          </w:p>
        </w:tc>
        <w:tc>
          <w:tcPr>
            <w:tcW w:w="1666" w:type="pct"/>
            <w:noWrap/>
            <w:hideMark/>
          </w:tcPr>
          <w:p w14:paraId="4F13279C" w14:textId="77777777" w:rsidR="009A2EE7" w:rsidRPr="009A2EE7" w:rsidRDefault="009A2EE7" w:rsidP="00406201">
            <w:pPr>
              <w:pStyle w:val="TableBody"/>
            </w:pPr>
            <w:r w:rsidRPr="009A2EE7">
              <w:t>82%</w:t>
            </w:r>
          </w:p>
        </w:tc>
        <w:tc>
          <w:tcPr>
            <w:tcW w:w="1667" w:type="pct"/>
            <w:noWrap/>
            <w:hideMark/>
          </w:tcPr>
          <w:p w14:paraId="2CE364D7" w14:textId="77777777" w:rsidR="009A2EE7" w:rsidRPr="009A2EE7" w:rsidRDefault="009A2EE7" w:rsidP="00406201">
            <w:pPr>
              <w:pStyle w:val="TableBody"/>
            </w:pPr>
            <w:r w:rsidRPr="009A2EE7">
              <w:t>38%</w:t>
            </w:r>
          </w:p>
        </w:tc>
      </w:tr>
      <w:tr w:rsidR="00406201" w:rsidRPr="009A2EE7" w14:paraId="20DEC920" w14:textId="77777777" w:rsidTr="00406201">
        <w:trPr>
          <w:trHeight w:val="290"/>
        </w:trPr>
        <w:tc>
          <w:tcPr>
            <w:tcW w:w="1666" w:type="pct"/>
            <w:noWrap/>
            <w:hideMark/>
          </w:tcPr>
          <w:p w14:paraId="61943EB6" w14:textId="77777777" w:rsidR="009A2EE7" w:rsidRPr="009A2EE7" w:rsidRDefault="009A2EE7" w:rsidP="00406201">
            <w:pPr>
              <w:pStyle w:val="TableBody"/>
            </w:pPr>
            <w:r w:rsidRPr="009A2EE7">
              <w:t>2017</w:t>
            </w:r>
          </w:p>
        </w:tc>
        <w:tc>
          <w:tcPr>
            <w:tcW w:w="1666" w:type="pct"/>
            <w:noWrap/>
            <w:hideMark/>
          </w:tcPr>
          <w:p w14:paraId="0F36BD56" w14:textId="77777777" w:rsidR="009A2EE7" w:rsidRPr="009A2EE7" w:rsidRDefault="009A2EE7" w:rsidP="00406201">
            <w:pPr>
              <w:pStyle w:val="TableBody"/>
            </w:pPr>
            <w:r w:rsidRPr="009A2EE7">
              <w:t>88%</w:t>
            </w:r>
          </w:p>
        </w:tc>
        <w:tc>
          <w:tcPr>
            <w:tcW w:w="1667" w:type="pct"/>
            <w:noWrap/>
            <w:hideMark/>
          </w:tcPr>
          <w:p w14:paraId="420A5154" w14:textId="77777777" w:rsidR="009A2EE7" w:rsidRPr="009A2EE7" w:rsidRDefault="009A2EE7" w:rsidP="00406201">
            <w:pPr>
              <w:pStyle w:val="TableBody"/>
            </w:pPr>
            <w:r w:rsidRPr="009A2EE7">
              <w:t>52%</w:t>
            </w:r>
          </w:p>
        </w:tc>
      </w:tr>
      <w:tr w:rsidR="00406201" w:rsidRPr="009A2EE7" w14:paraId="04937D5E" w14:textId="77777777" w:rsidTr="00406201">
        <w:trPr>
          <w:trHeight w:val="290"/>
        </w:trPr>
        <w:tc>
          <w:tcPr>
            <w:tcW w:w="1666" w:type="pct"/>
            <w:noWrap/>
            <w:hideMark/>
          </w:tcPr>
          <w:p w14:paraId="1DD6A0A7" w14:textId="77777777" w:rsidR="009A2EE7" w:rsidRPr="009A2EE7" w:rsidRDefault="009A2EE7" w:rsidP="00406201">
            <w:pPr>
              <w:pStyle w:val="TableBody"/>
            </w:pPr>
            <w:r w:rsidRPr="009A2EE7">
              <w:t>2018</w:t>
            </w:r>
          </w:p>
        </w:tc>
        <w:tc>
          <w:tcPr>
            <w:tcW w:w="1666" w:type="pct"/>
            <w:noWrap/>
            <w:hideMark/>
          </w:tcPr>
          <w:p w14:paraId="4DDDD9D8" w14:textId="77777777" w:rsidR="009A2EE7" w:rsidRPr="009A2EE7" w:rsidRDefault="009A2EE7" w:rsidP="00406201">
            <w:pPr>
              <w:pStyle w:val="TableBody"/>
            </w:pPr>
            <w:r w:rsidRPr="009A2EE7">
              <w:t>87%</w:t>
            </w:r>
          </w:p>
        </w:tc>
        <w:tc>
          <w:tcPr>
            <w:tcW w:w="1667" w:type="pct"/>
            <w:noWrap/>
            <w:hideMark/>
          </w:tcPr>
          <w:p w14:paraId="52FB0FA1" w14:textId="77777777" w:rsidR="009A2EE7" w:rsidRPr="009A2EE7" w:rsidRDefault="009A2EE7" w:rsidP="00406201">
            <w:pPr>
              <w:pStyle w:val="TableBody"/>
            </w:pPr>
            <w:r w:rsidRPr="009A2EE7">
              <w:t>44%</w:t>
            </w:r>
          </w:p>
        </w:tc>
      </w:tr>
      <w:tr w:rsidR="00406201" w:rsidRPr="009A2EE7" w14:paraId="6CA1653D" w14:textId="77777777" w:rsidTr="00406201">
        <w:trPr>
          <w:trHeight w:val="290"/>
        </w:trPr>
        <w:tc>
          <w:tcPr>
            <w:tcW w:w="1666" w:type="pct"/>
            <w:noWrap/>
            <w:hideMark/>
          </w:tcPr>
          <w:p w14:paraId="293D2583" w14:textId="77777777" w:rsidR="009A2EE7" w:rsidRPr="009A2EE7" w:rsidRDefault="009A2EE7" w:rsidP="00406201">
            <w:pPr>
              <w:pStyle w:val="TableBody"/>
            </w:pPr>
            <w:r w:rsidRPr="009A2EE7">
              <w:t>2019</w:t>
            </w:r>
          </w:p>
        </w:tc>
        <w:tc>
          <w:tcPr>
            <w:tcW w:w="1666" w:type="pct"/>
            <w:noWrap/>
            <w:hideMark/>
          </w:tcPr>
          <w:p w14:paraId="29D4EC6E" w14:textId="77777777" w:rsidR="009A2EE7" w:rsidRPr="009A2EE7" w:rsidRDefault="009A2EE7" w:rsidP="00406201">
            <w:pPr>
              <w:pStyle w:val="TableBody"/>
            </w:pPr>
            <w:r w:rsidRPr="009A2EE7">
              <w:t>80%</w:t>
            </w:r>
          </w:p>
        </w:tc>
        <w:tc>
          <w:tcPr>
            <w:tcW w:w="1667" w:type="pct"/>
            <w:noWrap/>
            <w:hideMark/>
          </w:tcPr>
          <w:p w14:paraId="687F09A1" w14:textId="77777777" w:rsidR="009A2EE7" w:rsidRPr="009A2EE7" w:rsidRDefault="009A2EE7" w:rsidP="00406201">
            <w:pPr>
              <w:pStyle w:val="TableBody"/>
            </w:pPr>
            <w:r w:rsidRPr="009A2EE7">
              <w:t>51%</w:t>
            </w:r>
          </w:p>
        </w:tc>
      </w:tr>
    </w:tbl>
    <w:p w14:paraId="07C4EE31" w14:textId="77777777" w:rsidR="00EF5C25" w:rsidRPr="007F530F" w:rsidRDefault="00EF5C25" w:rsidP="006633AA">
      <w:pPr>
        <w:pStyle w:val="Heading2"/>
      </w:pPr>
      <w:r w:rsidRPr="007F530F">
        <w:lastRenderedPageBreak/>
        <w:t>How long were prison sentences for child sexual assault offences?</w:t>
      </w:r>
    </w:p>
    <w:p w14:paraId="28F290CA" w14:textId="49812CA3" w:rsidR="00EF5C25" w:rsidRDefault="00EF5C25" w:rsidP="00F227A5">
      <w:pPr>
        <w:pStyle w:val="Numbered"/>
      </w:pPr>
      <w:r w:rsidRPr="007F530F">
        <w:t xml:space="preserve">There were 2,370 non-aggregate sentences of imprisonment imposed for the offences of indecent assault or sexual assault contrary to sections 47(1) and 49D of the </w:t>
      </w:r>
      <w:r w:rsidRPr="00D62402">
        <w:rPr>
          <w:rStyle w:val="Emphasis"/>
        </w:rPr>
        <w:t xml:space="preserve">Crimes Act 1958 </w:t>
      </w:r>
      <w:r w:rsidRPr="007F530F">
        <w:t>(Vic), 144 in the Magistrates’ Court and 2,226 in the higher courts. The yearly average prison sentence length for these offences is shown in Figure 28. The shortest prison sentence was one week (in 2 cases) and the longest prison sentences were 7 years and 6.5 years.</w:t>
      </w:r>
      <w:r w:rsidRPr="007F530F">
        <w:rPr>
          <w:rStyle w:val="Superscript"/>
        </w:rPr>
        <w:footnoteReference w:id="243"/>
      </w:r>
      <w:r w:rsidRPr="007F530F">
        <w:t xml:space="preserve"> The average prison sentence was 15 months in the higher courts and 7 months in the Magistrates’ Court.</w:t>
      </w:r>
      <w:r w:rsidRPr="007F530F">
        <w:rPr>
          <w:rStyle w:val="Superscript"/>
        </w:rPr>
        <w:footnoteReference w:id="244"/>
      </w:r>
      <w:r w:rsidRPr="007F530F">
        <w:t xml:space="preserve"> There was no statistically significant trend in average prison sentences over the reference period,</w:t>
      </w:r>
      <w:r w:rsidRPr="007F530F">
        <w:rPr>
          <w:rStyle w:val="Superscript"/>
        </w:rPr>
        <w:footnoteReference w:id="245"/>
      </w:r>
      <w:r w:rsidRPr="007F530F">
        <w:t xml:space="preserve"> though the average was notably longer in the higher courts in 2019 than in all previous years (even excluding the charges attracting standard sentence offence classification).</w:t>
      </w:r>
      <w:r w:rsidRPr="007F530F">
        <w:rPr>
          <w:rStyle w:val="Superscript"/>
        </w:rPr>
        <w:footnoteReference w:id="246"/>
      </w:r>
      <w:r w:rsidRPr="007F530F">
        <w:t xml:space="preserve"> </w:t>
      </w:r>
    </w:p>
    <w:p w14:paraId="0A1A1217" w14:textId="77777777" w:rsidR="00213AEF" w:rsidRPr="007F530F" w:rsidRDefault="00213AEF" w:rsidP="00693D2B">
      <w:pPr>
        <w:pStyle w:val="Caption"/>
        <w:keepLines/>
      </w:pPr>
      <w:r w:rsidRPr="00D00197">
        <w:lastRenderedPageBreak/>
        <w:t xml:space="preserve">Figure 28: </w:t>
      </w:r>
      <w:r w:rsidRPr="007F530F">
        <w:t xml:space="preserve">Average prison sentences (in years and months) imposed for charges of sexual assault of a child contrary to sections 47(1) and 49D of the </w:t>
      </w:r>
      <w:r w:rsidRPr="00D931C5">
        <w:rPr>
          <w:rStyle w:val="Emphasis"/>
        </w:rPr>
        <w:t>Crimes Act 1958</w:t>
      </w:r>
      <w:r w:rsidRPr="007F530F">
        <w:t xml:space="preserve"> (Vic), by year and court (2,370 charges: 2,226 charges in the higher courts and 144 in the Magistrates’ Court)</w:t>
      </w:r>
    </w:p>
    <w:tbl>
      <w:tblPr>
        <w:tblStyle w:val="Table"/>
        <w:tblW w:w="8480" w:type="dxa"/>
        <w:tblLook w:val="04A0" w:firstRow="1" w:lastRow="0" w:firstColumn="1" w:lastColumn="0" w:noHBand="0" w:noVBand="1"/>
      </w:tblPr>
      <w:tblGrid>
        <w:gridCol w:w="960"/>
        <w:gridCol w:w="1680"/>
        <w:gridCol w:w="2220"/>
        <w:gridCol w:w="1980"/>
        <w:gridCol w:w="1640"/>
      </w:tblGrid>
      <w:tr w:rsidR="00D44ADC" w:rsidRPr="00D44ADC" w14:paraId="4143CC15" w14:textId="77777777" w:rsidTr="00693D2B">
        <w:trPr>
          <w:trHeight w:val="1485"/>
          <w:tblHeader/>
        </w:trPr>
        <w:tc>
          <w:tcPr>
            <w:tcW w:w="960" w:type="dxa"/>
            <w:hideMark/>
          </w:tcPr>
          <w:p w14:paraId="357CC4C7" w14:textId="77777777" w:rsidR="00D44ADC" w:rsidRPr="003F2863" w:rsidRDefault="00D44ADC" w:rsidP="00693D2B">
            <w:pPr>
              <w:pStyle w:val="TableHeading"/>
            </w:pPr>
            <w:r w:rsidRPr="003F2863">
              <w:t>Year</w:t>
            </w:r>
          </w:p>
        </w:tc>
        <w:tc>
          <w:tcPr>
            <w:tcW w:w="1680" w:type="dxa"/>
            <w:hideMark/>
          </w:tcPr>
          <w:p w14:paraId="0E95E65B" w14:textId="77777777" w:rsidR="00D44ADC" w:rsidRPr="003F2863" w:rsidRDefault="00D44ADC" w:rsidP="00693D2B">
            <w:pPr>
              <w:pStyle w:val="TableHeading"/>
            </w:pPr>
            <w:r w:rsidRPr="003F2863">
              <w:t>Charges sentenced in the higher courts</w:t>
            </w:r>
          </w:p>
        </w:tc>
        <w:tc>
          <w:tcPr>
            <w:tcW w:w="2220" w:type="dxa"/>
            <w:hideMark/>
          </w:tcPr>
          <w:p w14:paraId="27B2DF4B" w14:textId="77777777" w:rsidR="00D44ADC" w:rsidRPr="003F2863" w:rsidRDefault="00D44ADC" w:rsidP="00693D2B">
            <w:pPr>
              <w:pStyle w:val="TableHeading"/>
            </w:pPr>
            <w:r w:rsidRPr="003F2863">
              <w:t>Average sentence in the higher courts</w:t>
            </w:r>
          </w:p>
        </w:tc>
        <w:tc>
          <w:tcPr>
            <w:tcW w:w="1980" w:type="dxa"/>
            <w:hideMark/>
          </w:tcPr>
          <w:p w14:paraId="142CF67F" w14:textId="77777777" w:rsidR="00D44ADC" w:rsidRPr="003F2863" w:rsidRDefault="00D44ADC" w:rsidP="00693D2B">
            <w:pPr>
              <w:pStyle w:val="TableHeading"/>
            </w:pPr>
            <w:r w:rsidRPr="003F2863">
              <w:t>Charges sentenced in the Magistrates' Court</w:t>
            </w:r>
          </w:p>
        </w:tc>
        <w:tc>
          <w:tcPr>
            <w:tcW w:w="1640" w:type="dxa"/>
            <w:hideMark/>
          </w:tcPr>
          <w:p w14:paraId="1BF92D19" w14:textId="77777777" w:rsidR="00D44ADC" w:rsidRPr="003F2863" w:rsidRDefault="00D44ADC" w:rsidP="00693D2B">
            <w:pPr>
              <w:pStyle w:val="TableHeading"/>
            </w:pPr>
            <w:r w:rsidRPr="003F2863">
              <w:t>Average sentence in the Magistrates' Court</w:t>
            </w:r>
          </w:p>
        </w:tc>
      </w:tr>
      <w:tr w:rsidR="00D44ADC" w:rsidRPr="00D44ADC" w14:paraId="33B25A5E" w14:textId="77777777" w:rsidTr="00693D2B">
        <w:trPr>
          <w:trHeight w:val="290"/>
        </w:trPr>
        <w:tc>
          <w:tcPr>
            <w:tcW w:w="960" w:type="dxa"/>
            <w:noWrap/>
            <w:hideMark/>
          </w:tcPr>
          <w:p w14:paraId="60F91DB7" w14:textId="77777777" w:rsidR="00D44ADC" w:rsidRPr="00D44ADC" w:rsidRDefault="00D44ADC" w:rsidP="00693D2B">
            <w:pPr>
              <w:pStyle w:val="TableBody"/>
            </w:pPr>
            <w:r w:rsidRPr="00D44ADC">
              <w:t>2010</w:t>
            </w:r>
          </w:p>
        </w:tc>
        <w:tc>
          <w:tcPr>
            <w:tcW w:w="1680" w:type="dxa"/>
            <w:noWrap/>
            <w:hideMark/>
          </w:tcPr>
          <w:p w14:paraId="4FF5D863" w14:textId="77777777" w:rsidR="00D44ADC" w:rsidRPr="00D44ADC" w:rsidRDefault="00D44ADC" w:rsidP="00693D2B">
            <w:pPr>
              <w:pStyle w:val="TableBody"/>
            </w:pPr>
            <w:r w:rsidRPr="00D44ADC">
              <w:t>208</w:t>
            </w:r>
          </w:p>
        </w:tc>
        <w:tc>
          <w:tcPr>
            <w:tcW w:w="2220" w:type="dxa"/>
            <w:noWrap/>
            <w:hideMark/>
          </w:tcPr>
          <w:p w14:paraId="257B1ED0" w14:textId="77777777" w:rsidR="00D44ADC" w:rsidRPr="00D44ADC" w:rsidRDefault="00D44ADC" w:rsidP="00693D2B">
            <w:pPr>
              <w:pStyle w:val="TableBody"/>
            </w:pPr>
            <w:r w:rsidRPr="00D44ADC">
              <w:t>1 year and 3 months</w:t>
            </w:r>
          </w:p>
        </w:tc>
        <w:tc>
          <w:tcPr>
            <w:tcW w:w="1980" w:type="dxa"/>
            <w:noWrap/>
            <w:hideMark/>
          </w:tcPr>
          <w:p w14:paraId="7F59EB06" w14:textId="77777777" w:rsidR="00D44ADC" w:rsidRPr="00D44ADC" w:rsidRDefault="00D44ADC" w:rsidP="00693D2B">
            <w:pPr>
              <w:pStyle w:val="TableBody"/>
            </w:pPr>
            <w:r w:rsidRPr="00D44ADC">
              <w:t>8</w:t>
            </w:r>
          </w:p>
        </w:tc>
        <w:tc>
          <w:tcPr>
            <w:tcW w:w="1640" w:type="dxa"/>
            <w:noWrap/>
            <w:hideMark/>
          </w:tcPr>
          <w:p w14:paraId="379A40BD" w14:textId="77777777" w:rsidR="00D44ADC" w:rsidRPr="00D44ADC" w:rsidRDefault="00D44ADC" w:rsidP="00693D2B">
            <w:pPr>
              <w:pStyle w:val="TableBody"/>
            </w:pPr>
            <w:r w:rsidRPr="00D44ADC">
              <w:t>9 months</w:t>
            </w:r>
          </w:p>
        </w:tc>
      </w:tr>
      <w:tr w:rsidR="00D44ADC" w:rsidRPr="00D44ADC" w14:paraId="3549FB5E" w14:textId="77777777" w:rsidTr="00693D2B">
        <w:trPr>
          <w:trHeight w:val="290"/>
        </w:trPr>
        <w:tc>
          <w:tcPr>
            <w:tcW w:w="960" w:type="dxa"/>
            <w:noWrap/>
            <w:hideMark/>
          </w:tcPr>
          <w:p w14:paraId="5C419B78" w14:textId="77777777" w:rsidR="00D44ADC" w:rsidRPr="00D44ADC" w:rsidRDefault="00D44ADC" w:rsidP="00693D2B">
            <w:pPr>
              <w:pStyle w:val="TableBody"/>
            </w:pPr>
            <w:r w:rsidRPr="00D44ADC">
              <w:t>2011</w:t>
            </w:r>
          </w:p>
        </w:tc>
        <w:tc>
          <w:tcPr>
            <w:tcW w:w="1680" w:type="dxa"/>
            <w:noWrap/>
            <w:hideMark/>
          </w:tcPr>
          <w:p w14:paraId="5BF623D5" w14:textId="77777777" w:rsidR="00D44ADC" w:rsidRPr="00D44ADC" w:rsidRDefault="00D44ADC" w:rsidP="00693D2B">
            <w:pPr>
              <w:pStyle w:val="TableBody"/>
            </w:pPr>
            <w:r w:rsidRPr="00D44ADC">
              <w:t>311</w:t>
            </w:r>
          </w:p>
        </w:tc>
        <w:tc>
          <w:tcPr>
            <w:tcW w:w="2220" w:type="dxa"/>
            <w:noWrap/>
            <w:hideMark/>
          </w:tcPr>
          <w:p w14:paraId="0CC98909" w14:textId="77777777" w:rsidR="00D44ADC" w:rsidRPr="00D44ADC" w:rsidRDefault="00D44ADC" w:rsidP="00693D2B">
            <w:pPr>
              <w:pStyle w:val="TableBody"/>
            </w:pPr>
            <w:r w:rsidRPr="00D44ADC">
              <w:t>1 year and 2 months</w:t>
            </w:r>
          </w:p>
        </w:tc>
        <w:tc>
          <w:tcPr>
            <w:tcW w:w="1980" w:type="dxa"/>
            <w:noWrap/>
            <w:hideMark/>
          </w:tcPr>
          <w:p w14:paraId="2A9ACBE7" w14:textId="77777777" w:rsidR="00D44ADC" w:rsidRPr="00D44ADC" w:rsidRDefault="00D44ADC" w:rsidP="00693D2B">
            <w:pPr>
              <w:pStyle w:val="TableBody"/>
            </w:pPr>
            <w:r w:rsidRPr="00D44ADC">
              <w:t>19</w:t>
            </w:r>
          </w:p>
        </w:tc>
        <w:tc>
          <w:tcPr>
            <w:tcW w:w="1640" w:type="dxa"/>
            <w:noWrap/>
            <w:hideMark/>
          </w:tcPr>
          <w:p w14:paraId="0F8D2826" w14:textId="77777777" w:rsidR="00D44ADC" w:rsidRPr="00D44ADC" w:rsidRDefault="00D44ADC" w:rsidP="00693D2B">
            <w:pPr>
              <w:pStyle w:val="TableBody"/>
            </w:pPr>
            <w:r w:rsidRPr="00D44ADC">
              <w:t>11 months</w:t>
            </w:r>
          </w:p>
        </w:tc>
      </w:tr>
      <w:tr w:rsidR="00D44ADC" w:rsidRPr="00D44ADC" w14:paraId="7DC72FE6" w14:textId="77777777" w:rsidTr="00693D2B">
        <w:trPr>
          <w:trHeight w:val="290"/>
        </w:trPr>
        <w:tc>
          <w:tcPr>
            <w:tcW w:w="960" w:type="dxa"/>
            <w:noWrap/>
            <w:hideMark/>
          </w:tcPr>
          <w:p w14:paraId="723D1C83" w14:textId="77777777" w:rsidR="00D44ADC" w:rsidRPr="00D44ADC" w:rsidRDefault="00D44ADC" w:rsidP="00693D2B">
            <w:pPr>
              <w:pStyle w:val="TableBody"/>
            </w:pPr>
            <w:r w:rsidRPr="00D44ADC">
              <w:t>2012</w:t>
            </w:r>
          </w:p>
        </w:tc>
        <w:tc>
          <w:tcPr>
            <w:tcW w:w="1680" w:type="dxa"/>
            <w:noWrap/>
            <w:hideMark/>
          </w:tcPr>
          <w:p w14:paraId="2D7BC5DA" w14:textId="77777777" w:rsidR="00D44ADC" w:rsidRPr="00D44ADC" w:rsidRDefault="00D44ADC" w:rsidP="00693D2B">
            <w:pPr>
              <w:pStyle w:val="TableBody"/>
            </w:pPr>
            <w:r w:rsidRPr="00D44ADC">
              <w:t>273</w:t>
            </w:r>
          </w:p>
        </w:tc>
        <w:tc>
          <w:tcPr>
            <w:tcW w:w="2220" w:type="dxa"/>
            <w:noWrap/>
            <w:hideMark/>
          </w:tcPr>
          <w:p w14:paraId="00620435" w14:textId="77777777" w:rsidR="00D44ADC" w:rsidRPr="00D44ADC" w:rsidRDefault="00D44ADC" w:rsidP="00693D2B">
            <w:pPr>
              <w:pStyle w:val="TableBody"/>
            </w:pPr>
            <w:r w:rsidRPr="00D44ADC">
              <w:t>1 year and 2 months</w:t>
            </w:r>
          </w:p>
        </w:tc>
        <w:tc>
          <w:tcPr>
            <w:tcW w:w="1980" w:type="dxa"/>
            <w:noWrap/>
            <w:hideMark/>
          </w:tcPr>
          <w:p w14:paraId="4B4807B8" w14:textId="77777777" w:rsidR="00D44ADC" w:rsidRPr="00D44ADC" w:rsidRDefault="00D44ADC" w:rsidP="00693D2B">
            <w:pPr>
              <w:pStyle w:val="TableBody"/>
            </w:pPr>
            <w:r w:rsidRPr="00D44ADC">
              <w:t>5</w:t>
            </w:r>
          </w:p>
        </w:tc>
        <w:tc>
          <w:tcPr>
            <w:tcW w:w="1640" w:type="dxa"/>
            <w:noWrap/>
            <w:hideMark/>
          </w:tcPr>
          <w:p w14:paraId="255D0CF7" w14:textId="77777777" w:rsidR="00D44ADC" w:rsidRPr="00D44ADC" w:rsidRDefault="00D44ADC" w:rsidP="00693D2B">
            <w:pPr>
              <w:pStyle w:val="TableBody"/>
            </w:pPr>
            <w:r w:rsidRPr="00D44ADC">
              <w:t>3 months</w:t>
            </w:r>
          </w:p>
        </w:tc>
      </w:tr>
      <w:tr w:rsidR="00D44ADC" w:rsidRPr="00D44ADC" w14:paraId="15144AF3" w14:textId="77777777" w:rsidTr="00693D2B">
        <w:trPr>
          <w:trHeight w:val="290"/>
        </w:trPr>
        <w:tc>
          <w:tcPr>
            <w:tcW w:w="960" w:type="dxa"/>
            <w:noWrap/>
            <w:hideMark/>
          </w:tcPr>
          <w:p w14:paraId="5D859864" w14:textId="77777777" w:rsidR="00D44ADC" w:rsidRPr="00D44ADC" w:rsidRDefault="00D44ADC" w:rsidP="00693D2B">
            <w:pPr>
              <w:pStyle w:val="TableBody"/>
            </w:pPr>
            <w:r w:rsidRPr="00D44ADC">
              <w:t>2013</w:t>
            </w:r>
          </w:p>
        </w:tc>
        <w:tc>
          <w:tcPr>
            <w:tcW w:w="1680" w:type="dxa"/>
            <w:noWrap/>
            <w:hideMark/>
          </w:tcPr>
          <w:p w14:paraId="69342EAF" w14:textId="77777777" w:rsidR="00D44ADC" w:rsidRPr="00D44ADC" w:rsidRDefault="00D44ADC" w:rsidP="00693D2B">
            <w:pPr>
              <w:pStyle w:val="TableBody"/>
            </w:pPr>
            <w:r w:rsidRPr="00D44ADC">
              <w:t>178</w:t>
            </w:r>
          </w:p>
        </w:tc>
        <w:tc>
          <w:tcPr>
            <w:tcW w:w="2220" w:type="dxa"/>
            <w:noWrap/>
            <w:hideMark/>
          </w:tcPr>
          <w:p w14:paraId="11EFE12B" w14:textId="77777777" w:rsidR="00D44ADC" w:rsidRPr="00D44ADC" w:rsidRDefault="00D44ADC" w:rsidP="00693D2B">
            <w:pPr>
              <w:pStyle w:val="TableBody"/>
            </w:pPr>
            <w:r w:rsidRPr="00D44ADC">
              <w:t>1 year and 3 months</w:t>
            </w:r>
          </w:p>
        </w:tc>
        <w:tc>
          <w:tcPr>
            <w:tcW w:w="1980" w:type="dxa"/>
            <w:noWrap/>
            <w:hideMark/>
          </w:tcPr>
          <w:p w14:paraId="3A9DF02F" w14:textId="77777777" w:rsidR="00D44ADC" w:rsidRPr="00D44ADC" w:rsidRDefault="00D44ADC" w:rsidP="00693D2B">
            <w:pPr>
              <w:pStyle w:val="TableBody"/>
            </w:pPr>
            <w:r w:rsidRPr="00D44ADC">
              <w:t>8</w:t>
            </w:r>
          </w:p>
        </w:tc>
        <w:tc>
          <w:tcPr>
            <w:tcW w:w="1640" w:type="dxa"/>
            <w:noWrap/>
            <w:hideMark/>
          </w:tcPr>
          <w:p w14:paraId="58141271" w14:textId="77777777" w:rsidR="00D44ADC" w:rsidRPr="00D44ADC" w:rsidRDefault="00D44ADC" w:rsidP="00693D2B">
            <w:pPr>
              <w:pStyle w:val="TableBody"/>
            </w:pPr>
            <w:r w:rsidRPr="00D44ADC">
              <w:t>4 months</w:t>
            </w:r>
          </w:p>
        </w:tc>
      </w:tr>
      <w:tr w:rsidR="00D44ADC" w:rsidRPr="00D44ADC" w14:paraId="0804D024" w14:textId="77777777" w:rsidTr="00693D2B">
        <w:trPr>
          <w:trHeight w:val="290"/>
        </w:trPr>
        <w:tc>
          <w:tcPr>
            <w:tcW w:w="960" w:type="dxa"/>
            <w:noWrap/>
            <w:hideMark/>
          </w:tcPr>
          <w:p w14:paraId="468C1435" w14:textId="77777777" w:rsidR="00D44ADC" w:rsidRPr="00D44ADC" w:rsidRDefault="00D44ADC" w:rsidP="00693D2B">
            <w:pPr>
              <w:pStyle w:val="TableBody"/>
            </w:pPr>
            <w:r w:rsidRPr="00D44ADC">
              <w:t>2014</w:t>
            </w:r>
          </w:p>
        </w:tc>
        <w:tc>
          <w:tcPr>
            <w:tcW w:w="1680" w:type="dxa"/>
            <w:noWrap/>
            <w:hideMark/>
          </w:tcPr>
          <w:p w14:paraId="06F01D7C" w14:textId="77777777" w:rsidR="00D44ADC" w:rsidRPr="00D44ADC" w:rsidRDefault="00D44ADC" w:rsidP="00693D2B">
            <w:pPr>
              <w:pStyle w:val="TableBody"/>
            </w:pPr>
            <w:r w:rsidRPr="00D44ADC">
              <w:t>226</w:t>
            </w:r>
          </w:p>
        </w:tc>
        <w:tc>
          <w:tcPr>
            <w:tcW w:w="2220" w:type="dxa"/>
            <w:noWrap/>
            <w:hideMark/>
          </w:tcPr>
          <w:p w14:paraId="44A7C48F" w14:textId="77777777" w:rsidR="00D44ADC" w:rsidRPr="00D44ADC" w:rsidRDefault="00D44ADC" w:rsidP="00693D2B">
            <w:pPr>
              <w:pStyle w:val="TableBody"/>
            </w:pPr>
            <w:r w:rsidRPr="00D44ADC">
              <w:t>1 year and 2 months</w:t>
            </w:r>
          </w:p>
        </w:tc>
        <w:tc>
          <w:tcPr>
            <w:tcW w:w="1980" w:type="dxa"/>
            <w:noWrap/>
            <w:hideMark/>
          </w:tcPr>
          <w:p w14:paraId="732C89B9" w14:textId="77777777" w:rsidR="00D44ADC" w:rsidRPr="00D44ADC" w:rsidRDefault="00D44ADC" w:rsidP="00693D2B">
            <w:pPr>
              <w:pStyle w:val="TableBody"/>
            </w:pPr>
            <w:r w:rsidRPr="00D44ADC">
              <w:t>21</w:t>
            </w:r>
          </w:p>
        </w:tc>
        <w:tc>
          <w:tcPr>
            <w:tcW w:w="1640" w:type="dxa"/>
            <w:noWrap/>
            <w:hideMark/>
          </w:tcPr>
          <w:p w14:paraId="0EAC6E01" w14:textId="77777777" w:rsidR="00D44ADC" w:rsidRPr="00D44ADC" w:rsidRDefault="00D44ADC" w:rsidP="00693D2B">
            <w:pPr>
              <w:pStyle w:val="TableBody"/>
            </w:pPr>
            <w:r w:rsidRPr="00D44ADC">
              <w:t>10 months</w:t>
            </w:r>
          </w:p>
        </w:tc>
      </w:tr>
      <w:tr w:rsidR="00D44ADC" w:rsidRPr="00D44ADC" w14:paraId="183004DD" w14:textId="77777777" w:rsidTr="00693D2B">
        <w:trPr>
          <w:trHeight w:val="290"/>
        </w:trPr>
        <w:tc>
          <w:tcPr>
            <w:tcW w:w="960" w:type="dxa"/>
            <w:noWrap/>
            <w:hideMark/>
          </w:tcPr>
          <w:p w14:paraId="3BB1BC43" w14:textId="77777777" w:rsidR="00D44ADC" w:rsidRPr="00D44ADC" w:rsidRDefault="00D44ADC" w:rsidP="00693D2B">
            <w:pPr>
              <w:pStyle w:val="TableBody"/>
            </w:pPr>
            <w:r w:rsidRPr="00D44ADC">
              <w:t>2015</w:t>
            </w:r>
          </w:p>
        </w:tc>
        <w:tc>
          <w:tcPr>
            <w:tcW w:w="1680" w:type="dxa"/>
            <w:noWrap/>
            <w:hideMark/>
          </w:tcPr>
          <w:p w14:paraId="2C901F3F" w14:textId="77777777" w:rsidR="00D44ADC" w:rsidRPr="00D44ADC" w:rsidRDefault="00D44ADC" w:rsidP="00693D2B">
            <w:pPr>
              <w:pStyle w:val="TableBody"/>
            </w:pPr>
            <w:r w:rsidRPr="00D44ADC">
              <w:t>224</w:t>
            </w:r>
          </w:p>
        </w:tc>
        <w:tc>
          <w:tcPr>
            <w:tcW w:w="2220" w:type="dxa"/>
            <w:noWrap/>
            <w:hideMark/>
          </w:tcPr>
          <w:p w14:paraId="300B839D" w14:textId="77777777" w:rsidR="00D44ADC" w:rsidRPr="00D44ADC" w:rsidRDefault="00D44ADC" w:rsidP="00693D2B">
            <w:pPr>
              <w:pStyle w:val="TableBody"/>
            </w:pPr>
            <w:r w:rsidRPr="00D44ADC">
              <w:t>1 year and 1 month</w:t>
            </w:r>
          </w:p>
        </w:tc>
        <w:tc>
          <w:tcPr>
            <w:tcW w:w="1980" w:type="dxa"/>
            <w:noWrap/>
            <w:hideMark/>
          </w:tcPr>
          <w:p w14:paraId="44C4DBB4" w14:textId="77777777" w:rsidR="00D44ADC" w:rsidRPr="00D44ADC" w:rsidRDefault="00D44ADC" w:rsidP="00693D2B">
            <w:pPr>
              <w:pStyle w:val="TableBody"/>
            </w:pPr>
            <w:r w:rsidRPr="00D44ADC">
              <w:t>8</w:t>
            </w:r>
          </w:p>
        </w:tc>
        <w:tc>
          <w:tcPr>
            <w:tcW w:w="1640" w:type="dxa"/>
            <w:noWrap/>
            <w:hideMark/>
          </w:tcPr>
          <w:p w14:paraId="4F2D4EAC" w14:textId="77777777" w:rsidR="00D44ADC" w:rsidRPr="00D44ADC" w:rsidRDefault="00D44ADC" w:rsidP="00693D2B">
            <w:pPr>
              <w:pStyle w:val="TableBody"/>
            </w:pPr>
            <w:r w:rsidRPr="00D44ADC">
              <w:t>4 months</w:t>
            </w:r>
          </w:p>
        </w:tc>
      </w:tr>
      <w:tr w:rsidR="00D44ADC" w:rsidRPr="00D44ADC" w14:paraId="637E2450" w14:textId="77777777" w:rsidTr="00693D2B">
        <w:trPr>
          <w:trHeight w:val="290"/>
        </w:trPr>
        <w:tc>
          <w:tcPr>
            <w:tcW w:w="960" w:type="dxa"/>
            <w:noWrap/>
            <w:hideMark/>
          </w:tcPr>
          <w:p w14:paraId="053746BD" w14:textId="77777777" w:rsidR="00D44ADC" w:rsidRPr="00D44ADC" w:rsidRDefault="00D44ADC" w:rsidP="00693D2B">
            <w:pPr>
              <w:pStyle w:val="TableBody"/>
            </w:pPr>
            <w:r w:rsidRPr="00D44ADC">
              <w:t>2016</w:t>
            </w:r>
          </w:p>
        </w:tc>
        <w:tc>
          <w:tcPr>
            <w:tcW w:w="1680" w:type="dxa"/>
            <w:noWrap/>
            <w:hideMark/>
          </w:tcPr>
          <w:p w14:paraId="34A179D5" w14:textId="77777777" w:rsidR="00D44ADC" w:rsidRPr="00D44ADC" w:rsidRDefault="00D44ADC" w:rsidP="00693D2B">
            <w:pPr>
              <w:pStyle w:val="TableBody"/>
            </w:pPr>
            <w:r w:rsidRPr="00D44ADC">
              <w:t>222</w:t>
            </w:r>
          </w:p>
        </w:tc>
        <w:tc>
          <w:tcPr>
            <w:tcW w:w="2220" w:type="dxa"/>
            <w:noWrap/>
            <w:hideMark/>
          </w:tcPr>
          <w:p w14:paraId="31CBAA8F" w14:textId="77777777" w:rsidR="00D44ADC" w:rsidRPr="00D44ADC" w:rsidRDefault="00D44ADC" w:rsidP="00693D2B">
            <w:pPr>
              <w:pStyle w:val="TableBody"/>
            </w:pPr>
            <w:r w:rsidRPr="00D44ADC">
              <w:t>1 year and 2 months</w:t>
            </w:r>
          </w:p>
        </w:tc>
        <w:tc>
          <w:tcPr>
            <w:tcW w:w="1980" w:type="dxa"/>
            <w:noWrap/>
            <w:hideMark/>
          </w:tcPr>
          <w:p w14:paraId="6D5B030B" w14:textId="77777777" w:rsidR="00D44ADC" w:rsidRPr="00D44ADC" w:rsidRDefault="00D44ADC" w:rsidP="00693D2B">
            <w:pPr>
              <w:pStyle w:val="TableBody"/>
            </w:pPr>
            <w:r w:rsidRPr="00D44ADC">
              <w:t>15</w:t>
            </w:r>
          </w:p>
        </w:tc>
        <w:tc>
          <w:tcPr>
            <w:tcW w:w="1640" w:type="dxa"/>
            <w:noWrap/>
            <w:hideMark/>
          </w:tcPr>
          <w:p w14:paraId="5790A7B1" w14:textId="77777777" w:rsidR="00D44ADC" w:rsidRPr="00D44ADC" w:rsidRDefault="00D44ADC" w:rsidP="00693D2B">
            <w:pPr>
              <w:pStyle w:val="TableBody"/>
            </w:pPr>
            <w:r w:rsidRPr="00D44ADC">
              <w:t>6 months</w:t>
            </w:r>
          </w:p>
        </w:tc>
      </w:tr>
      <w:tr w:rsidR="00D44ADC" w:rsidRPr="00D44ADC" w14:paraId="546BE2DC" w14:textId="77777777" w:rsidTr="00693D2B">
        <w:trPr>
          <w:trHeight w:val="290"/>
        </w:trPr>
        <w:tc>
          <w:tcPr>
            <w:tcW w:w="960" w:type="dxa"/>
            <w:noWrap/>
            <w:hideMark/>
          </w:tcPr>
          <w:p w14:paraId="79440A4B" w14:textId="77777777" w:rsidR="00D44ADC" w:rsidRPr="00D44ADC" w:rsidRDefault="00D44ADC" w:rsidP="00693D2B">
            <w:pPr>
              <w:pStyle w:val="TableBody"/>
            </w:pPr>
            <w:r w:rsidRPr="00D44ADC">
              <w:t>2017</w:t>
            </w:r>
          </w:p>
        </w:tc>
        <w:tc>
          <w:tcPr>
            <w:tcW w:w="1680" w:type="dxa"/>
            <w:noWrap/>
            <w:hideMark/>
          </w:tcPr>
          <w:p w14:paraId="424BDB67" w14:textId="77777777" w:rsidR="00D44ADC" w:rsidRPr="00D44ADC" w:rsidRDefault="00D44ADC" w:rsidP="00693D2B">
            <w:pPr>
              <w:pStyle w:val="TableBody"/>
            </w:pPr>
            <w:r w:rsidRPr="00D44ADC">
              <w:t>167</w:t>
            </w:r>
          </w:p>
        </w:tc>
        <w:tc>
          <w:tcPr>
            <w:tcW w:w="2220" w:type="dxa"/>
            <w:noWrap/>
            <w:hideMark/>
          </w:tcPr>
          <w:p w14:paraId="732CD781" w14:textId="77777777" w:rsidR="00D44ADC" w:rsidRPr="00D44ADC" w:rsidRDefault="00D44ADC" w:rsidP="00693D2B">
            <w:pPr>
              <w:pStyle w:val="TableBody"/>
            </w:pPr>
            <w:r w:rsidRPr="00D44ADC">
              <w:t>1 year and 2 months</w:t>
            </w:r>
          </w:p>
        </w:tc>
        <w:tc>
          <w:tcPr>
            <w:tcW w:w="1980" w:type="dxa"/>
            <w:noWrap/>
            <w:hideMark/>
          </w:tcPr>
          <w:p w14:paraId="1A546EF2" w14:textId="77777777" w:rsidR="00D44ADC" w:rsidRPr="00D44ADC" w:rsidRDefault="00D44ADC" w:rsidP="00693D2B">
            <w:pPr>
              <w:pStyle w:val="TableBody"/>
            </w:pPr>
            <w:r w:rsidRPr="00D44ADC">
              <w:t>14</w:t>
            </w:r>
          </w:p>
        </w:tc>
        <w:tc>
          <w:tcPr>
            <w:tcW w:w="1640" w:type="dxa"/>
            <w:noWrap/>
            <w:hideMark/>
          </w:tcPr>
          <w:p w14:paraId="3430EFCA" w14:textId="77777777" w:rsidR="00D44ADC" w:rsidRPr="00D44ADC" w:rsidRDefault="00D44ADC" w:rsidP="00693D2B">
            <w:pPr>
              <w:pStyle w:val="TableBody"/>
            </w:pPr>
            <w:r w:rsidRPr="00D44ADC">
              <w:t>5 months</w:t>
            </w:r>
          </w:p>
        </w:tc>
      </w:tr>
      <w:tr w:rsidR="00D44ADC" w:rsidRPr="00D44ADC" w14:paraId="5330DFE4" w14:textId="77777777" w:rsidTr="00693D2B">
        <w:trPr>
          <w:trHeight w:val="290"/>
        </w:trPr>
        <w:tc>
          <w:tcPr>
            <w:tcW w:w="960" w:type="dxa"/>
            <w:noWrap/>
            <w:hideMark/>
          </w:tcPr>
          <w:p w14:paraId="49EB00E4" w14:textId="77777777" w:rsidR="00D44ADC" w:rsidRPr="00D44ADC" w:rsidRDefault="00D44ADC" w:rsidP="00693D2B">
            <w:pPr>
              <w:pStyle w:val="TableBody"/>
            </w:pPr>
            <w:r w:rsidRPr="00D44ADC">
              <w:t>2018</w:t>
            </w:r>
          </w:p>
        </w:tc>
        <w:tc>
          <w:tcPr>
            <w:tcW w:w="1680" w:type="dxa"/>
            <w:noWrap/>
            <w:hideMark/>
          </w:tcPr>
          <w:p w14:paraId="578E050A" w14:textId="77777777" w:rsidR="00D44ADC" w:rsidRPr="00D44ADC" w:rsidRDefault="00D44ADC" w:rsidP="00693D2B">
            <w:pPr>
              <w:pStyle w:val="TableBody"/>
            </w:pPr>
            <w:r w:rsidRPr="00D44ADC">
              <w:t>188</w:t>
            </w:r>
          </w:p>
        </w:tc>
        <w:tc>
          <w:tcPr>
            <w:tcW w:w="2220" w:type="dxa"/>
            <w:noWrap/>
            <w:hideMark/>
          </w:tcPr>
          <w:p w14:paraId="7E644525" w14:textId="77777777" w:rsidR="00D44ADC" w:rsidRPr="00D44ADC" w:rsidRDefault="00D44ADC" w:rsidP="00693D2B">
            <w:pPr>
              <w:pStyle w:val="TableBody"/>
            </w:pPr>
            <w:r w:rsidRPr="00D44ADC">
              <w:t>1 year and 4 months</w:t>
            </w:r>
          </w:p>
        </w:tc>
        <w:tc>
          <w:tcPr>
            <w:tcW w:w="1980" w:type="dxa"/>
            <w:noWrap/>
            <w:hideMark/>
          </w:tcPr>
          <w:p w14:paraId="67BD8796" w14:textId="77777777" w:rsidR="00D44ADC" w:rsidRPr="00D44ADC" w:rsidRDefault="00D44ADC" w:rsidP="00693D2B">
            <w:pPr>
              <w:pStyle w:val="TableBody"/>
            </w:pPr>
            <w:r w:rsidRPr="00D44ADC">
              <w:t>19</w:t>
            </w:r>
          </w:p>
        </w:tc>
        <w:tc>
          <w:tcPr>
            <w:tcW w:w="1640" w:type="dxa"/>
            <w:noWrap/>
            <w:hideMark/>
          </w:tcPr>
          <w:p w14:paraId="6D077C1A" w14:textId="77777777" w:rsidR="00D44ADC" w:rsidRPr="00D44ADC" w:rsidRDefault="00D44ADC" w:rsidP="00693D2B">
            <w:pPr>
              <w:pStyle w:val="TableBody"/>
            </w:pPr>
            <w:r w:rsidRPr="00D44ADC">
              <w:t>5 months</w:t>
            </w:r>
          </w:p>
        </w:tc>
      </w:tr>
      <w:tr w:rsidR="00D44ADC" w:rsidRPr="00D44ADC" w14:paraId="01C622AB" w14:textId="77777777" w:rsidTr="00693D2B">
        <w:trPr>
          <w:trHeight w:val="290"/>
        </w:trPr>
        <w:tc>
          <w:tcPr>
            <w:tcW w:w="960" w:type="dxa"/>
            <w:noWrap/>
            <w:hideMark/>
          </w:tcPr>
          <w:p w14:paraId="1509FDC8" w14:textId="77777777" w:rsidR="00D44ADC" w:rsidRPr="00D44ADC" w:rsidRDefault="00D44ADC" w:rsidP="00693D2B">
            <w:pPr>
              <w:pStyle w:val="TableBody"/>
            </w:pPr>
            <w:r w:rsidRPr="00D44ADC">
              <w:t>2019</w:t>
            </w:r>
          </w:p>
        </w:tc>
        <w:tc>
          <w:tcPr>
            <w:tcW w:w="1680" w:type="dxa"/>
            <w:noWrap/>
            <w:hideMark/>
          </w:tcPr>
          <w:p w14:paraId="3B598DDD" w14:textId="77777777" w:rsidR="00D44ADC" w:rsidRPr="00D44ADC" w:rsidRDefault="00D44ADC" w:rsidP="00693D2B">
            <w:pPr>
              <w:pStyle w:val="TableBody"/>
            </w:pPr>
            <w:r w:rsidRPr="00D44ADC">
              <w:t>229</w:t>
            </w:r>
          </w:p>
        </w:tc>
        <w:tc>
          <w:tcPr>
            <w:tcW w:w="2220" w:type="dxa"/>
            <w:noWrap/>
            <w:hideMark/>
          </w:tcPr>
          <w:p w14:paraId="75A43791" w14:textId="77777777" w:rsidR="00D44ADC" w:rsidRPr="00D44ADC" w:rsidRDefault="00D44ADC" w:rsidP="00693D2B">
            <w:pPr>
              <w:pStyle w:val="TableBody"/>
            </w:pPr>
            <w:r w:rsidRPr="00D44ADC">
              <w:t>1 year and 8 months</w:t>
            </w:r>
          </w:p>
        </w:tc>
        <w:tc>
          <w:tcPr>
            <w:tcW w:w="1980" w:type="dxa"/>
            <w:noWrap/>
            <w:hideMark/>
          </w:tcPr>
          <w:p w14:paraId="37F49F2D" w14:textId="77777777" w:rsidR="00D44ADC" w:rsidRPr="00D44ADC" w:rsidRDefault="00D44ADC" w:rsidP="00693D2B">
            <w:pPr>
              <w:pStyle w:val="TableBody"/>
            </w:pPr>
            <w:r w:rsidRPr="00D44ADC">
              <w:t>27</w:t>
            </w:r>
          </w:p>
        </w:tc>
        <w:tc>
          <w:tcPr>
            <w:tcW w:w="1640" w:type="dxa"/>
            <w:noWrap/>
            <w:hideMark/>
          </w:tcPr>
          <w:p w14:paraId="3E8B5199" w14:textId="77777777" w:rsidR="00D44ADC" w:rsidRPr="00D44ADC" w:rsidRDefault="00D44ADC" w:rsidP="00693D2B">
            <w:pPr>
              <w:pStyle w:val="TableBody"/>
            </w:pPr>
            <w:r w:rsidRPr="00D44ADC">
              <w:t>7 months</w:t>
            </w:r>
          </w:p>
        </w:tc>
      </w:tr>
    </w:tbl>
    <w:p w14:paraId="7CA957B1" w14:textId="486E93B5" w:rsidR="00EF5C25" w:rsidRDefault="00EF5C25" w:rsidP="00F227A5">
      <w:pPr>
        <w:pStyle w:val="Numbered"/>
      </w:pPr>
      <w:r w:rsidRPr="007F530F">
        <w:t>There were 345 cases in which a charge of indecent assault of a child or sexual assault of a child was the principal proven offence and the offender received a term of imprisonment (153 in the higher courts and 192 in the Magistrates’ Court). The yearly average total effective sentences in these cases are illustrated in Figure 29. The average total effective sentence in the Magistrates’ Court was 10 months, ranging from 2 weeks to 3 years and 6 months, and the average total effective sentence in the higher courts was 2 years and 11 months, ranging from 1 week to 12 years.</w:t>
      </w:r>
      <w:r w:rsidRPr="007F530F">
        <w:rPr>
          <w:rStyle w:val="Superscript"/>
        </w:rPr>
        <w:footnoteReference w:id="247"/>
      </w:r>
      <w:r w:rsidRPr="007F530F">
        <w:t xml:space="preserve"> The decline in Magistrates’ Court prison sentence lengths </w:t>
      </w:r>
      <w:r w:rsidRPr="007F530F">
        <w:lastRenderedPageBreak/>
        <w:t>was statistically significant, with the average sentence stable since about 2015.</w:t>
      </w:r>
      <w:r w:rsidRPr="007F530F">
        <w:rPr>
          <w:rStyle w:val="Superscript"/>
        </w:rPr>
        <w:footnoteReference w:id="248"/>
      </w:r>
    </w:p>
    <w:p w14:paraId="06F95CC6" w14:textId="77777777" w:rsidR="0022529A" w:rsidRPr="007F530F" w:rsidRDefault="0022529A" w:rsidP="0022529A">
      <w:pPr>
        <w:pStyle w:val="Caption"/>
      </w:pPr>
      <w:r w:rsidRPr="00D00197">
        <w:t xml:space="preserve">Figure 29: </w:t>
      </w:r>
      <w:r w:rsidRPr="007F530F">
        <w:t xml:space="preserve">Average total effective sentence (in years and months) imposed in cases involving indecent assault of a child or sexual assault of a child contrary to sections 47(1) and 49D of the </w:t>
      </w:r>
      <w:r w:rsidRPr="00D931C5">
        <w:rPr>
          <w:rStyle w:val="Emphasis"/>
        </w:rPr>
        <w:t>Crimes Act 1958</w:t>
      </w:r>
      <w:r w:rsidRPr="007F530F">
        <w:t xml:space="preserve"> (Vic) as the principal proven offence, by year and court (345 cases: 153 in the higher courts and 192 in the Magistrates’ Court)</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910ECA" w:rsidRPr="00A72EED" w14:paraId="50262381" w14:textId="77777777" w:rsidTr="0064588F">
        <w:trPr>
          <w:trHeight w:val="1020"/>
          <w:tblHeader/>
        </w:trPr>
        <w:tc>
          <w:tcPr>
            <w:tcW w:w="1000" w:type="pct"/>
            <w:noWrap/>
            <w:hideMark/>
          </w:tcPr>
          <w:p w14:paraId="7236A167" w14:textId="015190A4" w:rsidR="00A72EED" w:rsidRPr="00A72EED" w:rsidRDefault="009354F8" w:rsidP="0064588F">
            <w:pPr>
              <w:pStyle w:val="TableHeading"/>
            </w:pPr>
            <w:r>
              <w:t>Year</w:t>
            </w:r>
          </w:p>
        </w:tc>
        <w:tc>
          <w:tcPr>
            <w:tcW w:w="1000" w:type="pct"/>
            <w:hideMark/>
          </w:tcPr>
          <w:p w14:paraId="34DADE9C" w14:textId="77777777" w:rsidR="00A72EED" w:rsidRPr="00E67141" w:rsidRDefault="00A72EED" w:rsidP="0064588F">
            <w:pPr>
              <w:pStyle w:val="TableHeading"/>
            </w:pPr>
            <w:r w:rsidRPr="00E67141">
              <w:t>Cases sentenced in the higher courts</w:t>
            </w:r>
          </w:p>
        </w:tc>
        <w:tc>
          <w:tcPr>
            <w:tcW w:w="1000" w:type="pct"/>
            <w:hideMark/>
          </w:tcPr>
          <w:p w14:paraId="4B9AD99E" w14:textId="77777777" w:rsidR="00A72EED" w:rsidRPr="00E67141" w:rsidRDefault="00A72EED" w:rsidP="0064588F">
            <w:pPr>
              <w:pStyle w:val="TableHeading"/>
            </w:pPr>
            <w:r w:rsidRPr="00E67141">
              <w:t>Average sentence in the higher courts</w:t>
            </w:r>
          </w:p>
        </w:tc>
        <w:tc>
          <w:tcPr>
            <w:tcW w:w="1000" w:type="pct"/>
            <w:hideMark/>
          </w:tcPr>
          <w:p w14:paraId="0E9B5F2A" w14:textId="77777777" w:rsidR="00A72EED" w:rsidRPr="00E67141" w:rsidRDefault="00A72EED" w:rsidP="0064588F">
            <w:pPr>
              <w:pStyle w:val="TableHeading"/>
            </w:pPr>
            <w:r w:rsidRPr="00E67141">
              <w:t>Cases sentenced in the Magistrates' Court</w:t>
            </w:r>
          </w:p>
        </w:tc>
        <w:tc>
          <w:tcPr>
            <w:tcW w:w="1000" w:type="pct"/>
            <w:hideMark/>
          </w:tcPr>
          <w:p w14:paraId="799E7CC9" w14:textId="77777777" w:rsidR="00A72EED" w:rsidRPr="00E67141" w:rsidRDefault="00A72EED" w:rsidP="0064588F">
            <w:pPr>
              <w:pStyle w:val="TableHeading"/>
            </w:pPr>
            <w:r w:rsidRPr="00E67141">
              <w:t>Average sentence in the Magistrates' Court</w:t>
            </w:r>
          </w:p>
        </w:tc>
      </w:tr>
      <w:tr w:rsidR="00CE771A" w:rsidRPr="00A72EED" w14:paraId="4C35AACB" w14:textId="77777777" w:rsidTr="0064588F">
        <w:trPr>
          <w:trHeight w:val="290"/>
        </w:trPr>
        <w:tc>
          <w:tcPr>
            <w:tcW w:w="1000" w:type="pct"/>
            <w:noWrap/>
            <w:hideMark/>
          </w:tcPr>
          <w:p w14:paraId="622CE8B3" w14:textId="77777777" w:rsidR="00A72EED" w:rsidRPr="00AA48DE" w:rsidRDefault="00A72EED" w:rsidP="0064588F">
            <w:pPr>
              <w:pStyle w:val="TableBody"/>
            </w:pPr>
            <w:r w:rsidRPr="00AA48DE">
              <w:t>2010</w:t>
            </w:r>
          </w:p>
        </w:tc>
        <w:tc>
          <w:tcPr>
            <w:tcW w:w="1000" w:type="pct"/>
            <w:noWrap/>
            <w:hideMark/>
          </w:tcPr>
          <w:p w14:paraId="6FE7F6E3" w14:textId="77777777" w:rsidR="00A72EED" w:rsidRPr="00AA48DE" w:rsidRDefault="00A72EED" w:rsidP="0064588F">
            <w:pPr>
              <w:pStyle w:val="TableBody"/>
            </w:pPr>
            <w:r w:rsidRPr="00AA48DE">
              <w:t>15</w:t>
            </w:r>
          </w:p>
        </w:tc>
        <w:tc>
          <w:tcPr>
            <w:tcW w:w="1000" w:type="pct"/>
            <w:noWrap/>
            <w:hideMark/>
          </w:tcPr>
          <w:p w14:paraId="30F756D4" w14:textId="77777777" w:rsidR="00A72EED" w:rsidRPr="00AA48DE" w:rsidRDefault="00A72EED" w:rsidP="0064588F">
            <w:pPr>
              <w:pStyle w:val="TableBody"/>
            </w:pPr>
            <w:r w:rsidRPr="00AA48DE">
              <w:t>3 years and  5 months</w:t>
            </w:r>
          </w:p>
        </w:tc>
        <w:tc>
          <w:tcPr>
            <w:tcW w:w="1000" w:type="pct"/>
            <w:noWrap/>
            <w:hideMark/>
          </w:tcPr>
          <w:p w14:paraId="1BCAE04E" w14:textId="77777777" w:rsidR="00A72EED" w:rsidRPr="00AA48DE" w:rsidRDefault="00A72EED" w:rsidP="0064588F">
            <w:pPr>
              <w:pStyle w:val="TableBody"/>
            </w:pPr>
            <w:r w:rsidRPr="00AA48DE">
              <w:t>12</w:t>
            </w:r>
          </w:p>
        </w:tc>
        <w:tc>
          <w:tcPr>
            <w:tcW w:w="1000" w:type="pct"/>
            <w:noWrap/>
            <w:hideMark/>
          </w:tcPr>
          <w:p w14:paraId="510BC948" w14:textId="77777777" w:rsidR="00A72EED" w:rsidRPr="00AA48DE" w:rsidRDefault="00A72EED" w:rsidP="0064588F">
            <w:pPr>
              <w:pStyle w:val="TableBody"/>
            </w:pPr>
            <w:r w:rsidRPr="00AA48DE">
              <w:t>1 year</w:t>
            </w:r>
          </w:p>
        </w:tc>
      </w:tr>
      <w:tr w:rsidR="00CE771A" w:rsidRPr="00A72EED" w14:paraId="40CCBCDB" w14:textId="77777777" w:rsidTr="0064588F">
        <w:trPr>
          <w:trHeight w:val="290"/>
        </w:trPr>
        <w:tc>
          <w:tcPr>
            <w:tcW w:w="1000" w:type="pct"/>
            <w:noWrap/>
            <w:hideMark/>
          </w:tcPr>
          <w:p w14:paraId="41E60D34" w14:textId="77777777" w:rsidR="00A72EED" w:rsidRPr="00AA48DE" w:rsidRDefault="00A72EED" w:rsidP="0064588F">
            <w:pPr>
              <w:pStyle w:val="TableBody"/>
            </w:pPr>
            <w:r w:rsidRPr="00AA48DE">
              <w:t>2011</w:t>
            </w:r>
          </w:p>
        </w:tc>
        <w:tc>
          <w:tcPr>
            <w:tcW w:w="1000" w:type="pct"/>
            <w:noWrap/>
            <w:hideMark/>
          </w:tcPr>
          <w:p w14:paraId="31956D77" w14:textId="77777777" w:rsidR="00A72EED" w:rsidRPr="00AA48DE" w:rsidRDefault="00A72EED" w:rsidP="0064588F">
            <w:pPr>
              <w:pStyle w:val="TableBody"/>
            </w:pPr>
            <w:r w:rsidRPr="00AA48DE">
              <w:t>15</w:t>
            </w:r>
          </w:p>
        </w:tc>
        <w:tc>
          <w:tcPr>
            <w:tcW w:w="1000" w:type="pct"/>
            <w:noWrap/>
            <w:hideMark/>
          </w:tcPr>
          <w:p w14:paraId="4C954572" w14:textId="77777777" w:rsidR="00A72EED" w:rsidRPr="00AA48DE" w:rsidRDefault="00A72EED" w:rsidP="0064588F">
            <w:pPr>
              <w:pStyle w:val="TableBody"/>
            </w:pPr>
            <w:r w:rsidRPr="00AA48DE">
              <w:t>3 years and  1 month</w:t>
            </w:r>
          </w:p>
        </w:tc>
        <w:tc>
          <w:tcPr>
            <w:tcW w:w="1000" w:type="pct"/>
            <w:noWrap/>
            <w:hideMark/>
          </w:tcPr>
          <w:p w14:paraId="159610BD" w14:textId="77777777" w:rsidR="00A72EED" w:rsidRPr="00AA48DE" w:rsidRDefault="00A72EED" w:rsidP="0064588F">
            <w:pPr>
              <w:pStyle w:val="TableBody"/>
            </w:pPr>
            <w:r w:rsidRPr="00AA48DE">
              <w:t>10</w:t>
            </w:r>
          </w:p>
        </w:tc>
        <w:tc>
          <w:tcPr>
            <w:tcW w:w="1000" w:type="pct"/>
            <w:noWrap/>
            <w:hideMark/>
          </w:tcPr>
          <w:p w14:paraId="390CF2D6" w14:textId="77777777" w:rsidR="00A72EED" w:rsidRPr="00AA48DE" w:rsidRDefault="00A72EED" w:rsidP="0064588F">
            <w:pPr>
              <w:pStyle w:val="TableBody"/>
            </w:pPr>
            <w:r w:rsidRPr="00AA48DE">
              <w:t>1 year and  3 months</w:t>
            </w:r>
          </w:p>
        </w:tc>
      </w:tr>
      <w:tr w:rsidR="00CE771A" w:rsidRPr="00A72EED" w14:paraId="770640D3" w14:textId="77777777" w:rsidTr="0064588F">
        <w:trPr>
          <w:trHeight w:val="290"/>
        </w:trPr>
        <w:tc>
          <w:tcPr>
            <w:tcW w:w="1000" w:type="pct"/>
            <w:noWrap/>
            <w:hideMark/>
          </w:tcPr>
          <w:p w14:paraId="0975F17B" w14:textId="77777777" w:rsidR="00A72EED" w:rsidRPr="00AA48DE" w:rsidRDefault="00A72EED" w:rsidP="0064588F">
            <w:pPr>
              <w:pStyle w:val="TableBody"/>
            </w:pPr>
            <w:r w:rsidRPr="00AA48DE">
              <w:t>2012</w:t>
            </w:r>
          </w:p>
        </w:tc>
        <w:tc>
          <w:tcPr>
            <w:tcW w:w="1000" w:type="pct"/>
            <w:noWrap/>
            <w:hideMark/>
          </w:tcPr>
          <w:p w14:paraId="0CBDBFF2" w14:textId="77777777" w:rsidR="00A72EED" w:rsidRPr="00AA48DE" w:rsidRDefault="00A72EED" w:rsidP="0064588F">
            <w:pPr>
              <w:pStyle w:val="TableBody"/>
            </w:pPr>
            <w:r w:rsidRPr="00AA48DE">
              <w:t>17</w:t>
            </w:r>
          </w:p>
        </w:tc>
        <w:tc>
          <w:tcPr>
            <w:tcW w:w="1000" w:type="pct"/>
            <w:noWrap/>
            <w:hideMark/>
          </w:tcPr>
          <w:p w14:paraId="66796C98" w14:textId="77777777" w:rsidR="00A72EED" w:rsidRPr="00AA48DE" w:rsidRDefault="00A72EED" w:rsidP="0064588F">
            <w:pPr>
              <w:pStyle w:val="TableBody"/>
            </w:pPr>
            <w:r w:rsidRPr="00AA48DE">
              <w:t>2 years and  5 months</w:t>
            </w:r>
          </w:p>
        </w:tc>
        <w:tc>
          <w:tcPr>
            <w:tcW w:w="1000" w:type="pct"/>
            <w:noWrap/>
            <w:hideMark/>
          </w:tcPr>
          <w:p w14:paraId="5B480093" w14:textId="77777777" w:rsidR="00A72EED" w:rsidRPr="00AA48DE" w:rsidRDefault="00A72EED" w:rsidP="0064588F">
            <w:pPr>
              <w:pStyle w:val="TableBody"/>
            </w:pPr>
            <w:r w:rsidRPr="00AA48DE">
              <w:t>12</w:t>
            </w:r>
          </w:p>
        </w:tc>
        <w:tc>
          <w:tcPr>
            <w:tcW w:w="1000" w:type="pct"/>
            <w:noWrap/>
            <w:hideMark/>
          </w:tcPr>
          <w:p w14:paraId="744ADCD1" w14:textId="77777777" w:rsidR="00A72EED" w:rsidRPr="00AA48DE" w:rsidRDefault="00A72EED" w:rsidP="0064588F">
            <w:pPr>
              <w:pStyle w:val="TableBody"/>
            </w:pPr>
            <w:r w:rsidRPr="00AA48DE">
              <w:t>1 year and  2 months</w:t>
            </w:r>
          </w:p>
        </w:tc>
      </w:tr>
      <w:tr w:rsidR="00CE771A" w:rsidRPr="00A72EED" w14:paraId="0F01094F" w14:textId="77777777" w:rsidTr="0064588F">
        <w:trPr>
          <w:trHeight w:val="290"/>
        </w:trPr>
        <w:tc>
          <w:tcPr>
            <w:tcW w:w="1000" w:type="pct"/>
            <w:noWrap/>
            <w:hideMark/>
          </w:tcPr>
          <w:p w14:paraId="45F1C514" w14:textId="77777777" w:rsidR="00A72EED" w:rsidRPr="00AA48DE" w:rsidRDefault="00A72EED" w:rsidP="0064588F">
            <w:pPr>
              <w:pStyle w:val="TableBody"/>
            </w:pPr>
            <w:r w:rsidRPr="00AA48DE">
              <w:t>2013</w:t>
            </w:r>
          </w:p>
        </w:tc>
        <w:tc>
          <w:tcPr>
            <w:tcW w:w="1000" w:type="pct"/>
            <w:noWrap/>
            <w:hideMark/>
          </w:tcPr>
          <w:p w14:paraId="672275CB" w14:textId="77777777" w:rsidR="00A72EED" w:rsidRPr="00AA48DE" w:rsidRDefault="00A72EED" w:rsidP="0064588F">
            <w:pPr>
              <w:pStyle w:val="TableBody"/>
            </w:pPr>
            <w:r w:rsidRPr="00AA48DE">
              <w:t>14</w:t>
            </w:r>
          </w:p>
        </w:tc>
        <w:tc>
          <w:tcPr>
            <w:tcW w:w="1000" w:type="pct"/>
            <w:noWrap/>
            <w:hideMark/>
          </w:tcPr>
          <w:p w14:paraId="300DCB4F" w14:textId="77777777" w:rsidR="00A72EED" w:rsidRPr="00AA48DE" w:rsidRDefault="00A72EED" w:rsidP="0064588F">
            <w:pPr>
              <w:pStyle w:val="TableBody"/>
            </w:pPr>
            <w:r w:rsidRPr="00AA48DE">
              <w:t>3 years and  3 months</w:t>
            </w:r>
          </w:p>
        </w:tc>
        <w:tc>
          <w:tcPr>
            <w:tcW w:w="1000" w:type="pct"/>
            <w:noWrap/>
            <w:hideMark/>
          </w:tcPr>
          <w:p w14:paraId="1C3D5205" w14:textId="77777777" w:rsidR="00A72EED" w:rsidRPr="00AA48DE" w:rsidRDefault="00A72EED" w:rsidP="0064588F">
            <w:pPr>
              <w:pStyle w:val="TableBody"/>
            </w:pPr>
            <w:r w:rsidRPr="00AA48DE">
              <w:t>8</w:t>
            </w:r>
          </w:p>
        </w:tc>
        <w:tc>
          <w:tcPr>
            <w:tcW w:w="1000" w:type="pct"/>
            <w:noWrap/>
            <w:hideMark/>
          </w:tcPr>
          <w:p w14:paraId="778045C2" w14:textId="77777777" w:rsidR="00A72EED" w:rsidRPr="00AA48DE" w:rsidRDefault="00A72EED" w:rsidP="0064588F">
            <w:pPr>
              <w:pStyle w:val="TableBody"/>
            </w:pPr>
            <w:r w:rsidRPr="00AA48DE">
              <w:t>9 months</w:t>
            </w:r>
          </w:p>
        </w:tc>
      </w:tr>
      <w:tr w:rsidR="00CE771A" w:rsidRPr="00A72EED" w14:paraId="4D30F0C6" w14:textId="77777777" w:rsidTr="0064588F">
        <w:trPr>
          <w:trHeight w:val="290"/>
        </w:trPr>
        <w:tc>
          <w:tcPr>
            <w:tcW w:w="1000" w:type="pct"/>
            <w:noWrap/>
            <w:hideMark/>
          </w:tcPr>
          <w:p w14:paraId="35CEC97B" w14:textId="77777777" w:rsidR="00A72EED" w:rsidRPr="00AA48DE" w:rsidRDefault="00A72EED" w:rsidP="0064588F">
            <w:pPr>
              <w:pStyle w:val="TableBody"/>
            </w:pPr>
            <w:r w:rsidRPr="00AA48DE">
              <w:t>2014</w:t>
            </w:r>
          </w:p>
        </w:tc>
        <w:tc>
          <w:tcPr>
            <w:tcW w:w="1000" w:type="pct"/>
            <w:noWrap/>
            <w:hideMark/>
          </w:tcPr>
          <w:p w14:paraId="59144CD9" w14:textId="77777777" w:rsidR="00A72EED" w:rsidRPr="00AA48DE" w:rsidRDefault="00A72EED" w:rsidP="0064588F">
            <w:pPr>
              <w:pStyle w:val="TableBody"/>
            </w:pPr>
            <w:r w:rsidRPr="00AA48DE">
              <w:t>18</w:t>
            </w:r>
          </w:p>
        </w:tc>
        <w:tc>
          <w:tcPr>
            <w:tcW w:w="1000" w:type="pct"/>
            <w:noWrap/>
            <w:hideMark/>
          </w:tcPr>
          <w:p w14:paraId="7AD50083" w14:textId="77777777" w:rsidR="00A72EED" w:rsidRPr="00AA48DE" w:rsidRDefault="00A72EED" w:rsidP="0064588F">
            <w:pPr>
              <w:pStyle w:val="TableBody"/>
            </w:pPr>
            <w:r w:rsidRPr="00AA48DE">
              <w:t>2 years and  5 months</w:t>
            </w:r>
          </w:p>
        </w:tc>
        <w:tc>
          <w:tcPr>
            <w:tcW w:w="1000" w:type="pct"/>
            <w:noWrap/>
            <w:hideMark/>
          </w:tcPr>
          <w:p w14:paraId="5881A011" w14:textId="77777777" w:rsidR="00A72EED" w:rsidRPr="00AA48DE" w:rsidRDefault="00A72EED" w:rsidP="0064588F">
            <w:pPr>
              <w:pStyle w:val="TableBody"/>
            </w:pPr>
            <w:r w:rsidRPr="00AA48DE">
              <w:t>28</w:t>
            </w:r>
          </w:p>
        </w:tc>
        <w:tc>
          <w:tcPr>
            <w:tcW w:w="1000" w:type="pct"/>
            <w:noWrap/>
            <w:hideMark/>
          </w:tcPr>
          <w:p w14:paraId="7FE69D64" w14:textId="77777777" w:rsidR="00A72EED" w:rsidRPr="00AA48DE" w:rsidRDefault="00A72EED" w:rsidP="0064588F">
            <w:pPr>
              <w:pStyle w:val="TableBody"/>
            </w:pPr>
            <w:r w:rsidRPr="00AA48DE">
              <w:t>1 year and  1 month</w:t>
            </w:r>
          </w:p>
        </w:tc>
      </w:tr>
      <w:tr w:rsidR="00CE771A" w:rsidRPr="00A72EED" w14:paraId="2D1BADA2" w14:textId="77777777" w:rsidTr="0064588F">
        <w:trPr>
          <w:trHeight w:val="290"/>
        </w:trPr>
        <w:tc>
          <w:tcPr>
            <w:tcW w:w="1000" w:type="pct"/>
            <w:noWrap/>
            <w:hideMark/>
          </w:tcPr>
          <w:p w14:paraId="6991C80D" w14:textId="77777777" w:rsidR="00A72EED" w:rsidRPr="00AA48DE" w:rsidRDefault="00A72EED" w:rsidP="0064588F">
            <w:pPr>
              <w:pStyle w:val="TableBody"/>
            </w:pPr>
            <w:r w:rsidRPr="00AA48DE">
              <w:t>2015</w:t>
            </w:r>
          </w:p>
        </w:tc>
        <w:tc>
          <w:tcPr>
            <w:tcW w:w="1000" w:type="pct"/>
            <w:noWrap/>
            <w:hideMark/>
          </w:tcPr>
          <w:p w14:paraId="18B478AF" w14:textId="77777777" w:rsidR="00A72EED" w:rsidRPr="00AA48DE" w:rsidRDefault="00A72EED" w:rsidP="0064588F">
            <w:pPr>
              <w:pStyle w:val="TableBody"/>
            </w:pPr>
            <w:r w:rsidRPr="00AA48DE">
              <w:t>14</w:t>
            </w:r>
          </w:p>
        </w:tc>
        <w:tc>
          <w:tcPr>
            <w:tcW w:w="1000" w:type="pct"/>
            <w:noWrap/>
            <w:hideMark/>
          </w:tcPr>
          <w:p w14:paraId="5E86A2DF" w14:textId="77777777" w:rsidR="00A72EED" w:rsidRPr="00AA48DE" w:rsidRDefault="00A72EED" w:rsidP="0064588F">
            <w:pPr>
              <w:pStyle w:val="TableBody"/>
            </w:pPr>
            <w:r w:rsidRPr="00AA48DE">
              <w:t>2 years and  2 months</w:t>
            </w:r>
          </w:p>
        </w:tc>
        <w:tc>
          <w:tcPr>
            <w:tcW w:w="1000" w:type="pct"/>
            <w:noWrap/>
            <w:hideMark/>
          </w:tcPr>
          <w:p w14:paraId="6E2321EC" w14:textId="77777777" w:rsidR="00A72EED" w:rsidRPr="00AA48DE" w:rsidRDefault="00A72EED" w:rsidP="0064588F">
            <w:pPr>
              <w:pStyle w:val="TableBody"/>
            </w:pPr>
            <w:r w:rsidRPr="00AA48DE">
              <w:t>24</w:t>
            </w:r>
          </w:p>
        </w:tc>
        <w:tc>
          <w:tcPr>
            <w:tcW w:w="1000" w:type="pct"/>
            <w:noWrap/>
            <w:hideMark/>
          </w:tcPr>
          <w:p w14:paraId="54D93D90" w14:textId="77777777" w:rsidR="00A72EED" w:rsidRPr="00AA48DE" w:rsidRDefault="00A72EED" w:rsidP="0064588F">
            <w:pPr>
              <w:pStyle w:val="TableBody"/>
            </w:pPr>
            <w:r w:rsidRPr="00AA48DE">
              <w:t>7 months</w:t>
            </w:r>
          </w:p>
        </w:tc>
      </w:tr>
      <w:tr w:rsidR="00CE771A" w:rsidRPr="00A72EED" w14:paraId="55E8A98A" w14:textId="77777777" w:rsidTr="0064588F">
        <w:trPr>
          <w:trHeight w:val="290"/>
        </w:trPr>
        <w:tc>
          <w:tcPr>
            <w:tcW w:w="1000" w:type="pct"/>
            <w:noWrap/>
            <w:hideMark/>
          </w:tcPr>
          <w:p w14:paraId="19E0DE0B" w14:textId="77777777" w:rsidR="00A72EED" w:rsidRPr="00AA48DE" w:rsidRDefault="00A72EED" w:rsidP="0064588F">
            <w:pPr>
              <w:pStyle w:val="TableBody"/>
            </w:pPr>
            <w:r w:rsidRPr="00AA48DE">
              <w:t>2016</w:t>
            </w:r>
          </w:p>
        </w:tc>
        <w:tc>
          <w:tcPr>
            <w:tcW w:w="1000" w:type="pct"/>
            <w:noWrap/>
            <w:hideMark/>
          </w:tcPr>
          <w:p w14:paraId="62B31CB1" w14:textId="77777777" w:rsidR="00A72EED" w:rsidRPr="00AA48DE" w:rsidRDefault="00A72EED" w:rsidP="0064588F">
            <w:pPr>
              <w:pStyle w:val="TableBody"/>
            </w:pPr>
            <w:r w:rsidRPr="00AA48DE">
              <w:t>13</w:t>
            </w:r>
          </w:p>
        </w:tc>
        <w:tc>
          <w:tcPr>
            <w:tcW w:w="1000" w:type="pct"/>
            <w:noWrap/>
            <w:hideMark/>
          </w:tcPr>
          <w:p w14:paraId="0C60A432" w14:textId="77777777" w:rsidR="00A72EED" w:rsidRPr="00AA48DE" w:rsidRDefault="00A72EED" w:rsidP="0064588F">
            <w:pPr>
              <w:pStyle w:val="TableBody"/>
            </w:pPr>
            <w:r w:rsidRPr="00AA48DE">
              <w:t>2 years and  2 months</w:t>
            </w:r>
          </w:p>
        </w:tc>
        <w:tc>
          <w:tcPr>
            <w:tcW w:w="1000" w:type="pct"/>
            <w:noWrap/>
            <w:hideMark/>
          </w:tcPr>
          <w:p w14:paraId="7287C93C" w14:textId="77777777" w:rsidR="00A72EED" w:rsidRPr="00AA48DE" w:rsidRDefault="00A72EED" w:rsidP="0064588F">
            <w:pPr>
              <w:pStyle w:val="TableBody"/>
            </w:pPr>
            <w:r w:rsidRPr="00AA48DE">
              <w:t>24</w:t>
            </w:r>
          </w:p>
        </w:tc>
        <w:tc>
          <w:tcPr>
            <w:tcW w:w="1000" w:type="pct"/>
            <w:noWrap/>
            <w:hideMark/>
          </w:tcPr>
          <w:p w14:paraId="5E3FF00A" w14:textId="77777777" w:rsidR="00A72EED" w:rsidRPr="00AA48DE" w:rsidRDefault="00A72EED" w:rsidP="0064588F">
            <w:pPr>
              <w:pStyle w:val="TableBody"/>
            </w:pPr>
            <w:r w:rsidRPr="00AA48DE">
              <w:t>9 months</w:t>
            </w:r>
          </w:p>
        </w:tc>
      </w:tr>
      <w:tr w:rsidR="00CE771A" w:rsidRPr="00A72EED" w14:paraId="1DC9072C" w14:textId="77777777" w:rsidTr="0064588F">
        <w:trPr>
          <w:trHeight w:val="290"/>
        </w:trPr>
        <w:tc>
          <w:tcPr>
            <w:tcW w:w="1000" w:type="pct"/>
            <w:noWrap/>
            <w:hideMark/>
          </w:tcPr>
          <w:p w14:paraId="59BD0147" w14:textId="77777777" w:rsidR="00A72EED" w:rsidRPr="00AA48DE" w:rsidRDefault="00A72EED" w:rsidP="0064588F">
            <w:pPr>
              <w:pStyle w:val="TableBody"/>
            </w:pPr>
            <w:r w:rsidRPr="00AA48DE">
              <w:t>2017</w:t>
            </w:r>
          </w:p>
        </w:tc>
        <w:tc>
          <w:tcPr>
            <w:tcW w:w="1000" w:type="pct"/>
            <w:noWrap/>
            <w:hideMark/>
          </w:tcPr>
          <w:p w14:paraId="42E6DB15" w14:textId="77777777" w:rsidR="00A72EED" w:rsidRPr="00AA48DE" w:rsidRDefault="00A72EED" w:rsidP="0064588F">
            <w:pPr>
              <w:pStyle w:val="TableBody"/>
            </w:pPr>
            <w:r w:rsidRPr="00AA48DE">
              <w:t>11</w:t>
            </w:r>
          </w:p>
        </w:tc>
        <w:tc>
          <w:tcPr>
            <w:tcW w:w="1000" w:type="pct"/>
            <w:noWrap/>
            <w:hideMark/>
          </w:tcPr>
          <w:p w14:paraId="2D6F89C0" w14:textId="77777777" w:rsidR="00A72EED" w:rsidRPr="00AA48DE" w:rsidRDefault="00A72EED" w:rsidP="0064588F">
            <w:pPr>
              <w:pStyle w:val="TableBody"/>
            </w:pPr>
            <w:r w:rsidRPr="00AA48DE">
              <w:t>2 years and  5 months</w:t>
            </w:r>
          </w:p>
        </w:tc>
        <w:tc>
          <w:tcPr>
            <w:tcW w:w="1000" w:type="pct"/>
            <w:noWrap/>
            <w:hideMark/>
          </w:tcPr>
          <w:p w14:paraId="2B044B6A" w14:textId="77777777" w:rsidR="00A72EED" w:rsidRPr="00AA48DE" w:rsidRDefault="00A72EED" w:rsidP="0064588F">
            <w:pPr>
              <w:pStyle w:val="TableBody"/>
            </w:pPr>
            <w:r w:rsidRPr="00AA48DE">
              <w:t>27</w:t>
            </w:r>
          </w:p>
        </w:tc>
        <w:tc>
          <w:tcPr>
            <w:tcW w:w="1000" w:type="pct"/>
            <w:noWrap/>
            <w:hideMark/>
          </w:tcPr>
          <w:p w14:paraId="5ECDF1FB" w14:textId="77777777" w:rsidR="00A72EED" w:rsidRPr="00AA48DE" w:rsidRDefault="00A72EED" w:rsidP="0064588F">
            <w:pPr>
              <w:pStyle w:val="TableBody"/>
            </w:pPr>
            <w:r w:rsidRPr="00AA48DE">
              <w:t>9 months</w:t>
            </w:r>
          </w:p>
        </w:tc>
      </w:tr>
      <w:tr w:rsidR="00CE771A" w:rsidRPr="00A72EED" w14:paraId="783ED351" w14:textId="77777777" w:rsidTr="0064588F">
        <w:trPr>
          <w:trHeight w:val="290"/>
        </w:trPr>
        <w:tc>
          <w:tcPr>
            <w:tcW w:w="1000" w:type="pct"/>
            <w:noWrap/>
            <w:hideMark/>
          </w:tcPr>
          <w:p w14:paraId="4424E66B" w14:textId="77777777" w:rsidR="00A72EED" w:rsidRPr="00AA48DE" w:rsidRDefault="00A72EED" w:rsidP="0064588F">
            <w:pPr>
              <w:pStyle w:val="TableBody"/>
            </w:pPr>
            <w:r w:rsidRPr="00AA48DE">
              <w:t>2018</w:t>
            </w:r>
          </w:p>
        </w:tc>
        <w:tc>
          <w:tcPr>
            <w:tcW w:w="1000" w:type="pct"/>
            <w:noWrap/>
            <w:hideMark/>
          </w:tcPr>
          <w:p w14:paraId="56A882FE" w14:textId="77777777" w:rsidR="00A72EED" w:rsidRPr="00AA48DE" w:rsidRDefault="00A72EED" w:rsidP="0064588F">
            <w:pPr>
              <w:pStyle w:val="TableBody"/>
            </w:pPr>
            <w:r w:rsidRPr="00AA48DE">
              <w:t>14</w:t>
            </w:r>
          </w:p>
        </w:tc>
        <w:tc>
          <w:tcPr>
            <w:tcW w:w="1000" w:type="pct"/>
            <w:noWrap/>
            <w:hideMark/>
          </w:tcPr>
          <w:p w14:paraId="19B6283C" w14:textId="77777777" w:rsidR="00A72EED" w:rsidRPr="00AA48DE" w:rsidRDefault="00A72EED" w:rsidP="0064588F">
            <w:pPr>
              <w:pStyle w:val="TableBody"/>
            </w:pPr>
            <w:r w:rsidRPr="00AA48DE">
              <w:t>3 years and  4 months</w:t>
            </w:r>
          </w:p>
        </w:tc>
        <w:tc>
          <w:tcPr>
            <w:tcW w:w="1000" w:type="pct"/>
            <w:noWrap/>
            <w:hideMark/>
          </w:tcPr>
          <w:p w14:paraId="7C325717" w14:textId="77777777" w:rsidR="00A72EED" w:rsidRPr="00AA48DE" w:rsidRDefault="00A72EED" w:rsidP="0064588F">
            <w:pPr>
              <w:pStyle w:val="TableBody"/>
            </w:pPr>
            <w:r w:rsidRPr="00AA48DE">
              <w:t>24</w:t>
            </w:r>
          </w:p>
        </w:tc>
        <w:tc>
          <w:tcPr>
            <w:tcW w:w="1000" w:type="pct"/>
            <w:noWrap/>
            <w:hideMark/>
          </w:tcPr>
          <w:p w14:paraId="324410A2" w14:textId="77777777" w:rsidR="00A72EED" w:rsidRPr="00AA48DE" w:rsidRDefault="00A72EED" w:rsidP="0064588F">
            <w:pPr>
              <w:pStyle w:val="TableBody"/>
            </w:pPr>
            <w:r w:rsidRPr="00AA48DE">
              <w:t>9 months</w:t>
            </w:r>
          </w:p>
        </w:tc>
      </w:tr>
      <w:tr w:rsidR="00CE771A" w:rsidRPr="00A72EED" w14:paraId="3AFBAB98" w14:textId="77777777" w:rsidTr="0064588F">
        <w:trPr>
          <w:trHeight w:val="290"/>
        </w:trPr>
        <w:tc>
          <w:tcPr>
            <w:tcW w:w="1000" w:type="pct"/>
            <w:noWrap/>
            <w:hideMark/>
          </w:tcPr>
          <w:p w14:paraId="1D3DBAAC" w14:textId="77777777" w:rsidR="00A72EED" w:rsidRPr="00AA48DE" w:rsidRDefault="00A72EED" w:rsidP="0064588F">
            <w:pPr>
              <w:pStyle w:val="TableBody"/>
            </w:pPr>
            <w:r w:rsidRPr="00AA48DE">
              <w:t>2019</w:t>
            </w:r>
          </w:p>
        </w:tc>
        <w:tc>
          <w:tcPr>
            <w:tcW w:w="1000" w:type="pct"/>
            <w:noWrap/>
            <w:hideMark/>
          </w:tcPr>
          <w:p w14:paraId="642F0FDB" w14:textId="77777777" w:rsidR="00A72EED" w:rsidRPr="00AA48DE" w:rsidRDefault="00A72EED" w:rsidP="0064588F">
            <w:pPr>
              <w:pStyle w:val="TableBody"/>
            </w:pPr>
            <w:r w:rsidRPr="00AA48DE">
              <w:t>22</w:t>
            </w:r>
          </w:p>
        </w:tc>
        <w:tc>
          <w:tcPr>
            <w:tcW w:w="1000" w:type="pct"/>
            <w:noWrap/>
            <w:hideMark/>
          </w:tcPr>
          <w:p w14:paraId="7C802750" w14:textId="77777777" w:rsidR="00A72EED" w:rsidRPr="00AA48DE" w:rsidRDefault="00A72EED" w:rsidP="0064588F">
            <w:pPr>
              <w:pStyle w:val="TableBody"/>
            </w:pPr>
            <w:r w:rsidRPr="00AA48DE">
              <w:t>3 years and  9 months</w:t>
            </w:r>
          </w:p>
        </w:tc>
        <w:tc>
          <w:tcPr>
            <w:tcW w:w="1000" w:type="pct"/>
            <w:noWrap/>
            <w:hideMark/>
          </w:tcPr>
          <w:p w14:paraId="5B711156" w14:textId="77777777" w:rsidR="00A72EED" w:rsidRPr="00AA48DE" w:rsidRDefault="00A72EED" w:rsidP="0064588F">
            <w:pPr>
              <w:pStyle w:val="TableBody"/>
            </w:pPr>
            <w:r w:rsidRPr="00AA48DE">
              <w:t>23</w:t>
            </w:r>
          </w:p>
        </w:tc>
        <w:tc>
          <w:tcPr>
            <w:tcW w:w="1000" w:type="pct"/>
            <w:noWrap/>
            <w:hideMark/>
          </w:tcPr>
          <w:p w14:paraId="1BB2F207" w14:textId="77777777" w:rsidR="00A72EED" w:rsidRPr="00AA48DE" w:rsidRDefault="00A72EED" w:rsidP="0064588F">
            <w:pPr>
              <w:pStyle w:val="TableBody"/>
            </w:pPr>
            <w:r w:rsidRPr="00AA48DE">
              <w:t>7 months</w:t>
            </w:r>
          </w:p>
        </w:tc>
      </w:tr>
    </w:tbl>
    <w:p w14:paraId="079617FE" w14:textId="12DEA4C4" w:rsidR="00EF5C25" w:rsidRDefault="00EF5C25" w:rsidP="00F227A5">
      <w:pPr>
        <w:pStyle w:val="Numbered"/>
      </w:pPr>
      <w:r w:rsidRPr="007F530F">
        <w:t>Of the 229 charges of child sexual assault receiving non-aggregate sentences of imprisonment in the higher courts in 2019, 15 were standard sentence offences (in 12 cases), and 214 were not.</w:t>
      </w:r>
      <w:r w:rsidRPr="007F530F">
        <w:rPr>
          <w:rStyle w:val="Superscript"/>
        </w:rPr>
        <w:footnoteReference w:id="249"/>
      </w:r>
      <w:r w:rsidRPr="007F530F">
        <w:t xml:space="preserve"> The average prison sentence for the standard sentence offences </w:t>
      </w:r>
      <w:r w:rsidRPr="007F530F">
        <w:lastRenderedPageBreak/>
        <w:t>was 79% higher (2 years and 10 months) than it was for the  non-standard sentence offences (1 year and 7 months). Of the 15 charges of standard sentence offences receiving non-aggregate sentences of imprisonment, 3 were longer than the standard sentence, 2 were equal to the standard sentence (4 years) and 10 fell below the standard sentence.</w:t>
      </w:r>
      <w:r w:rsidRPr="007F530F">
        <w:rPr>
          <w:rStyle w:val="Superscript"/>
        </w:rPr>
        <w:footnoteReference w:id="250"/>
      </w:r>
    </w:p>
    <w:p w14:paraId="525DBFBB" w14:textId="56A0276D" w:rsidR="00EE3E6D" w:rsidRPr="00C00464" w:rsidRDefault="00EE3E6D" w:rsidP="00CE771A">
      <w:pPr>
        <w:keepNext/>
        <w:keepLines/>
        <w:pBdr>
          <w:top w:val="single" w:sz="4" w:space="1" w:color="auto"/>
          <w:left w:val="single" w:sz="4" w:space="4" w:color="auto"/>
          <w:bottom w:val="single" w:sz="4" w:space="1" w:color="auto"/>
          <w:right w:val="single" w:sz="4" w:space="4" w:color="auto"/>
        </w:pBdr>
      </w:pPr>
      <w:r w:rsidRPr="00C00464">
        <w:t>Average prison sentence imposed for sexual assault of a child aged under 16 (sections 47(1) and 49D) in the higher courts in 2019</w:t>
      </w:r>
    </w:p>
    <w:p w14:paraId="71914FF5" w14:textId="2371E9E7" w:rsidR="00EE3E6D" w:rsidRPr="00C00464" w:rsidRDefault="00EE3E6D" w:rsidP="00CE771A">
      <w:pPr>
        <w:keepNext/>
        <w:keepLines/>
        <w:pBdr>
          <w:top w:val="single" w:sz="4" w:space="1" w:color="auto"/>
          <w:left w:val="single" w:sz="4" w:space="4" w:color="auto"/>
          <w:bottom w:val="single" w:sz="4" w:space="1" w:color="auto"/>
          <w:right w:val="single" w:sz="4" w:space="4" w:color="auto"/>
        </w:pBdr>
      </w:pPr>
      <w:r w:rsidRPr="00C00464">
        <w:t>Standard sentence offence (15 offences):</w:t>
      </w:r>
      <w:r w:rsidR="00B115C2">
        <w:t xml:space="preserve"> </w:t>
      </w:r>
      <w:r w:rsidRPr="00C00464">
        <w:t>2 years and 10 months</w:t>
      </w:r>
    </w:p>
    <w:p w14:paraId="6EB560D6" w14:textId="4B3973A4" w:rsidR="00EE3E6D" w:rsidRPr="00C00464" w:rsidRDefault="00EE3E6D" w:rsidP="00CE771A">
      <w:pPr>
        <w:keepNext/>
        <w:keepLines/>
        <w:pBdr>
          <w:top w:val="single" w:sz="4" w:space="1" w:color="auto"/>
          <w:left w:val="single" w:sz="4" w:space="4" w:color="auto"/>
          <w:bottom w:val="single" w:sz="4" w:space="1" w:color="auto"/>
          <w:right w:val="single" w:sz="4" w:space="4" w:color="auto"/>
        </w:pBdr>
      </w:pPr>
      <w:r w:rsidRPr="00C00464">
        <w:t>Non-standard sentence offence (214 offences):</w:t>
      </w:r>
      <w:r w:rsidR="00B115C2">
        <w:t xml:space="preserve"> </w:t>
      </w:r>
      <w:r w:rsidRPr="00C00464">
        <w:t>1 year and 7 months</w:t>
      </w:r>
    </w:p>
    <w:p w14:paraId="3FE9642F" w14:textId="77777777" w:rsidR="00EF5C25" w:rsidRPr="007F530F" w:rsidRDefault="00EF5C25" w:rsidP="00F227A5">
      <w:pPr>
        <w:pStyle w:val="Numbered"/>
      </w:pPr>
      <w:r w:rsidRPr="007F530F">
        <w:t>Where child sexual assault offences are charged as individual offences, offences preceding 1 February 2018 will need to be sentenced differently from offences that occurred after, because the standard sentence will only apply to the latter.</w:t>
      </w:r>
      <w:r w:rsidRPr="007F530F">
        <w:rPr>
          <w:rStyle w:val="Superscript"/>
        </w:rPr>
        <w:footnoteReference w:id="251"/>
      </w:r>
      <w:r w:rsidRPr="007F530F">
        <w:t xml:space="preserve"> In contrast, where the behaviours are captured in a course of conduct charge that extends before and after the commencement of standard sentences, the transitional provisions of the legislation clarify that the standard sentence will not apply to the charge.</w:t>
      </w:r>
      <w:r w:rsidRPr="007F530F">
        <w:rPr>
          <w:rStyle w:val="Superscript"/>
        </w:rPr>
        <w:footnoteReference w:id="252"/>
      </w:r>
    </w:p>
    <w:p w14:paraId="77B5341D" w14:textId="77777777" w:rsidR="00EF5C25" w:rsidRPr="007F530F" w:rsidRDefault="00EF5C25" w:rsidP="00F227A5">
      <w:pPr>
        <w:pStyle w:val="Numbered"/>
      </w:pPr>
      <w:r w:rsidRPr="007F530F">
        <w:t xml:space="preserve">As has been the case with all standard sentence offences analysed in this report, sentences more often fell below than above the standard sentence. In some cases, this was because the objective </w:t>
      </w:r>
      <w:r w:rsidRPr="007F530F">
        <w:lastRenderedPageBreak/>
        <w:t>seriousness of the offending was considered to have ‘fall[en] below the mid-range for the purposes of the standard sentence’.</w:t>
      </w:r>
      <w:r w:rsidRPr="007F530F">
        <w:rPr>
          <w:rStyle w:val="Superscript"/>
        </w:rPr>
        <w:footnoteReference w:id="253"/>
      </w:r>
      <w:r w:rsidRPr="007F530F">
        <w:t xml:space="preserve"> In others, it was because of the weighty influence of subjective mitigating factors, especially guilty pleas. </w:t>
      </w:r>
      <w:r w:rsidRPr="007F530F">
        <w:rPr>
          <w:rStyle w:val="Superscript"/>
        </w:rPr>
        <w:footnoteReference w:id="254"/>
      </w:r>
      <w:r w:rsidRPr="007F530F">
        <w:t xml:space="preserve"> Nevertheless, the standard sentence scheme is having an increasing effect on the average prison sentence for this type of offending. This is at least in part because the standard sentence legislation prohibits sentencing courts from referring to previous sentencing practices.</w:t>
      </w:r>
      <w:r w:rsidRPr="007F530F">
        <w:rPr>
          <w:rStyle w:val="Superscript"/>
        </w:rPr>
        <w:footnoteReference w:id="255"/>
      </w:r>
      <w:r w:rsidRPr="007F530F">
        <w:t xml:space="preserve"> In one of the first cases in which a child sexual assault offence was sentenced as a standard sentence offence, the court described the standard sentence scheme as being ‘directed to increasing sentences for standard sentence offences and … ensuring that sentencing outcomes are more consistent with community expectations as expressed through parliament’.</w:t>
      </w:r>
      <w:r w:rsidRPr="007F530F">
        <w:rPr>
          <w:rStyle w:val="Superscript"/>
        </w:rPr>
        <w:footnoteReference w:id="256"/>
      </w:r>
      <w:r w:rsidRPr="007F530F">
        <w:t xml:space="preserve"> Accordingly, the judge stated that a ‘fine for a sexual assault upon a 14-year-old child will likely be a rare outcome’.</w:t>
      </w:r>
      <w:r w:rsidRPr="007F530F">
        <w:rPr>
          <w:rStyle w:val="Superscript"/>
        </w:rPr>
        <w:footnoteReference w:id="257"/>
      </w:r>
    </w:p>
    <w:p w14:paraId="7D9D42F4" w14:textId="7136DB2F" w:rsidR="00EF5C25" w:rsidRPr="007F530F" w:rsidRDefault="00EF5C25" w:rsidP="00483DF8">
      <w:pPr>
        <w:pStyle w:val="Heading1Numbered"/>
      </w:pPr>
      <w:bookmarkStart w:id="12" w:name="_Toc74904005"/>
      <w:r w:rsidRPr="007F530F">
        <w:lastRenderedPageBreak/>
        <w:t>Persistent sexual abuse of a child offences</w:t>
      </w:r>
      <w:bookmarkEnd w:id="12"/>
    </w:p>
    <w:p w14:paraId="151E85C0" w14:textId="77777777" w:rsidR="00EF5C25" w:rsidRPr="007F530F" w:rsidRDefault="00EF5C25" w:rsidP="00483DF8">
      <w:pPr>
        <w:pStyle w:val="Numbered"/>
      </w:pPr>
      <w:r w:rsidRPr="007F530F">
        <w:t>This chapter examines the number of persistent sexual abuse of a child offences</w:t>
      </w:r>
      <w:r w:rsidRPr="007F530F">
        <w:rPr>
          <w:rStyle w:val="Superscript"/>
        </w:rPr>
        <w:footnoteReference w:id="258"/>
      </w:r>
      <w:r w:rsidRPr="007F530F">
        <w:t xml:space="preserve"> recorded and sentenced in Victoria between 2010 and 2019, and sentencing outcomes for proven offences, including the duration of prison sentences.</w:t>
      </w:r>
    </w:p>
    <w:p w14:paraId="4EFDDB02" w14:textId="77777777" w:rsidR="00EF5C25" w:rsidRPr="007F530F" w:rsidRDefault="00EF5C25" w:rsidP="00483DF8">
      <w:pPr>
        <w:pStyle w:val="Numbered"/>
      </w:pPr>
      <w:r w:rsidRPr="007F530F">
        <w:t>Persistent sexual abuse of a child aged under 16 is by its nature a course of conduct offence, requiring offending on three or more occasions.</w:t>
      </w:r>
      <w:r w:rsidRPr="007F530F">
        <w:rPr>
          <w:rStyle w:val="Superscript"/>
        </w:rPr>
        <w:footnoteReference w:id="259"/>
      </w:r>
      <w:r w:rsidRPr="007F530F">
        <w:t xml:space="preserve"> When this offence type was first introduced in 1991, it was described as </w:t>
      </w:r>
      <w:r w:rsidRPr="00D62402">
        <w:rPr>
          <w:rStyle w:val="Emphasis"/>
        </w:rPr>
        <w:t>maintaining a sexual relationship with a child aged under 16</w:t>
      </w:r>
      <w:r w:rsidRPr="007F530F">
        <w:t>.</w:t>
      </w:r>
      <w:r w:rsidRPr="007F530F">
        <w:rPr>
          <w:rStyle w:val="Superscript"/>
        </w:rPr>
        <w:footnoteReference w:id="260"/>
      </w:r>
      <w:r w:rsidRPr="007F530F">
        <w:t xml:space="preserve"> It originally only applied if the victim was under the offender’s care, supervision or authority, but this requirement was removed in January 1998.</w:t>
      </w:r>
      <w:r w:rsidRPr="007F530F">
        <w:rPr>
          <w:rStyle w:val="Superscript"/>
        </w:rPr>
        <w:footnoteReference w:id="261"/>
      </w:r>
      <w:r w:rsidRPr="007F530F">
        <w:t xml:space="preserve"> In 2006, the offence was renamed </w:t>
      </w:r>
      <w:r w:rsidRPr="00D62402">
        <w:rPr>
          <w:rStyle w:val="Emphasis"/>
        </w:rPr>
        <w:t>persistent sexual abuse</w:t>
      </w:r>
      <w:r w:rsidRPr="007F530F">
        <w:t>.</w:t>
      </w:r>
      <w:r w:rsidRPr="007F530F">
        <w:rPr>
          <w:rStyle w:val="Superscript"/>
        </w:rPr>
        <w:footnoteReference w:id="262"/>
      </w:r>
      <w:r w:rsidRPr="007F530F">
        <w:t xml:space="preserve"> And in 2015, it became possible to charge this offence as a course of conduct.</w:t>
      </w:r>
      <w:r w:rsidRPr="007F530F">
        <w:rPr>
          <w:rStyle w:val="Superscript"/>
        </w:rPr>
        <w:footnoteReference w:id="263"/>
      </w:r>
      <w:r w:rsidRPr="007F530F">
        <w:t xml:space="preserve"> The </w:t>
      </w:r>
      <w:r w:rsidRPr="007F530F">
        <w:lastRenderedPageBreak/>
        <w:t>current offence carries a maximum penalty of 25 years’ imprisonment. It is a Category 1 offence,</w:t>
      </w:r>
      <w:r w:rsidRPr="007F530F">
        <w:rPr>
          <w:rStyle w:val="Superscript"/>
        </w:rPr>
        <w:footnoteReference w:id="264"/>
      </w:r>
      <w:r w:rsidRPr="007F530F">
        <w:t xml:space="preserve"> and it has a standard sentence of 10 years’ imprisonment.</w:t>
      </w:r>
      <w:r w:rsidRPr="007F530F">
        <w:rPr>
          <w:rStyle w:val="Superscript"/>
        </w:rPr>
        <w:footnoteReference w:id="265"/>
      </w:r>
    </w:p>
    <w:p w14:paraId="7BC7C7C5" w14:textId="77777777" w:rsidR="00EF5C25" w:rsidRPr="007F530F" w:rsidRDefault="00EF5C25" w:rsidP="006633AA">
      <w:pPr>
        <w:pStyle w:val="Heading2"/>
      </w:pPr>
      <w:r w:rsidRPr="007F530F">
        <w:t>Number of recorded and sentenced persistent sexual abuse of a child offences</w:t>
      </w:r>
    </w:p>
    <w:p w14:paraId="3A47CDEC" w14:textId="77777777" w:rsidR="00EF5C25" w:rsidRPr="007F530F" w:rsidRDefault="00EF5C25" w:rsidP="00483DF8">
      <w:pPr>
        <w:pStyle w:val="Numbered"/>
      </w:pPr>
      <w:r w:rsidRPr="007F530F">
        <w:t>Between 2010 and 2019, 134 persistent sexual abuse of a child offences were recorded by police in Victoria. In contrast, 143 charges were sentenced in 123 cases involving 118 offenders, 113 of whom were male, in that same timeframe (Table 12).</w:t>
      </w:r>
      <w:r w:rsidRPr="007F530F">
        <w:rPr>
          <w:rStyle w:val="Superscript"/>
        </w:rPr>
        <w:footnoteReference w:id="266"/>
      </w:r>
      <w:r w:rsidRPr="007F530F">
        <w:t xml:space="preserve"> The number of sentenced charges is higher than the number of recorded offences. This is most likely because the offending would have been recorded by police as the single-incident behaviours constituting the pattern of abuse (for example, sexual assault, sexual penetration) and then consolidated to a charge of persistent sexual abuse of a child aged under 16 during either the charging process or plea negotiations.</w:t>
      </w:r>
      <w:r w:rsidRPr="007F530F">
        <w:rPr>
          <w:rStyle w:val="Superscript"/>
        </w:rPr>
        <w:footnoteReference w:id="267"/>
      </w:r>
      <w:r w:rsidRPr="007F530F">
        <w:t xml:space="preserve"> </w:t>
      </w:r>
    </w:p>
    <w:p w14:paraId="0E4FCE9E" w14:textId="77777777" w:rsidR="00EA3D1A" w:rsidRDefault="00EA3D1A" w:rsidP="00D00197">
      <w:pPr>
        <w:pStyle w:val="Caption"/>
        <w:sectPr w:rsidR="00EA3D1A" w:rsidSect="00D6349A">
          <w:pgSz w:w="11906" w:h="16838"/>
          <w:pgMar w:top="1440" w:right="1440" w:bottom="1440" w:left="1440" w:header="720" w:footer="720" w:gutter="0"/>
          <w:cols w:space="720"/>
          <w:noEndnote/>
          <w:docGrid w:linePitch="326"/>
        </w:sectPr>
      </w:pPr>
    </w:p>
    <w:p w14:paraId="6FB3AC3A" w14:textId="6208FFF2" w:rsidR="00EF5C25" w:rsidRPr="007F530F" w:rsidRDefault="00EF5C25" w:rsidP="00D00197">
      <w:pPr>
        <w:pStyle w:val="Caption"/>
      </w:pPr>
      <w:r w:rsidRPr="00D00197">
        <w:lastRenderedPageBreak/>
        <w:t xml:space="preserve">Table 12: </w:t>
      </w:r>
      <w:r w:rsidRPr="007F530F">
        <w:t>Number of persistent sexual abuse of a child offences sentenced in Victoria, 2010 to 2019, by operational period (143 charges and 123 cases)</w:t>
      </w:r>
    </w:p>
    <w:tbl>
      <w:tblPr>
        <w:tblStyle w:val="Table"/>
        <w:tblW w:w="5000" w:type="pct"/>
        <w:tblLook w:val="0020" w:firstRow="1" w:lastRow="0" w:firstColumn="0" w:lastColumn="0" w:noHBand="0" w:noVBand="0"/>
      </w:tblPr>
      <w:tblGrid>
        <w:gridCol w:w="2323"/>
        <w:gridCol w:w="2323"/>
        <w:gridCol w:w="2327"/>
        <w:gridCol w:w="2324"/>
        <w:gridCol w:w="2324"/>
        <w:gridCol w:w="2327"/>
      </w:tblGrid>
      <w:tr w:rsidR="00EF5C25" w:rsidRPr="007F530F" w14:paraId="4A1DD8ED" w14:textId="77777777" w:rsidTr="00880CD4">
        <w:trPr>
          <w:trHeight w:val="60"/>
          <w:tblHeader/>
        </w:trPr>
        <w:tc>
          <w:tcPr>
            <w:tcW w:w="833" w:type="pct"/>
          </w:tcPr>
          <w:p w14:paraId="5AE31093" w14:textId="77777777" w:rsidR="00EF5C25" w:rsidRPr="007F530F" w:rsidRDefault="00EF5C25" w:rsidP="00841071">
            <w:pPr>
              <w:pStyle w:val="TableHeading"/>
            </w:pPr>
            <w:r w:rsidRPr="007F530F">
              <w:t>Offence</w:t>
            </w:r>
          </w:p>
        </w:tc>
        <w:tc>
          <w:tcPr>
            <w:tcW w:w="833" w:type="pct"/>
          </w:tcPr>
          <w:p w14:paraId="53FFB9A2" w14:textId="77777777" w:rsidR="00EF5C25" w:rsidRPr="007F530F" w:rsidRDefault="00EF5C25" w:rsidP="00841071">
            <w:pPr>
              <w:pStyle w:val="TableHeading"/>
            </w:pPr>
            <w:r w:rsidRPr="007F530F">
              <w:t>Statutory reference</w:t>
            </w:r>
            <w:r w:rsidRPr="007F530F">
              <w:br/>
            </w:r>
            <w:r w:rsidRPr="00D00197">
              <w:rPr>
                <w:rStyle w:val="Emphasis"/>
              </w:rPr>
              <w:t>Crimes Act 1958</w:t>
            </w:r>
            <w:r w:rsidRPr="007F530F">
              <w:t xml:space="preserve"> (Vic)</w:t>
            </w:r>
          </w:p>
        </w:tc>
        <w:tc>
          <w:tcPr>
            <w:tcW w:w="834" w:type="pct"/>
          </w:tcPr>
          <w:p w14:paraId="14815AB7" w14:textId="77777777" w:rsidR="00EF5C25" w:rsidRPr="007F530F" w:rsidRDefault="00EF5C25" w:rsidP="00841071">
            <w:pPr>
              <w:pStyle w:val="TableHeading"/>
            </w:pPr>
            <w:r w:rsidRPr="007F530F">
              <w:t>Operational period</w:t>
            </w:r>
          </w:p>
        </w:tc>
        <w:tc>
          <w:tcPr>
            <w:tcW w:w="833" w:type="pct"/>
          </w:tcPr>
          <w:p w14:paraId="4181D04F" w14:textId="77777777" w:rsidR="00EF5C25" w:rsidRPr="007F530F" w:rsidRDefault="00EF5C25" w:rsidP="00841071">
            <w:pPr>
              <w:pStyle w:val="TableHeading"/>
            </w:pPr>
            <w:r w:rsidRPr="007F530F">
              <w:t>Maximum penalty</w:t>
            </w:r>
          </w:p>
        </w:tc>
        <w:tc>
          <w:tcPr>
            <w:tcW w:w="833" w:type="pct"/>
          </w:tcPr>
          <w:p w14:paraId="2C213886" w14:textId="77777777" w:rsidR="00EF5C25" w:rsidRPr="007F530F" w:rsidRDefault="00EF5C25" w:rsidP="00DF5757">
            <w:pPr>
              <w:pStyle w:val="TableHeading"/>
            </w:pPr>
            <w:r w:rsidRPr="007F530F">
              <w:t>Charges</w:t>
            </w:r>
          </w:p>
        </w:tc>
        <w:tc>
          <w:tcPr>
            <w:tcW w:w="834" w:type="pct"/>
          </w:tcPr>
          <w:p w14:paraId="11822DA5" w14:textId="77777777" w:rsidR="00EF5C25" w:rsidRPr="007F530F" w:rsidRDefault="00EF5C25" w:rsidP="00DF5757">
            <w:pPr>
              <w:pStyle w:val="TableHeading"/>
            </w:pPr>
            <w:r w:rsidRPr="007F530F">
              <w:t>Cases</w:t>
            </w:r>
          </w:p>
        </w:tc>
      </w:tr>
      <w:tr w:rsidR="00EF5C25" w:rsidRPr="007F530F" w14:paraId="1C038DC9" w14:textId="77777777" w:rsidTr="00377374">
        <w:trPr>
          <w:trHeight w:val="60"/>
        </w:trPr>
        <w:tc>
          <w:tcPr>
            <w:tcW w:w="833" w:type="pct"/>
          </w:tcPr>
          <w:p w14:paraId="7617C899" w14:textId="77777777" w:rsidR="00EF5C25" w:rsidRPr="007F530F" w:rsidRDefault="00EF5C25" w:rsidP="00DC75F7">
            <w:pPr>
              <w:pStyle w:val="TableBody"/>
            </w:pPr>
            <w:r w:rsidRPr="007F530F">
              <w:t>Maintaining a sexual relationship with a child aged under 16 under care, supervision or authority</w:t>
            </w:r>
          </w:p>
        </w:tc>
        <w:tc>
          <w:tcPr>
            <w:tcW w:w="833" w:type="pct"/>
          </w:tcPr>
          <w:p w14:paraId="097780E2" w14:textId="77777777" w:rsidR="00EF5C25" w:rsidRPr="007F530F" w:rsidRDefault="00EF5C25" w:rsidP="00DC75F7">
            <w:pPr>
              <w:pStyle w:val="TableBody"/>
            </w:pPr>
            <w:r w:rsidRPr="007F530F">
              <w:t>Section 47A</w:t>
            </w:r>
          </w:p>
        </w:tc>
        <w:tc>
          <w:tcPr>
            <w:tcW w:w="834" w:type="pct"/>
          </w:tcPr>
          <w:p w14:paraId="489815C6" w14:textId="77777777" w:rsidR="00EF5C25" w:rsidRPr="007F530F" w:rsidRDefault="00EF5C25" w:rsidP="00DC75F7">
            <w:pPr>
              <w:pStyle w:val="TableBody"/>
            </w:pPr>
            <w:r w:rsidRPr="00D00197">
              <w:rPr>
                <w:rStyle w:val="Strong"/>
              </w:rPr>
              <w:t>From:</w:t>
            </w:r>
            <w:r w:rsidRPr="007F530F">
              <w:t xml:space="preserve"> 5 August 1991</w:t>
            </w:r>
            <w:r w:rsidRPr="007F530F">
              <w:br/>
            </w:r>
            <w:r w:rsidRPr="00D00197">
              <w:rPr>
                <w:rStyle w:val="Strong"/>
              </w:rPr>
              <w:t>To:</w:t>
            </w:r>
            <w:r w:rsidRPr="007F530F">
              <w:t xml:space="preserve"> 31 December 1997</w:t>
            </w:r>
          </w:p>
        </w:tc>
        <w:tc>
          <w:tcPr>
            <w:tcW w:w="833" w:type="pct"/>
          </w:tcPr>
          <w:p w14:paraId="0D882533" w14:textId="77777777" w:rsidR="00EF5C25" w:rsidRPr="007F530F" w:rsidRDefault="00EF5C25" w:rsidP="00DC75F7">
            <w:pPr>
              <w:pStyle w:val="TableBody"/>
            </w:pPr>
            <w:r w:rsidRPr="00D00197">
              <w:rPr>
                <w:rStyle w:val="Strong"/>
              </w:rPr>
              <w:t>Before 1 September 1997</w:t>
            </w:r>
            <w:r w:rsidRPr="007F530F">
              <w:br/>
              <w:t>The highest maximum penalty of the type of offending constituting the sexual offending</w:t>
            </w:r>
            <w:r w:rsidRPr="007F530F">
              <w:br/>
              <w:t>(10 years, 15 years or 25 years)</w:t>
            </w:r>
          </w:p>
          <w:p w14:paraId="3B07C7F4" w14:textId="77777777" w:rsidR="00EF5C25" w:rsidRPr="007F530F" w:rsidRDefault="00EF5C25" w:rsidP="00DC75F7">
            <w:pPr>
              <w:pStyle w:val="TableBody"/>
            </w:pPr>
            <w:r w:rsidRPr="00D00197">
              <w:rPr>
                <w:rStyle w:val="Strong"/>
              </w:rPr>
              <w:t>From 1 September 1997</w:t>
            </w:r>
            <w:r w:rsidRPr="007F530F">
              <w:br/>
              <w:t>25 years</w:t>
            </w:r>
          </w:p>
        </w:tc>
        <w:tc>
          <w:tcPr>
            <w:tcW w:w="833" w:type="pct"/>
          </w:tcPr>
          <w:p w14:paraId="348EBED9" w14:textId="77777777" w:rsidR="00EF5C25" w:rsidRPr="007F530F" w:rsidRDefault="00EF5C25" w:rsidP="00AC34F3">
            <w:pPr>
              <w:pStyle w:val="TableBody"/>
            </w:pPr>
            <w:r w:rsidRPr="007F530F">
              <w:t>2</w:t>
            </w:r>
          </w:p>
        </w:tc>
        <w:tc>
          <w:tcPr>
            <w:tcW w:w="834" w:type="pct"/>
          </w:tcPr>
          <w:p w14:paraId="633C5130" w14:textId="77777777" w:rsidR="00EF5C25" w:rsidRPr="007F530F" w:rsidRDefault="00EF5C25" w:rsidP="00AC34F3">
            <w:pPr>
              <w:pStyle w:val="TableBody"/>
            </w:pPr>
            <w:r w:rsidRPr="007F530F">
              <w:t>2</w:t>
            </w:r>
          </w:p>
        </w:tc>
      </w:tr>
      <w:tr w:rsidR="00EF5C25" w:rsidRPr="007F530F" w14:paraId="6169D129" w14:textId="77777777" w:rsidTr="00377374">
        <w:trPr>
          <w:trHeight w:val="60"/>
        </w:trPr>
        <w:tc>
          <w:tcPr>
            <w:tcW w:w="833" w:type="pct"/>
          </w:tcPr>
          <w:p w14:paraId="4F630859" w14:textId="77777777" w:rsidR="00EF5C25" w:rsidRPr="007F530F" w:rsidRDefault="00EF5C25" w:rsidP="00DC75F7">
            <w:pPr>
              <w:pStyle w:val="TableBody"/>
            </w:pPr>
            <w:r w:rsidRPr="007F530F">
              <w:t>Maintaining a sexual relationship with a child aged under 16</w:t>
            </w:r>
          </w:p>
        </w:tc>
        <w:tc>
          <w:tcPr>
            <w:tcW w:w="833" w:type="pct"/>
          </w:tcPr>
          <w:p w14:paraId="25441E3E" w14:textId="77777777" w:rsidR="00EF5C25" w:rsidRPr="007F530F" w:rsidRDefault="00EF5C25" w:rsidP="00DC75F7">
            <w:pPr>
              <w:pStyle w:val="TableBody"/>
            </w:pPr>
            <w:r w:rsidRPr="007F530F">
              <w:t>Section 47A</w:t>
            </w:r>
          </w:p>
        </w:tc>
        <w:tc>
          <w:tcPr>
            <w:tcW w:w="834" w:type="pct"/>
          </w:tcPr>
          <w:p w14:paraId="4148F72E" w14:textId="77777777" w:rsidR="00EF5C25" w:rsidRPr="007F530F" w:rsidRDefault="00EF5C25" w:rsidP="00DC75F7">
            <w:pPr>
              <w:pStyle w:val="TableBody"/>
            </w:pPr>
            <w:r w:rsidRPr="00D00197">
              <w:rPr>
                <w:rStyle w:val="Strong"/>
              </w:rPr>
              <w:t>From:</w:t>
            </w:r>
            <w:r w:rsidRPr="007F530F">
              <w:t xml:space="preserve"> 1 January 1998</w:t>
            </w:r>
            <w:r w:rsidRPr="007F530F">
              <w:br/>
            </w:r>
            <w:r w:rsidRPr="00D00197">
              <w:rPr>
                <w:rStyle w:val="Strong"/>
              </w:rPr>
              <w:t>To:</w:t>
            </w:r>
            <w:r w:rsidRPr="007F530F">
              <w:t xml:space="preserve"> 30 November 2006</w:t>
            </w:r>
          </w:p>
        </w:tc>
        <w:tc>
          <w:tcPr>
            <w:tcW w:w="833" w:type="pct"/>
          </w:tcPr>
          <w:p w14:paraId="273F8491" w14:textId="77777777" w:rsidR="00EF5C25" w:rsidRPr="007F530F" w:rsidRDefault="00EF5C25" w:rsidP="00DC75F7">
            <w:pPr>
              <w:pStyle w:val="TableBody"/>
            </w:pPr>
            <w:r w:rsidRPr="007F530F">
              <w:t>25 years</w:t>
            </w:r>
          </w:p>
        </w:tc>
        <w:tc>
          <w:tcPr>
            <w:tcW w:w="833" w:type="pct"/>
          </w:tcPr>
          <w:p w14:paraId="4ACD74E2" w14:textId="77777777" w:rsidR="00EF5C25" w:rsidRPr="007F530F" w:rsidRDefault="00EF5C25" w:rsidP="00AC34F3">
            <w:pPr>
              <w:pStyle w:val="TableBody"/>
            </w:pPr>
            <w:r w:rsidRPr="007F530F">
              <w:t>50</w:t>
            </w:r>
          </w:p>
        </w:tc>
        <w:tc>
          <w:tcPr>
            <w:tcW w:w="834" w:type="pct"/>
          </w:tcPr>
          <w:p w14:paraId="4709E382" w14:textId="77777777" w:rsidR="00EF5C25" w:rsidRPr="007F530F" w:rsidRDefault="00EF5C25" w:rsidP="00AC34F3">
            <w:pPr>
              <w:pStyle w:val="TableBody"/>
            </w:pPr>
            <w:r w:rsidRPr="007F530F">
              <w:t>43</w:t>
            </w:r>
          </w:p>
        </w:tc>
      </w:tr>
      <w:tr w:rsidR="00EF5C25" w:rsidRPr="007F530F" w14:paraId="2F4118A6" w14:textId="77777777" w:rsidTr="00377374">
        <w:trPr>
          <w:trHeight w:val="60"/>
        </w:trPr>
        <w:tc>
          <w:tcPr>
            <w:tcW w:w="833" w:type="pct"/>
          </w:tcPr>
          <w:p w14:paraId="3389F10E" w14:textId="77777777" w:rsidR="00EF5C25" w:rsidRPr="007F530F" w:rsidRDefault="00EF5C25" w:rsidP="00DC75F7">
            <w:pPr>
              <w:pStyle w:val="TableBody"/>
            </w:pPr>
            <w:r w:rsidRPr="007F530F">
              <w:t>Persistent sexual abuse of a child aged under 16</w:t>
            </w:r>
          </w:p>
        </w:tc>
        <w:tc>
          <w:tcPr>
            <w:tcW w:w="833" w:type="pct"/>
          </w:tcPr>
          <w:p w14:paraId="4DF173C9" w14:textId="77777777" w:rsidR="00EF5C25" w:rsidRPr="007F530F" w:rsidRDefault="00EF5C25" w:rsidP="00DC75F7">
            <w:pPr>
              <w:pStyle w:val="TableBody"/>
            </w:pPr>
            <w:r w:rsidRPr="007F530F">
              <w:t>Section 47A</w:t>
            </w:r>
          </w:p>
        </w:tc>
        <w:tc>
          <w:tcPr>
            <w:tcW w:w="834" w:type="pct"/>
          </w:tcPr>
          <w:p w14:paraId="42F3CDB8" w14:textId="77777777" w:rsidR="00EF5C25" w:rsidRPr="007F530F" w:rsidRDefault="00EF5C25" w:rsidP="00DC75F7">
            <w:pPr>
              <w:pStyle w:val="TableBody"/>
            </w:pPr>
            <w:r w:rsidRPr="00D00197">
              <w:rPr>
                <w:rStyle w:val="Strong"/>
              </w:rPr>
              <w:t xml:space="preserve">From: </w:t>
            </w:r>
            <w:r w:rsidRPr="007F530F">
              <w:t>1 December 2006</w:t>
            </w:r>
            <w:r w:rsidRPr="007F530F">
              <w:br/>
            </w:r>
            <w:r w:rsidRPr="00D00197">
              <w:rPr>
                <w:rStyle w:val="Strong"/>
              </w:rPr>
              <w:t xml:space="preserve">To: </w:t>
            </w:r>
            <w:r w:rsidRPr="007F530F">
              <w:t>30 June 2017</w:t>
            </w:r>
          </w:p>
        </w:tc>
        <w:tc>
          <w:tcPr>
            <w:tcW w:w="833" w:type="pct"/>
          </w:tcPr>
          <w:p w14:paraId="1E27F4AC" w14:textId="77777777" w:rsidR="00EF5C25" w:rsidRPr="007F530F" w:rsidRDefault="00EF5C25" w:rsidP="00DC75F7">
            <w:pPr>
              <w:pStyle w:val="TableBody"/>
            </w:pPr>
            <w:r w:rsidRPr="007F530F">
              <w:t>25 years</w:t>
            </w:r>
          </w:p>
        </w:tc>
        <w:tc>
          <w:tcPr>
            <w:tcW w:w="833" w:type="pct"/>
          </w:tcPr>
          <w:p w14:paraId="7DE22261" w14:textId="77777777" w:rsidR="00EF5C25" w:rsidRPr="007F530F" w:rsidRDefault="00EF5C25" w:rsidP="00AC34F3">
            <w:pPr>
              <w:pStyle w:val="TableBody"/>
            </w:pPr>
            <w:r w:rsidRPr="007F530F">
              <w:t>89</w:t>
            </w:r>
          </w:p>
        </w:tc>
        <w:tc>
          <w:tcPr>
            <w:tcW w:w="834" w:type="pct"/>
          </w:tcPr>
          <w:p w14:paraId="674DD068" w14:textId="77777777" w:rsidR="00EF5C25" w:rsidRPr="007F530F" w:rsidRDefault="00EF5C25" w:rsidP="00AC34F3">
            <w:pPr>
              <w:pStyle w:val="TableBody"/>
            </w:pPr>
            <w:r w:rsidRPr="007F530F">
              <w:t>78</w:t>
            </w:r>
          </w:p>
        </w:tc>
      </w:tr>
      <w:tr w:rsidR="00EF5C25" w:rsidRPr="007F530F" w14:paraId="61487DEA" w14:textId="77777777" w:rsidTr="00377374">
        <w:trPr>
          <w:trHeight w:val="60"/>
        </w:trPr>
        <w:tc>
          <w:tcPr>
            <w:tcW w:w="833" w:type="pct"/>
          </w:tcPr>
          <w:p w14:paraId="6F5B5D3C" w14:textId="77777777" w:rsidR="00EF5C25" w:rsidRPr="007F530F" w:rsidRDefault="00EF5C25" w:rsidP="00DC75F7">
            <w:pPr>
              <w:pStyle w:val="TableBody"/>
            </w:pPr>
            <w:r w:rsidRPr="007F530F">
              <w:t>Persistent sexual abuse of a child aged under 16</w:t>
            </w:r>
          </w:p>
        </w:tc>
        <w:tc>
          <w:tcPr>
            <w:tcW w:w="833" w:type="pct"/>
          </w:tcPr>
          <w:p w14:paraId="1F14CB33" w14:textId="77777777" w:rsidR="00EF5C25" w:rsidRPr="007F530F" w:rsidRDefault="00EF5C25" w:rsidP="00DC75F7">
            <w:pPr>
              <w:pStyle w:val="TableBody"/>
            </w:pPr>
            <w:r w:rsidRPr="007F530F">
              <w:t>Section 49J</w:t>
            </w:r>
          </w:p>
        </w:tc>
        <w:tc>
          <w:tcPr>
            <w:tcW w:w="834" w:type="pct"/>
          </w:tcPr>
          <w:p w14:paraId="7BC41580" w14:textId="77777777" w:rsidR="00EF5C25" w:rsidRPr="007F530F" w:rsidRDefault="00EF5C25" w:rsidP="00DC75F7">
            <w:pPr>
              <w:pStyle w:val="TableBody"/>
            </w:pPr>
            <w:r w:rsidRPr="00D00197">
              <w:rPr>
                <w:rStyle w:val="Strong"/>
              </w:rPr>
              <w:t>From:</w:t>
            </w:r>
            <w:r w:rsidRPr="007F530F">
              <w:t xml:space="preserve"> 1 July 2017</w:t>
            </w:r>
            <w:r w:rsidRPr="007F530F">
              <w:br/>
            </w:r>
            <w:r w:rsidRPr="00D00197">
              <w:rPr>
                <w:rStyle w:val="Strong"/>
              </w:rPr>
              <w:t xml:space="preserve">To: </w:t>
            </w:r>
            <w:r w:rsidRPr="007F530F">
              <w:t>present</w:t>
            </w:r>
          </w:p>
        </w:tc>
        <w:tc>
          <w:tcPr>
            <w:tcW w:w="833" w:type="pct"/>
          </w:tcPr>
          <w:p w14:paraId="2C79D5A0" w14:textId="77777777" w:rsidR="00EF5C25" w:rsidRPr="007F530F" w:rsidRDefault="00EF5C25" w:rsidP="00DC75F7">
            <w:pPr>
              <w:pStyle w:val="TableBody"/>
            </w:pPr>
            <w:r w:rsidRPr="007F530F">
              <w:t>25 years</w:t>
            </w:r>
          </w:p>
        </w:tc>
        <w:tc>
          <w:tcPr>
            <w:tcW w:w="833" w:type="pct"/>
          </w:tcPr>
          <w:p w14:paraId="590513FF" w14:textId="77777777" w:rsidR="00EF5C25" w:rsidRPr="007F530F" w:rsidRDefault="00EF5C25" w:rsidP="00AC34F3">
            <w:pPr>
              <w:pStyle w:val="TableBody"/>
            </w:pPr>
            <w:r w:rsidRPr="007F530F">
              <w:t>2</w:t>
            </w:r>
          </w:p>
        </w:tc>
        <w:tc>
          <w:tcPr>
            <w:tcW w:w="834" w:type="pct"/>
          </w:tcPr>
          <w:p w14:paraId="32DCF24F" w14:textId="77777777" w:rsidR="00EF5C25" w:rsidRPr="007F530F" w:rsidRDefault="00EF5C25" w:rsidP="00AC34F3">
            <w:pPr>
              <w:pStyle w:val="TableBody"/>
            </w:pPr>
            <w:r w:rsidRPr="007F530F">
              <w:t>2</w:t>
            </w:r>
          </w:p>
        </w:tc>
      </w:tr>
      <w:tr w:rsidR="00EF5C25" w:rsidRPr="007F530F" w14:paraId="1A31681A" w14:textId="77777777" w:rsidTr="00377374">
        <w:trPr>
          <w:trHeight w:val="60"/>
        </w:trPr>
        <w:tc>
          <w:tcPr>
            <w:tcW w:w="833" w:type="pct"/>
          </w:tcPr>
          <w:p w14:paraId="35136335" w14:textId="77777777" w:rsidR="00EF5C25" w:rsidRPr="00D00197" w:rsidRDefault="00EF5C25" w:rsidP="00DC75F7">
            <w:pPr>
              <w:pStyle w:val="TableBody"/>
              <w:rPr>
                <w:rStyle w:val="Strong"/>
              </w:rPr>
            </w:pPr>
            <w:r w:rsidRPr="00D00197">
              <w:rPr>
                <w:rStyle w:val="Strong"/>
              </w:rPr>
              <w:t>Total</w:t>
            </w:r>
          </w:p>
        </w:tc>
        <w:tc>
          <w:tcPr>
            <w:tcW w:w="833" w:type="pct"/>
          </w:tcPr>
          <w:p w14:paraId="43D1C2FE" w14:textId="098460D6" w:rsidR="00EF5C25" w:rsidRPr="007F530F" w:rsidRDefault="00157C37" w:rsidP="009026C6">
            <w:pPr>
              <w:pStyle w:val="TableBody"/>
            </w:pPr>
            <w:r>
              <w:t>–</w:t>
            </w:r>
          </w:p>
        </w:tc>
        <w:tc>
          <w:tcPr>
            <w:tcW w:w="834" w:type="pct"/>
          </w:tcPr>
          <w:p w14:paraId="613262D6" w14:textId="3683A37F" w:rsidR="00EF5C25" w:rsidRPr="007F530F" w:rsidRDefault="00157C37" w:rsidP="009026C6">
            <w:pPr>
              <w:pStyle w:val="TableBody"/>
            </w:pPr>
            <w:r>
              <w:t>–</w:t>
            </w:r>
          </w:p>
        </w:tc>
        <w:tc>
          <w:tcPr>
            <w:tcW w:w="833" w:type="pct"/>
          </w:tcPr>
          <w:p w14:paraId="6506A067" w14:textId="732409FD" w:rsidR="00EF5C25" w:rsidRPr="007F530F" w:rsidRDefault="00157C37" w:rsidP="009026C6">
            <w:pPr>
              <w:pStyle w:val="TableBody"/>
            </w:pPr>
            <w:r>
              <w:t>–</w:t>
            </w:r>
          </w:p>
        </w:tc>
        <w:tc>
          <w:tcPr>
            <w:tcW w:w="833" w:type="pct"/>
          </w:tcPr>
          <w:p w14:paraId="4A448880" w14:textId="77777777" w:rsidR="00EF5C25" w:rsidRPr="00D00197" w:rsidRDefault="00EF5C25" w:rsidP="00AC34F3">
            <w:pPr>
              <w:pStyle w:val="TableBody"/>
              <w:rPr>
                <w:rStyle w:val="Strong"/>
              </w:rPr>
            </w:pPr>
            <w:r w:rsidRPr="00D00197">
              <w:rPr>
                <w:rStyle w:val="Strong"/>
              </w:rPr>
              <w:t>143</w:t>
            </w:r>
          </w:p>
        </w:tc>
        <w:tc>
          <w:tcPr>
            <w:tcW w:w="834" w:type="pct"/>
          </w:tcPr>
          <w:p w14:paraId="423584B8" w14:textId="77777777" w:rsidR="00EF5C25" w:rsidRPr="00D00197" w:rsidRDefault="00EF5C25" w:rsidP="00AC34F3">
            <w:pPr>
              <w:pStyle w:val="TableBody"/>
              <w:rPr>
                <w:rStyle w:val="Strong"/>
              </w:rPr>
            </w:pPr>
            <w:r w:rsidRPr="00D00197">
              <w:rPr>
                <w:rStyle w:val="Strong"/>
              </w:rPr>
              <w:t>123</w:t>
            </w:r>
            <w:r w:rsidRPr="00696ADB">
              <w:rPr>
                <w:rStyle w:val="Strong"/>
                <w:vertAlign w:val="superscript"/>
              </w:rPr>
              <w:t>a</w:t>
            </w:r>
          </w:p>
        </w:tc>
      </w:tr>
    </w:tbl>
    <w:p w14:paraId="0DC69C75" w14:textId="77777777" w:rsidR="00EF5C25" w:rsidRPr="007F530F" w:rsidRDefault="00EF5C25" w:rsidP="00C10631">
      <w:pPr>
        <w:pStyle w:val="Footnote"/>
      </w:pPr>
      <w:r w:rsidRPr="007F530F">
        <w:t>a.</w:t>
      </w:r>
      <w:r w:rsidRPr="007F530F">
        <w:tab/>
        <w:t>The total number of cases in Table 12 is slightly lower than the sum of the above rows because offences under different periods of operation were sentenced together in 2 cases (namely, maintaining a sexual relationship with a child aged under 16 and persistent sexual abuse of a child aged under 16).</w:t>
      </w:r>
    </w:p>
    <w:p w14:paraId="39A2E72F" w14:textId="77777777" w:rsidR="00EA3D1A" w:rsidRDefault="00EA3D1A" w:rsidP="006633AA">
      <w:pPr>
        <w:pStyle w:val="Heading2"/>
        <w:sectPr w:rsidR="00EA3D1A" w:rsidSect="00EA3D1A">
          <w:pgSz w:w="16838" w:h="11906" w:orient="landscape"/>
          <w:pgMar w:top="1440" w:right="1440" w:bottom="1440" w:left="1440" w:header="720" w:footer="720" w:gutter="0"/>
          <w:cols w:space="720"/>
          <w:noEndnote/>
          <w:docGrid w:linePitch="326"/>
        </w:sectPr>
      </w:pPr>
    </w:p>
    <w:p w14:paraId="176CDB18" w14:textId="26B645DD" w:rsidR="00EF5C25" w:rsidRPr="007F530F" w:rsidRDefault="00EF5C25" w:rsidP="006633AA">
      <w:pPr>
        <w:pStyle w:val="Heading2"/>
      </w:pPr>
      <w:r w:rsidRPr="007F530F">
        <w:lastRenderedPageBreak/>
        <w:t>Sentence types imposed for persistent sexual abuse of a child aged under 16</w:t>
      </w:r>
    </w:p>
    <w:p w14:paraId="461DF019" w14:textId="77777777" w:rsidR="00EF5C25" w:rsidRPr="007F530F" w:rsidRDefault="00EF5C25" w:rsidP="00483DF8">
      <w:pPr>
        <w:pStyle w:val="Numbered"/>
      </w:pPr>
      <w:r w:rsidRPr="007F530F">
        <w:t>Table 13 describes the sentencing outcomes for persistent sexual abuse of a child aged under 16 between 2010 and 2019. All charges were sentenced in the higher courts. The majority (92%) received an immediate custodial sentence,</w:t>
      </w:r>
      <w:r w:rsidRPr="007F530F">
        <w:rPr>
          <w:rStyle w:val="Superscript"/>
        </w:rPr>
        <w:footnoteReference w:id="268"/>
      </w:r>
      <w:r w:rsidRPr="007F530F">
        <w:t xml:space="preserve"> one of which was a partially suspended sentence. As at the end of 2019, just one charge of persistent sexual abuse of a child aged under 16 had been sentenced as a Category 1 offence, and it received a 5-year prison sentence.</w:t>
      </w:r>
    </w:p>
    <w:p w14:paraId="2D30FD44" w14:textId="77777777" w:rsidR="007A3610" w:rsidRDefault="007A3610" w:rsidP="00D00197">
      <w:pPr>
        <w:pStyle w:val="Caption"/>
        <w:sectPr w:rsidR="007A3610" w:rsidSect="00D6349A">
          <w:pgSz w:w="11906" w:h="16838"/>
          <w:pgMar w:top="1440" w:right="1440" w:bottom="1440" w:left="1440" w:header="720" w:footer="720" w:gutter="0"/>
          <w:cols w:space="720"/>
          <w:noEndnote/>
          <w:docGrid w:linePitch="326"/>
        </w:sectPr>
      </w:pPr>
    </w:p>
    <w:p w14:paraId="0590DAC2" w14:textId="4DC22C79" w:rsidR="00EF5C25" w:rsidRPr="007F530F" w:rsidRDefault="00EF5C25" w:rsidP="00D00197">
      <w:pPr>
        <w:pStyle w:val="Caption"/>
      </w:pPr>
      <w:r w:rsidRPr="00D00197">
        <w:lastRenderedPageBreak/>
        <w:t xml:space="preserve">Table 13: </w:t>
      </w:r>
      <w:r w:rsidRPr="007F530F">
        <w:t>Number and proportion of each sentence type imposed for persistent sexual abuse of a child offences in Victoria, 2010 to 2019 (143 charges)</w:t>
      </w:r>
    </w:p>
    <w:tbl>
      <w:tblPr>
        <w:tblStyle w:val="Table"/>
        <w:tblW w:w="5023" w:type="pct"/>
        <w:tblLook w:val="0020" w:firstRow="1" w:lastRow="0" w:firstColumn="0" w:lastColumn="0" w:noHBand="0" w:noVBand="0"/>
      </w:tblPr>
      <w:tblGrid>
        <w:gridCol w:w="1570"/>
        <w:gridCol w:w="1141"/>
        <w:gridCol w:w="1219"/>
        <w:gridCol w:w="1219"/>
        <w:gridCol w:w="1076"/>
        <w:gridCol w:w="1076"/>
        <w:gridCol w:w="1076"/>
        <w:gridCol w:w="1219"/>
        <w:gridCol w:w="1076"/>
        <w:gridCol w:w="1076"/>
        <w:gridCol w:w="1076"/>
        <w:gridCol w:w="1188"/>
      </w:tblGrid>
      <w:tr w:rsidR="00EF5C25" w:rsidRPr="007F530F" w14:paraId="773B6F94" w14:textId="77777777" w:rsidTr="00377374">
        <w:trPr>
          <w:trHeight w:val="60"/>
        </w:trPr>
        <w:tc>
          <w:tcPr>
            <w:tcW w:w="560" w:type="pct"/>
          </w:tcPr>
          <w:p w14:paraId="2124F8A1" w14:textId="77777777" w:rsidR="00EF5C25" w:rsidRPr="007A3610" w:rsidRDefault="00EF5C25" w:rsidP="00792CA1">
            <w:pPr>
              <w:pStyle w:val="TableHeading"/>
              <w:rPr>
                <w:szCs w:val="20"/>
              </w:rPr>
            </w:pPr>
            <w:r w:rsidRPr="007A3610">
              <w:rPr>
                <w:szCs w:val="20"/>
              </w:rPr>
              <w:t>Outcome</w:t>
            </w:r>
          </w:p>
        </w:tc>
        <w:tc>
          <w:tcPr>
            <w:tcW w:w="407" w:type="pct"/>
          </w:tcPr>
          <w:p w14:paraId="2262FC27" w14:textId="77777777" w:rsidR="00EF5C25" w:rsidRPr="007A3610" w:rsidRDefault="00EF5C25" w:rsidP="00792CA1">
            <w:pPr>
              <w:pStyle w:val="TableHeading"/>
              <w:rPr>
                <w:szCs w:val="20"/>
              </w:rPr>
            </w:pPr>
            <w:r w:rsidRPr="007A3610">
              <w:rPr>
                <w:szCs w:val="20"/>
              </w:rPr>
              <w:t>2010</w:t>
            </w:r>
          </w:p>
        </w:tc>
        <w:tc>
          <w:tcPr>
            <w:tcW w:w="435" w:type="pct"/>
          </w:tcPr>
          <w:p w14:paraId="4A701878" w14:textId="77777777" w:rsidR="00EF5C25" w:rsidRPr="007A3610" w:rsidRDefault="00EF5C25" w:rsidP="00792CA1">
            <w:pPr>
              <w:pStyle w:val="TableHeading"/>
              <w:rPr>
                <w:szCs w:val="20"/>
              </w:rPr>
            </w:pPr>
            <w:r w:rsidRPr="007A3610">
              <w:rPr>
                <w:szCs w:val="20"/>
              </w:rPr>
              <w:t>2011</w:t>
            </w:r>
          </w:p>
        </w:tc>
        <w:tc>
          <w:tcPr>
            <w:tcW w:w="435" w:type="pct"/>
          </w:tcPr>
          <w:p w14:paraId="49678531" w14:textId="77777777" w:rsidR="00EF5C25" w:rsidRPr="007A3610" w:rsidRDefault="00EF5C25" w:rsidP="00792CA1">
            <w:pPr>
              <w:pStyle w:val="TableHeading"/>
              <w:rPr>
                <w:szCs w:val="20"/>
              </w:rPr>
            </w:pPr>
            <w:r w:rsidRPr="007A3610">
              <w:rPr>
                <w:szCs w:val="20"/>
              </w:rPr>
              <w:t>2012</w:t>
            </w:r>
          </w:p>
        </w:tc>
        <w:tc>
          <w:tcPr>
            <w:tcW w:w="384" w:type="pct"/>
          </w:tcPr>
          <w:p w14:paraId="236D7B39" w14:textId="77777777" w:rsidR="00EF5C25" w:rsidRPr="007A3610" w:rsidRDefault="00EF5C25" w:rsidP="00792CA1">
            <w:pPr>
              <w:pStyle w:val="TableHeading"/>
              <w:rPr>
                <w:szCs w:val="20"/>
              </w:rPr>
            </w:pPr>
            <w:r w:rsidRPr="007A3610">
              <w:rPr>
                <w:szCs w:val="20"/>
              </w:rPr>
              <w:t>2013</w:t>
            </w:r>
          </w:p>
        </w:tc>
        <w:tc>
          <w:tcPr>
            <w:tcW w:w="384" w:type="pct"/>
          </w:tcPr>
          <w:p w14:paraId="3A1D0C0E" w14:textId="77777777" w:rsidR="00EF5C25" w:rsidRPr="007A3610" w:rsidRDefault="00EF5C25" w:rsidP="00792CA1">
            <w:pPr>
              <w:pStyle w:val="TableHeading"/>
              <w:rPr>
                <w:szCs w:val="20"/>
              </w:rPr>
            </w:pPr>
            <w:r w:rsidRPr="007A3610">
              <w:rPr>
                <w:szCs w:val="20"/>
              </w:rPr>
              <w:t>2014</w:t>
            </w:r>
          </w:p>
        </w:tc>
        <w:tc>
          <w:tcPr>
            <w:tcW w:w="384" w:type="pct"/>
          </w:tcPr>
          <w:p w14:paraId="07644078" w14:textId="77777777" w:rsidR="00EF5C25" w:rsidRPr="007A3610" w:rsidRDefault="00EF5C25" w:rsidP="00792CA1">
            <w:pPr>
              <w:pStyle w:val="TableHeading"/>
              <w:rPr>
                <w:szCs w:val="20"/>
              </w:rPr>
            </w:pPr>
            <w:r w:rsidRPr="007A3610">
              <w:rPr>
                <w:szCs w:val="20"/>
              </w:rPr>
              <w:t>2015</w:t>
            </w:r>
          </w:p>
        </w:tc>
        <w:tc>
          <w:tcPr>
            <w:tcW w:w="435" w:type="pct"/>
          </w:tcPr>
          <w:p w14:paraId="2C09E4BB" w14:textId="77777777" w:rsidR="00EF5C25" w:rsidRPr="007A3610" w:rsidRDefault="00EF5C25" w:rsidP="00792CA1">
            <w:pPr>
              <w:pStyle w:val="TableHeading"/>
              <w:rPr>
                <w:szCs w:val="20"/>
              </w:rPr>
            </w:pPr>
            <w:r w:rsidRPr="007A3610">
              <w:rPr>
                <w:szCs w:val="20"/>
              </w:rPr>
              <w:t>2016</w:t>
            </w:r>
          </w:p>
        </w:tc>
        <w:tc>
          <w:tcPr>
            <w:tcW w:w="384" w:type="pct"/>
          </w:tcPr>
          <w:p w14:paraId="1298A910" w14:textId="77777777" w:rsidR="00EF5C25" w:rsidRPr="007A3610" w:rsidRDefault="00EF5C25" w:rsidP="00792CA1">
            <w:pPr>
              <w:pStyle w:val="TableHeading"/>
              <w:rPr>
                <w:szCs w:val="20"/>
              </w:rPr>
            </w:pPr>
            <w:r w:rsidRPr="007A3610">
              <w:rPr>
                <w:szCs w:val="20"/>
              </w:rPr>
              <w:t>2017</w:t>
            </w:r>
          </w:p>
        </w:tc>
        <w:tc>
          <w:tcPr>
            <w:tcW w:w="384" w:type="pct"/>
          </w:tcPr>
          <w:p w14:paraId="059A7719" w14:textId="77777777" w:rsidR="00EF5C25" w:rsidRPr="007A3610" w:rsidRDefault="00EF5C25" w:rsidP="00792CA1">
            <w:pPr>
              <w:pStyle w:val="TableHeading"/>
              <w:rPr>
                <w:szCs w:val="20"/>
              </w:rPr>
            </w:pPr>
            <w:r w:rsidRPr="007A3610">
              <w:rPr>
                <w:szCs w:val="20"/>
              </w:rPr>
              <w:t>2018</w:t>
            </w:r>
          </w:p>
        </w:tc>
        <w:tc>
          <w:tcPr>
            <w:tcW w:w="384" w:type="pct"/>
          </w:tcPr>
          <w:p w14:paraId="11D7BAF9" w14:textId="77777777" w:rsidR="00EF5C25" w:rsidRPr="007A3610" w:rsidRDefault="00EF5C25" w:rsidP="00792CA1">
            <w:pPr>
              <w:pStyle w:val="TableHeading"/>
              <w:rPr>
                <w:szCs w:val="20"/>
              </w:rPr>
            </w:pPr>
            <w:r w:rsidRPr="007A3610">
              <w:rPr>
                <w:szCs w:val="20"/>
              </w:rPr>
              <w:t>2019</w:t>
            </w:r>
          </w:p>
        </w:tc>
        <w:tc>
          <w:tcPr>
            <w:tcW w:w="426" w:type="pct"/>
          </w:tcPr>
          <w:p w14:paraId="1C2CA179" w14:textId="77777777" w:rsidR="00EF5C25" w:rsidRPr="00BE0A08" w:rsidRDefault="00EF5C25" w:rsidP="00BE0A08">
            <w:pPr>
              <w:pStyle w:val="TableHeading"/>
            </w:pPr>
            <w:r w:rsidRPr="00BE0A08">
              <w:t>Total</w:t>
            </w:r>
          </w:p>
        </w:tc>
      </w:tr>
      <w:tr w:rsidR="00EF5C25" w:rsidRPr="007F530F" w14:paraId="30C55F0F" w14:textId="77777777" w:rsidTr="00377374">
        <w:trPr>
          <w:trHeight w:val="60"/>
        </w:trPr>
        <w:tc>
          <w:tcPr>
            <w:tcW w:w="560" w:type="pct"/>
          </w:tcPr>
          <w:p w14:paraId="3E346BB0" w14:textId="77777777" w:rsidR="00EF5C25" w:rsidRPr="007A3610" w:rsidRDefault="00EF5C25" w:rsidP="00DC75F7">
            <w:pPr>
              <w:pStyle w:val="TableBody"/>
              <w:rPr>
                <w:szCs w:val="20"/>
              </w:rPr>
            </w:pPr>
            <w:r w:rsidRPr="007A3610">
              <w:rPr>
                <w:szCs w:val="20"/>
              </w:rPr>
              <w:t>Immediate custodial sentence</w:t>
            </w:r>
          </w:p>
        </w:tc>
        <w:tc>
          <w:tcPr>
            <w:tcW w:w="407" w:type="pct"/>
          </w:tcPr>
          <w:p w14:paraId="7C142091" w14:textId="77777777" w:rsidR="00EF5C25" w:rsidRPr="007A3610" w:rsidRDefault="00EF5C25" w:rsidP="00AC34F3">
            <w:pPr>
              <w:pStyle w:val="TableBody"/>
              <w:rPr>
                <w:szCs w:val="20"/>
              </w:rPr>
            </w:pPr>
            <w:r w:rsidRPr="007A3610">
              <w:rPr>
                <w:szCs w:val="20"/>
              </w:rPr>
              <w:t>12</w:t>
            </w:r>
            <w:r w:rsidRPr="007A3610">
              <w:rPr>
                <w:szCs w:val="20"/>
              </w:rPr>
              <w:br/>
              <w:t>(92%)</w:t>
            </w:r>
          </w:p>
        </w:tc>
        <w:tc>
          <w:tcPr>
            <w:tcW w:w="435" w:type="pct"/>
          </w:tcPr>
          <w:p w14:paraId="2B324E84" w14:textId="77777777" w:rsidR="00EF5C25" w:rsidRPr="007A3610" w:rsidRDefault="00EF5C25" w:rsidP="00AC34F3">
            <w:pPr>
              <w:pStyle w:val="TableBody"/>
              <w:rPr>
                <w:szCs w:val="20"/>
              </w:rPr>
            </w:pPr>
            <w:r w:rsidRPr="007A3610">
              <w:rPr>
                <w:szCs w:val="20"/>
              </w:rPr>
              <w:t>7</w:t>
            </w:r>
            <w:r w:rsidRPr="007A3610">
              <w:rPr>
                <w:szCs w:val="20"/>
              </w:rPr>
              <w:br/>
              <w:t>(100%)</w:t>
            </w:r>
          </w:p>
        </w:tc>
        <w:tc>
          <w:tcPr>
            <w:tcW w:w="435" w:type="pct"/>
          </w:tcPr>
          <w:p w14:paraId="43FAF0E6" w14:textId="77777777" w:rsidR="00EF5C25" w:rsidRPr="007A3610" w:rsidRDefault="00EF5C25" w:rsidP="00AC34F3">
            <w:pPr>
              <w:pStyle w:val="TableBody"/>
              <w:rPr>
                <w:szCs w:val="20"/>
              </w:rPr>
            </w:pPr>
            <w:r w:rsidRPr="007A3610">
              <w:rPr>
                <w:szCs w:val="20"/>
              </w:rPr>
              <w:t>10</w:t>
            </w:r>
            <w:r w:rsidRPr="007A3610">
              <w:rPr>
                <w:szCs w:val="20"/>
              </w:rPr>
              <w:br/>
              <w:t>(100%)</w:t>
            </w:r>
          </w:p>
        </w:tc>
        <w:tc>
          <w:tcPr>
            <w:tcW w:w="384" w:type="pct"/>
          </w:tcPr>
          <w:p w14:paraId="0CF88452" w14:textId="77777777" w:rsidR="00EF5C25" w:rsidRPr="007A3610" w:rsidRDefault="00EF5C25" w:rsidP="00AC34F3">
            <w:pPr>
              <w:pStyle w:val="TableBody"/>
              <w:rPr>
                <w:szCs w:val="20"/>
              </w:rPr>
            </w:pPr>
            <w:r w:rsidRPr="007A3610">
              <w:rPr>
                <w:szCs w:val="20"/>
              </w:rPr>
              <w:t>10</w:t>
            </w:r>
            <w:r w:rsidRPr="007A3610">
              <w:rPr>
                <w:szCs w:val="20"/>
              </w:rPr>
              <w:br/>
              <w:t>(91%)</w:t>
            </w:r>
          </w:p>
        </w:tc>
        <w:tc>
          <w:tcPr>
            <w:tcW w:w="384" w:type="pct"/>
          </w:tcPr>
          <w:p w14:paraId="34F8EC52" w14:textId="77777777" w:rsidR="00EF5C25" w:rsidRPr="007A3610" w:rsidRDefault="00EF5C25" w:rsidP="00AC34F3">
            <w:pPr>
              <w:pStyle w:val="TableBody"/>
              <w:rPr>
                <w:szCs w:val="20"/>
              </w:rPr>
            </w:pPr>
            <w:r w:rsidRPr="007A3610">
              <w:rPr>
                <w:szCs w:val="20"/>
              </w:rPr>
              <w:t>13</w:t>
            </w:r>
            <w:r w:rsidRPr="007A3610">
              <w:rPr>
                <w:szCs w:val="20"/>
              </w:rPr>
              <w:br/>
              <w:t>(87%)</w:t>
            </w:r>
          </w:p>
        </w:tc>
        <w:tc>
          <w:tcPr>
            <w:tcW w:w="384" w:type="pct"/>
          </w:tcPr>
          <w:p w14:paraId="4C8ED7E9" w14:textId="77777777" w:rsidR="00EF5C25" w:rsidRPr="007A3610" w:rsidRDefault="00EF5C25" w:rsidP="00AC34F3">
            <w:pPr>
              <w:pStyle w:val="TableBody"/>
              <w:rPr>
                <w:szCs w:val="20"/>
              </w:rPr>
            </w:pPr>
            <w:r w:rsidRPr="007A3610">
              <w:rPr>
                <w:szCs w:val="20"/>
              </w:rPr>
              <w:t>24</w:t>
            </w:r>
            <w:r w:rsidRPr="007A3610">
              <w:rPr>
                <w:szCs w:val="20"/>
              </w:rPr>
              <w:br/>
              <w:t>(88%)</w:t>
            </w:r>
          </w:p>
        </w:tc>
        <w:tc>
          <w:tcPr>
            <w:tcW w:w="435" w:type="pct"/>
          </w:tcPr>
          <w:p w14:paraId="1EFDE27C" w14:textId="77777777" w:rsidR="00EF5C25" w:rsidRPr="007A3610" w:rsidRDefault="00EF5C25" w:rsidP="00AC34F3">
            <w:pPr>
              <w:pStyle w:val="TableBody"/>
              <w:rPr>
                <w:szCs w:val="20"/>
              </w:rPr>
            </w:pPr>
            <w:r w:rsidRPr="007A3610">
              <w:rPr>
                <w:szCs w:val="20"/>
              </w:rPr>
              <w:t>20</w:t>
            </w:r>
            <w:r w:rsidRPr="007A3610">
              <w:rPr>
                <w:szCs w:val="20"/>
              </w:rPr>
              <w:br/>
              <w:t>(100%)</w:t>
            </w:r>
          </w:p>
        </w:tc>
        <w:tc>
          <w:tcPr>
            <w:tcW w:w="384" w:type="pct"/>
          </w:tcPr>
          <w:p w14:paraId="0CE6648D" w14:textId="77777777" w:rsidR="00EF5C25" w:rsidRPr="007A3610" w:rsidRDefault="00EF5C25" w:rsidP="00AC34F3">
            <w:pPr>
              <w:pStyle w:val="TableBody"/>
              <w:rPr>
                <w:szCs w:val="20"/>
              </w:rPr>
            </w:pPr>
            <w:r w:rsidRPr="007A3610">
              <w:rPr>
                <w:szCs w:val="20"/>
              </w:rPr>
              <w:t>17</w:t>
            </w:r>
            <w:r w:rsidRPr="007A3610">
              <w:rPr>
                <w:szCs w:val="20"/>
              </w:rPr>
              <w:br/>
              <w:t>(89%)</w:t>
            </w:r>
          </w:p>
        </w:tc>
        <w:tc>
          <w:tcPr>
            <w:tcW w:w="384" w:type="pct"/>
          </w:tcPr>
          <w:p w14:paraId="7DAC1CDB" w14:textId="77777777" w:rsidR="00EF5C25" w:rsidRPr="007A3610" w:rsidRDefault="00EF5C25" w:rsidP="00AC34F3">
            <w:pPr>
              <w:pStyle w:val="TableBody"/>
              <w:rPr>
                <w:szCs w:val="20"/>
              </w:rPr>
            </w:pPr>
            <w:r w:rsidRPr="007A3610">
              <w:rPr>
                <w:szCs w:val="20"/>
              </w:rPr>
              <w:t>12</w:t>
            </w:r>
            <w:r w:rsidRPr="007A3610">
              <w:rPr>
                <w:szCs w:val="20"/>
              </w:rPr>
              <w:br/>
              <w:t>(86%)</w:t>
            </w:r>
          </w:p>
        </w:tc>
        <w:tc>
          <w:tcPr>
            <w:tcW w:w="384" w:type="pct"/>
          </w:tcPr>
          <w:p w14:paraId="4EDC0122" w14:textId="77777777" w:rsidR="00EF5C25" w:rsidRPr="007A3610" w:rsidRDefault="00EF5C25" w:rsidP="00AC34F3">
            <w:pPr>
              <w:pStyle w:val="TableBody"/>
              <w:rPr>
                <w:szCs w:val="20"/>
              </w:rPr>
            </w:pPr>
            <w:r w:rsidRPr="007A3610">
              <w:rPr>
                <w:szCs w:val="20"/>
              </w:rPr>
              <w:t>7</w:t>
            </w:r>
            <w:r w:rsidRPr="007A3610">
              <w:rPr>
                <w:szCs w:val="20"/>
              </w:rPr>
              <w:br/>
              <w:t>(88%)</w:t>
            </w:r>
          </w:p>
        </w:tc>
        <w:tc>
          <w:tcPr>
            <w:tcW w:w="426" w:type="pct"/>
          </w:tcPr>
          <w:p w14:paraId="69244DB1" w14:textId="77777777" w:rsidR="00EF5C25" w:rsidRPr="007A3610" w:rsidRDefault="00EF5C25" w:rsidP="00AC34F3">
            <w:pPr>
              <w:pStyle w:val="TableBody"/>
              <w:rPr>
                <w:rStyle w:val="Strong"/>
                <w:szCs w:val="20"/>
              </w:rPr>
            </w:pPr>
            <w:r w:rsidRPr="007A3610">
              <w:rPr>
                <w:rStyle w:val="Strong"/>
                <w:szCs w:val="20"/>
              </w:rPr>
              <w:t>132</w:t>
            </w:r>
            <w:r w:rsidRPr="007A3610">
              <w:rPr>
                <w:rStyle w:val="Strong"/>
                <w:szCs w:val="20"/>
              </w:rPr>
              <w:br/>
              <w:t>(92%)</w:t>
            </w:r>
          </w:p>
        </w:tc>
      </w:tr>
      <w:tr w:rsidR="00EF5C25" w:rsidRPr="007F530F" w14:paraId="2DD50AAE" w14:textId="77777777" w:rsidTr="00377374">
        <w:trPr>
          <w:trHeight w:val="60"/>
        </w:trPr>
        <w:tc>
          <w:tcPr>
            <w:tcW w:w="560" w:type="pct"/>
          </w:tcPr>
          <w:p w14:paraId="1EDCA189" w14:textId="77777777" w:rsidR="00EF5C25" w:rsidRPr="007A3610" w:rsidRDefault="00EF5C25" w:rsidP="00DC75F7">
            <w:pPr>
              <w:pStyle w:val="TableBody"/>
              <w:rPr>
                <w:szCs w:val="20"/>
              </w:rPr>
            </w:pPr>
            <w:r w:rsidRPr="007A3610">
              <w:rPr>
                <w:szCs w:val="20"/>
              </w:rPr>
              <w:t>Other</w:t>
            </w:r>
          </w:p>
        </w:tc>
        <w:tc>
          <w:tcPr>
            <w:tcW w:w="407" w:type="pct"/>
          </w:tcPr>
          <w:p w14:paraId="112DCB81" w14:textId="77777777" w:rsidR="00EF5C25" w:rsidRPr="007A3610" w:rsidRDefault="00EF5C25" w:rsidP="00AC34F3">
            <w:pPr>
              <w:pStyle w:val="TableBody"/>
              <w:rPr>
                <w:szCs w:val="20"/>
              </w:rPr>
            </w:pPr>
            <w:r w:rsidRPr="007A3610">
              <w:rPr>
                <w:szCs w:val="20"/>
              </w:rPr>
              <w:t>1</w:t>
            </w:r>
            <w:r w:rsidRPr="007A3610">
              <w:rPr>
                <w:szCs w:val="20"/>
              </w:rPr>
              <w:br/>
              <w:t>(8%)</w:t>
            </w:r>
          </w:p>
        </w:tc>
        <w:tc>
          <w:tcPr>
            <w:tcW w:w="435" w:type="pct"/>
          </w:tcPr>
          <w:p w14:paraId="24E4D953" w14:textId="77777777" w:rsidR="00EF5C25" w:rsidRPr="007A3610" w:rsidRDefault="00EF5C25" w:rsidP="00AC34F3">
            <w:pPr>
              <w:pStyle w:val="TableBody"/>
              <w:rPr>
                <w:szCs w:val="20"/>
              </w:rPr>
            </w:pPr>
            <w:r w:rsidRPr="007A3610">
              <w:rPr>
                <w:szCs w:val="20"/>
              </w:rPr>
              <w:t>–</w:t>
            </w:r>
          </w:p>
        </w:tc>
        <w:tc>
          <w:tcPr>
            <w:tcW w:w="435" w:type="pct"/>
          </w:tcPr>
          <w:p w14:paraId="7A72073C" w14:textId="77777777" w:rsidR="00EF5C25" w:rsidRPr="007A3610" w:rsidRDefault="00EF5C25" w:rsidP="00AC34F3">
            <w:pPr>
              <w:pStyle w:val="TableBody"/>
              <w:rPr>
                <w:szCs w:val="20"/>
              </w:rPr>
            </w:pPr>
            <w:r w:rsidRPr="007A3610">
              <w:rPr>
                <w:szCs w:val="20"/>
              </w:rPr>
              <w:t>–</w:t>
            </w:r>
          </w:p>
        </w:tc>
        <w:tc>
          <w:tcPr>
            <w:tcW w:w="384" w:type="pct"/>
          </w:tcPr>
          <w:p w14:paraId="038C90F2" w14:textId="77777777" w:rsidR="00EF5C25" w:rsidRPr="007A3610" w:rsidRDefault="00EF5C25" w:rsidP="00AC34F3">
            <w:pPr>
              <w:pStyle w:val="TableBody"/>
              <w:rPr>
                <w:szCs w:val="20"/>
              </w:rPr>
            </w:pPr>
            <w:r w:rsidRPr="007A3610">
              <w:rPr>
                <w:szCs w:val="20"/>
              </w:rPr>
              <w:t>1</w:t>
            </w:r>
            <w:r w:rsidRPr="007A3610">
              <w:rPr>
                <w:szCs w:val="20"/>
              </w:rPr>
              <w:br/>
              <w:t>(9%)</w:t>
            </w:r>
          </w:p>
        </w:tc>
        <w:tc>
          <w:tcPr>
            <w:tcW w:w="384" w:type="pct"/>
          </w:tcPr>
          <w:p w14:paraId="42A1490A" w14:textId="77777777" w:rsidR="00EF5C25" w:rsidRPr="007A3610" w:rsidRDefault="00EF5C25" w:rsidP="00AC34F3">
            <w:pPr>
              <w:pStyle w:val="TableBody"/>
              <w:rPr>
                <w:szCs w:val="20"/>
              </w:rPr>
            </w:pPr>
            <w:r w:rsidRPr="007A3610">
              <w:rPr>
                <w:szCs w:val="20"/>
              </w:rPr>
              <w:t>2</w:t>
            </w:r>
            <w:r w:rsidRPr="007A3610">
              <w:rPr>
                <w:szCs w:val="20"/>
              </w:rPr>
              <w:br/>
              <w:t>(13%)</w:t>
            </w:r>
          </w:p>
        </w:tc>
        <w:tc>
          <w:tcPr>
            <w:tcW w:w="384" w:type="pct"/>
          </w:tcPr>
          <w:p w14:paraId="407BD628" w14:textId="77777777" w:rsidR="00EF5C25" w:rsidRPr="007A3610" w:rsidRDefault="00EF5C25" w:rsidP="00AC34F3">
            <w:pPr>
              <w:pStyle w:val="TableBody"/>
              <w:rPr>
                <w:szCs w:val="20"/>
              </w:rPr>
            </w:pPr>
            <w:r w:rsidRPr="007A3610">
              <w:rPr>
                <w:szCs w:val="20"/>
              </w:rPr>
              <w:t>2</w:t>
            </w:r>
            <w:r w:rsidRPr="007A3610">
              <w:rPr>
                <w:szCs w:val="20"/>
              </w:rPr>
              <w:br/>
              <w:t>(8%)</w:t>
            </w:r>
          </w:p>
        </w:tc>
        <w:tc>
          <w:tcPr>
            <w:tcW w:w="435" w:type="pct"/>
          </w:tcPr>
          <w:p w14:paraId="69D387FB" w14:textId="77777777" w:rsidR="00EF5C25" w:rsidRPr="007A3610" w:rsidRDefault="00EF5C25" w:rsidP="00AC34F3">
            <w:pPr>
              <w:pStyle w:val="TableBody"/>
              <w:rPr>
                <w:szCs w:val="20"/>
              </w:rPr>
            </w:pPr>
            <w:r w:rsidRPr="007A3610">
              <w:rPr>
                <w:szCs w:val="20"/>
              </w:rPr>
              <w:t>–</w:t>
            </w:r>
          </w:p>
        </w:tc>
        <w:tc>
          <w:tcPr>
            <w:tcW w:w="384" w:type="pct"/>
          </w:tcPr>
          <w:p w14:paraId="7314A503" w14:textId="77777777" w:rsidR="00EF5C25" w:rsidRPr="007A3610" w:rsidRDefault="00EF5C25" w:rsidP="00AC34F3">
            <w:pPr>
              <w:pStyle w:val="TableBody"/>
              <w:rPr>
                <w:szCs w:val="20"/>
              </w:rPr>
            </w:pPr>
            <w:r w:rsidRPr="007A3610">
              <w:rPr>
                <w:szCs w:val="20"/>
              </w:rPr>
              <w:t>2</w:t>
            </w:r>
            <w:r w:rsidRPr="007A3610">
              <w:rPr>
                <w:szCs w:val="20"/>
              </w:rPr>
              <w:br/>
              <w:t>(11%)</w:t>
            </w:r>
          </w:p>
        </w:tc>
        <w:tc>
          <w:tcPr>
            <w:tcW w:w="384" w:type="pct"/>
          </w:tcPr>
          <w:p w14:paraId="7A0B5574" w14:textId="77777777" w:rsidR="00EF5C25" w:rsidRPr="007A3610" w:rsidRDefault="00EF5C25" w:rsidP="00AC34F3">
            <w:pPr>
              <w:pStyle w:val="TableBody"/>
              <w:rPr>
                <w:szCs w:val="20"/>
              </w:rPr>
            </w:pPr>
            <w:r w:rsidRPr="007A3610">
              <w:rPr>
                <w:szCs w:val="20"/>
              </w:rPr>
              <w:t>2</w:t>
            </w:r>
            <w:r w:rsidRPr="007A3610">
              <w:rPr>
                <w:szCs w:val="20"/>
              </w:rPr>
              <w:br/>
              <w:t>(14%)</w:t>
            </w:r>
          </w:p>
        </w:tc>
        <w:tc>
          <w:tcPr>
            <w:tcW w:w="384" w:type="pct"/>
          </w:tcPr>
          <w:p w14:paraId="1FDA3C9A" w14:textId="77777777" w:rsidR="00EF5C25" w:rsidRPr="007A3610" w:rsidRDefault="00EF5C25" w:rsidP="00AC34F3">
            <w:pPr>
              <w:pStyle w:val="TableBody"/>
              <w:rPr>
                <w:szCs w:val="20"/>
              </w:rPr>
            </w:pPr>
            <w:r w:rsidRPr="007A3610">
              <w:rPr>
                <w:szCs w:val="20"/>
              </w:rPr>
              <w:t>1</w:t>
            </w:r>
            <w:r w:rsidRPr="007A3610">
              <w:rPr>
                <w:szCs w:val="20"/>
              </w:rPr>
              <w:br/>
              <w:t>(12%)</w:t>
            </w:r>
          </w:p>
        </w:tc>
        <w:tc>
          <w:tcPr>
            <w:tcW w:w="426" w:type="pct"/>
          </w:tcPr>
          <w:p w14:paraId="1253A45C" w14:textId="77777777" w:rsidR="00EF5C25" w:rsidRPr="007A3610" w:rsidRDefault="00EF5C25" w:rsidP="00AC34F3">
            <w:pPr>
              <w:pStyle w:val="TableBody"/>
              <w:rPr>
                <w:rStyle w:val="Strong"/>
                <w:szCs w:val="20"/>
              </w:rPr>
            </w:pPr>
            <w:r w:rsidRPr="007A3610">
              <w:rPr>
                <w:rStyle w:val="Strong"/>
                <w:szCs w:val="20"/>
              </w:rPr>
              <w:t>11</w:t>
            </w:r>
            <w:r w:rsidRPr="007A3610">
              <w:rPr>
                <w:rStyle w:val="Strong"/>
                <w:szCs w:val="20"/>
              </w:rPr>
              <w:br/>
              <w:t>(8%)</w:t>
            </w:r>
          </w:p>
        </w:tc>
      </w:tr>
      <w:tr w:rsidR="007A3610" w:rsidRPr="007F530F" w14:paraId="5C53BBF0" w14:textId="77777777" w:rsidTr="00377374">
        <w:trPr>
          <w:trHeight w:val="60"/>
        </w:trPr>
        <w:tc>
          <w:tcPr>
            <w:tcW w:w="560" w:type="pct"/>
          </w:tcPr>
          <w:p w14:paraId="610783F5" w14:textId="77777777" w:rsidR="00EF5C25" w:rsidRPr="007A3610" w:rsidRDefault="00EF5C25" w:rsidP="00DC75F7">
            <w:pPr>
              <w:pStyle w:val="TableBody"/>
              <w:rPr>
                <w:rStyle w:val="Strong"/>
                <w:szCs w:val="20"/>
              </w:rPr>
            </w:pPr>
            <w:r w:rsidRPr="007A3610">
              <w:rPr>
                <w:rStyle w:val="Strong"/>
                <w:szCs w:val="20"/>
              </w:rPr>
              <w:t>Total</w:t>
            </w:r>
          </w:p>
        </w:tc>
        <w:tc>
          <w:tcPr>
            <w:tcW w:w="407" w:type="pct"/>
          </w:tcPr>
          <w:p w14:paraId="785E4A88" w14:textId="77777777" w:rsidR="00EF5C25" w:rsidRPr="007A3610" w:rsidRDefault="00EF5C25" w:rsidP="00AC34F3">
            <w:pPr>
              <w:pStyle w:val="TableBody"/>
              <w:rPr>
                <w:rStyle w:val="Strong"/>
                <w:szCs w:val="20"/>
              </w:rPr>
            </w:pPr>
            <w:r w:rsidRPr="007A3610">
              <w:rPr>
                <w:rStyle w:val="Strong"/>
                <w:szCs w:val="20"/>
              </w:rPr>
              <w:t>13</w:t>
            </w:r>
          </w:p>
        </w:tc>
        <w:tc>
          <w:tcPr>
            <w:tcW w:w="435" w:type="pct"/>
          </w:tcPr>
          <w:p w14:paraId="545E3F43" w14:textId="77777777" w:rsidR="00EF5C25" w:rsidRPr="007A3610" w:rsidRDefault="00EF5C25" w:rsidP="00AC34F3">
            <w:pPr>
              <w:pStyle w:val="TableBody"/>
              <w:rPr>
                <w:rStyle w:val="Strong"/>
                <w:szCs w:val="20"/>
              </w:rPr>
            </w:pPr>
            <w:r w:rsidRPr="007A3610">
              <w:rPr>
                <w:rStyle w:val="Strong"/>
                <w:szCs w:val="20"/>
              </w:rPr>
              <w:t>7</w:t>
            </w:r>
          </w:p>
        </w:tc>
        <w:tc>
          <w:tcPr>
            <w:tcW w:w="435" w:type="pct"/>
          </w:tcPr>
          <w:p w14:paraId="3EADD0EC" w14:textId="77777777" w:rsidR="00EF5C25" w:rsidRPr="007A3610" w:rsidRDefault="00EF5C25" w:rsidP="00AC34F3">
            <w:pPr>
              <w:pStyle w:val="TableBody"/>
              <w:rPr>
                <w:rStyle w:val="Strong"/>
                <w:szCs w:val="20"/>
              </w:rPr>
            </w:pPr>
            <w:r w:rsidRPr="007A3610">
              <w:rPr>
                <w:rStyle w:val="Strong"/>
                <w:szCs w:val="20"/>
              </w:rPr>
              <w:t>10</w:t>
            </w:r>
          </w:p>
        </w:tc>
        <w:tc>
          <w:tcPr>
            <w:tcW w:w="384" w:type="pct"/>
          </w:tcPr>
          <w:p w14:paraId="2D34B092" w14:textId="77777777" w:rsidR="00EF5C25" w:rsidRPr="007A3610" w:rsidRDefault="00EF5C25" w:rsidP="00AC34F3">
            <w:pPr>
              <w:pStyle w:val="TableBody"/>
              <w:rPr>
                <w:rStyle w:val="Strong"/>
                <w:szCs w:val="20"/>
              </w:rPr>
            </w:pPr>
            <w:r w:rsidRPr="007A3610">
              <w:rPr>
                <w:rStyle w:val="Strong"/>
                <w:szCs w:val="20"/>
              </w:rPr>
              <w:t>11</w:t>
            </w:r>
          </w:p>
        </w:tc>
        <w:tc>
          <w:tcPr>
            <w:tcW w:w="384" w:type="pct"/>
          </w:tcPr>
          <w:p w14:paraId="5966ABC7" w14:textId="77777777" w:rsidR="00EF5C25" w:rsidRPr="007A3610" w:rsidRDefault="00EF5C25" w:rsidP="00AC34F3">
            <w:pPr>
              <w:pStyle w:val="TableBody"/>
              <w:rPr>
                <w:rStyle w:val="Strong"/>
                <w:szCs w:val="20"/>
              </w:rPr>
            </w:pPr>
            <w:r w:rsidRPr="007A3610">
              <w:rPr>
                <w:rStyle w:val="Strong"/>
                <w:szCs w:val="20"/>
              </w:rPr>
              <w:t>15</w:t>
            </w:r>
          </w:p>
        </w:tc>
        <w:tc>
          <w:tcPr>
            <w:tcW w:w="384" w:type="pct"/>
          </w:tcPr>
          <w:p w14:paraId="52D8C9DB" w14:textId="77777777" w:rsidR="00EF5C25" w:rsidRPr="007A3610" w:rsidRDefault="00EF5C25" w:rsidP="00AC34F3">
            <w:pPr>
              <w:pStyle w:val="TableBody"/>
              <w:rPr>
                <w:rStyle w:val="Strong"/>
                <w:szCs w:val="20"/>
              </w:rPr>
            </w:pPr>
            <w:r w:rsidRPr="007A3610">
              <w:rPr>
                <w:rStyle w:val="Strong"/>
                <w:szCs w:val="20"/>
              </w:rPr>
              <w:t>26</w:t>
            </w:r>
          </w:p>
        </w:tc>
        <w:tc>
          <w:tcPr>
            <w:tcW w:w="435" w:type="pct"/>
          </w:tcPr>
          <w:p w14:paraId="61C4CB38" w14:textId="77777777" w:rsidR="00EF5C25" w:rsidRPr="007A3610" w:rsidRDefault="00EF5C25" w:rsidP="00AC34F3">
            <w:pPr>
              <w:pStyle w:val="TableBody"/>
              <w:rPr>
                <w:rStyle w:val="Strong"/>
                <w:szCs w:val="20"/>
              </w:rPr>
            </w:pPr>
            <w:r w:rsidRPr="007A3610">
              <w:rPr>
                <w:rStyle w:val="Strong"/>
                <w:szCs w:val="20"/>
              </w:rPr>
              <w:t>20</w:t>
            </w:r>
          </w:p>
        </w:tc>
        <w:tc>
          <w:tcPr>
            <w:tcW w:w="384" w:type="pct"/>
          </w:tcPr>
          <w:p w14:paraId="55B51C6D" w14:textId="77777777" w:rsidR="00EF5C25" w:rsidRPr="007A3610" w:rsidRDefault="00EF5C25" w:rsidP="00AC34F3">
            <w:pPr>
              <w:pStyle w:val="TableBody"/>
              <w:rPr>
                <w:rStyle w:val="Strong"/>
                <w:szCs w:val="20"/>
              </w:rPr>
            </w:pPr>
            <w:r w:rsidRPr="007A3610">
              <w:rPr>
                <w:rStyle w:val="Strong"/>
                <w:szCs w:val="20"/>
              </w:rPr>
              <w:t>19</w:t>
            </w:r>
          </w:p>
        </w:tc>
        <w:tc>
          <w:tcPr>
            <w:tcW w:w="384" w:type="pct"/>
          </w:tcPr>
          <w:p w14:paraId="20106FD2" w14:textId="77777777" w:rsidR="00EF5C25" w:rsidRPr="007A3610" w:rsidRDefault="00EF5C25" w:rsidP="00AC34F3">
            <w:pPr>
              <w:pStyle w:val="TableBody"/>
              <w:rPr>
                <w:rStyle w:val="Strong"/>
                <w:szCs w:val="20"/>
              </w:rPr>
            </w:pPr>
            <w:r w:rsidRPr="007A3610">
              <w:rPr>
                <w:rStyle w:val="Strong"/>
                <w:szCs w:val="20"/>
              </w:rPr>
              <w:t>14</w:t>
            </w:r>
          </w:p>
        </w:tc>
        <w:tc>
          <w:tcPr>
            <w:tcW w:w="384" w:type="pct"/>
          </w:tcPr>
          <w:p w14:paraId="319E862F" w14:textId="77777777" w:rsidR="00EF5C25" w:rsidRPr="007A3610" w:rsidRDefault="00EF5C25" w:rsidP="00AC34F3">
            <w:pPr>
              <w:pStyle w:val="TableBody"/>
              <w:rPr>
                <w:rStyle w:val="Strong"/>
                <w:szCs w:val="20"/>
              </w:rPr>
            </w:pPr>
            <w:r w:rsidRPr="007A3610">
              <w:rPr>
                <w:rStyle w:val="Strong"/>
                <w:szCs w:val="20"/>
              </w:rPr>
              <w:t>8</w:t>
            </w:r>
          </w:p>
        </w:tc>
        <w:tc>
          <w:tcPr>
            <w:tcW w:w="426" w:type="pct"/>
          </w:tcPr>
          <w:p w14:paraId="298E8A13" w14:textId="77777777" w:rsidR="00EF5C25" w:rsidRPr="007A3610" w:rsidRDefault="00EF5C25" w:rsidP="00AC34F3">
            <w:pPr>
              <w:pStyle w:val="TableBody"/>
              <w:rPr>
                <w:rStyle w:val="Strong"/>
                <w:szCs w:val="20"/>
              </w:rPr>
            </w:pPr>
            <w:r w:rsidRPr="007A3610">
              <w:rPr>
                <w:rStyle w:val="Strong"/>
                <w:szCs w:val="20"/>
              </w:rPr>
              <w:t>143</w:t>
            </w:r>
          </w:p>
        </w:tc>
      </w:tr>
    </w:tbl>
    <w:p w14:paraId="4780EA10" w14:textId="77777777" w:rsidR="007A3610" w:rsidRDefault="007A3610" w:rsidP="00483DF8">
      <w:pPr>
        <w:pStyle w:val="Numbered"/>
        <w:sectPr w:rsidR="007A3610" w:rsidSect="007A3610">
          <w:pgSz w:w="16838" w:h="11906" w:orient="landscape"/>
          <w:pgMar w:top="1440" w:right="1440" w:bottom="1440" w:left="1440" w:header="720" w:footer="720" w:gutter="0"/>
          <w:cols w:space="720"/>
          <w:noEndnote/>
          <w:docGrid w:linePitch="326"/>
        </w:sectPr>
      </w:pPr>
    </w:p>
    <w:p w14:paraId="126DF23F" w14:textId="4B70F557" w:rsidR="00EF5C25" w:rsidRPr="007F530F" w:rsidRDefault="00EF5C25" w:rsidP="00483DF8">
      <w:pPr>
        <w:pStyle w:val="Numbered"/>
      </w:pPr>
      <w:r w:rsidRPr="007F530F">
        <w:lastRenderedPageBreak/>
        <w:t>Of the 11 charges (in 10 cases) that received sentences other than an immediate custodial sentence, 8 received a community correction order, 2 received a wholly suspended sentence and 1 received a fine. In most of the cases for which sentencing remarks were available, the offending involved a young offender (aged 17 to 22 years) in a sexual relationship with a child aged 13 years, 14 years or 15 years;</w:t>
      </w:r>
      <w:r w:rsidRPr="007F530F">
        <w:rPr>
          <w:rStyle w:val="Superscript"/>
        </w:rPr>
        <w:footnoteReference w:id="269"/>
      </w:r>
      <w:r w:rsidRPr="007F530F">
        <w:t xml:space="preserve"> see, for example, Case Study 5.</w:t>
      </w:r>
    </w:p>
    <w:p w14:paraId="1EF32033" w14:textId="77777777" w:rsidR="00EF5C25" w:rsidRPr="007F530F" w:rsidRDefault="00EF5C25" w:rsidP="0036487E">
      <w:pPr>
        <w:pStyle w:val="Heading3"/>
      </w:pPr>
      <w:r w:rsidRPr="007F530F">
        <w:t>Case Study 5: community order for persistent sexual abuse of a child aged under 16</w:t>
      </w:r>
    </w:p>
    <w:p w14:paraId="7026F8AD" w14:textId="77777777" w:rsidR="00EF5C25" w:rsidRPr="007F530F" w:rsidRDefault="00EF5C25" w:rsidP="00315A0D">
      <w:r w:rsidRPr="007F530F">
        <w:t>The offender was 19 years of age when he met the victim. The victim told him she was 16 years of age and they started a sexual relationship. They both used drugs on a regular basis, including marijuana and amphetamines. A month later, she informed him that she was actually 15. They continued their sexual relationship for a number of months.</w:t>
      </w:r>
    </w:p>
    <w:p w14:paraId="221EEEE0" w14:textId="77777777" w:rsidR="00EF5C25" w:rsidRPr="007F530F" w:rsidRDefault="00EF5C25" w:rsidP="00315A0D">
      <w:r w:rsidRPr="007F530F">
        <w:t>When police became aware of their relationship, they interviewed the offender. He made full admissions and pleaded guilty at the earliest opportunity. At sentencing the judge noted that he suffered from Asperger syndrome, had an IQ of 75, was drug dependent and was on a disability pension. He had no prior convictions and was engaging well with both drug counselling and a psychologist. He was assessed as a low to moderate risk of reoffending.</w:t>
      </w:r>
    </w:p>
    <w:p w14:paraId="17BEBBC1" w14:textId="77777777" w:rsidR="00EF5C25" w:rsidRPr="007F530F" w:rsidRDefault="00EF5C25" w:rsidP="00315A0D">
      <w:r w:rsidRPr="007F530F">
        <w:t>He received a 2-year community correction order with a judicial monitoring condition, a supervision condition and a requirement to undertake treatment and rehabilitation for his drug use.</w:t>
      </w:r>
    </w:p>
    <w:p w14:paraId="0B358D52" w14:textId="77777777" w:rsidR="00EF5C25" w:rsidRPr="007F530F" w:rsidRDefault="00EF5C25" w:rsidP="0076070B">
      <w:pPr>
        <w:jc w:val="right"/>
        <w:rPr>
          <w:rStyle w:val="Emphasis"/>
        </w:rPr>
      </w:pPr>
      <w:r w:rsidRPr="007F530F">
        <w:rPr>
          <w:rStyle w:val="Emphasis"/>
        </w:rPr>
        <w:t>Unpublished sentencing remarks provided to the Council</w:t>
      </w:r>
    </w:p>
    <w:p w14:paraId="207B2ABA" w14:textId="77777777" w:rsidR="00EF5C25" w:rsidRPr="007F530F" w:rsidRDefault="00EF5C25" w:rsidP="006633AA">
      <w:pPr>
        <w:pStyle w:val="Heading2"/>
      </w:pPr>
      <w:r w:rsidRPr="007F530F">
        <w:lastRenderedPageBreak/>
        <w:t>How long were prison sentences for persistent sexual abuse of a child aged under 16?</w:t>
      </w:r>
    </w:p>
    <w:p w14:paraId="3022F44B" w14:textId="24B7A761" w:rsidR="00EF5C25" w:rsidRPr="007F530F" w:rsidRDefault="00EF5C25" w:rsidP="00483DF8">
      <w:pPr>
        <w:pStyle w:val="Numbered"/>
      </w:pPr>
      <w:r w:rsidRPr="007F530F">
        <w:t>During the reference period, 130 non-aggregate sentences of imprisonment were imposed for persistent sexual abuse of a child offences.</w:t>
      </w:r>
      <w:r w:rsidRPr="007F530F">
        <w:rPr>
          <w:rStyle w:val="Superscript"/>
        </w:rPr>
        <w:footnoteReference w:id="270"/>
      </w:r>
      <w:r w:rsidRPr="007F530F">
        <w:t xml:space="preserve"> Figure 30 shows the yearly average prison sentence for those charges. The average prison sentence over the reference period for these offences was 6 years and 6 months. The shortest prison sentence was 1 year (part of combined orders for a 68-year old offender and an 83-year-old offender)</w:t>
      </w:r>
      <w:r w:rsidRPr="007F530F">
        <w:rPr>
          <w:rStyle w:val="Superscript"/>
        </w:rPr>
        <w:footnoteReference w:id="271"/>
      </w:r>
      <w:r w:rsidRPr="007F530F">
        <w:t xml:space="preserve"> and the longest prison sentences were 13 years</w:t>
      </w:r>
      <w:r w:rsidRPr="007F530F">
        <w:rPr>
          <w:rStyle w:val="Superscript"/>
        </w:rPr>
        <w:footnoteReference w:id="272"/>
      </w:r>
      <w:r w:rsidRPr="007F530F">
        <w:t xml:space="preserve"> and 12 years. While the average yearly prison sentence increased by 30% over the reference period, there was no discernible trend.</w:t>
      </w:r>
      <w:r w:rsidRPr="007F530F">
        <w:rPr>
          <w:rStyle w:val="Superscript"/>
        </w:rPr>
        <w:footnoteReference w:id="273"/>
      </w:r>
      <w:r w:rsidRPr="007F530F">
        <w:t xml:space="preserve"> By the end of 2019, no charges of persistent sexual abuse of a child aged under 16 had yet been sentenced as a standard sentence offence. There were, though, at least three relevant cases sentenced in 2020 (after the reference period); one case received 6 years’ imprisonment, one received 6 years and 6 months’ imprisonment, and one with 3 charges received 7 years’, 8 years’ and 8 years’ imprisonment.</w:t>
      </w:r>
      <w:r w:rsidRPr="007F530F">
        <w:rPr>
          <w:rStyle w:val="Superscript"/>
        </w:rPr>
        <w:footnoteReference w:id="274"/>
      </w:r>
      <w:r w:rsidRPr="007F530F">
        <w:t xml:space="preserve"> This is consistent with the findings in relation to other standard sentence offences, where average prison sentences may approach the </w:t>
      </w:r>
      <w:r w:rsidRPr="007F530F">
        <w:lastRenderedPageBreak/>
        <w:t>standard sentence but they most likely remain below the standard sentence set for each offence, due to the mitigating influence of subjective factors such as guilty pleas (see further [9.8]–[9.10]).</w:t>
      </w:r>
    </w:p>
    <w:p w14:paraId="05018BAC" w14:textId="77777777" w:rsidR="00444451" w:rsidRPr="007F530F" w:rsidRDefault="00444451" w:rsidP="00D00197">
      <w:pPr>
        <w:pStyle w:val="Caption"/>
      </w:pPr>
      <w:r w:rsidRPr="00D00197">
        <w:t>Figure 30:</w:t>
      </w:r>
      <w:r w:rsidRPr="007F530F">
        <w:t xml:space="preserve"> Average prison sentence (in years and months) imposed on charges of persistent sexual abuse of a child aged under 16 contrary to sections 47A and 49J of the </w:t>
      </w:r>
      <w:r w:rsidRPr="00D931C5">
        <w:rPr>
          <w:rStyle w:val="Emphasis"/>
        </w:rPr>
        <w:t xml:space="preserve">Crimes Act 1958 </w:t>
      </w:r>
      <w:r w:rsidRPr="007F530F">
        <w:t>(Vic), by year (130 charges)</w:t>
      </w:r>
    </w:p>
    <w:tbl>
      <w:tblPr>
        <w:tblStyle w:val="Table"/>
        <w:tblW w:w="5000" w:type="pct"/>
        <w:tblLook w:val="04A0" w:firstRow="1" w:lastRow="0" w:firstColumn="1" w:lastColumn="0" w:noHBand="0" w:noVBand="1"/>
      </w:tblPr>
      <w:tblGrid>
        <w:gridCol w:w="1922"/>
        <w:gridCol w:w="2737"/>
        <w:gridCol w:w="4357"/>
      </w:tblGrid>
      <w:tr w:rsidR="00C10923" w:rsidRPr="00C10923" w14:paraId="06B9C313" w14:textId="77777777" w:rsidTr="00F90E8E">
        <w:trPr>
          <w:trHeight w:val="290"/>
          <w:tblHeader/>
        </w:trPr>
        <w:tc>
          <w:tcPr>
            <w:tcW w:w="1066" w:type="pct"/>
            <w:noWrap/>
            <w:hideMark/>
          </w:tcPr>
          <w:p w14:paraId="2C641F4D" w14:textId="77777777" w:rsidR="00C10923" w:rsidRPr="00C10923" w:rsidRDefault="00C10923" w:rsidP="00F90E8E">
            <w:pPr>
              <w:pStyle w:val="TableHeading"/>
            </w:pPr>
            <w:r w:rsidRPr="00C10923">
              <w:t>Year</w:t>
            </w:r>
          </w:p>
        </w:tc>
        <w:tc>
          <w:tcPr>
            <w:tcW w:w="1518" w:type="pct"/>
            <w:noWrap/>
            <w:hideMark/>
          </w:tcPr>
          <w:p w14:paraId="18118CDA" w14:textId="77777777" w:rsidR="00C10923" w:rsidRPr="00C10923" w:rsidRDefault="00C10923" w:rsidP="00F90E8E">
            <w:pPr>
              <w:pStyle w:val="TableHeading"/>
            </w:pPr>
            <w:r w:rsidRPr="00C10923">
              <w:t>Charges sentenced</w:t>
            </w:r>
          </w:p>
        </w:tc>
        <w:tc>
          <w:tcPr>
            <w:tcW w:w="2416" w:type="pct"/>
            <w:noWrap/>
            <w:hideMark/>
          </w:tcPr>
          <w:p w14:paraId="7455480B" w14:textId="77777777" w:rsidR="00C10923" w:rsidRPr="00C10923" w:rsidRDefault="00C10923" w:rsidP="00F90E8E">
            <w:pPr>
              <w:pStyle w:val="TableHeading"/>
            </w:pPr>
            <w:r w:rsidRPr="00C10923">
              <w:t>Average sentence</w:t>
            </w:r>
          </w:p>
        </w:tc>
      </w:tr>
      <w:tr w:rsidR="00C10923" w:rsidRPr="00C10923" w14:paraId="7481B557" w14:textId="77777777" w:rsidTr="00F90E8E">
        <w:trPr>
          <w:trHeight w:val="290"/>
        </w:trPr>
        <w:tc>
          <w:tcPr>
            <w:tcW w:w="1066" w:type="pct"/>
            <w:noWrap/>
            <w:hideMark/>
          </w:tcPr>
          <w:p w14:paraId="1F7D6F85" w14:textId="77777777" w:rsidR="00C10923" w:rsidRPr="00C10923" w:rsidRDefault="00C10923" w:rsidP="00F90E8E">
            <w:pPr>
              <w:pStyle w:val="TableBody"/>
            </w:pPr>
            <w:r w:rsidRPr="00C10923">
              <w:t>2010</w:t>
            </w:r>
          </w:p>
        </w:tc>
        <w:tc>
          <w:tcPr>
            <w:tcW w:w="1518" w:type="pct"/>
            <w:noWrap/>
            <w:hideMark/>
          </w:tcPr>
          <w:p w14:paraId="2A2BFCF6" w14:textId="77777777" w:rsidR="00C10923" w:rsidRPr="00C10923" w:rsidRDefault="00C10923" w:rsidP="00F90E8E">
            <w:pPr>
              <w:pStyle w:val="TableBody"/>
            </w:pPr>
            <w:r w:rsidRPr="00C10923">
              <w:t>12</w:t>
            </w:r>
          </w:p>
        </w:tc>
        <w:tc>
          <w:tcPr>
            <w:tcW w:w="2416" w:type="pct"/>
            <w:noWrap/>
            <w:hideMark/>
          </w:tcPr>
          <w:p w14:paraId="74943352" w14:textId="77777777" w:rsidR="00C10923" w:rsidRPr="00C10923" w:rsidRDefault="00C10923" w:rsidP="00F90E8E">
            <w:pPr>
              <w:pStyle w:val="TableBody"/>
            </w:pPr>
            <w:r w:rsidRPr="00C10923">
              <w:t>5 years and 10 months</w:t>
            </w:r>
          </w:p>
        </w:tc>
      </w:tr>
      <w:tr w:rsidR="00C10923" w:rsidRPr="00C10923" w14:paraId="4F2EBB34" w14:textId="77777777" w:rsidTr="00F90E8E">
        <w:trPr>
          <w:trHeight w:val="290"/>
        </w:trPr>
        <w:tc>
          <w:tcPr>
            <w:tcW w:w="1066" w:type="pct"/>
            <w:noWrap/>
            <w:hideMark/>
          </w:tcPr>
          <w:p w14:paraId="2F16C1D1" w14:textId="77777777" w:rsidR="00C10923" w:rsidRPr="00C10923" w:rsidRDefault="00C10923" w:rsidP="00F90E8E">
            <w:pPr>
              <w:pStyle w:val="TableBody"/>
            </w:pPr>
            <w:r w:rsidRPr="00C10923">
              <w:t>2011</w:t>
            </w:r>
          </w:p>
        </w:tc>
        <w:tc>
          <w:tcPr>
            <w:tcW w:w="1518" w:type="pct"/>
            <w:noWrap/>
            <w:hideMark/>
          </w:tcPr>
          <w:p w14:paraId="17164878" w14:textId="77777777" w:rsidR="00C10923" w:rsidRPr="00C10923" w:rsidRDefault="00C10923" w:rsidP="00F90E8E">
            <w:pPr>
              <w:pStyle w:val="TableBody"/>
            </w:pPr>
            <w:r w:rsidRPr="00C10923">
              <w:t>7</w:t>
            </w:r>
          </w:p>
        </w:tc>
        <w:tc>
          <w:tcPr>
            <w:tcW w:w="2416" w:type="pct"/>
            <w:noWrap/>
            <w:hideMark/>
          </w:tcPr>
          <w:p w14:paraId="4CE6D964" w14:textId="77777777" w:rsidR="00C10923" w:rsidRPr="00C10923" w:rsidRDefault="00C10923" w:rsidP="00F90E8E">
            <w:pPr>
              <w:pStyle w:val="TableBody"/>
            </w:pPr>
            <w:r w:rsidRPr="00C10923">
              <w:t>8 years and 5 months</w:t>
            </w:r>
          </w:p>
        </w:tc>
      </w:tr>
      <w:tr w:rsidR="00C10923" w:rsidRPr="00C10923" w14:paraId="19A062C5" w14:textId="77777777" w:rsidTr="00F90E8E">
        <w:trPr>
          <w:trHeight w:val="290"/>
        </w:trPr>
        <w:tc>
          <w:tcPr>
            <w:tcW w:w="1066" w:type="pct"/>
            <w:noWrap/>
            <w:hideMark/>
          </w:tcPr>
          <w:p w14:paraId="4ED0869E" w14:textId="77777777" w:rsidR="00C10923" w:rsidRPr="00C10923" w:rsidRDefault="00C10923" w:rsidP="00F90E8E">
            <w:pPr>
              <w:pStyle w:val="TableBody"/>
            </w:pPr>
            <w:r w:rsidRPr="00C10923">
              <w:t>2012</w:t>
            </w:r>
          </w:p>
        </w:tc>
        <w:tc>
          <w:tcPr>
            <w:tcW w:w="1518" w:type="pct"/>
            <w:noWrap/>
            <w:hideMark/>
          </w:tcPr>
          <w:p w14:paraId="30C9353D" w14:textId="77777777" w:rsidR="00C10923" w:rsidRPr="00C10923" w:rsidRDefault="00C10923" w:rsidP="00F90E8E">
            <w:pPr>
              <w:pStyle w:val="TableBody"/>
            </w:pPr>
            <w:r w:rsidRPr="00C10923">
              <w:t>10</w:t>
            </w:r>
          </w:p>
        </w:tc>
        <w:tc>
          <w:tcPr>
            <w:tcW w:w="2416" w:type="pct"/>
            <w:noWrap/>
            <w:hideMark/>
          </w:tcPr>
          <w:p w14:paraId="320C36D5" w14:textId="77777777" w:rsidR="00C10923" w:rsidRPr="00C10923" w:rsidRDefault="00C10923" w:rsidP="00F90E8E">
            <w:pPr>
              <w:pStyle w:val="TableBody"/>
            </w:pPr>
            <w:r w:rsidRPr="00C10923">
              <w:t>6 years and 2 months</w:t>
            </w:r>
          </w:p>
        </w:tc>
      </w:tr>
      <w:tr w:rsidR="00C10923" w:rsidRPr="00C10923" w14:paraId="2F6BCB34" w14:textId="77777777" w:rsidTr="00F90E8E">
        <w:trPr>
          <w:trHeight w:val="290"/>
        </w:trPr>
        <w:tc>
          <w:tcPr>
            <w:tcW w:w="1066" w:type="pct"/>
            <w:noWrap/>
            <w:hideMark/>
          </w:tcPr>
          <w:p w14:paraId="38F9EDCB" w14:textId="77777777" w:rsidR="00C10923" w:rsidRPr="00C10923" w:rsidRDefault="00C10923" w:rsidP="00F90E8E">
            <w:pPr>
              <w:pStyle w:val="TableBody"/>
            </w:pPr>
            <w:r w:rsidRPr="00C10923">
              <w:t>2013</w:t>
            </w:r>
          </w:p>
        </w:tc>
        <w:tc>
          <w:tcPr>
            <w:tcW w:w="1518" w:type="pct"/>
            <w:noWrap/>
            <w:hideMark/>
          </w:tcPr>
          <w:p w14:paraId="6724507F" w14:textId="77777777" w:rsidR="00C10923" w:rsidRPr="00C10923" w:rsidRDefault="00C10923" w:rsidP="00F90E8E">
            <w:pPr>
              <w:pStyle w:val="TableBody"/>
            </w:pPr>
            <w:r w:rsidRPr="00C10923">
              <w:t>10</w:t>
            </w:r>
          </w:p>
        </w:tc>
        <w:tc>
          <w:tcPr>
            <w:tcW w:w="2416" w:type="pct"/>
            <w:noWrap/>
            <w:hideMark/>
          </w:tcPr>
          <w:p w14:paraId="77310A79" w14:textId="77777777" w:rsidR="00C10923" w:rsidRPr="00C10923" w:rsidRDefault="00C10923" w:rsidP="00F90E8E">
            <w:pPr>
              <w:pStyle w:val="TableBody"/>
            </w:pPr>
            <w:r w:rsidRPr="00C10923">
              <w:t>5 years and 10 months</w:t>
            </w:r>
          </w:p>
        </w:tc>
      </w:tr>
      <w:tr w:rsidR="00C10923" w:rsidRPr="00C10923" w14:paraId="17375810" w14:textId="77777777" w:rsidTr="00F90E8E">
        <w:trPr>
          <w:trHeight w:val="290"/>
        </w:trPr>
        <w:tc>
          <w:tcPr>
            <w:tcW w:w="1066" w:type="pct"/>
            <w:noWrap/>
            <w:hideMark/>
          </w:tcPr>
          <w:p w14:paraId="555F5E7C" w14:textId="77777777" w:rsidR="00C10923" w:rsidRPr="00C10923" w:rsidRDefault="00C10923" w:rsidP="00F90E8E">
            <w:pPr>
              <w:pStyle w:val="TableBody"/>
            </w:pPr>
            <w:r w:rsidRPr="00C10923">
              <w:t>2014</w:t>
            </w:r>
          </w:p>
        </w:tc>
        <w:tc>
          <w:tcPr>
            <w:tcW w:w="1518" w:type="pct"/>
            <w:noWrap/>
            <w:hideMark/>
          </w:tcPr>
          <w:p w14:paraId="46B897A8" w14:textId="77777777" w:rsidR="00C10923" w:rsidRPr="00C10923" w:rsidRDefault="00C10923" w:rsidP="00F90E8E">
            <w:pPr>
              <w:pStyle w:val="TableBody"/>
            </w:pPr>
            <w:r w:rsidRPr="00C10923">
              <w:t>13</w:t>
            </w:r>
          </w:p>
        </w:tc>
        <w:tc>
          <w:tcPr>
            <w:tcW w:w="2416" w:type="pct"/>
            <w:noWrap/>
            <w:hideMark/>
          </w:tcPr>
          <w:p w14:paraId="329EF55A" w14:textId="77777777" w:rsidR="00C10923" w:rsidRPr="00C10923" w:rsidRDefault="00C10923" w:rsidP="00F90E8E">
            <w:pPr>
              <w:pStyle w:val="TableBody"/>
            </w:pPr>
            <w:r w:rsidRPr="00C10923">
              <w:t>5 years and 9 months</w:t>
            </w:r>
          </w:p>
        </w:tc>
      </w:tr>
      <w:tr w:rsidR="00C10923" w:rsidRPr="00C10923" w14:paraId="14C0C835" w14:textId="77777777" w:rsidTr="00F90E8E">
        <w:trPr>
          <w:trHeight w:val="290"/>
        </w:trPr>
        <w:tc>
          <w:tcPr>
            <w:tcW w:w="1066" w:type="pct"/>
            <w:noWrap/>
            <w:hideMark/>
          </w:tcPr>
          <w:p w14:paraId="413A1389" w14:textId="77777777" w:rsidR="00C10923" w:rsidRPr="00C10923" w:rsidRDefault="00C10923" w:rsidP="00F90E8E">
            <w:pPr>
              <w:pStyle w:val="TableBody"/>
            </w:pPr>
            <w:r w:rsidRPr="00C10923">
              <w:t>2015</w:t>
            </w:r>
          </w:p>
        </w:tc>
        <w:tc>
          <w:tcPr>
            <w:tcW w:w="1518" w:type="pct"/>
            <w:noWrap/>
            <w:hideMark/>
          </w:tcPr>
          <w:p w14:paraId="6C0C51AC" w14:textId="77777777" w:rsidR="00C10923" w:rsidRPr="00C10923" w:rsidRDefault="00C10923" w:rsidP="00F90E8E">
            <w:pPr>
              <w:pStyle w:val="TableBody"/>
            </w:pPr>
            <w:r w:rsidRPr="00C10923">
              <w:t>23</w:t>
            </w:r>
          </w:p>
        </w:tc>
        <w:tc>
          <w:tcPr>
            <w:tcW w:w="2416" w:type="pct"/>
            <w:noWrap/>
            <w:hideMark/>
          </w:tcPr>
          <w:p w14:paraId="2FA62AB2" w14:textId="77777777" w:rsidR="00C10923" w:rsidRPr="00C10923" w:rsidRDefault="00C10923" w:rsidP="00F90E8E">
            <w:pPr>
              <w:pStyle w:val="TableBody"/>
            </w:pPr>
            <w:r w:rsidRPr="00C10923">
              <w:t>7 years and 6 months</w:t>
            </w:r>
          </w:p>
        </w:tc>
      </w:tr>
      <w:tr w:rsidR="00825334" w:rsidRPr="00C10923" w14:paraId="0E2944CF" w14:textId="77777777" w:rsidTr="00F90E8E">
        <w:trPr>
          <w:trHeight w:val="290"/>
        </w:trPr>
        <w:tc>
          <w:tcPr>
            <w:tcW w:w="1066" w:type="pct"/>
            <w:noWrap/>
            <w:hideMark/>
          </w:tcPr>
          <w:p w14:paraId="42CD4F0D" w14:textId="77777777" w:rsidR="00825334" w:rsidRPr="00C10923" w:rsidRDefault="00825334" w:rsidP="00F90E8E">
            <w:pPr>
              <w:pStyle w:val="TableBody"/>
            </w:pPr>
            <w:r w:rsidRPr="00C10923">
              <w:t>2016</w:t>
            </w:r>
          </w:p>
        </w:tc>
        <w:tc>
          <w:tcPr>
            <w:tcW w:w="1518" w:type="pct"/>
            <w:noWrap/>
            <w:hideMark/>
          </w:tcPr>
          <w:p w14:paraId="595E8F98" w14:textId="77777777" w:rsidR="00825334" w:rsidRPr="00C10923" w:rsidRDefault="00825334" w:rsidP="00F90E8E">
            <w:pPr>
              <w:pStyle w:val="TableBody"/>
            </w:pPr>
            <w:r w:rsidRPr="00C10923">
              <w:t>20</w:t>
            </w:r>
          </w:p>
        </w:tc>
        <w:tc>
          <w:tcPr>
            <w:tcW w:w="2416" w:type="pct"/>
            <w:noWrap/>
            <w:hideMark/>
          </w:tcPr>
          <w:p w14:paraId="70808989" w14:textId="645FB817" w:rsidR="00825334" w:rsidRPr="00C10923" w:rsidRDefault="00825334" w:rsidP="00F90E8E">
            <w:pPr>
              <w:pStyle w:val="TableBody"/>
            </w:pPr>
            <w:r w:rsidRPr="00C10923">
              <w:t>6 years</w:t>
            </w:r>
          </w:p>
        </w:tc>
      </w:tr>
      <w:tr w:rsidR="00C10923" w:rsidRPr="00C10923" w14:paraId="75C1422A" w14:textId="77777777" w:rsidTr="00F90E8E">
        <w:trPr>
          <w:trHeight w:val="290"/>
        </w:trPr>
        <w:tc>
          <w:tcPr>
            <w:tcW w:w="1066" w:type="pct"/>
            <w:noWrap/>
            <w:hideMark/>
          </w:tcPr>
          <w:p w14:paraId="60416C60" w14:textId="77777777" w:rsidR="00C10923" w:rsidRPr="00C10923" w:rsidRDefault="00C10923" w:rsidP="00F90E8E">
            <w:pPr>
              <w:pStyle w:val="TableBody"/>
            </w:pPr>
            <w:r w:rsidRPr="00C10923">
              <w:t>2017</w:t>
            </w:r>
          </w:p>
        </w:tc>
        <w:tc>
          <w:tcPr>
            <w:tcW w:w="1518" w:type="pct"/>
            <w:noWrap/>
            <w:hideMark/>
          </w:tcPr>
          <w:p w14:paraId="48E77B09" w14:textId="77777777" w:rsidR="00C10923" w:rsidRPr="00C10923" w:rsidRDefault="00C10923" w:rsidP="00F90E8E">
            <w:pPr>
              <w:pStyle w:val="TableBody"/>
            </w:pPr>
            <w:r w:rsidRPr="00C10923">
              <w:t>17</w:t>
            </w:r>
          </w:p>
        </w:tc>
        <w:tc>
          <w:tcPr>
            <w:tcW w:w="2416" w:type="pct"/>
            <w:noWrap/>
            <w:hideMark/>
          </w:tcPr>
          <w:p w14:paraId="7367F224" w14:textId="77777777" w:rsidR="00C10923" w:rsidRPr="00C10923" w:rsidRDefault="00C10923" w:rsidP="00F90E8E">
            <w:pPr>
              <w:pStyle w:val="TableBody"/>
            </w:pPr>
            <w:r w:rsidRPr="00C10923">
              <w:t>6 years and 8 months</w:t>
            </w:r>
          </w:p>
        </w:tc>
      </w:tr>
      <w:tr w:rsidR="00C10923" w:rsidRPr="00C10923" w14:paraId="3D5F30CC" w14:textId="77777777" w:rsidTr="00F90E8E">
        <w:trPr>
          <w:trHeight w:val="290"/>
        </w:trPr>
        <w:tc>
          <w:tcPr>
            <w:tcW w:w="1066" w:type="pct"/>
            <w:noWrap/>
            <w:hideMark/>
          </w:tcPr>
          <w:p w14:paraId="12144577" w14:textId="77777777" w:rsidR="00C10923" w:rsidRPr="00C10923" w:rsidRDefault="00C10923" w:rsidP="00F90E8E">
            <w:pPr>
              <w:pStyle w:val="TableBody"/>
            </w:pPr>
            <w:r w:rsidRPr="00C10923">
              <w:t>2018</w:t>
            </w:r>
          </w:p>
        </w:tc>
        <w:tc>
          <w:tcPr>
            <w:tcW w:w="1518" w:type="pct"/>
            <w:noWrap/>
            <w:hideMark/>
          </w:tcPr>
          <w:p w14:paraId="2EB9919E" w14:textId="77777777" w:rsidR="00C10923" w:rsidRPr="00C10923" w:rsidRDefault="00C10923" w:rsidP="00F90E8E">
            <w:pPr>
              <w:pStyle w:val="TableBody"/>
            </w:pPr>
            <w:r w:rsidRPr="00C10923">
              <w:t>11</w:t>
            </w:r>
          </w:p>
        </w:tc>
        <w:tc>
          <w:tcPr>
            <w:tcW w:w="2416" w:type="pct"/>
            <w:noWrap/>
            <w:hideMark/>
          </w:tcPr>
          <w:p w14:paraId="20141465" w14:textId="77777777" w:rsidR="00C10923" w:rsidRPr="00C10923" w:rsidRDefault="00C10923" w:rsidP="00F90E8E">
            <w:pPr>
              <w:pStyle w:val="TableBody"/>
            </w:pPr>
            <w:r w:rsidRPr="00C10923">
              <w:t>5 years and 10 months</w:t>
            </w:r>
          </w:p>
        </w:tc>
      </w:tr>
      <w:tr w:rsidR="00C10923" w:rsidRPr="00C10923" w14:paraId="331E0A3E" w14:textId="77777777" w:rsidTr="00F90E8E">
        <w:trPr>
          <w:trHeight w:val="290"/>
        </w:trPr>
        <w:tc>
          <w:tcPr>
            <w:tcW w:w="1066" w:type="pct"/>
            <w:noWrap/>
            <w:hideMark/>
          </w:tcPr>
          <w:p w14:paraId="07DFCE3E" w14:textId="77777777" w:rsidR="00C10923" w:rsidRPr="00C10923" w:rsidRDefault="00C10923" w:rsidP="00F90E8E">
            <w:pPr>
              <w:pStyle w:val="TableBody"/>
            </w:pPr>
            <w:r w:rsidRPr="00C10923">
              <w:t>2019</w:t>
            </w:r>
          </w:p>
        </w:tc>
        <w:tc>
          <w:tcPr>
            <w:tcW w:w="1518" w:type="pct"/>
            <w:noWrap/>
            <w:hideMark/>
          </w:tcPr>
          <w:p w14:paraId="2FF7C29E" w14:textId="77777777" w:rsidR="00C10923" w:rsidRPr="00C10923" w:rsidRDefault="00C10923" w:rsidP="00F90E8E">
            <w:pPr>
              <w:pStyle w:val="TableBody"/>
            </w:pPr>
            <w:r w:rsidRPr="00C10923">
              <w:t>7</w:t>
            </w:r>
          </w:p>
        </w:tc>
        <w:tc>
          <w:tcPr>
            <w:tcW w:w="2416" w:type="pct"/>
            <w:noWrap/>
            <w:hideMark/>
          </w:tcPr>
          <w:p w14:paraId="4EF1F3AD" w14:textId="77777777" w:rsidR="00C10923" w:rsidRPr="00C10923" w:rsidRDefault="00C10923" w:rsidP="00F90E8E">
            <w:pPr>
              <w:pStyle w:val="TableBody"/>
            </w:pPr>
            <w:r w:rsidRPr="00C10923">
              <w:t>7 years and 7 months</w:t>
            </w:r>
          </w:p>
        </w:tc>
      </w:tr>
    </w:tbl>
    <w:p w14:paraId="4802A91A" w14:textId="5D13F28B" w:rsidR="00EF5C25" w:rsidRPr="007F530F" w:rsidRDefault="00EF5C25" w:rsidP="00483DF8">
      <w:pPr>
        <w:pStyle w:val="Numbered"/>
      </w:pPr>
      <w:r w:rsidRPr="007F530F">
        <w:t>There were 107 cases in which the principal proven offence was persistent sexual abuse of a child aged under 16 contrary to sections 47A or 49J. The yearly average total effective sentence length for these cases is shown in Figure 31. Given the fluctuations in the yearly average total effective sentence, there was no discernible trend over the reference period.</w:t>
      </w:r>
      <w:r w:rsidRPr="007F530F">
        <w:rPr>
          <w:rStyle w:val="Superscript"/>
        </w:rPr>
        <w:footnoteReference w:id="275"/>
      </w:r>
      <w:r w:rsidRPr="007F530F">
        <w:t xml:space="preserve"> The average total effective sentence over the reference period was 8 years. The shortest total effective sentence was 1 year and the longest was 18 years and 6 months (these were the same 2 cases that received the shortest and longest charge-level prison sentences).</w:t>
      </w:r>
      <w:r w:rsidRPr="007F530F">
        <w:rPr>
          <w:rStyle w:val="Superscript"/>
        </w:rPr>
        <w:footnoteReference w:id="276"/>
      </w:r>
      <w:r w:rsidRPr="007F530F">
        <w:t xml:space="preserve"> </w:t>
      </w:r>
    </w:p>
    <w:p w14:paraId="39A47051" w14:textId="77777777" w:rsidR="00457EF9" w:rsidRPr="007F530F" w:rsidRDefault="00457EF9" w:rsidP="00F90E8E">
      <w:pPr>
        <w:pStyle w:val="Caption"/>
        <w:keepLines/>
      </w:pPr>
      <w:r w:rsidRPr="00D00197">
        <w:lastRenderedPageBreak/>
        <w:t xml:space="preserve">Figure 31: </w:t>
      </w:r>
      <w:r w:rsidRPr="007F530F">
        <w:t xml:space="preserve">Average total effective sentence (in years and months) imposed in cases involving persistent sexual abuse of a child aged under 16 contrary to sections 47A and 49J of the </w:t>
      </w:r>
      <w:r w:rsidRPr="00D931C5">
        <w:rPr>
          <w:rStyle w:val="Emphasis"/>
        </w:rPr>
        <w:t>Crimes Act 1958</w:t>
      </w:r>
      <w:r w:rsidRPr="007F530F">
        <w:t xml:space="preserve"> (Vic) as the principal proven offence, by year (107 cases)</w:t>
      </w:r>
    </w:p>
    <w:tbl>
      <w:tblPr>
        <w:tblStyle w:val="Table"/>
        <w:tblW w:w="5000" w:type="pct"/>
        <w:tblLook w:val="04A0" w:firstRow="1" w:lastRow="0" w:firstColumn="1" w:lastColumn="0" w:noHBand="0" w:noVBand="1"/>
      </w:tblPr>
      <w:tblGrid>
        <w:gridCol w:w="1922"/>
        <w:gridCol w:w="2737"/>
        <w:gridCol w:w="4357"/>
      </w:tblGrid>
      <w:tr w:rsidR="00DD768E" w:rsidRPr="00DD768E" w14:paraId="4CA9D28E" w14:textId="77777777" w:rsidTr="005D6B41">
        <w:trPr>
          <w:trHeight w:val="290"/>
          <w:tblHeader/>
        </w:trPr>
        <w:tc>
          <w:tcPr>
            <w:tcW w:w="1066" w:type="pct"/>
            <w:noWrap/>
            <w:hideMark/>
          </w:tcPr>
          <w:p w14:paraId="0748548E" w14:textId="77777777" w:rsidR="00DD768E" w:rsidRPr="00DD768E" w:rsidRDefault="00DD768E" w:rsidP="00F90E8E">
            <w:pPr>
              <w:pStyle w:val="TableHeading"/>
              <w:keepNext/>
              <w:keepLines/>
            </w:pPr>
            <w:r w:rsidRPr="00DD768E">
              <w:t>Year</w:t>
            </w:r>
          </w:p>
        </w:tc>
        <w:tc>
          <w:tcPr>
            <w:tcW w:w="1518" w:type="pct"/>
            <w:noWrap/>
            <w:hideMark/>
          </w:tcPr>
          <w:p w14:paraId="7CE07C49" w14:textId="77777777" w:rsidR="00DD768E" w:rsidRPr="00DD768E" w:rsidRDefault="00DD768E" w:rsidP="00F90E8E">
            <w:pPr>
              <w:pStyle w:val="TableHeading"/>
              <w:keepNext/>
              <w:keepLines/>
            </w:pPr>
            <w:r w:rsidRPr="00DD768E">
              <w:t>Cases sentenced</w:t>
            </w:r>
          </w:p>
        </w:tc>
        <w:tc>
          <w:tcPr>
            <w:tcW w:w="2416" w:type="pct"/>
            <w:noWrap/>
            <w:hideMark/>
          </w:tcPr>
          <w:p w14:paraId="4B0CFF45" w14:textId="77777777" w:rsidR="00DD768E" w:rsidRPr="00DD768E" w:rsidRDefault="00DD768E" w:rsidP="00F90E8E">
            <w:pPr>
              <w:pStyle w:val="TableHeading"/>
              <w:keepNext/>
              <w:keepLines/>
            </w:pPr>
            <w:r w:rsidRPr="00DD768E">
              <w:t>Average sentence</w:t>
            </w:r>
          </w:p>
        </w:tc>
      </w:tr>
      <w:tr w:rsidR="00DD768E" w:rsidRPr="00DD768E" w14:paraId="44ED8276" w14:textId="77777777" w:rsidTr="00F82DC3">
        <w:trPr>
          <w:trHeight w:val="290"/>
        </w:trPr>
        <w:tc>
          <w:tcPr>
            <w:tcW w:w="1066" w:type="pct"/>
            <w:noWrap/>
            <w:hideMark/>
          </w:tcPr>
          <w:p w14:paraId="29FF7F48" w14:textId="77777777" w:rsidR="00DD768E" w:rsidRPr="00DD768E" w:rsidRDefault="00DD768E" w:rsidP="00F90E8E">
            <w:pPr>
              <w:pStyle w:val="TableBody"/>
              <w:keepNext/>
              <w:keepLines/>
            </w:pPr>
            <w:r w:rsidRPr="00DD768E">
              <w:t>2010</w:t>
            </w:r>
          </w:p>
        </w:tc>
        <w:tc>
          <w:tcPr>
            <w:tcW w:w="1518" w:type="pct"/>
            <w:noWrap/>
            <w:hideMark/>
          </w:tcPr>
          <w:p w14:paraId="49C2C3FF" w14:textId="77777777" w:rsidR="00DD768E" w:rsidRPr="00DD768E" w:rsidRDefault="00DD768E" w:rsidP="00F90E8E">
            <w:pPr>
              <w:pStyle w:val="TableBody"/>
              <w:keepNext/>
              <w:keepLines/>
            </w:pPr>
            <w:r w:rsidRPr="00DD768E">
              <w:t>10</w:t>
            </w:r>
          </w:p>
        </w:tc>
        <w:tc>
          <w:tcPr>
            <w:tcW w:w="2416" w:type="pct"/>
            <w:noWrap/>
            <w:hideMark/>
          </w:tcPr>
          <w:p w14:paraId="4FE5FB7B" w14:textId="77777777" w:rsidR="00DD768E" w:rsidRPr="00DD768E" w:rsidRDefault="00DD768E" w:rsidP="00F90E8E">
            <w:pPr>
              <w:pStyle w:val="TableBody"/>
              <w:keepNext/>
              <w:keepLines/>
            </w:pPr>
            <w:r w:rsidRPr="00DD768E">
              <w:t>6 years and 10 months</w:t>
            </w:r>
          </w:p>
        </w:tc>
      </w:tr>
      <w:tr w:rsidR="00DD768E" w:rsidRPr="00DD768E" w14:paraId="7CC4A11E" w14:textId="77777777" w:rsidTr="00F82DC3">
        <w:trPr>
          <w:trHeight w:val="290"/>
        </w:trPr>
        <w:tc>
          <w:tcPr>
            <w:tcW w:w="1066" w:type="pct"/>
            <w:noWrap/>
            <w:hideMark/>
          </w:tcPr>
          <w:p w14:paraId="66B2CE78" w14:textId="77777777" w:rsidR="00DD768E" w:rsidRPr="00DD768E" w:rsidRDefault="00DD768E" w:rsidP="00DD768E">
            <w:pPr>
              <w:pStyle w:val="TableBody"/>
            </w:pPr>
            <w:r w:rsidRPr="00DD768E">
              <w:t>2011</w:t>
            </w:r>
          </w:p>
        </w:tc>
        <w:tc>
          <w:tcPr>
            <w:tcW w:w="1518" w:type="pct"/>
            <w:noWrap/>
            <w:hideMark/>
          </w:tcPr>
          <w:p w14:paraId="74A7B71E" w14:textId="77777777" w:rsidR="00DD768E" w:rsidRPr="00DD768E" w:rsidRDefault="00DD768E" w:rsidP="00DD768E">
            <w:pPr>
              <w:pStyle w:val="TableBody"/>
            </w:pPr>
            <w:r w:rsidRPr="00DD768E">
              <w:t>7</w:t>
            </w:r>
          </w:p>
        </w:tc>
        <w:tc>
          <w:tcPr>
            <w:tcW w:w="2416" w:type="pct"/>
            <w:noWrap/>
            <w:hideMark/>
          </w:tcPr>
          <w:p w14:paraId="6128FED2" w14:textId="77777777" w:rsidR="00DD768E" w:rsidRPr="00DD768E" w:rsidRDefault="00DD768E" w:rsidP="00DD768E">
            <w:pPr>
              <w:pStyle w:val="TableBody"/>
            </w:pPr>
            <w:r w:rsidRPr="00DD768E">
              <w:t>10 years and 1 month</w:t>
            </w:r>
          </w:p>
        </w:tc>
      </w:tr>
      <w:tr w:rsidR="00DD768E" w:rsidRPr="00DD768E" w14:paraId="3A9B90B3" w14:textId="77777777" w:rsidTr="00F82DC3">
        <w:trPr>
          <w:trHeight w:val="290"/>
        </w:trPr>
        <w:tc>
          <w:tcPr>
            <w:tcW w:w="1066" w:type="pct"/>
            <w:noWrap/>
            <w:hideMark/>
          </w:tcPr>
          <w:p w14:paraId="1E65EC25" w14:textId="77777777" w:rsidR="00DD768E" w:rsidRPr="00DD768E" w:rsidRDefault="00DD768E" w:rsidP="00DD768E">
            <w:pPr>
              <w:pStyle w:val="TableBody"/>
            </w:pPr>
            <w:r w:rsidRPr="00DD768E">
              <w:t>2012</w:t>
            </w:r>
          </w:p>
        </w:tc>
        <w:tc>
          <w:tcPr>
            <w:tcW w:w="1518" w:type="pct"/>
            <w:noWrap/>
            <w:hideMark/>
          </w:tcPr>
          <w:p w14:paraId="4720FED0" w14:textId="77777777" w:rsidR="00DD768E" w:rsidRPr="00DD768E" w:rsidRDefault="00DD768E" w:rsidP="00DD768E">
            <w:pPr>
              <w:pStyle w:val="TableBody"/>
            </w:pPr>
            <w:r w:rsidRPr="00DD768E">
              <w:t>10</w:t>
            </w:r>
          </w:p>
        </w:tc>
        <w:tc>
          <w:tcPr>
            <w:tcW w:w="2416" w:type="pct"/>
            <w:noWrap/>
            <w:hideMark/>
          </w:tcPr>
          <w:p w14:paraId="57DC5451" w14:textId="77777777" w:rsidR="00DD768E" w:rsidRPr="00DD768E" w:rsidRDefault="00DD768E" w:rsidP="00DD768E">
            <w:pPr>
              <w:pStyle w:val="TableBody"/>
            </w:pPr>
            <w:r w:rsidRPr="00DD768E">
              <w:t>7 years and 5 months</w:t>
            </w:r>
          </w:p>
        </w:tc>
      </w:tr>
      <w:tr w:rsidR="00F82DC3" w:rsidRPr="00DD768E" w14:paraId="2308D194" w14:textId="77777777" w:rsidTr="00F82DC3">
        <w:trPr>
          <w:trHeight w:val="290"/>
        </w:trPr>
        <w:tc>
          <w:tcPr>
            <w:tcW w:w="1066" w:type="pct"/>
            <w:noWrap/>
            <w:hideMark/>
          </w:tcPr>
          <w:p w14:paraId="7D0B04BB" w14:textId="77777777" w:rsidR="00F82DC3" w:rsidRPr="00DD768E" w:rsidRDefault="00F82DC3" w:rsidP="00DD768E">
            <w:pPr>
              <w:pStyle w:val="TableBody"/>
            </w:pPr>
            <w:r w:rsidRPr="00DD768E">
              <w:t>2013</w:t>
            </w:r>
          </w:p>
        </w:tc>
        <w:tc>
          <w:tcPr>
            <w:tcW w:w="1518" w:type="pct"/>
            <w:noWrap/>
            <w:hideMark/>
          </w:tcPr>
          <w:p w14:paraId="2AC174BE" w14:textId="77777777" w:rsidR="00F82DC3" w:rsidRPr="00DD768E" w:rsidRDefault="00F82DC3" w:rsidP="00DD768E">
            <w:pPr>
              <w:pStyle w:val="TableBody"/>
            </w:pPr>
            <w:r w:rsidRPr="00DD768E">
              <w:t>6</w:t>
            </w:r>
          </w:p>
        </w:tc>
        <w:tc>
          <w:tcPr>
            <w:tcW w:w="2416" w:type="pct"/>
            <w:noWrap/>
            <w:hideMark/>
          </w:tcPr>
          <w:p w14:paraId="0A3B611A" w14:textId="646D9DF4" w:rsidR="00F82DC3" w:rsidRPr="00DD768E" w:rsidRDefault="00F82DC3" w:rsidP="00DD768E">
            <w:pPr>
              <w:pStyle w:val="TableBody"/>
            </w:pPr>
            <w:r w:rsidRPr="00DD768E">
              <w:t>7 years</w:t>
            </w:r>
          </w:p>
        </w:tc>
      </w:tr>
      <w:tr w:rsidR="00DD768E" w:rsidRPr="00DD768E" w14:paraId="1BAC1CF8" w14:textId="77777777" w:rsidTr="00F82DC3">
        <w:trPr>
          <w:trHeight w:val="290"/>
        </w:trPr>
        <w:tc>
          <w:tcPr>
            <w:tcW w:w="1066" w:type="pct"/>
            <w:noWrap/>
            <w:hideMark/>
          </w:tcPr>
          <w:p w14:paraId="245CD7E9" w14:textId="77777777" w:rsidR="00DD768E" w:rsidRPr="00DD768E" w:rsidRDefault="00DD768E" w:rsidP="00DD768E">
            <w:pPr>
              <w:pStyle w:val="TableBody"/>
            </w:pPr>
            <w:r w:rsidRPr="00DD768E">
              <w:t>2014</w:t>
            </w:r>
          </w:p>
        </w:tc>
        <w:tc>
          <w:tcPr>
            <w:tcW w:w="1518" w:type="pct"/>
            <w:noWrap/>
            <w:hideMark/>
          </w:tcPr>
          <w:p w14:paraId="18D3C184" w14:textId="77777777" w:rsidR="00DD768E" w:rsidRPr="00DD768E" w:rsidRDefault="00DD768E" w:rsidP="00DD768E">
            <w:pPr>
              <w:pStyle w:val="TableBody"/>
            </w:pPr>
            <w:r w:rsidRPr="00DD768E">
              <w:t>11</w:t>
            </w:r>
          </w:p>
        </w:tc>
        <w:tc>
          <w:tcPr>
            <w:tcW w:w="2416" w:type="pct"/>
            <w:noWrap/>
            <w:hideMark/>
          </w:tcPr>
          <w:p w14:paraId="0EB39D74" w14:textId="77777777" w:rsidR="00DD768E" w:rsidRPr="00DD768E" w:rsidRDefault="00DD768E" w:rsidP="00DD768E">
            <w:pPr>
              <w:pStyle w:val="TableBody"/>
            </w:pPr>
            <w:r w:rsidRPr="00DD768E">
              <w:t>6 years and 7 months</w:t>
            </w:r>
          </w:p>
        </w:tc>
      </w:tr>
      <w:tr w:rsidR="00DD768E" w:rsidRPr="00DD768E" w14:paraId="59185D92" w14:textId="77777777" w:rsidTr="00F82DC3">
        <w:trPr>
          <w:trHeight w:val="290"/>
        </w:trPr>
        <w:tc>
          <w:tcPr>
            <w:tcW w:w="1066" w:type="pct"/>
            <w:noWrap/>
            <w:hideMark/>
          </w:tcPr>
          <w:p w14:paraId="34E027EB" w14:textId="77777777" w:rsidR="00DD768E" w:rsidRPr="00DD768E" w:rsidRDefault="00DD768E" w:rsidP="00DD768E">
            <w:pPr>
              <w:pStyle w:val="TableBody"/>
            </w:pPr>
            <w:r w:rsidRPr="00DD768E">
              <w:t>2015</w:t>
            </w:r>
          </w:p>
        </w:tc>
        <w:tc>
          <w:tcPr>
            <w:tcW w:w="1518" w:type="pct"/>
            <w:noWrap/>
            <w:hideMark/>
          </w:tcPr>
          <w:p w14:paraId="16682356" w14:textId="77777777" w:rsidR="00DD768E" w:rsidRPr="00DD768E" w:rsidRDefault="00DD768E" w:rsidP="00DD768E">
            <w:pPr>
              <w:pStyle w:val="TableBody"/>
            </w:pPr>
            <w:r w:rsidRPr="00DD768E">
              <w:t>17</w:t>
            </w:r>
          </w:p>
        </w:tc>
        <w:tc>
          <w:tcPr>
            <w:tcW w:w="2416" w:type="pct"/>
            <w:noWrap/>
            <w:hideMark/>
          </w:tcPr>
          <w:p w14:paraId="3420603A" w14:textId="77777777" w:rsidR="00DD768E" w:rsidRPr="00DD768E" w:rsidRDefault="00DD768E" w:rsidP="00DD768E">
            <w:pPr>
              <w:pStyle w:val="TableBody"/>
            </w:pPr>
            <w:r w:rsidRPr="00DD768E">
              <w:t>9 years and 8 months</w:t>
            </w:r>
          </w:p>
        </w:tc>
      </w:tr>
      <w:tr w:rsidR="00F82DC3" w:rsidRPr="00DD768E" w14:paraId="43C3451B" w14:textId="77777777" w:rsidTr="00F82DC3">
        <w:trPr>
          <w:trHeight w:val="290"/>
        </w:trPr>
        <w:tc>
          <w:tcPr>
            <w:tcW w:w="1066" w:type="pct"/>
            <w:noWrap/>
            <w:hideMark/>
          </w:tcPr>
          <w:p w14:paraId="16CA9557" w14:textId="77777777" w:rsidR="00F82DC3" w:rsidRPr="00DD768E" w:rsidRDefault="00F82DC3" w:rsidP="00DD768E">
            <w:pPr>
              <w:pStyle w:val="TableBody"/>
            </w:pPr>
            <w:r w:rsidRPr="00DD768E">
              <w:t>2016</w:t>
            </w:r>
          </w:p>
        </w:tc>
        <w:tc>
          <w:tcPr>
            <w:tcW w:w="1518" w:type="pct"/>
            <w:noWrap/>
            <w:hideMark/>
          </w:tcPr>
          <w:p w14:paraId="74CFE246" w14:textId="77777777" w:rsidR="00F82DC3" w:rsidRPr="00DD768E" w:rsidRDefault="00F82DC3" w:rsidP="00DD768E">
            <w:pPr>
              <w:pStyle w:val="TableBody"/>
            </w:pPr>
            <w:r w:rsidRPr="00DD768E">
              <w:t>15</w:t>
            </w:r>
          </w:p>
        </w:tc>
        <w:tc>
          <w:tcPr>
            <w:tcW w:w="2416" w:type="pct"/>
            <w:noWrap/>
            <w:hideMark/>
          </w:tcPr>
          <w:p w14:paraId="3E119664" w14:textId="70EA0328" w:rsidR="00F82DC3" w:rsidRPr="00DD768E" w:rsidRDefault="00F82DC3" w:rsidP="00DD768E">
            <w:pPr>
              <w:pStyle w:val="TableBody"/>
            </w:pPr>
            <w:r w:rsidRPr="00DD768E">
              <w:t>8 years</w:t>
            </w:r>
          </w:p>
        </w:tc>
      </w:tr>
      <w:tr w:rsidR="00DD768E" w:rsidRPr="00DD768E" w14:paraId="784039A2" w14:textId="77777777" w:rsidTr="00F82DC3">
        <w:trPr>
          <w:trHeight w:val="290"/>
        </w:trPr>
        <w:tc>
          <w:tcPr>
            <w:tcW w:w="1066" w:type="pct"/>
            <w:noWrap/>
            <w:hideMark/>
          </w:tcPr>
          <w:p w14:paraId="353F014A" w14:textId="77777777" w:rsidR="00DD768E" w:rsidRPr="00DD768E" w:rsidRDefault="00DD768E" w:rsidP="00DD768E">
            <w:pPr>
              <w:pStyle w:val="TableBody"/>
            </w:pPr>
            <w:r w:rsidRPr="00DD768E">
              <w:t>2017</w:t>
            </w:r>
          </w:p>
        </w:tc>
        <w:tc>
          <w:tcPr>
            <w:tcW w:w="1518" w:type="pct"/>
            <w:noWrap/>
            <w:hideMark/>
          </w:tcPr>
          <w:p w14:paraId="4D213D9D" w14:textId="77777777" w:rsidR="00DD768E" w:rsidRPr="00DD768E" w:rsidRDefault="00DD768E" w:rsidP="00DD768E">
            <w:pPr>
              <w:pStyle w:val="TableBody"/>
            </w:pPr>
            <w:r w:rsidRPr="00DD768E">
              <w:t>15</w:t>
            </w:r>
          </w:p>
        </w:tc>
        <w:tc>
          <w:tcPr>
            <w:tcW w:w="2416" w:type="pct"/>
            <w:noWrap/>
            <w:hideMark/>
          </w:tcPr>
          <w:p w14:paraId="0F457FB0" w14:textId="77777777" w:rsidR="00DD768E" w:rsidRPr="00DD768E" w:rsidRDefault="00DD768E" w:rsidP="00DD768E">
            <w:pPr>
              <w:pStyle w:val="TableBody"/>
            </w:pPr>
            <w:r w:rsidRPr="00DD768E">
              <w:t>7 years and 11 months</w:t>
            </w:r>
          </w:p>
        </w:tc>
      </w:tr>
      <w:tr w:rsidR="00DD768E" w:rsidRPr="00DD768E" w14:paraId="202FF7FF" w14:textId="77777777" w:rsidTr="00F82DC3">
        <w:trPr>
          <w:trHeight w:val="290"/>
        </w:trPr>
        <w:tc>
          <w:tcPr>
            <w:tcW w:w="1066" w:type="pct"/>
            <w:noWrap/>
            <w:hideMark/>
          </w:tcPr>
          <w:p w14:paraId="52EFEC9E" w14:textId="77777777" w:rsidR="00DD768E" w:rsidRPr="00DD768E" w:rsidRDefault="00DD768E" w:rsidP="00DD768E">
            <w:pPr>
              <w:pStyle w:val="TableBody"/>
            </w:pPr>
            <w:r w:rsidRPr="00DD768E">
              <w:t>2018</w:t>
            </w:r>
          </w:p>
        </w:tc>
        <w:tc>
          <w:tcPr>
            <w:tcW w:w="1518" w:type="pct"/>
            <w:noWrap/>
            <w:hideMark/>
          </w:tcPr>
          <w:p w14:paraId="59555179" w14:textId="77777777" w:rsidR="00DD768E" w:rsidRPr="00DD768E" w:rsidRDefault="00DD768E" w:rsidP="00DD768E">
            <w:pPr>
              <w:pStyle w:val="TableBody"/>
            </w:pPr>
            <w:r w:rsidRPr="00DD768E">
              <w:t>10</w:t>
            </w:r>
          </w:p>
        </w:tc>
        <w:tc>
          <w:tcPr>
            <w:tcW w:w="2416" w:type="pct"/>
            <w:noWrap/>
            <w:hideMark/>
          </w:tcPr>
          <w:p w14:paraId="39237443" w14:textId="77777777" w:rsidR="00DD768E" w:rsidRPr="00DD768E" w:rsidRDefault="00DD768E" w:rsidP="00DD768E">
            <w:pPr>
              <w:pStyle w:val="TableBody"/>
            </w:pPr>
            <w:r w:rsidRPr="00DD768E">
              <w:t>7 years and 5 months</w:t>
            </w:r>
          </w:p>
        </w:tc>
      </w:tr>
      <w:tr w:rsidR="00DD768E" w:rsidRPr="00DD768E" w14:paraId="0FE2A66C" w14:textId="77777777" w:rsidTr="00F82DC3">
        <w:trPr>
          <w:trHeight w:val="290"/>
        </w:trPr>
        <w:tc>
          <w:tcPr>
            <w:tcW w:w="1066" w:type="pct"/>
            <w:noWrap/>
            <w:hideMark/>
          </w:tcPr>
          <w:p w14:paraId="6B49BA51" w14:textId="77777777" w:rsidR="00DD768E" w:rsidRPr="00DD768E" w:rsidRDefault="00DD768E" w:rsidP="00DD768E">
            <w:pPr>
              <w:pStyle w:val="TableBody"/>
            </w:pPr>
            <w:r w:rsidRPr="00DD768E">
              <w:t>2019</w:t>
            </w:r>
          </w:p>
        </w:tc>
        <w:tc>
          <w:tcPr>
            <w:tcW w:w="1518" w:type="pct"/>
            <w:noWrap/>
            <w:hideMark/>
          </w:tcPr>
          <w:p w14:paraId="067D969D" w14:textId="77777777" w:rsidR="00DD768E" w:rsidRPr="00DD768E" w:rsidRDefault="00DD768E" w:rsidP="00DD768E">
            <w:pPr>
              <w:pStyle w:val="TableBody"/>
            </w:pPr>
            <w:r w:rsidRPr="00DD768E">
              <w:t>6</w:t>
            </w:r>
          </w:p>
        </w:tc>
        <w:tc>
          <w:tcPr>
            <w:tcW w:w="2416" w:type="pct"/>
            <w:noWrap/>
            <w:hideMark/>
          </w:tcPr>
          <w:p w14:paraId="1B07A8C7" w14:textId="77777777" w:rsidR="00DD768E" w:rsidRPr="00DD768E" w:rsidRDefault="00DD768E" w:rsidP="00DD768E">
            <w:pPr>
              <w:pStyle w:val="TableBody"/>
            </w:pPr>
            <w:r w:rsidRPr="00DD768E">
              <w:t>9 years and 4 months</w:t>
            </w:r>
          </w:p>
        </w:tc>
      </w:tr>
    </w:tbl>
    <w:p w14:paraId="291E2BB4" w14:textId="4A4371BA" w:rsidR="00EF5C25" w:rsidRPr="007F530F" w:rsidRDefault="00EF5C25" w:rsidP="00F2170F">
      <w:pPr>
        <w:pStyle w:val="Heading1Numbered"/>
      </w:pPr>
      <w:bookmarkStart w:id="13" w:name="_Toc74904006"/>
      <w:r w:rsidRPr="007F530F">
        <w:lastRenderedPageBreak/>
        <w:t>Concluding remarks</w:t>
      </w:r>
      <w:bookmarkEnd w:id="13"/>
    </w:p>
    <w:p w14:paraId="057F6964" w14:textId="77777777" w:rsidR="00EF5C25" w:rsidRPr="007F530F" w:rsidRDefault="00EF5C25" w:rsidP="00B53C81">
      <w:pPr>
        <w:pStyle w:val="Numbered"/>
      </w:pPr>
      <w:r w:rsidRPr="007F530F">
        <w:t>This report has reviewed data on the number and types of sex offences recorded by police and sentenced by courts in Victoria in the 10 years to 2019. It has also identified the sentence types imposed for proven charges of sex offences, and the duration of prison sentences imposed on sex offenders. Key findings include the following:</w:t>
      </w:r>
    </w:p>
    <w:p w14:paraId="03FAE25F" w14:textId="77777777" w:rsidR="00EF5C25" w:rsidRPr="007F530F" w:rsidRDefault="00EF5C25" w:rsidP="00315A0D">
      <w:pPr>
        <w:pStyle w:val="Bullets"/>
      </w:pPr>
      <w:r w:rsidRPr="007F530F">
        <w:t xml:space="preserve">while there was some increase in the number of sex offences against </w:t>
      </w:r>
      <w:r w:rsidRPr="00D62402">
        <w:rPr>
          <w:rStyle w:val="Emphasis"/>
        </w:rPr>
        <w:t>children</w:t>
      </w:r>
      <w:r w:rsidRPr="007F530F">
        <w:t xml:space="preserve"> recorded by police during the reference period (25%), the increase in the number of recorded sex offences against </w:t>
      </w:r>
      <w:r w:rsidRPr="00D62402">
        <w:rPr>
          <w:rStyle w:val="Emphasis"/>
        </w:rPr>
        <w:t>adults</w:t>
      </w:r>
      <w:r w:rsidRPr="007F530F">
        <w:t xml:space="preserve"> was much more significant (107%);</w:t>
      </w:r>
    </w:p>
    <w:p w14:paraId="4ACAFD19" w14:textId="77777777" w:rsidR="00EF5C25" w:rsidRPr="007F530F" w:rsidRDefault="00EF5C25" w:rsidP="00315A0D">
      <w:pPr>
        <w:pStyle w:val="Bullets"/>
      </w:pPr>
      <w:r w:rsidRPr="007F530F">
        <w:t xml:space="preserve">despite the significant increase in </w:t>
      </w:r>
      <w:r w:rsidRPr="00D62402">
        <w:rPr>
          <w:rStyle w:val="Emphasis"/>
        </w:rPr>
        <w:t>recorded</w:t>
      </w:r>
      <w:r w:rsidRPr="007F530F">
        <w:t xml:space="preserve"> sex offences (63% overall), the number of </w:t>
      </w:r>
      <w:r w:rsidRPr="00D62402">
        <w:rPr>
          <w:rStyle w:val="Emphasis"/>
        </w:rPr>
        <w:t>sentenced</w:t>
      </w:r>
      <w:r w:rsidRPr="007F530F">
        <w:t xml:space="preserve"> sex offences actually decreased slightly (–8%);</w:t>
      </w:r>
    </w:p>
    <w:p w14:paraId="685C96D3" w14:textId="77777777" w:rsidR="00EF5C25" w:rsidRPr="007F530F" w:rsidRDefault="00EF5C25" w:rsidP="00315A0D">
      <w:pPr>
        <w:pStyle w:val="Bullets"/>
      </w:pPr>
      <w:r w:rsidRPr="007F530F">
        <w:t xml:space="preserve">the majority of sentenced sex offences in Victoria were committed against children rather than adults (at least 55%, and probably closer to 64% given that most incest offending involves child victims); </w:t>
      </w:r>
    </w:p>
    <w:p w14:paraId="43130853" w14:textId="77777777" w:rsidR="00EF5C25" w:rsidRPr="007F530F" w:rsidRDefault="00EF5C25" w:rsidP="00315A0D">
      <w:pPr>
        <w:pStyle w:val="Bullets"/>
      </w:pPr>
      <w:r w:rsidRPr="007F530F">
        <w:t>sentence types imposed for sex offences changed very little, with the exception of a relatively steady increase in the rate of immediate custodial sentences imposed in the Magistrates’ Court for child sexual assaults, especially since 2013 (from 24% to 51%);</w:t>
      </w:r>
    </w:p>
    <w:p w14:paraId="4C3332AA" w14:textId="77777777" w:rsidR="00EF5C25" w:rsidRPr="007F530F" w:rsidRDefault="00EF5C25" w:rsidP="00315A0D">
      <w:pPr>
        <w:pStyle w:val="Bullets"/>
      </w:pPr>
      <w:r w:rsidRPr="007F530F">
        <w:t>by the end of the reference period, average prison sentences were longer for most of the standard sentence sex offences (rape, incest, child sexual penetration offences and child sexual assault); and</w:t>
      </w:r>
    </w:p>
    <w:p w14:paraId="632B8DC8" w14:textId="77777777" w:rsidR="00EF5C25" w:rsidRPr="007F530F" w:rsidRDefault="00EF5C25" w:rsidP="00315A0D">
      <w:pPr>
        <w:pStyle w:val="Bullets"/>
      </w:pPr>
      <w:r w:rsidRPr="007F530F">
        <w:t xml:space="preserve">the offence type with the greatest shift in sentence lengths (incest with a child, stepchild or lineal descendant) was also </w:t>
      </w:r>
      <w:r w:rsidRPr="007F530F">
        <w:lastRenderedPageBreak/>
        <w:t xml:space="preserve">the offence type subject to the most reform: Category 1 offence classification, standard sentence offence classification, the various </w:t>
      </w:r>
      <w:r w:rsidRPr="00D62402">
        <w:rPr>
          <w:rStyle w:val="Emphasis"/>
        </w:rPr>
        <w:t xml:space="preserve">Dalgliesh </w:t>
      </w:r>
      <w:r w:rsidRPr="007F530F">
        <w:t>decisions, and the permissible prosecution of offending as a course of conduct.</w:t>
      </w:r>
    </w:p>
    <w:p w14:paraId="18EB0C52" w14:textId="77777777" w:rsidR="00EF5C25" w:rsidRPr="007F530F" w:rsidRDefault="00EF5C25" w:rsidP="00B53C81">
      <w:pPr>
        <w:pStyle w:val="Numbered"/>
      </w:pPr>
      <w:r w:rsidRPr="007F530F">
        <w:t xml:space="preserve">Some of these findings, especially those relating to the effect of the three sentencing reforms, are discussed in more detail below. </w:t>
      </w:r>
    </w:p>
    <w:p w14:paraId="0C447764" w14:textId="77777777" w:rsidR="00EF5C25" w:rsidRPr="007F530F" w:rsidRDefault="00EF5C25" w:rsidP="006633AA">
      <w:pPr>
        <w:pStyle w:val="Heading2"/>
      </w:pPr>
      <w:r w:rsidRPr="007F530F">
        <w:t>There are more sex offences being reported to police, but not more sex offences being sentenced by courts</w:t>
      </w:r>
    </w:p>
    <w:p w14:paraId="39A4E363" w14:textId="77777777" w:rsidR="00EF5C25" w:rsidRPr="007F530F" w:rsidRDefault="00EF5C25" w:rsidP="00B53C81">
      <w:pPr>
        <w:pStyle w:val="Numbered"/>
      </w:pPr>
      <w:r w:rsidRPr="007F530F">
        <w:t>As mentioned above, the number of sex offences recorded by police increased significantly between 2010 and 2019, both against adults (increasing 107%) and against children (increasing 25%). Stakeholders consulted by the Council suggested that this was largely driven by an increased community awareness about what constitutes sexual violence coupled with an increased willingness to report it.</w:t>
      </w:r>
    </w:p>
    <w:p w14:paraId="05B41F51" w14:textId="77777777" w:rsidR="00EF5C25" w:rsidRPr="007F530F" w:rsidRDefault="00EF5C25" w:rsidP="009F05A6">
      <w:pPr>
        <w:pStyle w:val="Quote"/>
      </w:pPr>
      <w:r w:rsidRPr="009F05A6">
        <w:t>“</w:t>
      </w:r>
      <w:r w:rsidRPr="007F530F">
        <w:t>We’ve had very vocal, very consistent messages from police, from leaders in the community, about how these issues are taken seriously, and how people should come forward.</w:t>
      </w:r>
      <w:r w:rsidRPr="009F05A6">
        <w:t>”</w:t>
      </w:r>
    </w:p>
    <w:p w14:paraId="6A220B70" w14:textId="77777777" w:rsidR="00EF5C25" w:rsidRPr="00235C1D" w:rsidRDefault="00EF5C25" w:rsidP="00235C1D">
      <w:pPr>
        <w:jc w:val="right"/>
        <w:rPr>
          <w:rStyle w:val="Emphasis"/>
        </w:rPr>
      </w:pPr>
      <w:r w:rsidRPr="00235C1D">
        <w:rPr>
          <w:rStyle w:val="Emphasis"/>
        </w:rPr>
        <w:t>Participant at Roundtable 1 (30 March 2021)</w:t>
      </w:r>
    </w:p>
    <w:p w14:paraId="371DBD8D" w14:textId="77777777" w:rsidR="00EF5C25" w:rsidRPr="007F530F" w:rsidRDefault="00EF5C25" w:rsidP="009F05A6">
      <w:pPr>
        <w:pStyle w:val="Quote"/>
      </w:pPr>
      <w:r w:rsidRPr="009F05A6">
        <w:t>“</w:t>
      </w:r>
      <w:r w:rsidRPr="007F530F">
        <w:t>There’s an increased recognition of what might constitute sexual assault among the community, and people are more able to name and identify their experience, and may have more confidence that they will be heard if they report. And an increased ability for people to identify that a crime has been committed against them, rather than it being normal behaviour that women can expect in life.</w:t>
      </w:r>
      <w:r w:rsidRPr="009F05A6">
        <w:t>”</w:t>
      </w:r>
    </w:p>
    <w:p w14:paraId="0AFD995A" w14:textId="77777777" w:rsidR="00EF5C25" w:rsidRPr="00235C1D" w:rsidRDefault="00EF5C25" w:rsidP="00235C1D">
      <w:pPr>
        <w:jc w:val="right"/>
        <w:rPr>
          <w:rStyle w:val="Emphasis"/>
        </w:rPr>
      </w:pPr>
      <w:r w:rsidRPr="00235C1D">
        <w:rPr>
          <w:rStyle w:val="Emphasis"/>
        </w:rPr>
        <w:t>Participant at Roundtable 1 (30 March 2021)</w:t>
      </w:r>
    </w:p>
    <w:p w14:paraId="3DF0BDFA" w14:textId="77777777" w:rsidR="00EF5C25" w:rsidRPr="007F530F" w:rsidRDefault="00EF5C25" w:rsidP="00676D41">
      <w:pPr>
        <w:pStyle w:val="Quote"/>
      </w:pPr>
      <w:r w:rsidRPr="00676D41">
        <w:lastRenderedPageBreak/>
        <w:t>“</w:t>
      </w:r>
      <w:r w:rsidRPr="007F530F">
        <w:t>Across that time period we saw a number of reforms … and inquiries … Those kinds of public focuses and shifting attention towards the issue can account for some increase in reporting rates, as well as the fact that we’re starting … to see a general shift in public understandings about sexual violence, meaning more people are identifying their lived experience as sexual violence … [and an increased] willingness to report.</w:t>
      </w:r>
      <w:r w:rsidRPr="00676D41">
        <w:t>”</w:t>
      </w:r>
    </w:p>
    <w:p w14:paraId="57B50712" w14:textId="77777777" w:rsidR="00EF5C25" w:rsidRPr="00D65B58" w:rsidRDefault="00EF5C25" w:rsidP="00D65B58">
      <w:pPr>
        <w:jc w:val="right"/>
        <w:rPr>
          <w:rStyle w:val="Emphasis"/>
        </w:rPr>
      </w:pPr>
      <w:r w:rsidRPr="00D65B58">
        <w:rPr>
          <w:rStyle w:val="Emphasis"/>
        </w:rPr>
        <w:t>Participant at Roundtable 2 (31 March 2021)</w:t>
      </w:r>
    </w:p>
    <w:p w14:paraId="56DD22EA" w14:textId="77777777" w:rsidR="00EF5C25" w:rsidRPr="007F530F" w:rsidRDefault="00EF5C25" w:rsidP="00B53C81">
      <w:pPr>
        <w:pStyle w:val="Numbered"/>
      </w:pPr>
      <w:r w:rsidRPr="007F530F">
        <w:t>While the number of sex offences recorded by police has increased, the number of sex offences sentenced by Victorian courts has decreased (by 8%). Stakeholders consulted by the Council raised a number of possible reasons behind this increasing discrepancy between recorded and sentenced offences, including:</w:t>
      </w:r>
    </w:p>
    <w:p w14:paraId="7C9161FE" w14:textId="77777777" w:rsidR="00EF5C25" w:rsidRPr="007F530F" w:rsidRDefault="00EF5C25" w:rsidP="00315A0D">
      <w:pPr>
        <w:pStyle w:val="Bullets"/>
      </w:pPr>
      <w:r w:rsidRPr="007F530F">
        <w:t>increased use of multi-count charging options, such that multiple recorded incidents of a certain offence can be sentenced as a single charge;</w:t>
      </w:r>
    </w:p>
    <w:p w14:paraId="70693832" w14:textId="77777777" w:rsidR="00EF5C25" w:rsidRPr="007F530F" w:rsidRDefault="00EF5C25" w:rsidP="00315A0D">
      <w:pPr>
        <w:pStyle w:val="Bullets"/>
      </w:pPr>
      <w:r w:rsidRPr="007F530F">
        <w:t>increased reporting and/or prosecution of historical sex offences but heightened ‘forensic difficulties’ in proving them;</w:t>
      </w:r>
      <w:r w:rsidRPr="007F530F">
        <w:rPr>
          <w:rStyle w:val="Superscript"/>
        </w:rPr>
        <w:footnoteReference w:id="277"/>
      </w:r>
      <w:r w:rsidRPr="007F530F">
        <w:t xml:space="preserve"> and</w:t>
      </w:r>
    </w:p>
    <w:p w14:paraId="0F9DB7CD" w14:textId="77777777" w:rsidR="00EF5C25" w:rsidRPr="007F530F" w:rsidRDefault="00EF5C25" w:rsidP="00315A0D">
      <w:pPr>
        <w:pStyle w:val="Bullets"/>
      </w:pPr>
      <w:r w:rsidRPr="007F530F">
        <w:t>potential changes in plea negotiation practices (though there was no corresponding increase in the number of less serious sex offences sentenced).</w:t>
      </w:r>
      <w:r w:rsidRPr="007F530F">
        <w:rPr>
          <w:rStyle w:val="Superscript"/>
        </w:rPr>
        <w:footnoteReference w:id="278"/>
      </w:r>
      <w:r w:rsidRPr="007F530F">
        <w:t xml:space="preserve"> </w:t>
      </w:r>
    </w:p>
    <w:p w14:paraId="30A0DAA9" w14:textId="77777777" w:rsidR="00EF5C25" w:rsidRPr="007F530F" w:rsidRDefault="00EF5C25" w:rsidP="00B53C81">
      <w:pPr>
        <w:pStyle w:val="Numbered"/>
      </w:pPr>
      <w:r w:rsidRPr="007F530F">
        <w:t xml:space="preserve">Notably, the discrepancy between the number of sex offences recorded by police and the number sentenced by courts is not </w:t>
      </w:r>
      <w:r w:rsidRPr="007F530F">
        <w:lastRenderedPageBreak/>
        <w:t xml:space="preserve">consistent across each offence category (Figure 32). In particular, in the same timeframe that almost 23,000 rape offences were recorded by police, about 1,000 rape offences were sentenced by courts. As a caveat, this is not a true attrition analysis because the recorded and sentenced offence data cover the same period, whereas a proper attrition analysis would follow the trajectory of offences as they make their way through the system. Nor does this account for what happened to those recorded offences: they may have been not charged at all, rolled up into a single charge, prosecuted at trial and acquitted, reduced to a lesser charge during plea negotiations, prosecuted at trial and proven, or resolved by way of the offender’s plea of guilty. What it does show, though, is that there is a uniquely greater discrepancy between the number of recorded and sentenced rape offences than there is for other types of sex offences. </w:t>
      </w:r>
    </w:p>
    <w:p w14:paraId="25F15F29" w14:textId="77777777" w:rsidR="00EF5C25" w:rsidRPr="007F530F" w:rsidRDefault="00EF5C25" w:rsidP="00D00197">
      <w:pPr>
        <w:pStyle w:val="Caption"/>
      </w:pPr>
      <w:r w:rsidRPr="00D00197">
        <w:t xml:space="preserve">Figure 32: </w:t>
      </w:r>
      <w:r w:rsidRPr="007F530F">
        <w:t>Number of sex offences recorded by police and sentenced by courts in Victoria, 2010 to 2019, by sex offence type</w:t>
      </w:r>
    </w:p>
    <w:tbl>
      <w:tblPr>
        <w:tblStyle w:val="Table"/>
        <w:tblW w:w="9440" w:type="dxa"/>
        <w:tblLook w:val="04A0" w:firstRow="1" w:lastRow="0" w:firstColumn="1" w:lastColumn="0" w:noHBand="0" w:noVBand="1"/>
      </w:tblPr>
      <w:tblGrid>
        <w:gridCol w:w="3480"/>
        <w:gridCol w:w="1800"/>
        <w:gridCol w:w="1820"/>
        <w:gridCol w:w="2340"/>
      </w:tblGrid>
      <w:tr w:rsidR="00D1427D" w:rsidRPr="00D1427D" w14:paraId="3E001840" w14:textId="77777777" w:rsidTr="005D6B41">
        <w:trPr>
          <w:trHeight w:val="290"/>
          <w:tblHeader/>
        </w:trPr>
        <w:tc>
          <w:tcPr>
            <w:tcW w:w="3480" w:type="dxa"/>
            <w:noWrap/>
            <w:hideMark/>
          </w:tcPr>
          <w:p w14:paraId="01463472" w14:textId="28CAD79B" w:rsidR="00D1427D" w:rsidRPr="00D1427D" w:rsidRDefault="0037295E" w:rsidP="00D1427D">
            <w:pPr>
              <w:pStyle w:val="TableHeading"/>
            </w:pPr>
            <w:r>
              <w:t>Offence type</w:t>
            </w:r>
          </w:p>
        </w:tc>
        <w:tc>
          <w:tcPr>
            <w:tcW w:w="1800" w:type="dxa"/>
            <w:noWrap/>
            <w:hideMark/>
          </w:tcPr>
          <w:p w14:paraId="7D56B8CD" w14:textId="77777777" w:rsidR="00D1427D" w:rsidRPr="00D1427D" w:rsidRDefault="00D1427D" w:rsidP="00D1427D">
            <w:pPr>
              <w:pStyle w:val="TableHeading"/>
            </w:pPr>
            <w:r w:rsidRPr="00D1427D">
              <w:t>Recorded offences</w:t>
            </w:r>
          </w:p>
        </w:tc>
        <w:tc>
          <w:tcPr>
            <w:tcW w:w="1820" w:type="dxa"/>
            <w:noWrap/>
            <w:hideMark/>
          </w:tcPr>
          <w:p w14:paraId="02FC83F1" w14:textId="77777777" w:rsidR="00D1427D" w:rsidRPr="00D1427D" w:rsidRDefault="00D1427D" w:rsidP="00D1427D">
            <w:pPr>
              <w:pStyle w:val="TableHeading"/>
            </w:pPr>
            <w:r w:rsidRPr="00D1427D">
              <w:t>Sentenced offences</w:t>
            </w:r>
          </w:p>
        </w:tc>
        <w:tc>
          <w:tcPr>
            <w:tcW w:w="2340" w:type="dxa"/>
            <w:noWrap/>
            <w:hideMark/>
          </w:tcPr>
          <w:p w14:paraId="2C5E701F" w14:textId="77777777" w:rsidR="00D1427D" w:rsidRPr="00D1427D" w:rsidRDefault="00D1427D" w:rsidP="00D1427D">
            <w:pPr>
              <w:pStyle w:val="TableHeading"/>
            </w:pPr>
            <w:r w:rsidRPr="00D1427D">
              <w:t>Proportion of recorded offences represented by sentenced charges</w:t>
            </w:r>
          </w:p>
        </w:tc>
      </w:tr>
      <w:tr w:rsidR="00D1427D" w:rsidRPr="00D1427D" w14:paraId="34DCF7A2" w14:textId="77777777" w:rsidTr="007C2D1B">
        <w:trPr>
          <w:trHeight w:val="290"/>
        </w:trPr>
        <w:tc>
          <w:tcPr>
            <w:tcW w:w="3480" w:type="dxa"/>
            <w:noWrap/>
            <w:hideMark/>
          </w:tcPr>
          <w:p w14:paraId="24AF2891" w14:textId="77777777" w:rsidR="00D1427D" w:rsidRPr="00D1427D" w:rsidRDefault="00D1427D" w:rsidP="00D1427D">
            <w:pPr>
              <w:pStyle w:val="TableBody"/>
            </w:pPr>
            <w:r w:rsidRPr="00D1427D">
              <w:t>Rape offences</w:t>
            </w:r>
          </w:p>
        </w:tc>
        <w:tc>
          <w:tcPr>
            <w:tcW w:w="1800" w:type="dxa"/>
            <w:noWrap/>
            <w:hideMark/>
          </w:tcPr>
          <w:p w14:paraId="6EB409EE" w14:textId="77777777" w:rsidR="00D1427D" w:rsidRPr="00D1427D" w:rsidRDefault="00D1427D" w:rsidP="00D1427D">
            <w:pPr>
              <w:pStyle w:val="TableBody"/>
            </w:pPr>
            <w:r w:rsidRPr="00D1427D">
              <w:t>22954</w:t>
            </w:r>
          </w:p>
        </w:tc>
        <w:tc>
          <w:tcPr>
            <w:tcW w:w="1820" w:type="dxa"/>
            <w:noWrap/>
            <w:hideMark/>
          </w:tcPr>
          <w:p w14:paraId="0BEDE5B4" w14:textId="77777777" w:rsidR="00D1427D" w:rsidRPr="00D1427D" w:rsidRDefault="00D1427D" w:rsidP="00D1427D">
            <w:pPr>
              <w:pStyle w:val="TableBody"/>
            </w:pPr>
            <w:r w:rsidRPr="00D1427D">
              <w:t>1003</w:t>
            </w:r>
          </w:p>
        </w:tc>
        <w:tc>
          <w:tcPr>
            <w:tcW w:w="2340" w:type="dxa"/>
            <w:noWrap/>
            <w:hideMark/>
          </w:tcPr>
          <w:p w14:paraId="4091CFC8" w14:textId="77777777" w:rsidR="00D1427D" w:rsidRPr="00D1427D" w:rsidRDefault="00D1427D" w:rsidP="00D1427D">
            <w:pPr>
              <w:pStyle w:val="TableBody"/>
            </w:pPr>
            <w:r w:rsidRPr="00D1427D">
              <w:t>1 in 23</w:t>
            </w:r>
          </w:p>
        </w:tc>
      </w:tr>
      <w:tr w:rsidR="00D1427D" w:rsidRPr="00D1427D" w14:paraId="476EF5E3" w14:textId="77777777" w:rsidTr="007C2D1B">
        <w:trPr>
          <w:trHeight w:val="290"/>
        </w:trPr>
        <w:tc>
          <w:tcPr>
            <w:tcW w:w="3480" w:type="dxa"/>
            <w:noWrap/>
            <w:hideMark/>
          </w:tcPr>
          <w:p w14:paraId="1C14E2BD" w14:textId="77777777" w:rsidR="00D1427D" w:rsidRPr="00D1427D" w:rsidRDefault="00D1427D" w:rsidP="00D1427D">
            <w:pPr>
              <w:pStyle w:val="TableBody"/>
            </w:pPr>
            <w:r w:rsidRPr="00D1427D">
              <w:t>Child sexual assault offences</w:t>
            </w:r>
          </w:p>
        </w:tc>
        <w:tc>
          <w:tcPr>
            <w:tcW w:w="1800" w:type="dxa"/>
            <w:noWrap/>
            <w:hideMark/>
          </w:tcPr>
          <w:p w14:paraId="684B1AD0" w14:textId="77777777" w:rsidR="00D1427D" w:rsidRPr="00D1427D" w:rsidRDefault="00D1427D" w:rsidP="00D1427D">
            <w:pPr>
              <w:pStyle w:val="TableBody"/>
            </w:pPr>
            <w:r w:rsidRPr="00D1427D">
              <w:t>21480</w:t>
            </w:r>
          </w:p>
        </w:tc>
        <w:tc>
          <w:tcPr>
            <w:tcW w:w="1820" w:type="dxa"/>
            <w:noWrap/>
            <w:hideMark/>
          </w:tcPr>
          <w:p w14:paraId="24509992" w14:textId="77777777" w:rsidR="00D1427D" w:rsidRPr="00D1427D" w:rsidRDefault="00D1427D" w:rsidP="00D1427D">
            <w:pPr>
              <w:pStyle w:val="TableBody"/>
            </w:pPr>
            <w:r w:rsidRPr="00D1427D">
              <w:t>4595</w:t>
            </w:r>
          </w:p>
        </w:tc>
        <w:tc>
          <w:tcPr>
            <w:tcW w:w="2340" w:type="dxa"/>
            <w:noWrap/>
            <w:hideMark/>
          </w:tcPr>
          <w:p w14:paraId="4320411E" w14:textId="77777777" w:rsidR="00D1427D" w:rsidRPr="00D1427D" w:rsidRDefault="00D1427D" w:rsidP="00D1427D">
            <w:pPr>
              <w:pStyle w:val="TableBody"/>
            </w:pPr>
            <w:r w:rsidRPr="00D1427D">
              <w:t>1 in 5</w:t>
            </w:r>
          </w:p>
        </w:tc>
      </w:tr>
      <w:tr w:rsidR="00D1427D" w:rsidRPr="00D1427D" w14:paraId="0FCEC6CB" w14:textId="77777777" w:rsidTr="007C2D1B">
        <w:trPr>
          <w:trHeight w:val="290"/>
        </w:trPr>
        <w:tc>
          <w:tcPr>
            <w:tcW w:w="3480" w:type="dxa"/>
            <w:noWrap/>
            <w:hideMark/>
          </w:tcPr>
          <w:p w14:paraId="06DBE514" w14:textId="77777777" w:rsidR="00D1427D" w:rsidRPr="00D1427D" w:rsidRDefault="00D1427D" w:rsidP="00D1427D">
            <w:pPr>
              <w:pStyle w:val="TableBody"/>
            </w:pPr>
            <w:r w:rsidRPr="00D1427D">
              <w:t>Sexual assault offences</w:t>
            </w:r>
          </w:p>
        </w:tc>
        <w:tc>
          <w:tcPr>
            <w:tcW w:w="1800" w:type="dxa"/>
            <w:noWrap/>
            <w:hideMark/>
          </w:tcPr>
          <w:p w14:paraId="3CEFDB0D" w14:textId="77777777" w:rsidR="00D1427D" w:rsidRPr="00D1427D" w:rsidRDefault="00D1427D" w:rsidP="00D1427D">
            <w:pPr>
              <w:pStyle w:val="TableBody"/>
            </w:pPr>
            <w:r w:rsidRPr="00D1427D">
              <w:t>21406</w:t>
            </w:r>
          </w:p>
        </w:tc>
        <w:tc>
          <w:tcPr>
            <w:tcW w:w="1820" w:type="dxa"/>
            <w:noWrap/>
            <w:hideMark/>
          </w:tcPr>
          <w:p w14:paraId="58B350B2" w14:textId="77777777" w:rsidR="00D1427D" w:rsidRPr="00D1427D" w:rsidRDefault="00D1427D" w:rsidP="00D1427D">
            <w:pPr>
              <w:pStyle w:val="TableBody"/>
            </w:pPr>
            <w:r w:rsidRPr="00D1427D">
              <w:t>3644</w:t>
            </w:r>
          </w:p>
        </w:tc>
        <w:tc>
          <w:tcPr>
            <w:tcW w:w="2340" w:type="dxa"/>
            <w:noWrap/>
            <w:hideMark/>
          </w:tcPr>
          <w:p w14:paraId="722BA7BC" w14:textId="77777777" w:rsidR="00D1427D" w:rsidRPr="00D1427D" w:rsidRDefault="00D1427D" w:rsidP="00D1427D">
            <w:pPr>
              <w:pStyle w:val="TableBody"/>
            </w:pPr>
            <w:r w:rsidRPr="00D1427D">
              <w:t>1 in 6</w:t>
            </w:r>
          </w:p>
        </w:tc>
      </w:tr>
      <w:tr w:rsidR="00D1427D" w:rsidRPr="00D1427D" w14:paraId="4E072E5E" w14:textId="77777777" w:rsidTr="007C2D1B">
        <w:trPr>
          <w:trHeight w:val="290"/>
        </w:trPr>
        <w:tc>
          <w:tcPr>
            <w:tcW w:w="3480" w:type="dxa"/>
            <w:noWrap/>
            <w:hideMark/>
          </w:tcPr>
          <w:p w14:paraId="0AAD1804" w14:textId="77777777" w:rsidR="00D1427D" w:rsidRPr="00D1427D" w:rsidRDefault="00D1427D" w:rsidP="00D1427D">
            <w:pPr>
              <w:pStyle w:val="TableBody"/>
            </w:pPr>
            <w:r w:rsidRPr="00D1427D">
              <w:t>Child sexual penetration offences</w:t>
            </w:r>
          </w:p>
        </w:tc>
        <w:tc>
          <w:tcPr>
            <w:tcW w:w="1800" w:type="dxa"/>
            <w:noWrap/>
            <w:hideMark/>
          </w:tcPr>
          <w:p w14:paraId="2D7F02C2" w14:textId="77777777" w:rsidR="00D1427D" w:rsidRPr="00D1427D" w:rsidRDefault="00D1427D" w:rsidP="00D1427D">
            <w:pPr>
              <w:pStyle w:val="TableBody"/>
            </w:pPr>
            <w:r w:rsidRPr="00D1427D">
              <w:t>13721</w:t>
            </w:r>
          </w:p>
        </w:tc>
        <w:tc>
          <w:tcPr>
            <w:tcW w:w="1820" w:type="dxa"/>
            <w:noWrap/>
            <w:hideMark/>
          </w:tcPr>
          <w:p w14:paraId="7C9993E1" w14:textId="77777777" w:rsidR="00D1427D" w:rsidRPr="00D1427D" w:rsidRDefault="00D1427D" w:rsidP="00D1427D">
            <w:pPr>
              <w:pStyle w:val="TableBody"/>
            </w:pPr>
            <w:r w:rsidRPr="00D1427D">
              <w:t>2454</w:t>
            </w:r>
          </w:p>
        </w:tc>
        <w:tc>
          <w:tcPr>
            <w:tcW w:w="2340" w:type="dxa"/>
            <w:noWrap/>
            <w:hideMark/>
          </w:tcPr>
          <w:p w14:paraId="2ACB22EA" w14:textId="77777777" w:rsidR="00D1427D" w:rsidRPr="00D1427D" w:rsidRDefault="00D1427D" w:rsidP="00D1427D">
            <w:pPr>
              <w:pStyle w:val="TableBody"/>
            </w:pPr>
            <w:r w:rsidRPr="00D1427D">
              <w:t>1 in 6</w:t>
            </w:r>
          </w:p>
        </w:tc>
      </w:tr>
      <w:tr w:rsidR="00D1427D" w:rsidRPr="00D1427D" w14:paraId="7D4DA5F7" w14:textId="77777777" w:rsidTr="007C2D1B">
        <w:trPr>
          <w:trHeight w:val="290"/>
        </w:trPr>
        <w:tc>
          <w:tcPr>
            <w:tcW w:w="3480" w:type="dxa"/>
            <w:noWrap/>
            <w:hideMark/>
          </w:tcPr>
          <w:p w14:paraId="048AB14E" w14:textId="77777777" w:rsidR="00D1427D" w:rsidRPr="00D1427D" w:rsidRDefault="00D1427D" w:rsidP="00D1427D">
            <w:pPr>
              <w:pStyle w:val="TableBody"/>
            </w:pPr>
            <w:r w:rsidRPr="00D1427D">
              <w:t>Incest offences</w:t>
            </w:r>
          </w:p>
        </w:tc>
        <w:tc>
          <w:tcPr>
            <w:tcW w:w="1800" w:type="dxa"/>
            <w:noWrap/>
            <w:hideMark/>
          </w:tcPr>
          <w:p w14:paraId="57C0B90D" w14:textId="77777777" w:rsidR="00D1427D" w:rsidRPr="00D1427D" w:rsidRDefault="00D1427D" w:rsidP="00D1427D">
            <w:pPr>
              <w:pStyle w:val="TableBody"/>
            </w:pPr>
            <w:r w:rsidRPr="00D1427D">
              <w:t>4998</w:t>
            </w:r>
          </w:p>
        </w:tc>
        <w:tc>
          <w:tcPr>
            <w:tcW w:w="1820" w:type="dxa"/>
            <w:noWrap/>
            <w:hideMark/>
          </w:tcPr>
          <w:p w14:paraId="17881F03" w14:textId="77777777" w:rsidR="00D1427D" w:rsidRPr="00D1427D" w:rsidRDefault="00D1427D" w:rsidP="00D1427D">
            <w:pPr>
              <w:pStyle w:val="TableBody"/>
            </w:pPr>
            <w:r w:rsidRPr="00D1427D">
              <w:t>1110</w:t>
            </w:r>
          </w:p>
        </w:tc>
        <w:tc>
          <w:tcPr>
            <w:tcW w:w="2340" w:type="dxa"/>
            <w:noWrap/>
            <w:hideMark/>
          </w:tcPr>
          <w:p w14:paraId="5C1A7028" w14:textId="77777777" w:rsidR="00D1427D" w:rsidRPr="00D1427D" w:rsidRDefault="00D1427D" w:rsidP="00D1427D">
            <w:pPr>
              <w:pStyle w:val="TableBody"/>
            </w:pPr>
            <w:r w:rsidRPr="00D1427D">
              <w:t>1 in 5</w:t>
            </w:r>
          </w:p>
        </w:tc>
      </w:tr>
    </w:tbl>
    <w:p w14:paraId="1F253518" w14:textId="77777777" w:rsidR="00EF5C25" w:rsidRPr="007F530F" w:rsidRDefault="00EF5C25" w:rsidP="006633AA">
      <w:pPr>
        <w:pStyle w:val="Heading2"/>
      </w:pPr>
      <w:r w:rsidRPr="007F530F">
        <w:t>Standard sentences are increasing prison sentence lengths</w:t>
      </w:r>
    </w:p>
    <w:p w14:paraId="7172A791" w14:textId="76502569" w:rsidR="00EF5C25" w:rsidRPr="007F530F" w:rsidRDefault="00EF5C25" w:rsidP="00B53C81">
      <w:pPr>
        <w:pStyle w:val="Numbered"/>
      </w:pPr>
      <w:r w:rsidRPr="007F530F">
        <w:t>In 2019, the average prison sentences were uniformly longer for standard sentence offences of the relevant sex offences than for non-standard sentence versions of the same offences (Table 14</w:t>
      </w:r>
      <w:r w:rsidR="00FA031F">
        <w:t>)</w:t>
      </w:r>
      <w:r w:rsidRPr="007F530F">
        <w:t xml:space="preserve">. If </w:t>
      </w:r>
      <w:r w:rsidRPr="007F530F">
        <w:lastRenderedPageBreak/>
        <w:t>this difference is attributable to standard sentence legislation,</w:t>
      </w:r>
      <w:r w:rsidRPr="007F530F">
        <w:rPr>
          <w:rStyle w:val="Superscript"/>
        </w:rPr>
        <w:footnoteReference w:id="279"/>
      </w:r>
      <w:r w:rsidRPr="007F530F">
        <w:t xml:space="preserve"> which it seems to be, this could be due to the ‘anchoring effect’</w:t>
      </w:r>
      <w:r w:rsidRPr="007F530F">
        <w:rPr>
          <w:rStyle w:val="Superscript"/>
        </w:rPr>
        <w:footnoteReference w:id="280"/>
      </w:r>
      <w:r w:rsidRPr="007F530F">
        <w:t xml:space="preserve"> arising from the numerical guidance provided by the standard sentence set for each offence or it could be due to courts being prohibited from considering sentencing practices in cases in which the offence was a non-standard sentence offence – or a combination of the two.</w:t>
      </w:r>
    </w:p>
    <w:p w14:paraId="6E22ECCB" w14:textId="77777777" w:rsidR="00EF5C25" w:rsidRPr="007F530F" w:rsidRDefault="00EF5C25" w:rsidP="00B53C81">
      <w:pPr>
        <w:pStyle w:val="Numbered"/>
      </w:pPr>
      <w:r w:rsidRPr="007F530F">
        <w:t xml:space="preserve">In addition, there were increases in average prison sentences for some child sex offences in 2019, even for non-standard sentence offences (see, for example, [5.12], [6.12]). This is likely, at least in part, due to the requirement that when sentencing non-standard sentence offences, courts consider </w:t>
      </w:r>
      <w:r w:rsidRPr="00D62402">
        <w:rPr>
          <w:rStyle w:val="Emphasis"/>
        </w:rPr>
        <w:t xml:space="preserve">all </w:t>
      </w:r>
      <w:r w:rsidRPr="007F530F">
        <w:t>current sentencing practices (see above at [2.21]), including sentences imposed for standard sentence offences. The standard sentence scheme therefore seems to be influencing the sentencing of offences not directly subject to the scheme.</w:t>
      </w:r>
    </w:p>
    <w:p w14:paraId="4CE314B1" w14:textId="77777777" w:rsidR="00EF5C25" w:rsidRPr="007F530F" w:rsidRDefault="00EF5C25" w:rsidP="00B53C81">
      <w:pPr>
        <w:pStyle w:val="Numbered"/>
      </w:pPr>
      <w:r w:rsidRPr="007F530F">
        <w:t xml:space="preserve">Of the 56 sex offences attracting standard sentence offence classification in 2019, 80% (45 offences) received prison sentences shorter than the standard sentence (8 sentences were longer than the standard sentence and 3 were equal to the standard sentence). This is not, though, because courts eschewed their obligations </w:t>
      </w:r>
      <w:r w:rsidRPr="007F530F">
        <w:lastRenderedPageBreak/>
        <w:t>under the standard sentence legislation. For one thing, the standard sentence for an offence, like current sentencing practices and the maximum penalty, is ‘simply another factor to be taken into account’,</w:t>
      </w:r>
      <w:r w:rsidRPr="007F530F">
        <w:rPr>
          <w:rStyle w:val="Superscript"/>
        </w:rPr>
        <w:footnoteReference w:id="281"/>
      </w:r>
      <w:r w:rsidRPr="007F530F">
        <w:t xml:space="preserve"> and it is by no means a controlling factor. For another, the seriousness of cases involving any particular offence dealt with by courts will rarely be normally distributed – more cases may fall above or below the middle of the range of objective seriousness. As one court described:</w:t>
      </w:r>
    </w:p>
    <w:p w14:paraId="3E9DA856" w14:textId="77777777" w:rsidR="00EF5C25" w:rsidRPr="007F530F" w:rsidRDefault="00EF5C25" w:rsidP="005E5687">
      <w:pPr>
        <w:pStyle w:val="Quote"/>
      </w:pPr>
      <w:r w:rsidRPr="007F530F">
        <w:t>[y]our offending was not predatory. There was no breach of trust. There was no sustained or enduring exploitation of a relationship or authority, such as [a] teacher with a pupil or an older relative with a younger member of the family. There was no grooming, no wearing down of your victim’s will. It was opportunistic. The objective gravity of your offending as I find it places it in the low range of seriousness. And clearly, in my view, does not call for the imposition of a standard sentence as set by Parliament for these offences.</w:t>
      </w:r>
      <w:r w:rsidRPr="007F530F">
        <w:rPr>
          <w:rStyle w:val="Superscript"/>
        </w:rPr>
        <w:footnoteReference w:id="282"/>
      </w:r>
    </w:p>
    <w:p w14:paraId="66D46347" w14:textId="77777777" w:rsidR="00E64A4E" w:rsidRDefault="00E64A4E" w:rsidP="00D00197">
      <w:pPr>
        <w:pStyle w:val="Caption"/>
        <w:sectPr w:rsidR="00E64A4E" w:rsidSect="00D6349A">
          <w:pgSz w:w="11906" w:h="16838"/>
          <w:pgMar w:top="1440" w:right="1440" w:bottom="1440" w:left="1440" w:header="720" w:footer="720" w:gutter="0"/>
          <w:cols w:space="720"/>
          <w:noEndnote/>
          <w:docGrid w:linePitch="326"/>
        </w:sectPr>
      </w:pPr>
    </w:p>
    <w:p w14:paraId="414FC382" w14:textId="4EE29E01" w:rsidR="00EF5C25" w:rsidRPr="007F530F" w:rsidRDefault="00EF5C25" w:rsidP="00D00197">
      <w:pPr>
        <w:pStyle w:val="Caption"/>
      </w:pPr>
      <w:r w:rsidRPr="00D00197">
        <w:lastRenderedPageBreak/>
        <w:t xml:space="preserve">Table 14: </w:t>
      </w:r>
      <w:r w:rsidRPr="007F530F">
        <w:t>The number of charges of contact sex offences sentenced in 2019 as both standard sentence offences and non-standard sentence offences, and the proportional change in average prison sentences</w:t>
      </w:r>
    </w:p>
    <w:tbl>
      <w:tblPr>
        <w:tblStyle w:val="Table"/>
        <w:tblW w:w="0" w:type="auto"/>
        <w:tblLook w:val="0020" w:firstRow="1" w:lastRow="0" w:firstColumn="0" w:lastColumn="0" w:noHBand="0" w:noVBand="0"/>
      </w:tblPr>
      <w:tblGrid>
        <w:gridCol w:w="2200"/>
        <w:gridCol w:w="1847"/>
        <w:gridCol w:w="1470"/>
        <w:gridCol w:w="2083"/>
        <w:gridCol w:w="2752"/>
        <w:gridCol w:w="2029"/>
        <w:gridCol w:w="1567"/>
      </w:tblGrid>
      <w:tr w:rsidR="00EF5C25" w:rsidRPr="007F530F" w14:paraId="5F2D94E0" w14:textId="77777777" w:rsidTr="007E2BCF">
        <w:trPr>
          <w:trHeight w:val="60"/>
          <w:tblHeader/>
        </w:trPr>
        <w:tc>
          <w:tcPr>
            <w:tcW w:w="0" w:type="auto"/>
          </w:tcPr>
          <w:p w14:paraId="2C0C2B05" w14:textId="77777777" w:rsidR="00EF5C25" w:rsidRPr="00E64A4E" w:rsidRDefault="00EF5C25" w:rsidP="00841071">
            <w:pPr>
              <w:pStyle w:val="TableHeading"/>
              <w:rPr>
                <w:szCs w:val="20"/>
              </w:rPr>
            </w:pPr>
            <w:r w:rsidRPr="00E64A4E">
              <w:rPr>
                <w:szCs w:val="20"/>
              </w:rPr>
              <w:t>Offence</w:t>
            </w:r>
          </w:p>
        </w:tc>
        <w:tc>
          <w:tcPr>
            <w:tcW w:w="0" w:type="auto"/>
          </w:tcPr>
          <w:p w14:paraId="69DB1BA8" w14:textId="77777777" w:rsidR="00EF5C25" w:rsidRPr="00E64A4E" w:rsidRDefault="00EF5C25" w:rsidP="00841071">
            <w:pPr>
              <w:pStyle w:val="TableHeading"/>
              <w:rPr>
                <w:szCs w:val="20"/>
              </w:rPr>
            </w:pPr>
            <w:r w:rsidRPr="00E64A4E">
              <w:rPr>
                <w:szCs w:val="20"/>
              </w:rPr>
              <w:t>Statutory reference</w:t>
            </w:r>
            <w:r w:rsidRPr="00E64A4E">
              <w:rPr>
                <w:szCs w:val="20"/>
              </w:rPr>
              <w:br/>
            </w:r>
            <w:r w:rsidRPr="00E64A4E">
              <w:rPr>
                <w:rStyle w:val="Emphasis"/>
                <w:szCs w:val="20"/>
              </w:rPr>
              <w:t>Crimes Act 1958</w:t>
            </w:r>
            <w:r w:rsidRPr="00E64A4E">
              <w:rPr>
                <w:szCs w:val="20"/>
              </w:rPr>
              <w:t xml:space="preserve"> (Vic)</w:t>
            </w:r>
          </w:p>
        </w:tc>
        <w:tc>
          <w:tcPr>
            <w:tcW w:w="0" w:type="auto"/>
          </w:tcPr>
          <w:p w14:paraId="15C0E8C1" w14:textId="77777777" w:rsidR="00EF5C25" w:rsidRPr="00E64A4E" w:rsidRDefault="00EF5C25" w:rsidP="00841071">
            <w:pPr>
              <w:pStyle w:val="TableHeading"/>
              <w:rPr>
                <w:szCs w:val="20"/>
              </w:rPr>
            </w:pPr>
            <w:r w:rsidRPr="00E64A4E">
              <w:rPr>
                <w:szCs w:val="20"/>
              </w:rPr>
              <w:t>Standard sentence</w:t>
            </w:r>
          </w:p>
        </w:tc>
        <w:tc>
          <w:tcPr>
            <w:tcW w:w="0" w:type="auto"/>
          </w:tcPr>
          <w:p w14:paraId="24ADFD18" w14:textId="77777777" w:rsidR="00EF5C25" w:rsidRPr="00E64A4E" w:rsidRDefault="00EF5C25" w:rsidP="00841071">
            <w:pPr>
              <w:pStyle w:val="TableHeading"/>
              <w:rPr>
                <w:szCs w:val="20"/>
              </w:rPr>
            </w:pPr>
            <w:r w:rsidRPr="00E64A4E">
              <w:rPr>
                <w:szCs w:val="20"/>
              </w:rPr>
              <w:t>Above/same/</w:t>
            </w:r>
            <w:r w:rsidRPr="00E64A4E">
              <w:rPr>
                <w:szCs w:val="20"/>
              </w:rPr>
              <w:br/>
              <w:t>/below standard sentence</w:t>
            </w:r>
          </w:p>
        </w:tc>
        <w:tc>
          <w:tcPr>
            <w:tcW w:w="0" w:type="auto"/>
          </w:tcPr>
          <w:p w14:paraId="41D35869" w14:textId="77777777" w:rsidR="00EF5C25" w:rsidRPr="00E64A4E" w:rsidRDefault="00EF5C25" w:rsidP="00841071">
            <w:pPr>
              <w:pStyle w:val="TableHeading"/>
              <w:rPr>
                <w:szCs w:val="20"/>
              </w:rPr>
            </w:pPr>
            <w:r w:rsidRPr="00E64A4E">
              <w:rPr>
                <w:szCs w:val="20"/>
              </w:rPr>
              <w:t>Average prison sentence (charges of non-standard sentence offences)</w:t>
            </w:r>
          </w:p>
        </w:tc>
        <w:tc>
          <w:tcPr>
            <w:tcW w:w="0" w:type="auto"/>
          </w:tcPr>
          <w:p w14:paraId="63F3940D" w14:textId="77777777" w:rsidR="00EF5C25" w:rsidRPr="00E64A4E" w:rsidRDefault="00EF5C25" w:rsidP="00841071">
            <w:pPr>
              <w:pStyle w:val="TableHeading"/>
              <w:rPr>
                <w:szCs w:val="20"/>
              </w:rPr>
            </w:pPr>
            <w:r w:rsidRPr="00E64A4E">
              <w:rPr>
                <w:szCs w:val="20"/>
              </w:rPr>
              <w:t>Average prison sentence</w:t>
            </w:r>
            <w:r w:rsidRPr="00E64A4E">
              <w:rPr>
                <w:szCs w:val="20"/>
              </w:rPr>
              <w:br/>
              <w:t>(charges of standard sentence offences)</w:t>
            </w:r>
          </w:p>
        </w:tc>
        <w:tc>
          <w:tcPr>
            <w:tcW w:w="0" w:type="auto"/>
          </w:tcPr>
          <w:p w14:paraId="1283A3BF" w14:textId="77777777" w:rsidR="00EF5C25" w:rsidRPr="00E64A4E" w:rsidRDefault="00EF5C25" w:rsidP="00841071">
            <w:pPr>
              <w:pStyle w:val="TableHeading"/>
              <w:rPr>
                <w:szCs w:val="20"/>
              </w:rPr>
            </w:pPr>
            <w:r w:rsidRPr="00E64A4E">
              <w:rPr>
                <w:szCs w:val="20"/>
              </w:rPr>
              <w:t>Per cent difference</w:t>
            </w:r>
            <w:r w:rsidRPr="00E64A4E">
              <w:rPr>
                <w:szCs w:val="20"/>
              </w:rPr>
              <w:br/>
              <w:t>(%)</w:t>
            </w:r>
          </w:p>
        </w:tc>
      </w:tr>
      <w:tr w:rsidR="00EF5C25" w:rsidRPr="007F530F" w14:paraId="642DE4B1" w14:textId="77777777" w:rsidTr="00377374">
        <w:trPr>
          <w:trHeight w:val="60"/>
        </w:trPr>
        <w:tc>
          <w:tcPr>
            <w:tcW w:w="0" w:type="auto"/>
          </w:tcPr>
          <w:p w14:paraId="72B541F1" w14:textId="77777777" w:rsidR="00EF5C25" w:rsidRPr="00E64A4E" w:rsidRDefault="00EF5C25" w:rsidP="00DC75F7">
            <w:pPr>
              <w:pStyle w:val="TableBody"/>
              <w:rPr>
                <w:szCs w:val="20"/>
              </w:rPr>
            </w:pPr>
            <w:r w:rsidRPr="00E64A4E">
              <w:rPr>
                <w:szCs w:val="20"/>
              </w:rPr>
              <w:t>Rape</w:t>
            </w:r>
          </w:p>
        </w:tc>
        <w:tc>
          <w:tcPr>
            <w:tcW w:w="0" w:type="auto"/>
          </w:tcPr>
          <w:p w14:paraId="2EAFC252" w14:textId="77777777" w:rsidR="00EF5C25" w:rsidRPr="00E64A4E" w:rsidRDefault="00EF5C25" w:rsidP="00DC75F7">
            <w:pPr>
              <w:pStyle w:val="TableBody"/>
              <w:rPr>
                <w:szCs w:val="20"/>
              </w:rPr>
            </w:pPr>
            <w:r w:rsidRPr="00E64A4E">
              <w:rPr>
                <w:szCs w:val="20"/>
              </w:rPr>
              <w:t>Section 38</w:t>
            </w:r>
          </w:p>
        </w:tc>
        <w:tc>
          <w:tcPr>
            <w:tcW w:w="0" w:type="auto"/>
          </w:tcPr>
          <w:p w14:paraId="27BEA2BA" w14:textId="77777777" w:rsidR="00EF5C25" w:rsidRPr="00E64A4E" w:rsidRDefault="00EF5C25" w:rsidP="00DC75F7">
            <w:pPr>
              <w:pStyle w:val="TableBody"/>
              <w:rPr>
                <w:szCs w:val="20"/>
              </w:rPr>
            </w:pPr>
            <w:r w:rsidRPr="00E64A4E">
              <w:rPr>
                <w:szCs w:val="20"/>
              </w:rPr>
              <w:t>10 years</w:t>
            </w:r>
          </w:p>
        </w:tc>
        <w:tc>
          <w:tcPr>
            <w:tcW w:w="0" w:type="auto"/>
          </w:tcPr>
          <w:p w14:paraId="5775725D" w14:textId="77777777" w:rsidR="00EF5C25" w:rsidRPr="00E64A4E" w:rsidRDefault="00EF5C25" w:rsidP="00DC75F7">
            <w:pPr>
              <w:pStyle w:val="TableBody"/>
              <w:rPr>
                <w:szCs w:val="20"/>
              </w:rPr>
            </w:pPr>
            <w:r w:rsidRPr="00E64A4E">
              <w:rPr>
                <w:szCs w:val="20"/>
              </w:rPr>
              <w:t>3 above</w:t>
            </w:r>
            <w:r w:rsidRPr="00E64A4E">
              <w:rPr>
                <w:szCs w:val="20"/>
              </w:rPr>
              <w:br/>
              <w:t xml:space="preserve">15 below </w:t>
            </w:r>
          </w:p>
        </w:tc>
        <w:tc>
          <w:tcPr>
            <w:tcW w:w="0" w:type="auto"/>
          </w:tcPr>
          <w:p w14:paraId="4FB14DD9" w14:textId="77777777" w:rsidR="00EF5C25" w:rsidRPr="00E64A4E" w:rsidRDefault="00EF5C25" w:rsidP="00DC75F7">
            <w:pPr>
              <w:pStyle w:val="TableBody"/>
              <w:rPr>
                <w:szCs w:val="20"/>
              </w:rPr>
            </w:pPr>
            <w:r w:rsidRPr="00E64A4E">
              <w:rPr>
                <w:szCs w:val="20"/>
              </w:rPr>
              <w:t>5 years and 8 months</w:t>
            </w:r>
            <w:r w:rsidRPr="00E64A4E">
              <w:rPr>
                <w:szCs w:val="20"/>
              </w:rPr>
              <w:br/>
              <w:t>(75 charges)</w:t>
            </w:r>
          </w:p>
        </w:tc>
        <w:tc>
          <w:tcPr>
            <w:tcW w:w="0" w:type="auto"/>
          </w:tcPr>
          <w:p w14:paraId="60046588" w14:textId="77777777" w:rsidR="00EF5C25" w:rsidRPr="00E64A4E" w:rsidRDefault="00EF5C25" w:rsidP="00DC75F7">
            <w:pPr>
              <w:pStyle w:val="TableBody"/>
              <w:rPr>
                <w:szCs w:val="20"/>
              </w:rPr>
            </w:pPr>
            <w:r w:rsidRPr="00E64A4E">
              <w:rPr>
                <w:szCs w:val="20"/>
              </w:rPr>
              <w:t>6 years and 8 months</w:t>
            </w:r>
            <w:r w:rsidRPr="00E64A4E">
              <w:rPr>
                <w:szCs w:val="20"/>
              </w:rPr>
              <w:br/>
              <w:t>(18 charges)</w:t>
            </w:r>
          </w:p>
        </w:tc>
        <w:tc>
          <w:tcPr>
            <w:tcW w:w="0" w:type="auto"/>
          </w:tcPr>
          <w:p w14:paraId="23B7FB3C" w14:textId="05D6F799" w:rsidR="00EF5C25" w:rsidRPr="00E64A4E" w:rsidRDefault="00881E11" w:rsidP="00DC75F7">
            <w:pPr>
              <w:pStyle w:val="TableBody"/>
              <w:rPr>
                <w:szCs w:val="20"/>
              </w:rPr>
            </w:pPr>
            <w:r w:rsidRPr="00E64A4E">
              <w:rPr>
                <w:szCs w:val="20"/>
              </w:rPr>
              <w:t>up</w:t>
            </w:r>
            <w:r w:rsidR="00EF5C25" w:rsidRPr="00E64A4E">
              <w:rPr>
                <w:szCs w:val="20"/>
              </w:rPr>
              <w:t xml:space="preserve"> 18%</w:t>
            </w:r>
          </w:p>
        </w:tc>
      </w:tr>
      <w:tr w:rsidR="00EF5C25" w:rsidRPr="007F530F" w14:paraId="4F3EC9D0" w14:textId="77777777" w:rsidTr="00377374">
        <w:trPr>
          <w:trHeight w:val="60"/>
        </w:trPr>
        <w:tc>
          <w:tcPr>
            <w:tcW w:w="0" w:type="auto"/>
          </w:tcPr>
          <w:p w14:paraId="4FAB4778" w14:textId="77777777" w:rsidR="00EF5C25" w:rsidRPr="00E64A4E" w:rsidRDefault="00EF5C25" w:rsidP="00DC75F7">
            <w:pPr>
              <w:pStyle w:val="TableBody"/>
              <w:rPr>
                <w:szCs w:val="20"/>
              </w:rPr>
            </w:pPr>
            <w:r w:rsidRPr="00E64A4E">
              <w:rPr>
                <w:szCs w:val="20"/>
              </w:rPr>
              <w:t>Incest with a child, stepchild or lineal descendant</w:t>
            </w:r>
          </w:p>
        </w:tc>
        <w:tc>
          <w:tcPr>
            <w:tcW w:w="0" w:type="auto"/>
          </w:tcPr>
          <w:p w14:paraId="78E1B961" w14:textId="77777777" w:rsidR="00EF5C25" w:rsidRPr="00E64A4E" w:rsidRDefault="00EF5C25" w:rsidP="00DC75F7">
            <w:pPr>
              <w:pStyle w:val="TableBody"/>
              <w:rPr>
                <w:szCs w:val="20"/>
              </w:rPr>
            </w:pPr>
            <w:r w:rsidRPr="00E64A4E">
              <w:rPr>
                <w:szCs w:val="20"/>
              </w:rPr>
              <w:t xml:space="preserve">Sections 50C and 50D – current </w:t>
            </w:r>
          </w:p>
          <w:p w14:paraId="0691C8EF" w14:textId="77777777" w:rsidR="00EF5C25" w:rsidRPr="00E64A4E" w:rsidRDefault="00EF5C25" w:rsidP="00DC75F7">
            <w:pPr>
              <w:pStyle w:val="TableBody"/>
              <w:rPr>
                <w:szCs w:val="20"/>
              </w:rPr>
            </w:pPr>
            <w:r w:rsidRPr="00E64A4E">
              <w:rPr>
                <w:szCs w:val="20"/>
              </w:rPr>
              <w:t>sections 44(1) and 44(2) – repealed</w:t>
            </w:r>
          </w:p>
        </w:tc>
        <w:tc>
          <w:tcPr>
            <w:tcW w:w="0" w:type="auto"/>
          </w:tcPr>
          <w:p w14:paraId="21D634B2" w14:textId="77777777" w:rsidR="00EF5C25" w:rsidRPr="00E64A4E" w:rsidRDefault="00EF5C25" w:rsidP="00DC75F7">
            <w:pPr>
              <w:pStyle w:val="TableBody"/>
              <w:rPr>
                <w:szCs w:val="20"/>
              </w:rPr>
            </w:pPr>
            <w:r w:rsidRPr="00E64A4E">
              <w:rPr>
                <w:szCs w:val="20"/>
              </w:rPr>
              <w:t>10 years</w:t>
            </w:r>
          </w:p>
        </w:tc>
        <w:tc>
          <w:tcPr>
            <w:tcW w:w="0" w:type="auto"/>
          </w:tcPr>
          <w:p w14:paraId="31B04929" w14:textId="77777777" w:rsidR="00EF5C25" w:rsidRPr="00E64A4E" w:rsidRDefault="00EF5C25" w:rsidP="00DC75F7">
            <w:pPr>
              <w:pStyle w:val="TableBody"/>
              <w:rPr>
                <w:szCs w:val="20"/>
              </w:rPr>
            </w:pPr>
            <w:r w:rsidRPr="00E64A4E">
              <w:rPr>
                <w:szCs w:val="20"/>
              </w:rPr>
              <w:t>9 below</w:t>
            </w:r>
          </w:p>
        </w:tc>
        <w:tc>
          <w:tcPr>
            <w:tcW w:w="0" w:type="auto"/>
          </w:tcPr>
          <w:p w14:paraId="52F38216" w14:textId="77777777" w:rsidR="00EF5C25" w:rsidRPr="00E64A4E" w:rsidRDefault="00EF5C25" w:rsidP="00DC75F7">
            <w:pPr>
              <w:pStyle w:val="TableBody"/>
              <w:rPr>
                <w:szCs w:val="20"/>
              </w:rPr>
            </w:pPr>
            <w:r w:rsidRPr="00E64A4E">
              <w:rPr>
                <w:szCs w:val="20"/>
              </w:rPr>
              <w:t>6 years and 10 months</w:t>
            </w:r>
            <w:r w:rsidRPr="00E64A4E">
              <w:rPr>
                <w:szCs w:val="20"/>
              </w:rPr>
              <w:br/>
              <w:t>(92 charges)</w:t>
            </w:r>
          </w:p>
        </w:tc>
        <w:tc>
          <w:tcPr>
            <w:tcW w:w="0" w:type="auto"/>
          </w:tcPr>
          <w:p w14:paraId="62D257D0" w14:textId="77777777" w:rsidR="00EF5C25" w:rsidRPr="00E64A4E" w:rsidRDefault="00EF5C25" w:rsidP="00DC75F7">
            <w:pPr>
              <w:pStyle w:val="TableBody"/>
              <w:rPr>
                <w:szCs w:val="20"/>
              </w:rPr>
            </w:pPr>
            <w:r w:rsidRPr="00E64A4E">
              <w:rPr>
                <w:szCs w:val="20"/>
              </w:rPr>
              <w:t>7 years and 7 months</w:t>
            </w:r>
            <w:r w:rsidRPr="00E64A4E">
              <w:rPr>
                <w:szCs w:val="20"/>
              </w:rPr>
              <w:br/>
              <w:t>(9 charges)</w:t>
            </w:r>
          </w:p>
        </w:tc>
        <w:tc>
          <w:tcPr>
            <w:tcW w:w="0" w:type="auto"/>
          </w:tcPr>
          <w:p w14:paraId="3A7FADE4" w14:textId="0CD2AC92" w:rsidR="00EF5C25" w:rsidRPr="00E64A4E" w:rsidRDefault="00881E11" w:rsidP="00DC75F7">
            <w:pPr>
              <w:pStyle w:val="TableBody"/>
              <w:rPr>
                <w:szCs w:val="20"/>
              </w:rPr>
            </w:pPr>
            <w:r w:rsidRPr="00E64A4E">
              <w:rPr>
                <w:szCs w:val="20"/>
              </w:rPr>
              <w:t>up</w:t>
            </w:r>
            <w:r w:rsidR="00EF5C25" w:rsidRPr="00E64A4E">
              <w:rPr>
                <w:szCs w:val="20"/>
              </w:rPr>
              <w:t xml:space="preserve"> 11%</w:t>
            </w:r>
          </w:p>
        </w:tc>
      </w:tr>
      <w:tr w:rsidR="00EF5C25" w:rsidRPr="007F530F" w14:paraId="6E808630" w14:textId="77777777" w:rsidTr="00377374">
        <w:trPr>
          <w:trHeight w:val="60"/>
        </w:trPr>
        <w:tc>
          <w:tcPr>
            <w:tcW w:w="0" w:type="auto"/>
          </w:tcPr>
          <w:p w14:paraId="36D0FD11" w14:textId="77777777" w:rsidR="00EF5C25" w:rsidRPr="00E64A4E" w:rsidRDefault="00EF5C25" w:rsidP="00DC75F7">
            <w:pPr>
              <w:pStyle w:val="TableBody"/>
              <w:rPr>
                <w:szCs w:val="20"/>
              </w:rPr>
            </w:pPr>
            <w:r w:rsidRPr="00E64A4E">
              <w:rPr>
                <w:szCs w:val="20"/>
              </w:rPr>
              <w:t>Sexual penetration with a child aged 10/12 to 15</w:t>
            </w:r>
          </w:p>
        </w:tc>
        <w:tc>
          <w:tcPr>
            <w:tcW w:w="0" w:type="auto"/>
          </w:tcPr>
          <w:p w14:paraId="0A893A1D" w14:textId="77777777" w:rsidR="00EF5C25" w:rsidRPr="00E64A4E" w:rsidRDefault="00EF5C25" w:rsidP="00DC75F7">
            <w:pPr>
              <w:pStyle w:val="TableBody"/>
              <w:rPr>
                <w:szCs w:val="20"/>
              </w:rPr>
            </w:pPr>
            <w:r w:rsidRPr="00E64A4E">
              <w:rPr>
                <w:szCs w:val="20"/>
              </w:rPr>
              <w:t>Section 49B – current</w:t>
            </w:r>
          </w:p>
          <w:p w14:paraId="4D872235" w14:textId="77777777" w:rsidR="00EF5C25" w:rsidRPr="00E64A4E" w:rsidRDefault="00EF5C25" w:rsidP="00DC75F7">
            <w:pPr>
              <w:pStyle w:val="TableBody"/>
              <w:rPr>
                <w:szCs w:val="20"/>
              </w:rPr>
            </w:pPr>
            <w:r w:rsidRPr="00E64A4E">
              <w:rPr>
                <w:szCs w:val="20"/>
              </w:rPr>
              <w:t xml:space="preserve"> section 45(1) – repealed</w:t>
            </w:r>
          </w:p>
        </w:tc>
        <w:tc>
          <w:tcPr>
            <w:tcW w:w="0" w:type="auto"/>
          </w:tcPr>
          <w:p w14:paraId="54382385" w14:textId="77777777" w:rsidR="00EF5C25" w:rsidRPr="00E64A4E" w:rsidRDefault="00EF5C25" w:rsidP="00DC75F7">
            <w:pPr>
              <w:pStyle w:val="TableBody"/>
              <w:rPr>
                <w:szCs w:val="20"/>
              </w:rPr>
            </w:pPr>
            <w:r w:rsidRPr="00E64A4E">
              <w:rPr>
                <w:szCs w:val="20"/>
              </w:rPr>
              <w:t>6 years</w:t>
            </w:r>
          </w:p>
        </w:tc>
        <w:tc>
          <w:tcPr>
            <w:tcW w:w="0" w:type="auto"/>
          </w:tcPr>
          <w:p w14:paraId="08B77E1C" w14:textId="77777777" w:rsidR="00EF5C25" w:rsidRPr="00E64A4E" w:rsidRDefault="00EF5C25" w:rsidP="00DC75F7">
            <w:pPr>
              <w:pStyle w:val="TableBody"/>
              <w:rPr>
                <w:szCs w:val="20"/>
              </w:rPr>
            </w:pPr>
            <w:r w:rsidRPr="00E64A4E">
              <w:rPr>
                <w:szCs w:val="20"/>
              </w:rPr>
              <w:t>1 above</w:t>
            </w:r>
            <w:r w:rsidRPr="00E64A4E">
              <w:rPr>
                <w:szCs w:val="20"/>
              </w:rPr>
              <w:br/>
              <w:t>1 same</w:t>
            </w:r>
            <w:r w:rsidRPr="00E64A4E">
              <w:rPr>
                <w:szCs w:val="20"/>
              </w:rPr>
              <w:br/>
              <w:t>8 below</w:t>
            </w:r>
          </w:p>
        </w:tc>
        <w:tc>
          <w:tcPr>
            <w:tcW w:w="0" w:type="auto"/>
          </w:tcPr>
          <w:p w14:paraId="026DB505" w14:textId="77777777" w:rsidR="00EF5C25" w:rsidRPr="00E64A4E" w:rsidRDefault="00EF5C25" w:rsidP="00DC75F7">
            <w:pPr>
              <w:pStyle w:val="TableBody"/>
              <w:rPr>
                <w:szCs w:val="20"/>
              </w:rPr>
            </w:pPr>
            <w:r w:rsidRPr="00E64A4E">
              <w:rPr>
                <w:szCs w:val="20"/>
              </w:rPr>
              <w:t>2 years and 2 months</w:t>
            </w:r>
            <w:r w:rsidRPr="00E64A4E">
              <w:rPr>
                <w:szCs w:val="20"/>
              </w:rPr>
              <w:br/>
              <w:t>(82 charges)</w:t>
            </w:r>
          </w:p>
        </w:tc>
        <w:tc>
          <w:tcPr>
            <w:tcW w:w="0" w:type="auto"/>
          </w:tcPr>
          <w:p w14:paraId="45C620D0" w14:textId="77777777" w:rsidR="00EF5C25" w:rsidRPr="00E64A4E" w:rsidRDefault="00EF5C25" w:rsidP="00DC75F7">
            <w:pPr>
              <w:pStyle w:val="TableBody"/>
              <w:rPr>
                <w:szCs w:val="20"/>
              </w:rPr>
            </w:pPr>
            <w:r w:rsidRPr="00E64A4E">
              <w:rPr>
                <w:szCs w:val="20"/>
              </w:rPr>
              <w:t>3 years and 8 months</w:t>
            </w:r>
            <w:r w:rsidRPr="00E64A4E">
              <w:rPr>
                <w:szCs w:val="20"/>
              </w:rPr>
              <w:br/>
              <w:t>(10 charges)</w:t>
            </w:r>
          </w:p>
        </w:tc>
        <w:tc>
          <w:tcPr>
            <w:tcW w:w="0" w:type="auto"/>
          </w:tcPr>
          <w:p w14:paraId="5CE5948B" w14:textId="495F024D" w:rsidR="00EF5C25" w:rsidRPr="00E64A4E" w:rsidRDefault="00881E11" w:rsidP="00881E11">
            <w:pPr>
              <w:pStyle w:val="TableBody"/>
              <w:rPr>
                <w:szCs w:val="20"/>
              </w:rPr>
            </w:pPr>
            <w:r w:rsidRPr="00E64A4E">
              <w:rPr>
                <w:szCs w:val="20"/>
              </w:rPr>
              <w:t>up</w:t>
            </w:r>
            <w:r w:rsidR="00EF5C25" w:rsidRPr="00E64A4E">
              <w:rPr>
                <w:szCs w:val="20"/>
              </w:rPr>
              <w:t xml:space="preserve"> 69%</w:t>
            </w:r>
          </w:p>
        </w:tc>
      </w:tr>
      <w:tr w:rsidR="00EF5C25" w:rsidRPr="007F530F" w14:paraId="0EC7F99E" w14:textId="77777777" w:rsidTr="00377374">
        <w:trPr>
          <w:trHeight w:val="60"/>
        </w:trPr>
        <w:tc>
          <w:tcPr>
            <w:tcW w:w="0" w:type="auto"/>
          </w:tcPr>
          <w:p w14:paraId="53A8DCA4" w14:textId="77777777" w:rsidR="00EF5C25" w:rsidRPr="00E64A4E" w:rsidRDefault="00EF5C25" w:rsidP="00DC75F7">
            <w:pPr>
              <w:pStyle w:val="TableBody"/>
              <w:rPr>
                <w:szCs w:val="20"/>
              </w:rPr>
            </w:pPr>
            <w:r w:rsidRPr="00E64A4E">
              <w:rPr>
                <w:szCs w:val="20"/>
              </w:rPr>
              <w:t>Sexual penetration with a child aged under 10/12</w:t>
            </w:r>
          </w:p>
        </w:tc>
        <w:tc>
          <w:tcPr>
            <w:tcW w:w="0" w:type="auto"/>
          </w:tcPr>
          <w:p w14:paraId="10256D80" w14:textId="77777777" w:rsidR="00EF5C25" w:rsidRPr="00E64A4E" w:rsidRDefault="00EF5C25" w:rsidP="00DC75F7">
            <w:pPr>
              <w:pStyle w:val="TableBody"/>
              <w:rPr>
                <w:szCs w:val="20"/>
              </w:rPr>
            </w:pPr>
            <w:r w:rsidRPr="00E64A4E">
              <w:rPr>
                <w:szCs w:val="20"/>
              </w:rPr>
              <w:t>Section 49A – current</w:t>
            </w:r>
          </w:p>
          <w:p w14:paraId="06E68CE3" w14:textId="77777777" w:rsidR="00EF5C25" w:rsidRPr="00E64A4E" w:rsidRDefault="00EF5C25" w:rsidP="00DC75F7">
            <w:pPr>
              <w:pStyle w:val="TableBody"/>
              <w:rPr>
                <w:szCs w:val="20"/>
              </w:rPr>
            </w:pPr>
            <w:r w:rsidRPr="00E64A4E">
              <w:rPr>
                <w:szCs w:val="20"/>
              </w:rPr>
              <w:t>section 45(1) – repealed</w:t>
            </w:r>
          </w:p>
        </w:tc>
        <w:tc>
          <w:tcPr>
            <w:tcW w:w="0" w:type="auto"/>
          </w:tcPr>
          <w:p w14:paraId="55B79B95" w14:textId="77777777" w:rsidR="00EF5C25" w:rsidRPr="00E64A4E" w:rsidRDefault="00EF5C25" w:rsidP="00DC75F7">
            <w:pPr>
              <w:pStyle w:val="TableBody"/>
              <w:rPr>
                <w:szCs w:val="20"/>
              </w:rPr>
            </w:pPr>
            <w:r w:rsidRPr="00E64A4E">
              <w:rPr>
                <w:szCs w:val="20"/>
              </w:rPr>
              <w:t>10 years</w:t>
            </w:r>
          </w:p>
        </w:tc>
        <w:tc>
          <w:tcPr>
            <w:tcW w:w="0" w:type="auto"/>
          </w:tcPr>
          <w:p w14:paraId="7FD88907" w14:textId="77777777" w:rsidR="00EF5C25" w:rsidRPr="00E64A4E" w:rsidRDefault="00EF5C25" w:rsidP="00DC75F7">
            <w:pPr>
              <w:pStyle w:val="TableBody"/>
              <w:rPr>
                <w:szCs w:val="20"/>
              </w:rPr>
            </w:pPr>
            <w:r w:rsidRPr="00E64A4E">
              <w:rPr>
                <w:szCs w:val="20"/>
              </w:rPr>
              <w:t>3 below</w:t>
            </w:r>
          </w:p>
        </w:tc>
        <w:tc>
          <w:tcPr>
            <w:tcW w:w="0" w:type="auto"/>
          </w:tcPr>
          <w:p w14:paraId="310DD2F2" w14:textId="77777777" w:rsidR="00EF5C25" w:rsidRPr="00E64A4E" w:rsidRDefault="00EF5C25" w:rsidP="00DC75F7">
            <w:pPr>
              <w:pStyle w:val="TableBody"/>
              <w:rPr>
                <w:szCs w:val="20"/>
              </w:rPr>
            </w:pPr>
            <w:r w:rsidRPr="00E64A4E">
              <w:rPr>
                <w:szCs w:val="20"/>
              </w:rPr>
              <w:t>5 years and 2 months</w:t>
            </w:r>
            <w:r w:rsidRPr="00E64A4E">
              <w:rPr>
                <w:szCs w:val="20"/>
              </w:rPr>
              <w:br/>
              <w:t>(17 charges)</w:t>
            </w:r>
          </w:p>
        </w:tc>
        <w:tc>
          <w:tcPr>
            <w:tcW w:w="0" w:type="auto"/>
          </w:tcPr>
          <w:p w14:paraId="7A625C10" w14:textId="77777777" w:rsidR="00EF5C25" w:rsidRPr="00E64A4E" w:rsidRDefault="00EF5C25" w:rsidP="00DC75F7">
            <w:pPr>
              <w:pStyle w:val="TableBody"/>
              <w:rPr>
                <w:szCs w:val="20"/>
              </w:rPr>
            </w:pPr>
            <w:r w:rsidRPr="00E64A4E">
              <w:rPr>
                <w:szCs w:val="20"/>
              </w:rPr>
              <w:t>7 years and 9 months</w:t>
            </w:r>
            <w:r w:rsidRPr="00E64A4E">
              <w:rPr>
                <w:szCs w:val="20"/>
              </w:rPr>
              <w:br/>
              <w:t>(3 charges)</w:t>
            </w:r>
          </w:p>
        </w:tc>
        <w:tc>
          <w:tcPr>
            <w:tcW w:w="0" w:type="auto"/>
          </w:tcPr>
          <w:p w14:paraId="2A72BCF6" w14:textId="487D1A12" w:rsidR="00EF5C25" w:rsidRPr="00E64A4E" w:rsidRDefault="00881E11" w:rsidP="00DC75F7">
            <w:pPr>
              <w:pStyle w:val="TableBody"/>
              <w:rPr>
                <w:szCs w:val="20"/>
              </w:rPr>
            </w:pPr>
            <w:r w:rsidRPr="00E64A4E">
              <w:rPr>
                <w:szCs w:val="20"/>
              </w:rPr>
              <w:t>up</w:t>
            </w:r>
            <w:r w:rsidR="00EF5C25" w:rsidRPr="00E64A4E">
              <w:rPr>
                <w:szCs w:val="20"/>
              </w:rPr>
              <w:t xml:space="preserve"> 50%</w:t>
            </w:r>
          </w:p>
        </w:tc>
      </w:tr>
      <w:tr w:rsidR="00EF5C25" w:rsidRPr="007F530F" w14:paraId="56839AA2" w14:textId="77777777" w:rsidTr="00377374">
        <w:trPr>
          <w:trHeight w:val="60"/>
        </w:trPr>
        <w:tc>
          <w:tcPr>
            <w:tcW w:w="0" w:type="auto"/>
          </w:tcPr>
          <w:p w14:paraId="28BFEA7B" w14:textId="77777777" w:rsidR="00EF5C25" w:rsidRPr="00E64A4E" w:rsidRDefault="00EF5C25" w:rsidP="00DC75F7">
            <w:pPr>
              <w:pStyle w:val="TableBody"/>
              <w:rPr>
                <w:szCs w:val="20"/>
              </w:rPr>
            </w:pPr>
            <w:r w:rsidRPr="00E64A4E">
              <w:rPr>
                <w:szCs w:val="20"/>
              </w:rPr>
              <w:t>Sexual assault of a child aged under 16</w:t>
            </w:r>
          </w:p>
        </w:tc>
        <w:tc>
          <w:tcPr>
            <w:tcW w:w="0" w:type="auto"/>
          </w:tcPr>
          <w:p w14:paraId="6593407B" w14:textId="77777777" w:rsidR="00EF5C25" w:rsidRPr="00E64A4E" w:rsidRDefault="00EF5C25" w:rsidP="00DC75F7">
            <w:pPr>
              <w:pStyle w:val="TableBody"/>
              <w:rPr>
                <w:szCs w:val="20"/>
              </w:rPr>
            </w:pPr>
            <w:r w:rsidRPr="00E64A4E">
              <w:rPr>
                <w:szCs w:val="20"/>
              </w:rPr>
              <w:t>Section 49D</w:t>
            </w:r>
          </w:p>
        </w:tc>
        <w:tc>
          <w:tcPr>
            <w:tcW w:w="0" w:type="auto"/>
          </w:tcPr>
          <w:p w14:paraId="5D1D99AE" w14:textId="77777777" w:rsidR="00EF5C25" w:rsidRPr="00E64A4E" w:rsidRDefault="00EF5C25" w:rsidP="00DC75F7">
            <w:pPr>
              <w:pStyle w:val="TableBody"/>
              <w:rPr>
                <w:szCs w:val="20"/>
              </w:rPr>
            </w:pPr>
            <w:r w:rsidRPr="00E64A4E">
              <w:rPr>
                <w:szCs w:val="20"/>
              </w:rPr>
              <w:t>4 years</w:t>
            </w:r>
          </w:p>
        </w:tc>
        <w:tc>
          <w:tcPr>
            <w:tcW w:w="0" w:type="auto"/>
          </w:tcPr>
          <w:p w14:paraId="539D90BC" w14:textId="77777777" w:rsidR="00EF5C25" w:rsidRPr="00E64A4E" w:rsidRDefault="00EF5C25" w:rsidP="00DC75F7">
            <w:pPr>
              <w:pStyle w:val="TableBody"/>
              <w:rPr>
                <w:szCs w:val="20"/>
              </w:rPr>
            </w:pPr>
            <w:r w:rsidRPr="00E64A4E">
              <w:rPr>
                <w:szCs w:val="20"/>
              </w:rPr>
              <w:t>3 above</w:t>
            </w:r>
            <w:r w:rsidRPr="00E64A4E">
              <w:rPr>
                <w:szCs w:val="20"/>
              </w:rPr>
              <w:br/>
              <w:t>2 same</w:t>
            </w:r>
            <w:r w:rsidRPr="00E64A4E">
              <w:rPr>
                <w:szCs w:val="20"/>
              </w:rPr>
              <w:br/>
              <w:t>10 below</w:t>
            </w:r>
          </w:p>
        </w:tc>
        <w:tc>
          <w:tcPr>
            <w:tcW w:w="0" w:type="auto"/>
          </w:tcPr>
          <w:p w14:paraId="5EC6650C" w14:textId="77777777" w:rsidR="00EF5C25" w:rsidRPr="00E64A4E" w:rsidRDefault="00EF5C25" w:rsidP="00DC75F7">
            <w:pPr>
              <w:pStyle w:val="TableBody"/>
              <w:rPr>
                <w:szCs w:val="20"/>
              </w:rPr>
            </w:pPr>
            <w:r w:rsidRPr="00E64A4E">
              <w:rPr>
                <w:szCs w:val="20"/>
              </w:rPr>
              <w:t>1 year and 7 months</w:t>
            </w:r>
            <w:r w:rsidRPr="00E64A4E">
              <w:rPr>
                <w:szCs w:val="20"/>
              </w:rPr>
              <w:br/>
              <w:t>(214 charges)</w:t>
            </w:r>
          </w:p>
        </w:tc>
        <w:tc>
          <w:tcPr>
            <w:tcW w:w="0" w:type="auto"/>
          </w:tcPr>
          <w:p w14:paraId="7C1F54A6" w14:textId="77777777" w:rsidR="00EF5C25" w:rsidRPr="00E64A4E" w:rsidRDefault="00EF5C25" w:rsidP="00DC75F7">
            <w:pPr>
              <w:pStyle w:val="TableBody"/>
              <w:rPr>
                <w:szCs w:val="20"/>
              </w:rPr>
            </w:pPr>
            <w:r w:rsidRPr="00E64A4E">
              <w:rPr>
                <w:szCs w:val="20"/>
              </w:rPr>
              <w:t>2 years and 10 months</w:t>
            </w:r>
            <w:r w:rsidRPr="00E64A4E">
              <w:rPr>
                <w:szCs w:val="20"/>
              </w:rPr>
              <w:br/>
              <w:t>(15 charges)</w:t>
            </w:r>
          </w:p>
        </w:tc>
        <w:tc>
          <w:tcPr>
            <w:tcW w:w="0" w:type="auto"/>
          </w:tcPr>
          <w:p w14:paraId="58FF5598" w14:textId="0C951F5F" w:rsidR="00EF5C25" w:rsidRPr="00E64A4E" w:rsidRDefault="00881E11" w:rsidP="00DC75F7">
            <w:pPr>
              <w:pStyle w:val="TableBody"/>
              <w:rPr>
                <w:szCs w:val="20"/>
              </w:rPr>
            </w:pPr>
            <w:r w:rsidRPr="00E64A4E">
              <w:rPr>
                <w:szCs w:val="20"/>
              </w:rPr>
              <w:t xml:space="preserve">up </w:t>
            </w:r>
            <w:r w:rsidR="00EF5C25" w:rsidRPr="00E64A4E">
              <w:rPr>
                <w:szCs w:val="20"/>
              </w:rPr>
              <w:t>79%</w:t>
            </w:r>
          </w:p>
        </w:tc>
      </w:tr>
      <w:tr w:rsidR="00EF5C25" w:rsidRPr="007F530F" w14:paraId="0BB9B10D" w14:textId="77777777" w:rsidTr="00377374">
        <w:trPr>
          <w:trHeight w:val="60"/>
        </w:trPr>
        <w:tc>
          <w:tcPr>
            <w:tcW w:w="0" w:type="auto"/>
          </w:tcPr>
          <w:p w14:paraId="11D020B5" w14:textId="77777777" w:rsidR="00EF5C25" w:rsidRPr="00E64A4E" w:rsidRDefault="00EF5C25" w:rsidP="00DC75F7">
            <w:pPr>
              <w:pStyle w:val="TableBody"/>
              <w:rPr>
                <w:szCs w:val="20"/>
              </w:rPr>
            </w:pPr>
            <w:r w:rsidRPr="00E64A4E">
              <w:rPr>
                <w:szCs w:val="20"/>
              </w:rPr>
              <w:t>Persistent sexual abuse of a child aged under 16</w:t>
            </w:r>
          </w:p>
        </w:tc>
        <w:tc>
          <w:tcPr>
            <w:tcW w:w="0" w:type="auto"/>
          </w:tcPr>
          <w:p w14:paraId="788369C9" w14:textId="77777777" w:rsidR="00EF5C25" w:rsidRPr="00E64A4E" w:rsidRDefault="00EF5C25" w:rsidP="00DC75F7">
            <w:pPr>
              <w:pStyle w:val="TableBody"/>
              <w:rPr>
                <w:szCs w:val="20"/>
              </w:rPr>
            </w:pPr>
            <w:r w:rsidRPr="00E64A4E">
              <w:rPr>
                <w:szCs w:val="20"/>
              </w:rPr>
              <w:t>Section 49J</w:t>
            </w:r>
          </w:p>
        </w:tc>
        <w:tc>
          <w:tcPr>
            <w:tcW w:w="0" w:type="auto"/>
          </w:tcPr>
          <w:p w14:paraId="647E4066" w14:textId="77777777" w:rsidR="00EF5C25" w:rsidRPr="00E64A4E" w:rsidRDefault="00EF5C25" w:rsidP="00DC75F7">
            <w:pPr>
              <w:pStyle w:val="TableBody"/>
              <w:rPr>
                <w:szCs w:val="20"/>
              </w:rPr>
            </w:pPr>
            <w:r w:rsidRPr="00E64A4E">
              <w:rPr>
                <w:szCs w:val="20"/>
              </w:rPr>
              <w:t>10 years</w:t>
            </w:r>
          </w:p>
        </w:tc>
        <w:tc>
          <w:tcPr>
            <w:tcW w:w="0" w:type="auto"/>
          </w:tcPr>
          <w:p w14:paraId="5A7976F9" w14:textId="77777777" w:rsidR="00EF5C25" w:rsidRPr="00E64A4E" w:rsidRDefault="00EF5C25" w:rsidP="00DC75F7">
            <w:pPr>
              <w:pStyle w:val="TableBody"/>
              <w:rPr>
                <w:szCs w:val="20"/>
              </w:rPr>
            </w:pPr>
            <w:r w:rsidRPr="00E64A4E">
              <w:rPr>
                <w:szCs w:val="20"/>
              </w:rPr>
              <w:t>–</w:t>
            </w:r>
          </w:p>
        </w:tc>
        <w:tc>
          <w:tcPr>
            <w:tcW w:w="0" w:type="auto"/>
          </w:tcPr>
          <w:p w14:paraId="00D61A35" w14:textId="77777777" w:rsidR="00EF5C25" w:rsidRPr="00E64A4E" w:rsidRDefault="00EF5C25" w:rsidP="00DC75F7">
            <w:pPr>
              <w:pStyle w:val="TableBody"/>
              <w:rPr>
                <w:szCs w:val="20"/>
              </w:rPr>
            </w:pPr>
            <w:r w:rsidRPr="00E64A4E">
              <w:rPr>
                <w:szCs w:val="20"/>
              </w:rPr>
              <w:t>7 years and 7 months</w:t>
            </w:r>
            <w:r w:rsidRPr="00E64A4E">
              <w:rPr>
                <w:szCs w:val="20"/>
              </w:rPr>
              <w:br/>
              <w:t>(7 charges)</w:t>
            </w:r>
          </w:p>
        </w:tc>
        <w:tc>
          <w:tcPr>
            <w:tcW w:w="0" w:type="auto"/>
          </w:tcPr>
          <w:p w14:paraId="30B81E60" w14:textId="77777777" w:rsidR="00EF5C25" w:rsidRPr="00E64A4E" w:rsidRDefault="00EF5C25" w:rsidP="00DC75F7">
            <w:pPr>
              <w:pStyle w:val="TableBody"/>
              <w:rPr>
                <w:szCs w:val="20"/>
              </w:rPr>
            </w:pPr>
            <w:r w:rsidRPr="00E64A4E">
              <w:rPr>
                <w:szCs w:val="20"/>
              </w:rPr>
              <w:t>–</w:t>
            </w:r>
          </w:p>
        </w:tc>
        <w:tc>
          <w:tcPr>
            <w:tcW w:w="0" w:type="auto"/>
          </w:tcPr>
          <w:p w14:paraId="2272086B" w14:textId="77777777" w:rsidR="00EF5C25" w:rsidRPr="00E64A4E" w:rsidRDefault="00EF5C25" w:rsidP="00DC75F7">
            <w:pPr>
              <w:pStyle w:val="TableBody"/>
              <w:rPr>
                <w:szCs w:val="20"/>
              </w:rPr>
            </w:pPr>
            <w:r w:rsidRPr="00E64A4E">
              <w:rPr>
                <w:szCs w:val="20"/>
              </w:rPr>
              <w:t>–</w:t>
            </w:r>
          </w:p>
        </w:tc>
      </w:tr>
    </w:tbl>
    <w:p w14:paraId="5A1F0DF7" w14:textId="77777777" w:rsidR="00E64A4E" w:rsidRDefault="00E64A4E" w:rsidP="00B53C81">
      <w:pPr>
        <w:pStyle w:val="Numbered"/>
        <w:sectPr w:rsidR="00E64A4E" w:rsidSect="00F87379">
          <w:pgSz w:w="16838" w:h="11906" w:orient="landscape"/>
          <w:pgMar w:top="1440" w:right="1440" w:bottom="1440" w:left="1440" w:header="720" w:footer="720" w:gutter="0"/>
          <w:cols w:space="720"/>
          <w:noEndnote/>
          <w:docGrid w:linePitch="326"/>
        </w:sectPr>
      </w:pPr>
    </w:p>
    <w:p w14:paraId="77F26838" w14:textId="7CF18F9A" w:rsidR="00EF5C25" w:rsidRPr="007F530F" w:rsidRDefault="00EF5C25" w:rsidP="00B53C81">
      <w:pPr>
        <w:pStyle w:val="Numbered"/>
      </w:pPr>
      <w:r w:rsidRPr="007F530F">
        <w:lastRenderedPageBreak/>
        <w:t xml:space="preserve">But most importantly, the standard sentence only incorporates factors relevant to the </w:t>
      </w:r>
      <w:r w:rsidRPr="00D62402">
        <w:rPr>
          <w:rStyle w:val="Emphasis"/>
        </w:rPr>
        <w:t>objective</w:t>
      </w:r>
      <w:r w:rsidRPr="007F530F">
        <w:t xml:space="preserve"> seriousness of the offence and does not account for subjective circumstances, such as guilty pleas, demonstrated remorse, otherwise good character, delays in bringing proceedings, steps towards rehabilitation, mental impairment or intellectual disability, or a history of trauma, disadvantage or victimisation. Factors such as these are most likely why the average prison sentences for offences attracting standard sentence offence classification in 2019 were between 61% and 78% of the standard sentence for those offences.</w:t>
      </w:r>
      <w:r w:rsidRPr="007F530F">
        <w:rPr>
          <w:rStyle w:val="Superscript"/>
        </w:rPr>
        <w:footnoteReference w:id="283"/>
      </w:r>
      <w:r w:rsidRPr="007F530F">
        <w:t xml:space="preserve"> Many of these subjective factors have a significant effect on the sentence imposed. For instance, previous research has found that most sex offenders plead guilty, and that almost all discounts for guilty pleas (86%) are 20% or more of the total effective sentence that would have otherwise been imposed.</w:t>
      </w:r>
      <w:r w:rsidRPr="007F530F">
        <w:rPr>
          <w:rStyle w:val="Superscript"/>
        </w:rPr>
        <w:footnoteReference w:id="284"/>
      </w:r>
    </w:p>
    <w:p w14:paraId="299513D2" w14:textId="77777777" w:rsidR="00EF5C25" w:rsidRPr="007F530F" w:rsidRDefault="00EF5C25" w:rsidP="00B53C81">
      <w:pPr>
        <w:pStyle w:val="Numbered"/>
      </w:pPr>
      <w:r w:rsidRPr="007F530F">
        <w:t xml:space="preserve">Therefore, while the findings of this report suggest that standard sentences appear to have increased sentencing practices for relevant offences, as they were intended to, it is likely that average sentence lengths will tend to, but may not necessarily always, gravitate towards a level slightly </w:t>
      </w:r>
      <w:r w:rsidRPr="00D62402">
        <w:rPr>
          <w:rStyle w:val="Emphasis"/>
        </w:rPr>
        <w:t>below</w:t>
      </w:r>
      <w:r w:rsidRPr="007F530F">
        <w:t xml:space="preserve"> the standard sentence. In part, this will be because offending is not normally distributed with an equal amount falling below, at or above the middle of the range of objective seriousness. But primarily it will be because the standard sentence does not account for the </w:t>
      </w:r>
      <w:r w:rsidRPr="007F530F">
        <w:lastRenderedPageBreak/>
        <w:t>subjective mitigating circumstances present in many cases, especially discounts for guilty pleas.</w:t>
      </w:r>
    </w:p>
    <w:p w14:paraId="57263348" w14:textId="77777777" w:rsidR="00EF5C25" w:rsidRPr="007F530F" w:rsidRDefault="00EF5C25" w:rsidP="006633AA">
      <w:pPr>
        <w:pStyle w:val="Heading2"/>
      </w:pPr>
      <w:r w:rsidRPr="007F530F">
        <w:t>Category 1 offence classification will increase imprisonment rates, but it may also have unintended consequences</w:t>
      </w:r>
    </w:p>
    <w:p w14:paraId="6F8A42BF" w14:textId="77777777" w:rsidR="00EF5C25" w:rsidRPr="007F530F" w:rsidRDefault="00EF5C25" w:rsidP="00B53C81">
      <w:pPr>
        <w:pStyle w:val="Numbered"/>
      </w:pPr>
      <w:r w:rsidRPr="007F530F">
        <w:t>Category 1 offence classification was introduced in an attempt to ensure serious offenders went to prison (see [2.3]–[2.4]). By the end of 2019, nearly three years since the commencement of the legislation, 72 sex offences had been sentenced as Category 1 offences (49 of which were rape offences). As required, each offence received a sentence of adult (64) or youth (8) detention. Given that there is no mandatory minimum sentence for these offences, there may eventually be some cases in which nominal periods of detention are imposed because a court considers a custodial sentence inappropriate but has no other option.</w:t>
      </w:r>
      <w:r w:rsidRPr="007F530F">
        <w:rPr>
          <w:rStyle w:val="Superscript"/>
        </w:rPr>
        <w:footnoteReference w:id="285"/>
      </w:r>
      <w:r w:rsidRPr="007F530F">
        <w:t xml:space="preserve"> It seems unlikely that this has happened yet, though, as the shortest prison sentences for sex offences with Category 1 offence classification were 2 years (2 charges) and 3 years (4 charges). Further, given that Category 1 offence classification is premised on the date of the offence, it is unsurprising that increasing numbers of such offences are sentenced each year: none in 2017, 23 in 2018 and 49 in 2019. As time passes, a growing number of relevant sex offences will invariably attract the consequences of Category 1 offence classification and prison sentences will rise, as intended.</w:t>
      </w:r>
    </w:p>
    <w:p w14:paraId="262F8150" w14:textId="6C2E3F71" w:rsidR="00EF5C25" w:rsidRPr="007F530F" w:rsidRDefault="00EF5C25" w:rsidP="00B53C81">
      <w:pPr>
        <w:pStyle w:val="Numbered"/>
      </w:pPr>
      <w:r w:rsidRPr="007F530F">
        <w:lastRenderedPageBreak/>
        <w:t>However, in addition to potentially ensuring some serious sex offenders go to prison when they might not have otherwise, a question arises as to whether this legislation might also, and perhaps more frequently, result in people in extraordinary circumstances being imprisoned. In the 10 years to 2019, 77 sex offences now classified as Category 1 offences, in 61 cases, received what would now be impermissible sentences.</w:t>
      </w:r>
      <w:r w:rsidRPr="007F530F">
        <w:rPr>
          <w:rStyle w:val="Superscript"/>
        </w:rPr>
        <w:footnoteReference w:id="286"/>
      </w:r>
      <w:r w:rsidRPr="007F530F">
        <w:t xml:space="preserve"> Sentencing remarks in those cases suggest that courts were already limiting the imposition of sentences other than an immediate custodial sentence to extraordinary circumstances (see, for example, Case Studies 1</w:t>
      </w:r>
      <w:r w:rsidR="0020116E">
        <w:t>,</w:t>
      </w:r>
      <w:r w:rsidRPr="007F530F">
        <w:t xml:space="preserve"> 2</w:t>
      </w:r>
      <w:r w:rsidR="0020116E">
        <w:t xml:space="preserve">, </w:t>
      </w:r>
      <w:r w:rsidRPr="007F530F">
        <w:t>3</w:t>
      </w:r>
      <w:r w:rsidR="0020116E">
        <w:t xml:space="preserve">, </w:t>
      </w:r>
      <w:r w:rsidRPr="007F530F">
        <w:t>and 4). These people would now be imprisoned if their offending had attracted Category 1 offence classification.</w:t>
      </w:r>
    </w:p>
    <w:p w14:paraId="0780B182" w14:textId="77777777" w:rsidR="00EF5C25" w:rsidRPr="007F530F" w:rsidRDefault="00EF5C25" w:rsidP="00B53C81">
      <w:pPr>
        <w:pStyle w:val="Numbered"/>
      </w:pPr>
      <w:r w:rsidRPr="007F530F">
        <w:t>The Council has previously said that ‘mandatory sentences … are not … models of sentencing guidance … are incompatible with the framework of structured discretion for sentencing in Victoria, and are liable to result in inappropriate consistency and, ultimately, injustice’.</w:t>
      </w:r>
      <w:r w:rsidRPr="007F530F">
        <w:rPr>
          <w:rStyle w:val="Superscript"/>
        </w:rPr>
        <w:footnoteReference w:id="287"/>
      </w:r>
      <w:r w:rsidRPr="007F530F">
        <w:t xml:space="preserve"> While mandatory sentences may in some limited instances prevent what might rightly be perceived as unwarranted leniency, they also create a very real risk of unjust outcomes for people such as young offenders, people with impaired intellectual functioning, women whose offending is the product of their own </w:t>
      </w:r>
      <w:r w:rsidRPr="007F530F">
        <w:lastRenderedPageBreak/>
        <w:t>victimisation, and other poor targets for deterrence and denunciation.</w:t>
      </w:r>
    </w:p>
    <w:p w14:paraId="6F267ABA" w14:textId="77777777" w:rsidR="00EF5C25" w:rsidRPr="007F530F" w:rsidRDefault="00EF5C25" w:rsidP="006633AA">
      <w:pPr>
        <w:pStyle w:val="Heading2"/>
      </w:pPr>
      <w:r w:rsidRPr="007F530F">
        <w:t xml:space="preserve">Prison sentences for incest have increased since the various </w:t>
      </w:r>
      <w:r w:rsidRPr="00D931C5">
        <w:rPr>
          <w:rStyle w:val="Emphasis"/>
        </w:rPr>
        <w:t>Dalgliesh</w:t>
      </w:r>
      <w:r w:rsidRPr="00D62402">
        <w:rPr>
          <w:rStyle w:val="Emphasis"/>
        </w:rPr>
        <w:t xml:space="preserve"> </w:t>
      </w:r>
      <w:r w:rsidRPr="007F530F">
        <w:t>decisions</w:t>
      </w:r>
    </w:p>
    <w:p w14:paraId="323F1BBF" w14:textId="77777777" w:rsidR="00EF5C25" w:rsidRPr="007F530F" w:rsidRDefault="00EF5C25" w:rsidP="00B53C81">
      <w:pPr>
        <w:pStyle w:val="Numbered"/>
      </w:pPr>
      <w:r w:rsidRPr="007F530F">
        <w:t>Of all the offences analysed in this report, none received as much effort to increase sentencing practices as incest with a child, stepchild or lineal descendant. The average prison sentence for this offence in the 10 years to 2019 was 4 years and 10 months. This offending now attracts Category 1 offence classification and carries a standard sentence of 10 years; it was also the subject of a judicial call to increase inappropriately low sentencing practices. Moreover, incest offending can now be charged as a course of conduct offence, which will invariably increase the objective seriousness of some individual charges by virtue of the offending having been prolonged or repeated.</w:t>
      </w:r>
    </w:p>
    <w:p w14:paraId="3A1830B3" w14:textId="77777777" w:rsidR="00EF5C25" w:rsidRPr="007F530F" w:rsidRDefault="00EF5C25" w:rsidP="00B53C81">
      <w:pPr>
        <w:pStyle w:val="Numbered"/>
      </w:pPr>
      <w:r w:rsidRPr="007F530F">
        <w:t>Based on the data in this report, prison sentences for incest offences are clearly longer now than they have been previously. In 2019, especially, the average prison sentence increased from 5 years and 4 months in 2018 to 6 years and 10 months. Even excluding the standard sentence offences of incest in 2019 and an anomalous case with numerous incest offences receiving unusually long prison sentences, that average was 6 years and 1 month, 9 months longer than in the previous year. The Council’s previous research has found that calls to increase sentencing practices can take time to be reflected in sentencing outcomes.</w:t>
      </w:r>
      <w:r w:rsidRPr="007F530F">
        <w:rPr>
          <w:rStyle w:val="Superscript"/>
        </w:rPr>
        <w:footnoteReference w:id="288"/>
      </w:r>
      <w:r w:rsidRPr="007F530F">
        <w:t xml:space="preserve"> Collectively, this all suggests that the various </w:t>
      </w:r>
      <w:r w:rsidRPr="00D62402">
        <w:rPr>
          <w:rStyle w:val="Emphasis"/>
        </w:rPr>
        <w:t xml:space="preserve">Dalgliesh </w:t>
      </w:r>
      <w:r w:rsidRPr="007F530F">
        <w:t xml:space="preserve">decisions have increased prison sentences for incest offending in Victoria. </w:t>
      </w:r>
    </w:p>
    <w:p w14:paraId="4D11135A" w14:textId="77777777" w:rsidR="00EF5C25" w:rsidRPr="007F530F" w:rsidRDefault="00EF5C25" w:rsidP="00B53C81">
      <w:pPr>
        <w:pStyle w:val="Numbered"/>
      </w:pPr>
      <w:r w:rsidRPr="007F530F">
        <w:lastRenderedPageBreak/>
        <w:t xml:space="preserve">The overall increase in the average lengths of prison sentences for incest with a child aged under 18 is therefore not attributable to any one reform. Instead, the various reforms seem to have had a compounding effect on one another, each resulting in their own tangible increase in the duration of prison sentences. </w:t>
      </w:r>
    </w:p>
    <w:p w14:paraId="232032BF" w14:textId="77777777" w:rsidR="00EF5C25" w:rsidRPr="007F530F" w:rsidRDefault="00EF5C25" w:rsidP="00B53C81">
      <w:pPr>
        <w:pStyle w:val="Numbered"/>
      </w:pPr>
      <w:r w:rsidRPr="007F530F">
        <w:t>Moreover, there have been increases in the average prison sentences for most child sex offences that cannot be attributed to any of the reforms. Stakeholders consulted by the Council suggested that extra-legal factors are likely responsible. In particular these include:</w:t>
      </w:r>
    </w:p>
    <w:p w14:paraId="25479511" w14:textId="77777777" w:rsidR="00EF5C25" w:rsidRPr="007F530F" w:rsidRDefault="00EF5C25" w:rsidP="00315A0D">
      <w:pPr>
        <w:pStyle w:val="Bullets"/>
      </w:pPr>
      <w:r w:rsidRPr="007F530F">
        <w:t>the increased media scrutiny of child sex offences and responses to it, particularly following the Royal Commission into Institutional Responses to Child Sexual Abuse;</w:t>
      </w:r>
    </w:p>
    <w:p w14:paraId="462E722F" w14:textId="77777777" w:rsidR="00EF5C25" w:rsidRPr="007F530F" w:rsidRDefault="00EF5C25" w:rsidP="00315A0D">
      <w:pPr>
        <w:pStyle w:val="Bullets"/>
      </w:pPr>
      <w:r w:rsidRPr="007F530F">
        <w:t>the increasing awareness and understanding of the lifelong consequences of child sexual abuse;</w:t>
      </w:r>
    </w:p>
    <w:p w14:paraId="7EDF5A13" w14:textId="77777777" w:rsidR="00EF5C25" w:rsidRPr="007F530F" w:rsidRDefault="00EF5C25" w:rsidP="00315A0D">
      <w:pPr>
        <w:pStyle w:val="Bullets"/>
      </w:pPr>
      <w:r w:rsidRPr="007F530F">
        <w:t>changing community expectations about how these offences should be sentenced; and</w:t>
      </w:r>
    </w:p>
    <w:p w14:paraId="598F8569" w14:textId="77777777" w:rsidR="00EF5C25" w:rsidRPr="007F530F" w:rsidRDefault="00EF5C25" w:rsidP="00315A0D">
      <w:pPr>
        <w:pStyle w:val="Bullets"/>
      </w:pPr>
      <w:r w:rsidRPr="007F530F">
        <w:t>the effect of multiple compounding reforms in this space – including commentary by both the Court of Appeal and the High Court about the reduced relevance of past sentencing practices, particularly in the context of child sex offences.</w:t>
      </w:r>
    </w:p>
    <w:p w14:paraId="71FDE662" w14:textId="77777777" w:rsidR="00EF5C25" w:rsidRPr="007F530F" w:rsidRDefault="00EF5C25" w:rsidP="007E2BCF">
      <w:pPr>
        <w:ind w:left="964"/>
      </w:pPr>
      <w:r w:rsidRPr="007F530F">
        <w:t>Collectively, these factors have driven a ‘self-correcting’ increase in the lengths of prison sentences for child sex offences above and beyond what can be measurably attributed to the three sentencing reforms.</w:t>
      </w:r>
    </w:p>
    <w:p w14:paraId="347C2441" w14:textId="77777777" w:rsidR="00EF5C25" w:rsidRPr="007F530F" w:rsidRDefault="00EF5C25" w:rsidP="00DA1E34">
      <w:pPr>
        <w:pStyle w:val="Heading1"/>
        <w:pageBreakBefore/>
      </w:pPr>
      <w:bookmarkStart w:id="14" w:name="_Toc74904007"/>
      <w:r w:rsidRPr="007F530F">
        <w:lastRenderedPageBreak/>
        <w:t>Appendix 1: Consultation</w:t>
      </w:r>
      <w:bookmarkEnd w:id="14"/>
    </w:p>
    <w:tbl>
      <w:tblPr>
        <w:tblStyle w:val="Table"/>
        <w:tblW w:w="0" w:type="auto"/>
        <w:tblLayout w:type="fixed"/>
        <w:tblLook w:val="0020" w:firstRow="1" w:lastRow="0" w:firstColumn="0" w:lastColumn="0" w:noHBand="0" w:noVBand="0"/>
      </w:tblPr>
      <w:tblGrid>
        <w:gridCol w:w="5669"/>
        <w:gridCol w:w="2835"/>
      </w:tblGrid>
      <w:tr w:rsidR="00EF5C25" w:rsidRPr="00442041" w14:paraId="7D935F42" w14:textId="77777777" w:rsidTr="00377374">
        <w:trPr>
          <w:trHeight w:val="60"/>
        </w:trPr>
        <w:tc>
          <w:tcPr>
            <w:tcW w:w="5669" w:type="dxa"/>
          </w:tcPr>
          <w:p w14:paraId="1987A5C3" w14:textId="77777777" w:rsidR="00EF5C25" w:rsidRPr="00442041" w:rsidRDefault="00EF5C25" w:rsidP="00442041">
            <w:pPr>
              <w:pStyle w:val="TableHeading"/>
            </w:pPr>
            <w:r w:rsidRPr="00442041">
              <w:t>Meeting/consultation</w:t>
            </w:r>
          </w:p>
        </w:tc>
        <w:tc>
          <w:tcPr>
            <w:tcW w:w="2835" w:type="dxa"/>
          </w:tcPr>
          <w:p w14:paraId="03EEDCA5" w14:textId="77777777" w:rsidR="00EF5C25" w:rsidRPr="00442041" w:rsidRDefault="00EF5C25" w:rsidP="00442041">
            <w:pPr>
              <w:pStyle w:val="TableHeading"/>
            </w:pPr>
            <w:r w:rsidRPr="00442041">
              <w:t>Date</w:t>
            </w:r>
          </w:p>
        </w:tc>
      </w:tr>
      <w:tr w:rsidR="00EF5C25" w:rsidRPr="007F530F" w14:paraId="205B0282" w14:textId="77777777" w:rsidTr="00377374">
        <w:trPr>
          <w:trHeight w:val="60"/>
        </w:trPr>
        <w:tc>
          <w:tcPr>
            <w:tcW w:w="5669" w:type="dxa"/>
          </w:tcPr>
          <w:p w14:paraId="19BA6575" w14:textId="77777777" w:rsidR="00EF5C25" w:rsidRPr="007F530F" w:rsidRDefault="00EF5C25" w:rsidP="00442041">
            <w:pPr>
              <w:pStyle w:val="TableBody"/>
            </w:pPr>
            <w:r w:rsidRPr="007F530F">
              <w:t xml:space="preserve">County Court of Victoria </w:t>
            </w:r>
          </w:p>
        </w:tc>
        <w:tc>
          <w:tcPr>
            <w:tcW w:w="2835" w:type="dxa"/>
          </w:tcPr>
          <w:p w14:paraId="1ED3045C" w14:textId="77777777" w:rsidR="00EF5C25" w:rsidRPr="007F530F" w:rsidRDefault="00EF5C25" w:rsidP="00442041">
            <w:pPr>
              <w:pStyle w:val="TableBody"/>
            </w:pPr>
            <w:r w:rsidRPr="007F530F">
              <w:t>11 March 2021 (via Zoom)</w:t>
            </w:r>
          </w:p>
        </w:tc>
      </w:tr>
      <w:tr w:rsidR="00EF5C25" w:rsidRPr="007F530F" w14:paraId="60C73FBE" w14:textId="77777777" w:rsidTr="00377374">
        <w:trPr>
          <w:trHeight w:val="60"/>
        </w:trPr>
        <w:tc>
          <w:tcPr>
            <w:tcW w:w="5669" w:type="dxa"/>
          </w:tcPr>
          <w:p w14:paraId="5E7BFAD5" w14:textId="77777777" w:rsidR="00EF5C25" w:rsidRPr="007F530F" w:rsidRDefault="00EF5C25" w:rsidP="00442041">
            <w:pPr>
              <w:pStyle w:val="TableBody"/>
            </w:pPr>
            <w:r w:rsidRPr="007F530F">
              <w:t xml:space="preserve">Supreme Court of Victoria – Court of Appeal </w:t>
            </w:r>
          </w:p>
        </w:tc>
        <w:tc>
          <w:tcPr>
            <w:tcW w:w="2835" w:type="dxa"/>
          </w:tcPr>
          <w:p w14:paraId="5552B3C4" w14:textId="77777777" w:rsidR="00EF5C25" w:rsidRPr="007F530F" w:rsidRDefault="00EF5C25" w:rsidP="00442041">
            <w:pPr>
              <w:pStyle w:val="TableBody"/>
            </w:pPr>
            <w:r w:rsidRPr="007F530F">
              <w:t>17 March 2021 (via email)</w:t>
            </w:r>
          </w:p>
        </w:tc>
      </w:tr>
      <w:tr w:rsidR="00EF5C25" w:rsidRPr="007F530F" w14:paraId="57FF5A09" w14:textId="77777777" w:rsidTr="00377374">
        <w:trPr>
          <w:trHeight w:val="60"/>
        </w:trPr>
        <w:tc>
          <w:tcPr>
            <w:tcW w:w="5669" w:type="dxa"/>
          </w:tcPr>
          <w:p w14:paraId="56E5382F" w14:textId="77777777" w:rsidR="00EF5C25" w:rsidRPr="008A191A" w:rsidRDefault="00EF5C25" w:rsidP="00442041">
            <w:pPr>
              <w:pStyle w:val="TableBody"/>
              <w:rPr>
                <w:rStyle w:val="Strong"/>
              </w:rPr>
            </w:pPr>
            <w:r w:rsidRPr="008A191A">
              <w:rPr>
                <w:rStyle w:val="Strong"/>
              </w:rPr>
              <w:t>Roundtable 1</w:t>
            </w:r>
          </w:p>
          <w:p w14:paraId="32A94CF3" w14:textId="77777777" w:rsidR="00EF5C25" w:rsidRPr="007F530F" w:rsidRDefault="00EF5C25" w:rsidP="00442041">
            <w:pPr>
              <w:pStyle w:val="TableBody"/>
            </w:pPr>
            <w:r w:rsidRPr="007F530F">
              <w:t>Department of Justice and Community Safety</w:t>
            </w:r>
          </w:p>
          <w:p w14:paraId="23F9D302" w14:textId="77777777" w:rsidR="00EF5C25" w:rsidRPr="007F530F" w:rsidRDefault="00EF5C25" w:rsidP="00442041">
            <w:pPr>
              <w:pStyle w:val="TableBody"/>
            </w:pPr>
            <w:r w:rsidRPr="007F530F">
              <w:t>Magistrates’ Court of Victoria</w:t>
            </w:r>
          </w:p>
          <w:p w14:paraId="4220A734" w14:textId="77777777" w:rsidR="00EF5C25" w:rsidRPr="007F530F" w:rsidRDefault="00EF5C25" w:rsidP="00442041">
            <w:pPr>
              <w:pStyle w:val="TableBody"/>
            </w:pPr>
            <w:r w:rsidRPr="007F530F">
              <w:t>Office of Public Prosecutions</w:t>
            </w:r>
          </w:p>
          <w:p w14:paraId="79BB478F" w14:textId="77777777" w:rsidR="00EF5C25" w:rsidRPr="007F530F" w:rsidRDefault="00EF5C25" w:rsidP="00442041">
            <w:pPr>
              <w:pStyle w:val="TableBody"/>
            </w:pPr>
            <w:r w:rsidRPr="007F530F">
              <w:t>Sexual Assault Services Victoria</w:t>
            </w:r>
          </w:p>
          <w:p w14:paraId="20B538B4" w14:textId="77777777" w:rsidR="00EF5C25" w:rsidRPr="007F530F" w:rsidRDefault="00EF5C25" w:rsidP="00442041">
            <w:pPr>
              <w:pStyle w:val="TableBody"/>
            </w:pPr>
            <w:r w:rsidRPr="007F530F">
              <w:t xml:space="preserve">Victims of Crime Commissioner </w:t>
            </w:r>
          </w:p>
          <w:p w14:paraId="634D1FB0" w14:textId="77777777" w:rsidR="00EF5C25" w:rsidRPr="007F530F" w:rsidRDefault="00EF5C25" w:rsidP="00442041">
            <w:pPr>
              <w:pStyle w:val="TableBody"/>
            </w:pPr>
            <w:r w:rsidRPr="007F530F">
              <w:t>Victoria Legal Aid</w:t>
            </w:r>
          </w:p>
        </w:tc>
        <w:tc>
          <w:tcPr>
            <w:tcW w:w="2835" w:type="dxa"/>
          </w:tcPr>
          <w:p w14:paraId="20C59C06" w14:textId="77777777" w:rsidR="00EF5C25" w:rsidRPr="007F530F" w:rsidRDefault="00EF5C25" w:rsidP="00442041">
            <w:pPr>
              <w:pStyle w:val="TableBody"/>
            </w:pPr>
            <w:r w:rsidRPr="007F530F">
              <w:t>30 March 2021 (via Zoom)</w:t>
            </w:r>
          </w:p>
        </w:tc>
      </w:tr>
      <w:tr w:rsidR="00EF5C25" w:rsidRPr="007F530F" w14:paraId="6496FB25" w14:textId="77777777" w:rsidTr="00377374">
        <w:trPr>
          <w:trHeight w:val="60"/>
        </w:trPr>
        <w:tc>
          <w:tcPr>
            <w:tcW w:w="5669" w:type="dxa"/>
          </w:tcPr>
          <w:p w14:paraId="7A2DEC86" w14:textId="77777777" w:rsidR="00EF5C25" w:rsidRPr="008A191A" w:rsidRDefault="00EF5C25" w:rsidP="00442041">
            <w:pPr>
              <w:pStyle w:val="TableBody"/>
              <w:rPr>
                <w:rStyle w:val="Strong"/>
              </w:rPr>
            </w:pPr>
            <w:r w:rsidRPr="008A191A">
              <w:rPr>
                <w:rStyle w:val="Strong"/>
              </w:rPr>
              <w:t>Roundtable 2</w:t>
            </w:r>
          </w:p>
          <w:p w14:paraId="4ED7C80A" w14:textId="77777777" w:rsidR="00EF5C25" w:rsidRPr="007F530F" w:rsidRDefault="00EF5C25" w:rsidP="00442041">
            <w:pPr>
              <w:pStyle w:val="TableBody"/>
            </w:pPr>
            <w:r w:rsidRPr="007F530F">
              <w:t>Department of Justice and Community Safety</w:t>
            </w:r>
          </w:p>
          <w:p w14:paraId="47220F1C" w14:textId="77777777" w:rsidR="00EF5C25" w:rsidRPr="007F530F" w:rsidRDefault="00EF5C25" w:rsidP="00442041">
            <w:pPr>
              <w:pStyle w:val="TableBody"/>
            </w:pPr>
            <w:r w:rsidRPr="007F530F">
              <w:t>Rape &amp; Sexual Assault Research &amp; Advocacy Initiative</w:t>
            </w:r>
          </w:p>
          <w:p w14:paraId="00AA7919" w14:textId="77777777" w:rsidR="00EF5C25" w:rsidRPr="007F530F" w:rsidRDefault="00EF5C25" w:rsidP="00442041">
            <w:pPr>
              <w:pStyle w:val="TableBody"/>
            </w:pPr>
            <w:r w:rsidRPr="007F530F">
              <w:t>Victoria Legal Aid</w:t>
            </w:r>
          </w:p>
          <w:p w14:paraId="26F451FB" w14:textId="77777777" w:rsidR="00EF5C25" w:rsidRPr="007F530F" w:rsidRDefault="00EF5C25" w:rsidP="00442041">
            <w:pPr>
              <w:pStyle w:val="TableBody"/>
            </w:pPr>
            <w:r w:rsidRPr="007F530F">
              <w:t>Victoria Police</w:t>
            </w:r>
          </w:p>
          <w:p w14:paraId="05F9CFDF" w14:textId="77777777" w:rsidR="00EF5C25" w:rsidRPr="007F530F" w:rsidRDefault="00EF5C25" w:rsidP="00442041">
            <w:pPr>
              <w:pStyle w:val="TableBody"/>
            </w:pPr>
            <w:r w:rsidRPr="007F530F">
              <w:t>Victorian Law Reform Commission</w:t>
            </w:r>
          </w:p>
        </w:tc>
        <w:tc>
          <w:tcPr>
            <w:tcW w:w="2835" w:type="dxa"/>
          </w:tcPr>
          <w:p w14:paraId="5BA85A24" w14:textId="77777777" w:rsidR="00EF5C25" w:rsidRPr="007F530F" w:rsidRDefault="00EF5C25" w:rsidP="00442041">
            <w:pPr>
              <w:pStyle w:val="TableBody"/>
            </w:pPr>
            <w:r w:rsidRPr="007F530F">
              <w:t>31 March 2021 (via Zoom)</w:t>
            </w:r>
          </w:p>
        </w:tc>
      </w:tr>
    </w:tbl>
    <w:p w14:paraId="63143A86" w14:textId="77777777" w:rsidR="00EF5C25" w:rsidRPr="007F530F" w:rsidRDefault="00EF5C25" w:rsidP="006B1A30">
      <w:pPr>
        <w:pStyle w:val="Heading1"/>
        <w:pageBreakBefore/>
      </w:pPr>
      <w:bookmarkStart w:id="15" w:name="_Toc74904008"/>
      <w:r w:rsidRPr="007F530F">
        <w:lastRenderedPageBreak/>
        <w:t>Appendix 2: Methodology</w:t>
      </w:r>
      <w:bookmarkEnd w:id="15"/>
    </w:p>
    <w:p w14:paraId="1A1616ED" w14:textId="77777777" w:rsidR="00EF5C25" w:rsidRPr="007F530F" w:rsidRDefault="00EF5C25" w:rsidP="002C6923">
      <w:r w:rsidRPr="007F530F">
        <w:t xml:space="preserve">This appendix describes the methodology utilised in this report. </w:t>
      </w:r>
    </w:p>
    <w:p w14:paraId="5C7A3952" w14:textId="77777777" w:rsidR="00EF5C25" w:rsidRPr="007F530F" w:rsidRDefault="00EF5C25" w:rsidP="006633AA">
      <w:pPr>
        <w:pStyle w:val="Heading2"/>
      </w:pPr>
      <w:r w:rsidRPr="007F530F">
        <w:t>Identifying relevant sex offences</w:t>
      </w:r>
    </w:p>
    <w:p w14:paraId="57F5D39B" w14:textId="77777777" w:rsidR="00EF5C25" w:rsidRPr="007F530F" w:rsidRDefault="00EF5C25" w:rsidP="004C362C">
      <w:r w:rsidRPr="007F530F">
        <w:t xml:space="preserve">All three sentencing reforms studied in this report related to sex offences that involved physical contact with the victim (penetrative and non-penetrative), and as such, the report limited the dataset only to </w:t>
      </w:r>
      <w:r w:rsidRPr="00D62402">
        <w:rPr>
          <w:rStyle w:val="Emphasis"/>
        </w:rPr>
        <w:t>contact sex offences</w:t>
      </w:r>
      <w:r w:rsidRPr="007F530F">
        <w:t>. Contact sex offences have as an element of the offence actual physical contact of a sexual nature with the victim, either done or caused by the offender. Non-contact sex offences (such as offences involving child abuse material or soliciting and procuring persons for sexual activity) were excluded. Attempted contact sex offences were also excluded, as their maximum penalties were invariably lower than their completed counterparts. and they also may not have involved physical contact with the victim.</w:t>
      </w:r>
    </w:p>
    <w:p w14:paraId="0CC3D2D4" w14:textId="77777777" w:rsidR="00EF5C25" w:rsidRPr="007F530F" w:rsidRDefault="00EF5C25" w:rsidP="006633AA">
      <w:pPr>
        <w:pStyle w:val="Heading2"/>
      </w:pPr>
      <w:r w:rsidRPr="007F530F">
        <w:t>Recorded offence data</w:t>
      </w:r>
    </w:p>
    <w:p w14:paraId="4F7BC99C" w14:textId="77777777" w:rsidR="00EF5C25" w:rsidRPr="007F530F" w:rsidRDefault="00EF5C25" w:rsidP="002C6923">
      <w:r w:rsidRPr="007F530F">
        <w:t>Data on contact sex offences recorded by police in Victoria was provided by the Crimes Statistics Agency. For various reasons – including the often-lengthy time period between an offence being recorded and sentenced, the use of multi-offence charging options to resolve proceedings (bundling numerous recorded offences into a single sentenced charge), and the different standards required for an offence to be recorded by police or found proven in court – the difference in recorded and sentenced charge numbers is not a true attrition analysis.</w:t>
      </w:r>
    </w:p>
    <w:p w14:paraId="5AF24128" w14:textId="77777777" w:rsidR="00EF5C25" w:rsidRPr="007F530F" w:rsidRDefault="00EF5C25" w:rsidP="006633AA">
      <w:pPr>
        <w:pStyle w:val="Heading2"/>
      </w:pPr>
      <w:r w:rsidRPr="007F530F">
        <w:t>Sentencing remarks</w:t>
      </w:r>
    </w:p>
    <w:p w14:paraId="1ABA936B" w14:textId="77777777" w:rsidR="00EF5C25" w:rsidRPr="007F530F" w:rsidRDefault="00EF5C25" w:rsidP="004C362C">
      <w:r w:rsidRPr="007F530F">
        <w:t xml:space="preserve">The Council routinely uses higher courts’ sentencing remarks to ascertain further offence and sentence information if discrepancies are noted in sentencing outcomes data, or if offence distinctions are required. Some </w:t>
      </w:r>
      <w:r w:rsidRPr="007F530F">
        <w:lastRenderedPageBreak/>
        <w:t>remarks are publicly available from the Australian Legal Information Institute (AustLII). There were also some non-public remarks reviewed for various purposes. Some were reviewed for statistical purposes (for example, confirming the age of the victim to clarify the applicable maximum penalty</w:t>
      </w:r>
      <w:r w:rsidRPr="007F530F">
        <w:rPr>
          <w:rStyle w:val="Superscript"/>
        </w:rPr>
        <w:footnoteReference w:id="289"/>
      </w:r>
      <w:r w:rsidRPr="007F530F">
        <w:t>). Others were reviewed for factual details or case studies, some of which have been included in this report. Where factual details of non-public sentencing remarks have been included in this report, permission was sought from, and granted by, the County Court.</w:t>
      </w:r>
    </w:p>
    <w:p w14:paraId="02B63B54" w14:textId="77777777" w:rsidR="00EF5C25" w:rsidRPr="007F530F" w:rsidRDefault="00EF5C25" w:rsidP="006633AA">
      <w:pPr>
        <w:pStyle w:val="Heading2"/>
      </w:pPr>
      <w:r w:rsidRPr="007F530F">
        <w:t>Analysing sentencing outcomes</w:t>
      </w:r>
    </w:p>
    <w:p w14:paraId="240EB59F" w14:textId="77777777" w:rsidR="00EF5C25" w:rsidRPr="007F530F" w:rsidRDefault="00EF5C25" w:rsidP="002C6923">
      <w:r w:rsidRPr="007F530F">
        <w:t>Sentencing outcome data is routinely provided to the Council by Courts Services Victoria. The Council undertakes cleaning and checking of data once it is received. This report relied on sentencing data from Victoria’s adult courts: the Magistrates’ Court, County Court and Supreme Court. It does not incorporate data from the Children’s Court.</w:t>
      </w:r>
    </w:p>
    <w:p w14:paraId="635A5FC4" w14:textId="77777777" w:rsidR="00EF5C25" w:rsidRPr="007F530F" w:rsidRDefault="00EF5C25" w:rsidP="002C6923">
      <w:r w:rsidRPr="007F530F">
        <w:t xml:space="preserve">In reporting on sentence types in this report, data is presented by the ‘most serious penalty’ imposed for the charge or in the case. For example, if a charge received a combined order, the sentence would be counted as an immediate custodial sentence rather than a community order (for an overview of what is included in </w:t>
      </w:r>
      <w:r w:rsidRPr="00D62402">
        <w:rPr>
          <w:rStyle w:val="Emphasis"/>
        </w:rPr>
        <w:t>immediate custodial sentence</w:t>
      </w:r>
      <w:r w:rsidRPr="007F530F">
        <w:t xml:space="preserve"> or </w:t>
      </w:r>
      <w:r w:rsidRPr="00D62402">
        <w:rPr>
          <w:rStyle w:val="Emphasis"/>
        </w:rPr>
        <w:t>community order</w:t>
      </w:r>
      <w:r w:rsidRPr="007F530F">
        <w:t xml:space="preserve">, see glossary). </w:t>
      </w:r>
    </w:p>
    <w:p w14:paraId="1D18CC3B" w14:textId="77777777" w:rsidR="00EF5C25" w:rsidRPr="007F530F" w:rsidRDefault="00EF5C25" w:rsidP="002C6923">
      <w:r w:rsidRPr="007F530F">
        <w:t xml:space="preserve">Where a combined order was imposed, the length of imprisonment that could be imposed was limited by the applicable maximum at the time (3 months, 1 year or 2 years). These prison sentences are included in the analysis of non-aggregate sentences of imprisonment imposed for charges. Where multiple charges received a single aggregate sentence of </w:t>
      </w:r>
      <w:r w:rsidRPr="007F530F">
        <w:lastRenderedPageBreak/>
        <w:t>imprisonment, the duration of that prison sentence was excluded from the analysis of charge-level prison sentence lengths (because the lengths of sentences for each charge are not specified), but it was included in the analysis of case-level prison sentence lengths.</w:t>
      </w:r>
    </w:p>
    <w:p w14:paraId="5B5FA7BB" w14:textId="77777777" w:rsidR="00EF5C25" w:rsidRPr="007F530F" w:rsidRDefault="00EF5C25" w:rsidP="002C6923">
      <w:r w:rsidRPr="007F530F">
        <w:t xml:space="preserve">This report does not distinguish types of rape (for example, digital-vaginal, penile-oral) in reporting on recorded and sentenced rape offences and their outcomes. In light of the Court of Appeal’s call to uplift sentencing practices for </w:t>
      </w:r>
      <w:r w:rsidRPr="00D62402">
        <w:rPr>
          <w:rStyle w:val="Emphasis"/>
        </w:rPr>
        <w:t xml:space="preserve">digital </w:t>
      </w:r>
      <w:r w:rsidRPr="007F530F">
        <w:t>rape in December 2017,</w:t>
      </w:r>
      <w:r w:rsidRPr="007F530F">
        <w:rPr>
          <w:rStyle w:val="Superscript"/>
        </w:rPr>
        <w:footnoteReference w:id="290"/>
      </w:r>
      <w:r w:rsidRPr="007F530F">
        <w:t xml:space="preserve"> it may be useful for an analysis to qualitatively codes each charge of rape over a certain period before and after that judgment in order to review whether sentences for digital rapes have increased since then.</w:t>
      </w:r>
    </w:p>
    <w:p w14:paraId="7FB2A8E4" w14:textId="77777777" w:rsidR="00EF5C25" w:rsidRPr="007F530F" w:rsidRDefault="00EF5C25" w:rsidP="002C6923">
      <w:r w:rsidRPr="007F530F">
        <w:t>The Council utilised simple linear regression to discern and assess the trends in yearly average sentences imposed over the reference period. In this report, linear regression was employed on the short time series of average charge-level and case-level prison sentence lengths each year, for each relevant offence. Simple linear regression gauges the correlation of the average prison sentence in a year to the 10-year reference period. This analysis did not take into account how the prevalence of imprisonment as a sentence changed each year, and it also did not consider any other important factors of sentencing, such as plea of guilty, remorse, good character, prospects of rehabilitation, mental impairment or intellectual disability, history of disadvantage or prior offending. As such, the Council assessed simply whether there were quantifiable and significant trends underlying the shifting averages in yearly sentences.</w:t>
      </w:r>
    </w:p>
    <w:p w14:paraId="04062B9E" w14:textId="77777777" w:rsidR="00EF5C25" w:rsidRPr="007F530F" w:rsidRDefault="00EF5C25" w:rsidP="002C6923">
      <w:r w:rsidRPr="007F530F">
        <w:t xml:space="preserve">Where this report discusses and presents ‘average sentences’, this means average prison sentence lengths, which are quantifiable. It does not mean the average sentence overall, because many sentencing orders are not quantifiable and/or not comparable to one another. When differences in </w:t>
      </w:r>
      <w:r w:rsidRPr="007F530F">
        <w:lastRenderedPageBreak/>
        <w:t>average prison sentence lengths are discussed, they can be described either in absolute terms (by stating the difference in years and months) or as a proportional change (by using a percentage). In the interests of transparency, the Council has, as much as possible, used both methods to describe changes in average sentence lengths.</w:t>
      </w:r>
    </w:p>
    <w:p w14:paraId="7BC3F861" w14:textId="77777777" w:rsidR="00EF5C25" w:rsidRPr="007F530F" w:rsidRDefault="00EF5C25" w:rsidP="002C6923">
      <w:r w:rsidRPr="007F530F">
        <w:t>The report also does not analyse average non-parole periods.</w:t>
      </w:r>
      <w:r w:rsidRPr="007F530F">
        <w:rPr>
          <w:rStyle w:val="Superscript"/>
        </w:rPr>
        <w:footnoteReference w:id="291"/>
      </w:r>
      <w:r w:rsidRPr="007F530F">
        <w:t xml:space="preserve"> These are another aspect of sentencing outcomes that may have undergone change following the introduction of standard sentences, which require courts to impose a non-parole period that is at least 60% of the total effective sentence, unless the court considers it in the interests of justice to set a shorter period. While that analysis may be useful in the future, it was beyond the scope of this report.</w:t>
      </w:r>
    </w:p>
    <w:p w14:paraId="281C92FB" w14:textId="77777777" w:rsidR="00EF5C25" w:rsidRPr="007F530F" w:rsidRDefault="00EF5C25" w:rsidP="006633AA">
      <w:pPr>
        <w:pStyle w:val="Heading2"/>
      </w:pPr>
      <w:r w:rsidRPr="007F530F">
        <w:t>Multi-count charges</w:t>
      </w:r>
    </w:p>
    <w:p w14:paraId="6B3F76D4" w14:textId="77777777" w:rsidR="00EF5C25" w:rsidRPr="007F530F" w:rsidRDefault="00EF5C25" w:rsidP="004C362C">
      <w:r w:rsidRPr="007F530F">
        <w:t>Representative charges, rolled-up charges and course of conduct charges are charging options that can validly allege multiple instances and/or an extended period of offending. When a sentencing court considers current sentencing practices for a particular offence, sentencing practices for ‘single instance’ charges are much less comparable to multi-offence charges, because such charges allege offending that is repeated, varied and/or protracted and are therefore generally more serious.</w:t>
      </w:r>
      <w:r w:rsidRPr="007F530F">
        <w:rPr>
          <w:rStyle w:val="Superscript"/>
        </w:rPr>
        <w:footnoteReference w:id="292"/>
      </w:r>
      <w:r w:rsidRPr="007F530F">
        <w:t xml:space="preserve"> Because it is not yet possible to determine whether there are false negatives in court data for course of conduct offences, this report does not distinguish single-incident from multi-count versions of offences (except at [5.20]–[5.22]).</w:t>
      </w:r>
    </w:p>
    <w:p w14:paraId="7CBEA670" w14:textId="77777777" w:rsidR="00EF5C25" w:rsidRPr="007F530F" w:rsidRDefault="00EF5C25" w:rsidP="006633AA">
      <w:pPr>
        <w:pStyle w:val="Heading2"/>
      </w:pPr>
      <w:r w:rsidRPr="007F530F">
        <w:lastRenderedPageBreak/>
        <w:t>Offence dates</w:t>
      </w:r>
    </w:p>
    <w:p w14:paraId="3904079B" w14:textId="77777777" w:rsidR="00EF5C25" w:rsidRPr="007F530F" w:rsidRDefault="00EF5C25" w:rsidP="002C6923">
      <w:r w:rsidRPr="007F530F">
        <w:t>This report identifies which offences were committed and sentenced during periods that various legislative reforms were applicable. For instance, relevant offences only attracted the consequences of Category 1 offence or standard sentence offence classification if they were committed on or after 20 March 2017 or 1 February 2018, respectively. Offence date data was requested and provided by the higher courts for certain offences (Table A1). There were a small number of instances where the recorded offence date conflicted with the operational period of the statutory reference associated with the sentenced offence; in such instances, it was presumed that the sentenced statutory reference was accurate and the offence date was not.</w:t>
      </w:r>
    </w:p>
    <w:p w14:paraId="6AA494F5" w14:textId="77777777" w:rsidR="00EF5C25" w:rsidRPr="007F530F" w:rsidRDefault="00EF5C25" w:rsidP="00D00197">
      <w:pPr>
        <w:pStyle w:val="Caption"/>
      </w:pPr>
      <w:r w:rsidRPr="00D00197">
        <w:t xml:space="preserve">Table A1: </w:t>
      </w:r>
      <w:r w:rsidRPr="007F530F">
        <w:t>The contact sex offences for which the Council sought and received offence date data from the higher courts in order to determine the applicability of the various sentencing reforms</w:t>
      </w:r>
    </w:p>
    <w:tbl>
      <w:tblPr>
        <w:tblStyle w:val="Table"/>
        <w:tblW w:w="5000" w:type="pct"/>
        <w:tblLook w:val="0020" w:firstRow="1" w:lastRow="0" w:firstColumn="0" w:lastColumn="0" w:noHBand="0" w:noVBand="0"/>
      </w:tblPr>
      <w:tblGrid>
        <w:gridCol w:w="1803"/>
        <w:gridCol w:w="2254"/>
        <w:gridCol w:w="2254"/>
        <w:gridCol w:w="2705"/>
      </w:tblGrid>
      <w:tr w:rsidR="00EF5C25" w:rsidRPr="007F530F" w14:paraId="5823B35F" w14:textId="77777777" w:rsidTr="006B1A30">
        <w:trPr>
          <w:trHeight w:val="60"/>
          <w:tblHeader/>
        </w:trPr>
        <w:tc>
          <w:tcPr>
            <w:tcW w:w="1000" w:type="pct"/>
          </w:tcPr>
          <w:p w14:paraId="46F35811" w14:textId="77777777" w:rsidR="00EF5C25" w:rsidRPr="007F530F" w:rsidRDefault="00EF5C25" w:rsidP="00841071">
            <w:pPr>
              <w:pStyle w:val="TableHeading"/>
            </w:pPr>
            <w:r w:rsidRPr="007F530F">
              <w:t>Contact sex offence grouping</w:t>
            </w:r>
          </w:p>
        </w:tc>
        <w:tc>
          <w:tcPr>
            <w:tcW w:w="1250" w:type="pct"/>
          </w:tcPr>
          <w:p w14:paraId="00864E95" w14:textId="77777777" w:rsidR="00EF5C25" w:rsidRPr="007F530F" w:rsidRDefault="00EF5C25" w:rsidP="00841071">
            <w:pPr>
              <w:pStyle w:val="TableHeading"/>
            </w:pPr>
            <w:r w:rsidRPr="007F530F">
              <w:t>Statutory reference</w:t>
            </w:r>
            <w:r w:rsidRPr="007F530F">
              <w:br/>
            </w:r>
            <w:r w:rsidRPr="00D00197">
              <w:rPr>
                <w:rStyle w:val="Emphasis"/>
              </w:rPr>
              <w:t xml:space="preserve">Crimes Act 1958 </w:t>
            </w:r>
            <w:r w:rsidRPr="007F530F">
              <w:t>(Vic)</w:t>
            </w:r>
          </w:p>
        </w:tc>
        <w:tc>
          <w:tcPr>
            <w:tcW w:w="1250" w:type="pct"/>
          </w:tcPr>
          <w:p w14:paraId="3B816BC4" w14:textId="77777777" w:rsidR="00EF5C25" w:rsidRPr="007F530F" w:rsidRDefault="00EF5C25" w:rsidP="00841071">
            <w:pPr>
              <w:pStyle w:val="TableHeading"/>
            </w:pPr>
            <w:r w:rsidRPr="007F530F">
              <w:t>Offence description</w:t>
            </w:r>
          </w:p>
        </w:tc>
        <w:tc>
          <w:tcPr>
            <w:tcW w:w="1500" w:type="pct"/>
          </w:tcPr>
          <w:p w14:paraId="6F101C89" w14:textId="77777777" w:rsidR="00EF5C25" w:rsidRPr="007F530F" w:rsidRDefault="00EF5C25" w:rsidP="00841071">
            <w:pPr>
              <w:pStyle w:val="TableHeading"/>
            </w:pPr>
            <w:r w:rsidRPr="007F530F">
              <w:t>Applicable amendment</w:t>
            </w:r>
          </w:p>
        </w:tc>
      </w:tr>
      <w:tr w:rsidR="006F4FEC" w:rsidRPr="007F530F" w14:paraId="4E0F4C4E" w14:textId="77777777" w:rsidTr="00377374">
        <w:trPr>
          <w:trHeight w:val="60"/>
        </w:trPr>
        <w:tc>
          <w:tcPr>
            <w:tcW w:w="1000" w:type="pct"/>
          </w:tcPr>
          <w:p w14:paraId="3C2CC94B" w14:textId="2C7BF77B" w:rsidR="006F4FEC" w:rsidRPr="007F530F" w:rsidRDefault="006F4FEC" w:rsidP="00AA4919">
            <w:pPr>
              <w:pStyle w:val="TableBody"/>
            </w:pPr>
            <w:r w:rsidRPr="007F530F">
              <w:t>Rape offences</w:t>
            </w:r>
          </w:p>
        </w:tc>
        <w:tc>
          <w:tcPr>
            <w:tcW w:w="1250" w:type="pct"/>
          </w:tcPr>
          <w:p w14:paraId="1D332395" w14:textId="03ABE917" w:rsidR="006F4FEC" w:rsidRPr="007F530F" w:rsidRDefault="006F4FEC" w:rsidP="00AA4919">
            <w:pPr>
              <w:pStyle w:val="TableBody"/>
            </w:pPr>
            <w:r w:rsidRPr="007F530F">
              <w:t>Section 38</w:t>
            </w:r>
          </w:p>
        </w:tc>
        <w:tc>
          <w:tcPr>
            <w:tcW w:w="1250" w:type="pct"/>
          </w:tcPr>
          <w:p w14:paraId="4DE8BCBB" w14:textId="7519D2EC" w:rsidR="006F4FEC" w:rsidRPr="007F530F" w:rsidRDefault="006F4FEC" w:rsidP="00AA4919">
            <w:pPr>
              <w:pStyle w:val="TableBody"/>
            </w:pPr>
            <w:r w:rsidRPr="007F530F">
              <w:t>Rape</w:t>
            </w:r>
          </w:p>
        </w:tc>
        <w:tc>
          <w:tcPr>
            <w:tcW w:w="1500" w:type="pct"/>
          </w:tcPr>
          <w:p w14:paraId="749D3536" w14:textId="7ABD9115" w:rsidR="006F4FEC" w:rsidRPr="007F530F" w:rsidRDefault="006F4FEC" w:rsidP="00AA4919">
            <w:pPr>
              <w:pStyle w:val="TableBody"/>
            </w:pPr>
            <w:r w:rsidRPr="007F530F">
              <w:t>Standard sentence offence/Category 1 offence</w:t>
            </w:r>
          </w:p>
        </w:tc>
      </w:tr>
      <w:tr w:rsidR="006F4FEC" w:rsidRPr="007F530F" w14:paraId="347FDFB1" w14:textId="77777777" w:rsidTr="00377374">
        <w:trPr>
          <w:trHeight w:val="60"/>
        </w:trPr>
        <w:tc>
          <w:tcPr>
            <w:tcW w:w="1000" w:type="pct"/>
          </w:tcPr>
          <w:p w14:paraId="5CD1C20B" w14:textId="0315FFAF" w:rsidR="006F4FEC" w:rsidRPr="007F530F" w:rsidRDefault="006F4FEC" w:rsidP="00AA4919">
            <w:pPr>
              <w:pStyle w:val="TableBody"/>
            </w:pPr>
            <w:r w:rsidRPr="007F530F">
              <w:t>Rape offences</w:t>
            </w:r>
          </w:p>
        </w:tc>
        <w:tc>
          <w:tcPr>
            <w:tcW w:w="1250" w:type="pct"/>
          </w:tcPr>
          <w:p w14:paraId="760DFAF5" w14:textId="7C439FAB" w:rsidR="006F4FEC" w:rsidRPr="007F530F" w:rsidRDefault="006F4FEC" w:rsidP="00AA4919">
            <w:pPr>
              <w:pStyle w:val="TableBody"/>
            </w:pPr>
            <w:r w:rsidRPr="007F530F">
              <w:t>Section 39</w:t>
            </w:r>
          </w:p>
        </w:tc>
        <w:tc>
          <w:tcPr>
            <w:tcW w:w="1250" w:type="pct"/>
          </w:tcPr>
          <w:p w14:paraId="1161767A" w14:textId="3F1EF912" w:rsidR="006F4FEC" w:rsidRPr="007F530F" w:rsidRDefault="006F4FEC" w:rsidP="00AA4919">
            <w:pPr>
              <w:pStyle w:val="TableBody"/>
            </w:pPr>
            <w:r w:rsidRPr="007F530F">
              <w:t>Rape by compelling sexual penetration</w:t>
            </w:r>
          </w:p>
        </w:tc>
        <w:tc>
          <w:tcPr>
            <w:tcW w:w="1500" w:type="pct"/>
          </w:tcPr>
          <w:p w14:paraId="630AE855" w14:textId="2245FCBC" w:rsidR="006F4FEC" w:rsidRPr="007F530F" w:rsidRDefault="006F4FEC" w:rsidP="00AA4919">
            <w:pPr>
              <w:pStyle w:val="TableBody"/>
            </w:pPr>
            <w:r w:rsidRPr="007F530F">
              <w:t>Category 1 offence</w:t>
            </w:r>
          </w:p>
        </w:tc>
      </w:tr>
      <w:tr w:rsidR="006F4FEC" w:rsidRPr="007F530F" w14:paraId="22DCB6B4" w14:textId="77777777" w:rsidTr="00377374">
        <w:trPr>
          <w:trHeight w:val="60"/>
        </w:trPr>
        <w:tc>
          <w:tcPr>
            <w:tcW w:w="1000" w:type="pct"/>
          </w:tcPr>
          <w:p w14:paraId="258DAB22" w14:textId="77E2D3B7" w:rsidR="006F4FEC" w:rsidRPr="007F530F" w:rsidRDefault="006F4FEC" w:rsidP="00AA4919">
            <w:pPr>
              <w:pStyle w:val="TableBody"/>
            </w:pPr>
            <w:r w:rsidRPr="007F530F">
              <w:t>Incest offences</w:t>
            </w:r>
          </w:p>
        </w:tc>
        <w:tc>
          <w:tcPr>
            <w:tcW w:w="1250" w:type="pct"/>
          </w:tcPr>
          <w:p w14:paraId="46EB0A39" w14:textId="773C9B08" w:rsidR="006F4FEC" w:rsidRPr="007F530F" w:rsidRDefault="006F4FEC" w:rsidP="00AA4919">
            <w:pPr>
              <w:pStyle w:val="TableBody"/>
            </w:pPr>
            <w:r w:rsidRPr="007F530F">
              <w:t>Sections  44(1), (2)</w:t>
            </w:r>
          </w:p>
        </w:tc>
        <w:tc>
          <w:tcPr>
            <w:tcW w:w="1250" w:type="pct"/>
          </w:tcPr>
          <w:p w14:paraId="41F40280" w14:textId="6B1487A7" w:rsidR="006F4FEC" w:rsidRPr="007F530F" w:rsidRDefault="006F4FEC" w:rsidP="00AA4919">
            <w:pPr>
              <w:pStyle w:val="TableBody"/>
            </w:pPr>
            <w:r w:rsidRPr="007F530F">
              <w:t>Incest with a child, stepchild or lineal descendant</w:t>
            </w:r>
          </w:p>
        </w:tc>
        <w:tc>
          <w:tcPr>
            <w:tcW w:w="1500" w:type="pct"/>
          </w:tcPr>
          <w:p w14:paraId="4910C184" w14:textId="0DA4F45A" w:rsidR="006F4FEC" w:rsidRPr="007F530F" w:rsidRDefault="006F4FEC" w:rsidP="00AA4919">
            <w:pPr>
              <w:pStyle w:val="TableBody"/>
            </w:pPr>
            <w:r w:rsidRPr="007F530F">
              <w:t>Category 1 offence</w:t>
            </w:r>
          </w:p>
        </w:tc>
      </w:tr>
      <w:tr w:rsidR="006F4FEC" w:rsidRPr="007F530F" w14:paraId="10B52C59" w14:textId="77777777" w:rsidTr="00377374">
        <w:trPr>
          <w:trHeight w:val="60"/>
        </w:trPr>
        <w:tc>
          <w:tcPr>
            <w:tcW w:w="1000" w:type="pct"/>
          </w:tcPr>
          <w:p w14:paraId="6DAB710A" w14:textId="5F8BAE43" w:rsidR="006F4FEC" w:rsidRPr="007F530F" w:rsidRDefault="006F4FEC" w:rsidP="00AA4919">
            <w:pPr>
              <w:pStyle w:val="TableBody"/>
            </w:pPr>
            <w:r w:rsidRPr="007F530F">
              <w:t>Incest offences</w:t>
            </w:r>
          </w:p>
        </w:tc>
        <w:tc>
          <w:tcPr>
            <w:tcW w:w="1250" w:type="pct"/>
          </w:tcPr>
          <w:p w14:paraId="651C8963" w14:textId="0C3EDCB7" w:rsidR="006F4FEC" w:rsidRPr="007F530F" w:rsidRDefault="006F4FEC" w:rsidP="00AA4919">
            <w:pPr>
              <w:pStyle w:val="TableBody"/>
            </w:pPr>
            <w:r w:rsidRPr="007F530F">
              <w:t>Sections  50C, 50D</w:t>
            </w:r>
          </w:p>
        </w:tc>
        <w:tc>
          <w:tcPr>
            <w:tcW w:w="1250" w:type="pct"/>
          </w:tcPr>
          <w:p w14:paraId="12CF8571" w14:textId="62A61EE9" w:rsidR="006F4FEC" w:rsidRPr="007F530F" w:rsidRDefault="006F4FEC" w:rsidP="00AA4919">
            <w:pPr>
              <w:pStyle w:val="TableBody"/>
            </w:pPr>
            <w:r w:rsidRPr="007F530F">
              <w:t>Incest with a child, stepchild or lineal descendant</w:t>
            </w:r>
          </w:p>
        </w:tc>
        <w:tc>
          <w:tcPr>
            <w:tcW w:w="1500" w:type="pct"/>
          </w:tcPr>
          <w:p w14:paraId="3E3EF7CC" w14:textId="19FCC6F5" w:rsidR="006F4FEC" w:rsidRPr="007F530F" w:rsidRDefault="006F4FEC" w:rsidP="00AA4919">
            <w:pPr>
              <w:pStyle w:val="TableBody"/>
            </w:pPr>
            <w:r w:rsidRPr="007F530F">
              <w:t>Standard sentence offence/Category 1 offence</w:t>
            </w:r>
          </w:p>
        </w:tc>
      </w:tr>
      <w:tr w:rsidR="006F4FEC" w:rsidRPr="007F530F" w14:paraId="7935238E" w14:textId="77777777" w:rsidTr="00377374">
        <w:trPr>
          <w:trHeight w:val="60"/>
        </w:trPr>
        <w:tc>
          <w:tcPr>
            <w:tcW w:w="1000" w:type="pct"/>
          </w:tcPr>
          <w:p w14:paraId="6698493B" w14:textId="393B9A59" w:rsidR="006F4FEC" w:rsidRPr="007F530F" w:rsidRDefault="006F4FEC" w:rsidP="00AA4919">
            <w:pPr>
              <w:pStyle w:val="TableBody"/>
            </w:pPr>
            <w:r w:rsidRPr="007F530F">
              <w:t>Child sex offences</w:t>
            </w:r>
          </w:p>
        </w:tc>
        <w:tc>
          <w:tcPr>
            <w:tcW w:w="1250" w:type="pct"/>
          </w:tcPr>
          <w:p w14:paraId="7B3E5118" w14:textId="51489602" w:rsidR="006F4FEC" w:rsidRPr="007F530F" w:rsidRDefault="006F4FEC" w:rsidP="00AA4919">
            <w:pPr>
              <w:pStyle w:val="TableBody"/>
            </w:pPr>
            <w:r w:rsidRPr="007F530F">
              <w:t>Sections  47A</w:t>
            </w:r>
          </w:p>
        </w:tc>
        <w:tc>
          <w:tcPr>
            <w:tcW w:w="1250" w:type="pct"/>
          </w:tcPr>
          <w:p w14:paraId="20B9FECE" w14:textId="68AFB546" w:rsidR="006F4FEC" w:rsidRPr="007F530F" w:rsidRDefault="006F4FEC" w:rsidP="00AA4919">
            <w:pPr>
              <w:pStyle w:val="TableBody"/>
            </w:pPr>
            <w:r w:rsidRPr="007F530F">
              <w:t>Persistent sexual abuse of a child aged under 16</w:t>
            </w:r>
          </w:p>
        </w:tc>
        <w:tc>
          <w:tcPr>
            <w:tcW w:w="1500" w:type="pct"/>
          </w:tcPr>
          <w:p w14:paraId="1A70ECB2" w14:textId="37CA2382" w:rsidR="006F4FEC" w:rsidRPr="007F530F" w:rsidRDefault="006F4FEC" w:rsidP="00AA4919">
            <w:pPr>
              <w:pStyle w:val="TableBody"/>
            </w:pPr>
            <w:r w:rsidRPr="007F530F">
              <w:t>Category 1 offence</w:t>
            </w:r>
          </w:p>
        </w:tc>
      </w:tr>
      <w:tr w:rsidR="007348B7" w:rsidRPr="007F530F" w14:paraId="635E323E" w14:textId="77777777" w:rsidTr="00377374">
        <w:trPr>
          <w:trHeight w:val="60"/>
        </w:trPr>
        <w:tc>
          <w:tcPr>
            <w:tcW w:w="1000" w:type="pct"/>
          </w:tcPr>
          <w:p w14:paraId="5B81A246" w14:textId="277BD476" w:rsidR="007348B7" w:rsidRPr="007F530F" w:rsidRDefault="007348B7" w:rsidP="00AA4919">
            <w:pPr>
              <w:pStyle w:val="TableBody"/>
            </w:pPr>
            <w:r w:rsidRPr="007F530F">
              <w:t>Child sex offences</w:t>
            </w:r>
          </w:p>
        </w:tc>
        <w:tc>
          <w:tcPr>
            <w:tcW w:w="1250" w:type="pct"/>
          </w:tcPr>
          <w:p w14:paraId="173B2E6D" w14:textId="60C10D56" w:rsidR="007348B7" w:rsidRPr="007F530F" w:rsidRDefault="007348B7" w:rsidP="00AA4919">
            <w:pPr>
              <w:pStyle w:val="TableBody"/>
            </w:pPr>
            <w:r w:rsidRPr="007F530F">
              <w:t>Section  49J</w:t>
            </w:r>
          </w:p>
        </w:tc>
        <w:tc>
          <w:tcPr>
            <w:tcW w:w="1250" w:type="pct"/>
          </w:tcPr>
          <w:p w14:paraId="5470BAA7" w14:textId="692997A6" w:rsidR="007348B7" w:rsidRPr="007F530F" w:rsidRDefault="007348B7" w:rsidP="00AA4919">
            <w:pPr>
              <w:pStyle w:val="TableBody"/>
            </w:pPr>
            <w:r w:rsidRPr="007F530F">
              <w:t>Persistent sexual abuse of a child aged under 16</w:t>
            </w:r>
          </w:p>
        </w:tc>
        <w:tc>
          <w:tcPr>
            <w:tcW w:w="1500" w:type="pct"/>
          </w:tcPr>
          <w:p w14:paraId="03B57535" w14:textId="7BAB9B5C" w:rsidR="007348B7" w:rsidRPr="007F530F" w:rsidRDefault="007348B7" w:rsidP="00AA4919">
            <w:pPr>
              <w:pStyle w:val="TableBody"/>
            </w:pPr>
            <w:r w:rsidRPr="007F530F">
              <w:t>Standard sentence offence/Category 1 offence</w:t>
            </w:r>
          </w:p>
        </w:tc>
      </w:tr>
      <w:tr w:rsidR="007348B7" w:rsidRPr="007F530F" w14:paraId="0C292C62" w14:textId="77777777" w:rsidTr="00377374">
        <w:trPr>
          <w:trHeight w:val="60"/>
        </w:trPr>
        <w:tc>
          <w:tcPr>
            <w:tcW w:w="1000" w:type="pct"/>
          </w:tcPr>
          <w:p w14:paraId="5A09DC80" w14:textId="5C4A920F" w:rsidR="007348B7" w:rsidRPr="007F530F" w:rsidRDefault="007348B7" w:rsidP="00AA4919">
            <w:pPr>
              <w:pStyle w:val="TableBody"/>
            </w:pPr>
            <w:r w:rsidRPr="007F530F">
              <w:t>Child sex offences</w:t>
            </w:r>
          </w:p>
        </w:tc>
        <w:tc>
          <w:tcPr>
            <w:tcW w:w="1250" w:type="pct"/>
          </w:tcPr>
          <w:p w14:paraId="475D014D" w14:textId="01741362" w:rsidR="007348B7" w:rsidRPr="007F530F" w:rsidRDefault="007348B7" w:rsidP="00AA4919">
            <w:pPr>
              <w:pStyle w:val="TableBody"/>
            </w:pPr>
            <w:r w:rsidRPr="007F530F">
              <w:t>Sections 45(1), 49A</w:t>
            </w:r>
          </w:p>
        </w:tc>
        <w:tc>
          <w:tcPr>
            <w:tcW w:w="1250" w:type="pct"/>
          </w:tcPr>
          <w:p w14:paraId="5607C8E7" w14:textId="5D184CEC" w:rsidR="007348B7" w:rsidRPr="007F530F" w:rsidRDefault="007348B7" w:rsidP="00AA4919">
            <w:pPr>
              <w:pStyle w:val="TableBody"/>
            </w:pPr>
            <w:r w:rsidRPr="007F530F">
              <w:t>Sexual penetration with a child aged under 12</w:t>
            </w:r>
          </w:p>
        </w:tc>
        <w:tc>
          <w:tcPr>
            <w:tcW w:w="1500" w:type="pct"/>
          </w:tcPr>
          <w:p w14:paraId="03B32F45" w14:textId="084BEE07" w:rsidR="007348B7" w:rsidRPr="007F530F" w:rsidRDefault="007348B7" w:rsidP="00AA4919">
            <w:pPr>
              <w:pStyle w:val="TableBody"/>
            </w:pPr>
            <w:r w:rsidRPr="007F530F">
              <w:t>Standard sentence offence/Category 1 offence</w:t>
            </w:r>
          </w:p>
        </w:tc>
      </w:tr>
      <w:tr w:rsidR="007348B7" w:rsidRPr="007F530F" w14:paraId="23F56FAE" w14:textId="77777777" w:rsidTr="00377374">
        <w:trPr>
          <w:trHeight w:val="60"/>
        </w:trPr>
        <w:tc>
          <w:tcPr>
            <w:tcW w:w="1000" w:type="pct"/>
          </w:tcPr>
          <w:p w14:paraId="2FB0222A" w14:textId="5AD673AD" w:rsidR="007348B7" w:rsidRPr="007F530F" w:rsidRDefault="007348B7" w:rsidP="00AA4919">
            <w:pPr>
              <w:pStyle w:val="TableBody"/>
            </w:pPr>
            <w:r w:rsidRPr="007F530F">
              <w:t>Child sex offences</w:t>
            </w:r>
          </w:p>
        </w:tc>
        <w:tc>
          <w:tcPr>
            <w:tcW w:w="1250" w:type="pct"/>
          </w:tcPr>
          <w:p w14:paraId="131B7968" w14:textId="63F73DE2" w:rsidR="007348B7" w:rsidRPr="007F530F" w:rsidRDefault="007348B7" w:rsidP="00AA4919">
            <w:pPr>
              <w:pStyle w:val="TableBody"/>
            </w:pPr>
            <w:r w:rsidRPr="007F530F">
              <w:t>Section  49B</w:t>
            </w:r>
          </w:p>
        </w:tc>
        <w:tc>
          <w:tcPr>
            <w:tcW w:w="1250" w:type="pct"/>
          </w:tcPr>
          <w:p w14:paraId="200D3D96" w14:textId="1F0E01E9" w:rsidR="007348B7" w:rsidRPr="007F530F" w:rsidRDefault="007348B7" w:rsidP="00AA4919">
            <w:pPr>
              <w:pStyle w:val="TableBody"/>
            </w:pPr>
            <w:r w:rsidRPr="007F530F">
              <w:t>Sexual penetration with a child aged under 16</w:t>
            </w:r>
          </w:p>
        </w:tc>
        <w:tc>
          <w:tcPr>
            <w:tcW w:w="1500" w:type="pct"/>
          </w:tcPr>
          <w:p w14:paraId="37005CD0" w14:textId="776C1651" w:rsidR="007348B7" w:rsidRPr="007F530F" w:rsidRDefault="007348B7" w:rsidP="00AA4919">
            <w:pPr>
              <w:pStyle w:val="TableBody"/>
            </w:pPr>
            <w:r w:rsidRPr="007F530F">
              <w:t>Standard sentence offence</w:t>
            </w:r>
          </w:p>
        </w:tc>
      </w:tr>
      <w:tr w:rsidR="007348B7" w:rsidRPr="007F530F" w14:paraId="63A57FAF" w14:textId="77777777" w:rsidTr="00377374">
        <w:trPr>
          <w:trHeight w:val="60"/>
        </w:trPr>
        <w:tc>
          <w:tcPr>
            <w:tcW w:w="1000" w:type="pct"/>
          </w:tcPr>
          <w:p w14:paraId="20B27263" w14:textId="2BA8F965" w:rsidR="007348B7" w:rsidRPr="007F530F" w:rsidRDefault="007348B7" w:rsidP="00AA4919">
            <w:pPr>
              <w:pStyle w:val="TableBody"/>
            </w:pPr>
            <w:r w:rsidRPr="007F530F">
              <w:lastRenderedPageBreak/>
              <w:t>Child sex offences</w:t>
            </w:r>
          </w:p>
        </w:tc>
        <w:tc>
          <w:tcPr>
            <w:tcW w:w="1250" w:type="pct"/>
          </w:tcPr>
          <w:p w14:paraId="78DAF1A4" w14:textId="08A116FE" w:rsidR="007348B7" w:rsidRPr="007F530F" w:rsidRDefault="007348B7" w:rsidP="00AA4919">
            <w:pPr>
              <w:pStyle w:val="TableBody"/>
            </w:pPr>
            <w:r w:rsidRPr="007F530F">
              <w:t>Section  49D</w:t>
            </w:r>
          </w:p>
        </w:tc>
        <w:tc>
          <w:tcPr>
            <w:tcW w:w="1250" w:type="pct"/>
          </w:tcPr>
          <w:p w14:paraId="02750AD5" w14:textId="26FBC19A" w:rsidR="007348B7" w:rsidRPr="007F530F" w:rsidRDefault="007348B7" w:rsidP="00AA4919">
            <w:pPr>
              <w:pStyle w:val="TableBody"/>
            </w:pPr>
            <w:r w:rsidRPr="007F530F">
              <w:t>Sexual assault of a child aged under 16</w:t>
            </w:r>
          </w:p>
        </w:tc>
        <w:tc>
          <w:tcPr>
            <w:tcW w:w="1500" w:type="pct"/>
          </w:tcPr>
          <w:p w14:paraId="5F2D305E" w14:textId="233EF4AF" w:rsidR="007348B7" w:rsidRPr="007F530F" w:rsidRDefault="007348B7" w:rsidP="00AA4919">
            <w:pPr>
              <w:pStyle w:val="TableBody"/>
            </w:pPr>
            <w:r w:rsidRPr="007F530F">
              <w:t>Standard sentence offence</w:t>
            </w:r>
          </w:p>
        </w:tc>
      </w:tr>
    </w:tbl>
    <w:p w14:paraId="1CB64D3E" w14:textId="77777777" w:rsidR="00EF5C25" w:rsidRPr="007F530F" w:rsidRDefault="00EF5C25" w:rsidP="007D4BE9">
      <w:pPr>
        <w:pStyle w:val="Heading1"/>
        <w:keepLines/>
        <w:pageBreakBefore/>
      </w:pPr>
      <w:bookmarkStart w:id="16" w:name="_Toc74904009"/>
      <w:r w:rsidRPr="007F530F">
        <w:lastRenderedPageBreak/>
        <w:t>Appendix 3: Charge-level and case-level prison sentences for contact sex offences</w:t>
      </w:r>
      <w:bookmarkEnd w:id="16"/>
    </w:p>
    <w:p w14:paraId="18BE0BD5" w14:textId="77777777" w:rsidR="00EF5C25" w:rsidRPr="007F530F" w:rsidRDefault="00EF5C25" w:rsidP="002C6923">
      <w:r w:rsidRPr="007F530F">
        <w:t>Tables A2 and A3 outline the distribution of prison sentences (in 12-month increments in the higher courts and 6-month increments in the Magistrates’ Court) imposed for the most common contact sex offences sentenced in Victoria between 2010 and 2019. Table A2 presents Magistrates’ Court sentence lengths and Table A3 presents higher courts’ sentence lengths. The charge-level data includes all non-aggregate sentences of adult imprisonment imposed for individual charges. The case-level data includes all total effective sentences imposed in cases in which the relevant offence was the principal proven offence in the case.</w:t>
      </w:r>
    </w:p>
    <w:p w14:paraId="4DD8A8B8" w14:textId="77777777" w:rsidR="00EF5C25" w:rsidRPr="007F530F" w:rsidRDefault="00EF5C25" w:rsidP="00D00197">
      <w:pPr>
        <w:pStyle w:val="Caption"/>
      </w:pPr>
      <w:r w:rsidRPr="00D00197">
        <w:t>Table A2:</w:t>
      </w:r>
      <w:r w:rsidRPr="007F530F">
        <w:t xml:space="preserve"> Distribution of charge-level and case-level prison sentence lengths for certain sex offences, Magistrates’ Court, 2010 to 2019</w:t>
      </w:r>
    </w:p>
    <w:tbl>
      <w:tblPr>
        <w:tblStyle w:val="Table"/>
        <w:tblW w:w="0" w:type="auto"/>
        <w:tblLayout w:type="fixed"/>
        <w:tblLook w:val="0020" w:firstRow="1" w:lastRow="0" w:firstColumn="0" w:lastColumn="0" w:noHBand="0" w:noVBand="0"/>
      </w:tblPr>
      <w:tblGrid>
        <w:gridCol w:w="1928"/>
        <w:gridCol w:w="1587"/>
        <w:gridCol w:w="1701"/>
        <w:gridCol w:w="1587"/>
        <w:gridCol w:w="1701"/>
      </w:tblGrid>
      <w:tr w:rsidR="00EF5C25" w:rsidRPr="007F530F" w14:paraId="6370548D" w14:textId="77777777" w:rsidTr="00DA2F87">
        <w:trPr>
          <w:trHeight w:val="60"/>
          <w:tblHeader/>
        </w:trPr>
        <w:tc>
          <w:tcPr>
            <w:tcW w:w="1928" w:type="dxa"/>
          </w:tcPr>
          <w:p w14:paraId="6A98D22F" w14:textId="4B087F14" w:rsidR="00EF5C25" w:rsidRPr="007F530F" w:rsidRDefault="00581F7C" w:rsidP="00151591">
            <w:pPr>
              <w:pStyle w:val="TableHeading"/>
              <w:rPr>
                <w:rFonts w:cstheme="minorBidi"/>
                <w:lang w:val="en-AU"/>
              </w:rPr>
            </w:pPr>
            <w:r w:rsidRPr="007F530F">
              <w:t>Sentence length</w:t>
            </w:r>
          </w:p>
        </w:tc>
        <w:tc>
          <w:tcPr>
            <w:tcW w:w="1587" w:type="dxa"/>
          </w:tcPr>
          <w:p w14:paraId="03C43908" w14:textId="2EDB023E" w:rsidR="00EF5C25" w:rsidRPr="007F530F" w:rsidRDefault="00581F7C" w:rsidP="00151591">
            <w:pPr>
              <w:pStyle w:val="TableHeading"/>
            </w:pPr>
            <w:r w:rsidRPr="007F530F">
              <w:t xml:space="preserve">Charge-level prison sentence length </w:t>
            </w:r>
            <w:r>
              <w:t>– s</w:t>
            </w:r>
            <w:r w:rsidR="00EF5C25" w:rsidRPr="007F530F">
              <w:t>exual assault</w:t>
            </w:r>
            <w:r w:rsidR="00EF5C25" w:rsidRPr="007F530F">
              <w:rPr>
                <w:vertAlign w:val="superscript"/>
              </w:rPr>
              <w:t>a</w:t>
            </w:r>
          </w:p>
        </w:tc>
        <w:tc>
          <w:tcPr>
            <w:tcW w:w="1701" w:type="dxa"/>
          </w:tcPr>
          <w:p w14:paraId="19CCA739" w14:textId="1CE5896F" w:rsidR="00EF5C25" w:rsidRPr="007F530F" w:rsidRDefault="00581F7C" w:rsidP="00151591">
            <w:pPr>
              <w:pStyle w:val="TableHeading"/>
            </w:pPr>
            <w:r w:rsidRPr="007F530F">
              <w:t xml:space="preserve">Charge-level prison sentence length </w:t>
            </w:r>
            <w:r>
              <w:t>– s</w:t>
            </w:r>
            <w:r w:rsidR="00EF5C25" w:rsidRPr="007F530F">
              <w:t>exual assault of a child</w:t>
            </w:r>
            <w:r w:rsidR="00EF5C25" w:rsidRPr="007F530F">
              <w:rPr>
                <w:vertAlign w:val="superscript"/>
              </w:rPr>
              <w:t>b</w:t>
            </w:r>
          </w:p>
        </w:tc>
        <w:tc>
          <w:tcPr>
            <w:tcW w:w="1587" w:type="dxa"/>
          </w:tcPr>
          <w:p w14:paraId="5B37FBD7" w14:textId="36388548" w:rsidR="00EF5C25" w:rsidRPr="007F530F" w:rsidRDefault="00F244A7" w:rsidP="00151591">
            <w:pPr>
              <w:pStyle w:val="TableHeading"/>
            </w:pPr>
            <w:r w:rsidRPr="007F530F">
              <w:t xml:space="preserve">Total effective sentence length </w:t>
            </w:r>
            <w:r>
              <w:t>– s</w:t>
            </w:r>
            <w:r w:rsidR="00EF5C25" w:rsidRPr="007F530F">
              <w:t>exual assault</w:t>
            </w:r>
            <w:r w:rsidR="00EF5C25" w:rsidRPr="007F530F">
              <w:rPr>
                <w:vertAlign w:val="superscript"/>
              </w:rPr>
              <w:t>c</w:t>
            </w:r>
          </w:p>
        </w:tc>
        <w:tc>
          <w:tcPr>
            <w:tcW w:w="1701" w:type="dxa"/>
          </w:tcPr>
          <w:p w14:paraId="0DC5418C" w14:textId="3AA1D8D7" w:rsidR="00EF5C25" w:rsidRPr="007F530F" w:rsidRDefault="00E37E47" w:rsidP="00151591">
            <w:pPr>
              <w:pStyle w:val="TableHeading"/>
            </w:pPr>
            <w:r w:rsidRPr="007F530F">
              <w:t>Total effective sentence length</w:t>
            </w:r>
            <w:r>
              <w:t xml:space="preserve"> –s</w:t>
            </w:r>
            <w:r w:rsidR="00EF5C25" w:rsidRPr="007F530F">
              <w:t>exual assault of a child</w:t>
            </w:r>
            <w:r w:rsidR="00EF5C25" w:rsidRPr="007F530F">
              <w:rPr>
                <w:vertAlign w:val="superscript"/>
              </w:rPr>
              <w:t>d</w:t>
            </w:r>
          </w:p>
        </w:tc>
      </w:tr>
      <w:tr w:rsidR="00EF5C25" w:rsidRPr="007F530F" w14:paraId="6DA696A4" w14:textId="77777777" w:rsidTr="00377374">
        <w:trPr>
          <w:trHeight w:val="60"/>
        </w:trPr>
        <w:tc>
          <w:tcPr>
            <w:tcW w:w="1928" w:type="dxa"/>
          </w:tcPr>
          <w:p w14:paraId="67688401" w14:textId="77777777" w:rsidR="00EF5C25" w:rsidRPr="007F530F" w:rsidRDefault="00EF5C25" w:rsidP="00DC75F7">
            <w:pPr>
              <w:pStyle w:val="TableBody"/>
            </w:pPr>
            <w:r w:rsidRPr="007F530F">
              <w:t>Less than 6 months</w:t>
            </w:r>
          </w:p>
        </w:tc>
        <w:tc>
          <w:tcPr>
            <w:tcW w:w="1587" w:type="dxa"/>
          </w:tcPr>
          <w:p w14:paraId="2F9D11F3" w14:textId="77777777" w:rsidR="00EF5C25" w:rsidRPr="007F530F" w:rsidRDefault="00EF5C25" w:rsidP="00AC34F3">
            <w:pPr>
              <w:pStyle w:val="TableBody"/>
            </w:pPr>
            <w:r w:rsidRPr="007F530F">
              <w:t>106</w:t>
            </w:r>
          </w:p>
        </w:tc>
        <w:tc>
          <w:tcPr>
            <w:tcW w:w="1701" w:type="dxa"/>
          </w:tcPr>
          <w:p w14:paraId="37C66D39" w14:textId="77777777" w:rsidR="00EF5C25" w:rsidRPr="007F530F" w:rsidRDefault="00EF5C25" w:rsidP="00AC34F3">
            <w:pPr>
              <w:pStyle w:val="TableBody"/>
            </w:pPr>
            <w:r w:rsidRPr="007F530F">
              <w:t>72</w:t>
            </w:r>
          </w:p>
        </w:tc>
        <w:tc>
          <w:tcPr>
            <w:tcW w:w="1587" w:type="dxa"/>
          </w:tcPr>
          <w:p w14:paraId="5258E44B" w14:textId="77777777" w:rsidR="00EF5C25" w:rsidRPr="007F530F" w:rsidRDefault="00EF5C25" w:rsidP="00AC34F3">
            <w:pPr>
              <w:pStyle w:val="TableBody"/>
            </w:pPr>
            <w:r w:rsidRPr="007F530F">
              <w:t>146</w:t>
            </w:r>
          </w:p>
        </w:tc>
        <w:tc>
          <w:tcPr>
            <w:tcW w:w="1701" w:type="dxa"/>
          </w:tcPr>
          <w:p w14:paraId="373B011D" w14:textId="77777777" w:rsidR="00EF5C25" w:rsidRPr="007F530F" w:rsidRDefault="00EF5C25" w:rsidP="00AC34F3">
            <w:pPr>
              <w:pStyle w:val="TableBody"/>
            </w:pPr>
            <w:r w:rsidRPr="007F530F">
              <w:t>73</w:t>
            </w:r>
          </w:p>
        </w:tc>
      </w:tr>
      <w:tr w:rsidR="00EF5C25" w:rsidRPr="007F530F" w14:paraId="5BF2AEF8" w14:textId="77777777" w:rsidTr="00377374">
        <w:trPr>
          <w:trHeight w:val="60"/>
        </w:trPr>
        <w:tc>
          <w:tcPr>
            <w:tcW w:w="1928" w:type="dxa"/>
          </w:tcPr>
          <w:p w14:paraId="2AEDFB01" w14:textId="77777777" w:rsidR="00EF5C25" w:rsidRPr="007F530F" w:rsidRDefault="00EF5C25" w:rsidP="00DC75F7">
            <w:pPr>
              <w:pStyle w:val="TableBody"/>
            </w:pPr>
            <w:r w:rsidRPr="007F530F">
              <w:t>6 months to less than 1 year</w:t>
            </w:r>
          </w:p>
        </w:tc>
        <w:tc>
          <w:tcPr>
            <w:tcW w:w="1587" w:type="dxa"/>
          </w:tcPr>
          <w:p w14:paraId="06C31EB9" w14:textId="77777777" w:rsidR="00EF5C25" w:rsidRPr="007F530F" w:rsidRDefault="00EF5C25" w:rsidP="00AC34F3">
            <w:pPr>
              <w:pStyle w:val="TableBody"/>
            </w:pPr>
            <w:r w:rsidRPr="007F530F">
              <w:t>34</w:t>
            </w:r>
          </w:p>
        </w:tc>
        <w:tc>
          <w:tcPr>
            <w:tcW w:w="1701" w:type="dxa"/>
          </w:tcPr>
          <w:p w14:paraId="067E4C05" w14:textId="77777777" w:rsidR="00EF5C25" w:rsidRPr="007F530F" w:rsidRDefault="00EF5C25" w:rsidP="00AC34F3">
            <w:pPr>
              <w:pStyle w:val="TableBody"/>
            </w:pPr>
            <w:r w:rsidRPr="007F530F">
              <w:t>38</w:t>
            </w:r>
          </w:p>
        </w:tc>
        <w:tc>
          <w:tcPr>
            <w:tcW w:w="1587" w:type="dxa"/>
          </w:tcPr>
          <w:p w14:paraId="363700C2" w14:textId="77777777" w:rsidR="00EF5C25" w:rsidRPr="007F530F" w:rsidRDefault="00EF5C25" w:rsidP="00AC34F3">
            <w:pPr>
              <w:pStyle w:val="TableBody"/>
            </w:pPr>
            <w:r w:rsidRPr="007F530F">
              <w:t>66</w:t>
            </w:r>
          </w:p>
        </w:tc>
        <w:tc>
          <w:tcPr>
            <w:tcW w:w="1701" w:type="dxa"/>
          </w:tcPr>
          <w:p w14:paraId="7724DB01" w14:textId="77777777" w:rsidR="00EF5C25" w:rsidRPr="007F530F" w:rsidRDefault="00EF5C25" w:rsidP="00AC34F3">
            <w:pPr>
              <w:pStyle w:val="TableBody"/>
            </w:pPr>
            <w:r w:rsidRPr="007F530F">
              <w:t>54</w:t>
            </w:r>
          </w:p>
        </w:tc>
      </w:tr>
      <w:tr w:rsidR="00EF5C25" w:rsidRPr="007F530F" w14:paraId="33A5C8B9" w14:textId="77777777" w:rsidTr="00377374">
        <w:trPr>
          <w:trHeight w:val="60"/>
        </w:trPr>
        <w:tc>
          <w:tcPr>
            <w:tcW w:w="1928" w:type="dxa"/>
          </w:tcPr>
          <w:p w14:paraId="082F58CF" w14:textId="77777777" w:rsidR="00EF5C25" w:rsidRPr="007F530F" w:rsidRDefault="00EF5C25" w:rsidP="00DC75F7">
            <w:pPr>
              <w:pStyle w:val="TableBody"/>
            </w:pPr>
            <w:r w:rsidRPr="007F530F">
              <w:t>1 year to less than 1.5 years</w:t>
            </w:r>
          </w:p>
        </w:tc>
        <w:tc>
          <w:tcPr>
            <w:tcW w:w="1587" w:type="dxa"/>
          </w:tcPr>
          <w:p w14:paraId="1B6EA237" w14:textId="77777777" w:rsidR="00EF5C25" w:rsidRPr="007F530F" w:rsidRDefault="00EF5C25" w:rsidP="00AC34F3">
            <w:pPr>
              <w:pStyle w:val="TableBody"/>
            </w:pPr>
            <w:r w:rsidRPr="007F530F">
              <w:t>19</w:t>
            </w:r>
          </w:p>
        </w:tc>
        <w:tc>
          <w:tcPr>
            <w:tcW w:w="1701" w:type="dxa"/>
          </w:tcPr>
          <w:p w14:paraId="7E51E77A" w14:textId="77777777" w:rsidR="00EF5C25" w:rsidRPr="007F530F" w:rsidRDefault="00EF5C25" w:rsidP="00AC34F3">
            <w:pPr>
              <w:pStyle w:val="TableBody"/>
            </w:pPr>
            <w:r w:rsidRPr="007F530F">
              <w:t>19</w:t>
            </w:r>
          </w:p>
        </w:tc>
        <w:tc>
          <w:tcPr>
            <w:tcW w:w="1587" w:type="dxa"/>
          </w:tcPr>
          <w:p w14:paraId="272A28CF" w14:textId="77777777" w:rsidR="00EF5C25" w:rsidRPr="007F530F" w:rsidRDefault="00EF5C25" w:rsidP="00AC34F3">
            <w:pPr>
              <w:pStyle w:val="TableBody"/>
            </w:pPr>
            <w:r w:rsidRPr="007F530F">
              <w:t>38</w:t>
            </w:r>
          </w:p>
        </w:tc>
        <w:tc>
          <w:tcPr>
            <w:tcW w:w="1701" w:type="dxa"/>
          </w:tcPr>
          <w:p w14:paraId="176C5FD9" w14:textId="77777777" w:rsidR="00EF5C25" w:rsidRPr="007F530F" w:rsidRDefault="00EF5C25" w:rsidP="00AC34F3">
            <w:pPr>
              <w:pStyle w:val="TableBody"/>
            </w:pPr>
            <w:r w:rsidRPr="007F530F">
              <w:t>26</w:t>
            </w:r>
          </w:p>
        </w:tc>
      </w:tr>
      <w:tr w:rsidR="00EF5C25" w:rsidRPr="007F530F" w14:paraId="32BFDE9C" w14:textId="77777777" w:rsidTr="00377374">
        <w:trPr>
          <w:trHeight w:val="60"/>
        </w:trPr>
        <w:tc>
          <w:tcPr>
            <w:tcW w:w="1928" w:type="dxa"/>
          </w:tcPr>
          <w:p w14:paraId="7A122038" w14:textId="77777777" w:rsidR="00EF5C25" w:rsidRPr="007F530F" w:rsidRDefault="00EF5C25" w:rsidP="00DC75F7">
            <w:pPr>
              <w:pStyle w:val="TableBody"/>
            </w:pPr>
            <w:r w:rsidRPr="007F530F">
              <w:t>1.5 years to less than 2 years</w:t>
            </w:r>
          </w:p>
        </w:tc>
        <w:tc>
          <w:tcPr>
            <w:tcW w:w="1587" w:type="dxa"/>
          </w:tcPr>
          <w:p w14:paraId="246AFB55" w14:textId="77777777" w:rsidR="00EF5C25" w:rsidRPr="007F530F" w:rsidRDefault="00EF5C25" w:rsidP="00AC34F3">
            <w:pPr>
              <w:pStyle w:val="TableBody"/>
            </w:pPr>
            <w:r w:rsidRPr="007F530F">
              <w:t>6</w:t>
            </w:r>
          </w:p>
        </w:tc>
        <w:tc>
          <w:tcPr>
            <w:tcW w:w="1701" w:type="dxa"/>
          </w:tcPr>
          <w:p w14:paraId="3738B070" w14:textId="77777777" w:rsidR="00EF5C25" w:rsidRPr="007F530F" w:rsidRDefault="00EF5C25" w:rsidP="00AC34F3">
            <w:pPr>
              <w:pStyle w:val="TableBody"/>
            </w:pPr>
            <w:r w:rsidRPr="007F530F">
              <w:t>13</w:t>
            </w:r>
          </w:p>
        </w:tc>
        <w:tc>
          <w:tcPr>
            <w:tcW w:w="1587" w:type="dxa"/>
          </w:tcPr>
          <w:p w14:paraId="14D59A3F" w14:textId="77777777" w:rsidR="00EF5C25" w:rsidRPr="007F530F" w:rsidRDefault="00EF5C25" w:rsidP="00AC34F3">
            <w:pPr>
              <w:pStyle w:val="TableBody"/>
            </w:pPr>
            <w:r w:rsidRPr="007F530F">
              <w:t>15</w:t>
            </w:r>
          </w:p>
        </w:tc>
        <w:tc>
          <w:tcPr>
            <w:tcW w:w="1701" w:type="dxa"/>
          </w:tcPr>
          <w:p w14:paraId="618B2964" w14:textId="77777777" w:rsidR="00EF5C25" w:rsidRPr="007F530F" w:rsidRDefault="00EF5C25" w:rsidP="00AC34F3">
            <w:pPr>
              <w:pStyle w:val="TableBody"/>
            </w:pPr>
            <w:r w:rsidRPr="007F530F">
              <w:t>12</w:t>
            </w:r>
          </w:p>
        </w:tc>
      </w:tr>
      <w:tr w:rsidR="00EF5C25" w:rsidRPr="007F530F" w14:paraId="41969257" w14:textId="77777777" w:rsidTr="00377374">
        <w:trPr>
          <w:trHeight w:val="60"/>
        </w:trPr>
        <w:tc>
          <w:tcPr>
            <w:tcW w:w="1928" w:type="dxa"/>
          </w:tcPr>
          <w:p w14:paraId="05CBD520" w14:textId="77777777" w:rsidR="00EF5C25" w:rsidRPr="007F530F" w:rsidRDefault="00EF5C25" w:rsidP="00DC75F7">
            <w:pPr>
              <w:pStyle w:val="TableBody"/>
            </w:pPr>
            <w:r w:rsidRPr="007F530F">
              <w:t>2 years to less than 2.5 years</w:t>
            </w:r>
          </w:p>
        </w:tc>
        <w:tc>
          <w:tcPr>
            <w:tcW w:w="1587" w:type="dxa"/>
          </w:tcPr>
          <w:p w14:paraId="77BBE6EB" w14:textId="77777777" w:rsidR="00EF5C25" w:rsidRPr="007F530F" w:rsidRDefault="00EF5C25" w:rsidP="00AC34F3">
            <w:pPr>
              <w:pStyle w:val="TableBody"/>
            </w:pPr>
            <w:r w:rsidRPr="007F530F">
              <w:t>3</w:t>
            </w:r>
          </w:p>
        </w:tc>
        <w:tc>
          <w:tcPr>
            <w:tcW w:w="1701" w:type="dxa"/>
          </w:tcPr>
          <w:p w14:paraId="7E96AB58" w14:textId="77777777" w:rsidR="00EF5C25" w:rsidRPr="007F530F" w:rsidRDefault="00EF5C25" w:rsidP="00AC34F3">
            <w:pPr>
              <w:pStyle w:val="TableBody"/>
            </w:pPr>
            <w:r w:rsidRPr="007F530F">
              <w:t>2</w:t>
            </w:r>
          </w:p>
        </w:tc>
        <w:tc>
          <w:tcPr>
            <w:tcW w:w="1587" w:type="dxa"/>
          </w:tcPr>
          <w:p w14:paraId="75385769" w14:textId="77777777" w:rsidR="00EF5C25" w:rsidRPr="007F530F" w:rsidRDefault="00EF5C25" w:rsidP="00AC34F3">
            <w:pPr>
              <w:pStyle w:val="TableBody"/>
            </w:pPr>
            <w:r w:rsidRPr="007F530F">
              <w:t>9</w:t>
            </w:r>
          </w:p>
        </w:tc>
        <w:tc>
          <w:tcPr>
            <w:tcW w:w="1701" w:type="dxa"/>
          </w:tcPr>
          <w:p w14:paraId="0D7E4E82" w14:textId="77777777" w:rsidR="00EF5C25" w:rsidRPr="007F530F" w:rsidRDefault="00EF5C25" w:rsidP="00AC34F3">
            <w:pPr>
              <w:pStyle w:val="TableBody"/>
            </w:pPr>
            <w:r w:rsidRPr="007F530F">
              <w:t>3</w:t>
            </w:r>
          </w:p>
        </w:tc>
      </w:tr>
      <w:tr w:rsidR="00EF5C25" w:rsidRPr="007F530F" w14:paraId="419CD9EF" w14:textId="77777777" w:rsidTr="00377374">
        <w:trPr>
          <w:trHeight w:val="60"/>
        </w:trPr>
        <w:tc>
          <w:tcPr>
            <w:tcW w:w="1928" w:type="dxa"/>
          </w:tcPr>
          <w:p w14:paraId="4878E786" w14:textId="77777777" w:rsidR="00EF5C25" w:rsidRPr="007F530F" w:rsidRDefault="00EF5C25" w:rsidP="00DC75F7">
            <w:pPr>
              <w:pStyle w:val="TableBody"/>
            </w:pPr>
            <w:r w:rsidRPr="007F530F">
              <w:t>2.5 years or more</w:t>
            </w:r>
          </w:p>
        </w:tc>
        <w:tc>
          <w:tcPr>
            <w:tcW w:w="1587" w:type="dxa"/>
          </w:tcPr>
          <w:p w14:paraId="6156EA4D" w14:textId="77777777" w:rsidR="00EF5C25" w:rsidRPr="007F530F" w:rsidRDefault="00EF5C25" w:rsidP="00AC34F3">
            <w:pPr>
              <w:pStyle w:val="TableBody"/>
            </w:pPr>
            <w:r w:rsidRPr="007F530F">
              <w:t>–</w:t>
            </w:r>
          </w:p>
        </w:tc>
        <w:tc>
          <w:tcPr>
            <w:tcW w:w="1701" w:type="dxa"/>
          </w:tcPr>
          <w:p w14:paraId="5E677805" w14:textId="77777777" w:rsidR="00EF5C25" w:rsidRPr="007F530F" w:rsidRDefault="00EF5C25" w:rsidP="00AC34F3">
            <w:pPr>
              <w:pStyle w:val="TableBody"/>
            </w:pPr>
            <w:r w:rsidRPr="007F530F">
              <w:t>–</w:t>
            </w:r>
          </w:p>
        </w:tc>
        <w:tc>
          <w:tcPr>
            <w:tcW w:w="1587" w:type="dxa"/>
          </w:tcPr>
          <w:p w14:paraId="42742ECF" w14:textId="77777777" w:rsidR="00EF5C25" w:rsidRPr="007F530F" w:rsidRDefault="00EF5C25" w:rsidP="00AC34F3">
            <w:pPr>
              <w:pStyle w:val="TableBody"/>
            </w:pPr>
            <w:r w:rsidRPr="007F530F">
              <w:t>4</w:t>
            </w:r>
          </w:p>
        </w:tc>
        <w:tc>
          <w:tcPr>
            <w:tcW w:w="1701" w:type="dxa"/>
          </w:tcPr>
          <w:p w14:paraId="7E34909D" w14:textId="77777777" w:rsidR="00EF5C25" w:rsidRPr="007F530F" w:rsidRDefault="00EF5C25" w:rsidP="00AC34F3">
            <w:pPr>
              <w:pStyle w:val="TableBody"/>
            </w:pPr>
            <w:r w:rsidRPr="007F530F">
              <w:t>4</w:t>
            </w:r>
          </w:p>
        </w:tc>
      </w:tr>
      <w:tr w:rsidR="00EF5C25" w:rsidRPr="007F530F" w14:paraId="774E4F8F" w14:textId="77777777" w:rsidTr="00377374">
        <w:trPr>
          <w:trHeight w:val="60"/>
        </w:trPr>
        <w:tc>
          <w:tcPr>
            <w:tcW w:w="1928" w:type="dxa"/>
          </w:tcPr>
          <w:p w14:paraId="39618C40" w14:textId="77777777" w:rsidR="00EF5C25" w:rsidRPr="00D00197" w:rsidRDefault="00EF5C25" w:rsidP="00DC75F7">
            <w:pPr>
              <w:pStyle w:val="TableBody"/>
              <w:rPr>
                <w:rStyle w:val="Strong"/>
              </w:rPr>
            </w:pPr>
            <w:r w:rsidRPr="00D00197">
              <w:rPr>
                <w:rStyle w:val="Strong"/>
              </w:rPr>
              <w:t>Total</w:t>
            </w:r>
          </w:p>
        </w:tc>
        <w:tc>
          <w:tcPr>
            <w:tcW w:w="1587" w:type="dxa"/>
          </w:tcPr>
          <w:p w14:paraId="6E4E58B3" w14:textId="77777777" w:rsidR="00EF5C25" w:rsidRPr="00D00197" w:rsidRDefault="00EF5C25" w:rsidP="00AC34F3">
            <w:pPr>
              <w:pStyle w:val="TableBody"/>
              <w:rPr>
                <w:rStyle w:val="Strong"/>
              </w:rPr>
            </w:pPr>
            <w:r w:rsidRPr="00D00197">
              <w:rPr>
                <w:rStyle w:val="Strong"/>
              </w:rPr>
              <w:t>168</w:t>
            </w:r>
          </w:p>
        </w:tc>
        <w:tc>
          <w:tcPr>
            <w:tcW w:w="1701" w:type="dxa"/>
          </w:tcPr>
          <w:p w14:paraId="4EADC8FB" w14:textId="77777777" w:rsidR="00EF5C25" w:rsidRPr="00D00197" w:rsidRDefault="00EF5C25" w:rsidP="00AC34F3">
            <w:pPr>
              <w:pStyle w:val="TableBody"/>
              <w:rPr>
                <w:rStyle w:val="Strong"/>
              </w:rPr>
            </w:pPr>
            <w:r w:rsidRPr="00D00197">
              <w:rPr>
                <w:rStyle w:val="Strong"/>
              </w:rPr>
              <w:t>144</w:t>
            </w:r>
          </w:p>
        </w:tc>
        <w:tc>
          <w:tcPr>
            <w:tcW w:w="1587" w:type="dxa"/>
          </w:tcPr>
          <w:p w14:paraId="7C042C0F" w14:textId="77777777" w:rsidR="00EF5C25" w:rsidRPr="00D00197" w:rsidRDefault="00EF5C25" w:rsidP="00AC34F3">
            <w:pPr>
              <w:pStyle w:val="TableBody"/>
              <w:rPr>
                <w:rStyle w:val="Strong"/>
              </w:rPr>
            </w:pPr>
            <w:r w:rsidRPr="00D00197">
              <w:rPr>
                <w:rStyle w:val="Strong"/>
              </w:rPr>
              <w:t>278</w:t>
            </w:r>
          </w:p>
        </w:tc>
        <w:tc>
          <w:tcPr>
            <w:tcW w:w="1701" w:type="dxa"/>
          </w:tcPr>
          <w:p w14:paraId="471B2459" w14:textId="77777777" w:rsidR="00EF5C25" w:rsidRPr="00D00197" w:rsidRDefault="00EF5C25" w:rsidP="00AC34F3">
            <w:pPr>
              <w:pStyle w:val="TableBody"/>
              <w:rPr>
                <w:rStyle w:val="Strong"/>
              </w:rPr>
            </w:pPr>
            <w:r w:rsidRPr="00D00197">
              <w:rPr>
                <w:rStyle w:val="Strong"/>
              </w:rPr>
              <w:t>192</w:t>
            </w:r>
          </w:p>
        </w:tc>
      </w:tr>
    </w:tbl>
    <w:p w14:paraId="7D3F6EF3" w14:textId="77777777" w:rsidR="00EF5C25" w:rsidRPr="007F530F" w:rsidRDefault="00EF5C25" w:rsidP="00C10631">
      <w:pPr>
        <w:pStyle w:val="Footnote"/>
      </w:pPr>
      <w:r w:rsidRPr="007F530F">
        <w:t>a.</w:t>
      </w:r>
      <w:r w:rsidRPr="007F530F">
        <w:tab/>
        <w:t xml:space="preserve">The data is based on sentenced charges of, and cases involving as a principal proven offence a charge of, either indecent assault or sexual assault contrary to sections 39(1) and 40(1) of the </w:t>
      </w:r>
      <w:r w:rsidRPr="00D62402">
        <w:rPr>
          <w:rStyle w:val="Emphasis"/>
        </w:rPr>
        <w:t xml:space="preserve">Crimes Act 1958 </w:t>
      </w:r>
      <w:r w:rsidRPr="007F530F">
        <w:t>(Vic).</w:t>
      </w:r>
    </w:p>
    <w:p w14:paraId="05904F06" w14:textId="77777777" w:rsidR="00EF5C25" w:rsidRPr="007F530F" w:rsidRDefault="00EF5C25" w:rsidP="00C10631">
      <w:pPr>
        <w:pStyle w:val="Footnote"/>
      </w:pPr>
      <w:r w:rsidRPr="007F530F">
        <w:t>b.</w:t>
      </w:r>
      <w:r w:rsidRPr="007F530F">
        <w:tab/>
        <w:t xml:space="preserve">The data is based on sentenced charges of, and cases involving as a principal proven offence a charge of, indecent act with a child aged under 16 or sexual assault of a child aged under 16 contrary to sections 47(1) and 49D of the </w:t>
      </w:r>
      <w:r w:rsidRPr="00D62402">
        <w:rPr>
          <w:rStyle w:val="Emphasis"/>
        </w:rPr>
        <w:t xml:space="preserve">Crimes Act 1958 </w:t>
      </w:r>
      <w:r w:rsidRPr="007F530F">
        <w:t>(Vic).</w:t>
      </w:r>
    </w:p>
    <w:p w14:paraId="0C345EA4" w14:textId="77777777" w:rsidR="00EF5C25" w:rsidRPr="007F530F" w:rsidRDefault="00EF5C25" w:rsidP="00C10631">
      <w:pPr>
        <w:pStyle w:val="Footnote"/>
      </w:pPr>
      <w:r w:rsidRPr="007F530F">
        <w:lastRenderedPageBreak/>
        <w:t>c.</w:t>
      </w:r>
      <w:r w:rsidRPr="007F530F">
        <w:tab/>
        <w:t xml:space="preserve">The data is based on sentenced charges of, and cases involving as a principal proven offence a charge of, either indecent assault or sexual assault contrary to sections 39(1) and 40(1) of the </w:t>
      </w:r>
      <w:r w:rsidRPr="00D62402">
        <w:rPr>
          <w:rStyle w:val="Emphasis"/>
        </w:rPr>
        <w:t xml:space="preserve">Crimes Act 1958 </w:t>
      </w:r>
      <w:r w:rsidRPr="007F530F">
        <w:t>(Vic).</w:t>
      </w:r>
    </w:p>
    <w:p w14:paraId="501F7BAA" w14:textId="77777777" w:rsidR="00EF5C25" w:rsidRPr="007F530F" w:rsidRDefault="00EF5C25" w:rsidP="00C10631">
      <w:pPr>
        <w:pStyle w:val="Footnote"/>
      </w:pPr>
      <w:r w:rsidRPr="007F530F">
        <w:t>d.</w:t>
      </w:r>
      <w:r w:rsidRPr="007F530F">
        <w:tab/>
        <w:t xml:space="preserve">The data is based on sentenced charges of, and cases involving as a principal proven offence a charge of, indecent act with a child aged under 16 or sexual assault of a child aged under 16 contrary to sections 47(1) and 49D of the </w:t>
      </w:r>
      <w:r w:rsidRPr="00D62402">
        <w:rPr>
          <w:rStyle w:val="Emphasis"/>
        </w:rPr>
        <w:t xml:space="preserve">Crimes Act 1958 </w:t>
      </w:r>
      <w:r w:rsidRPr="007F530F">
        <w:t>(Vic).</w:t>
      </w:r>
    </w:p>
    <w:p w14:paraId="13F2A532" w14:textId="77777777" w:rsidR="00AA49EA" w:rsidRDefault="00AA49EA" w:rsidP="00D00197">
      <w:pPr>
        <w:pStyle w:val="Caption"/>
        <w:sectPr w:rsidR="00AA49EA" w:rsidSect="00D6349A">
          <w:pgSz w:w="11906" w:h="16838"/>
          <w:pgMar w:top="1440" w:right="1440" w:bottom="1440" w:left="1440" w:header="720" w:footer="720" w:gutter="0"/>
          <w:cols w:space="720"/>
          <w:noEndnote/>
          <w:docGrid w:linePitch="326"/>
        </w:sectPr>
      </w:pPr>
    </w:p>
    <w:p w14:paraId="62D80A8A" w14:textId="60180131" w:rsidR="00EF5C25" w:rsidRPr="007F530F" w:rsidRDefault="00EF5C25" w:rsidP="00D00197">
      <w:pPr>
        <w:pStyle w:val="Caption"/>
      </w:pPr>
      <w:r w:rsidRPr="00D00197">
        <w:lastRenderedPageBreak/>
        <w:t xml:space="preserve">Table A3: </w:t>
      </w:r>
      <w:r w:rsidRPr="007F530F">
        <w:t>Distribution of charge-level and case-level prison sentence lengths for certain sex offences, higher courts, 2010 to 2019</w:t>
      </w:r>
    </w:p>
    <w:tbl>
      <w:tblPr>
        <w:tblStyle w:val="Table"/>
        <w:tblW w:w="5355" w:type="pct"/>
        <w:tblLook w:val="0020" w:firstRow="1" w:lastRow="0" w:firstColumn="0" w:lastColumn="0" w:noHBand="0" w:noVBand="0"/>
      </w:tblPr>
      <w:tblGrid>
        <w:gridCol w:w="2190"/>
        <w:gridCol w:w="1285"/>
        <w:gridCol w:w="1628"/>
        <w:gridCol w:w="1374"/>
        <w:gridCol w:w="2387"/>
        <w:gridCol w:w="2384"/>
        <w:gridCol w:w="1876"/>
        <w:gridCol w:w="831"/>
        <w:gridCol w:w="983"/>
      </w:tblGrid>
      <w:tr w:rsidR="00397C27" w:rsidRPr="007F530F" w14:paraId="5A5B4AC6" w14:textId="77777777" w:rsidTr="00397C27">
        <w:trPr>
          <w:trHeight w:val="60"/>
          <w:tblHeader/>
        </w:trPr>
        <w:tc>
          <w:tcPr>
            <w:tcW w:w="733" w:type="pct"/>
          </w:tcPr>
          <w:p w14:paraId="71F329B8" w14:textId="0F96FE0D" w:rsidR="00EF5C25" w:rsidRPr="007F530F" w:rsidRDefault="005C30CF" w:rsidP="0044610B">
            <w:pPr>
              <w:pStyle w:val="TableHeading"/>
              <w:rPr>
                <w:rFonts w:cstheme="minorBidi"/>
                <w:lang w:val="en-AU"/>
              </w:rPr>
            </w:pPr>
            <w:r w:rsidRPr="007F530F">
              <w:t>Sentence length</w:t>
            </w:r>
          </w:p>
        </w:tc>
        <w:tc>
          <w:tcPr>
            <w:tcW w:w="430" w:type="pct"/>
          </w:tcPr>
          <w:p w14:paraId="1894783C" w14:textId="77777777" w:rsidR="00EF5C25" w:rsidRPr="007F530F" w:rsidRDefault="00EF5C25" w:rsidP="00DF5757">
            <w:pPr>
              <w:pStyle w:val="TableHeading"/>
            </w:pPr>
            <w:r w:rsidRPr="007F530F">
              <w:t>Rape</w:t>
            </w:r>
            <w:r w:rsidRPr="007F530F">
              <w:rPr>
                <w:vertAlign w:val="superscript"/>
              </w:rPr>
              <w:t>a</w:t>
            </w:r>
          </w:p>
        </w:tc>
        <w:tc>
          <w:tcPr>
            <w:tcW w:w="545" w:type="pct"/>
          </w:tcPr>
          <w:p w14:paraId="12D565C0" w14:textId="77777777" w:rsidR="00EF5C25" w:rsidRPr="007F530F" w:rsidRDefault="00EF5C25" w:rsidP="00DF5757">
            <w:pPr>
              <w:pStyle w:val="TableHeading"/>
            </w:pPr>
            <w:r w:rsidRPr="007F530F">
              <w:t>Sexual assault</w:t>
            </w:r>
            <w:r w:rsidRPr="007F530F">
              <w:rPr>
                <w:vertAlign w:val="superscript"/>
              </w:rPr>
              <w:t>b</w:t>
            </w:r>
          </w:p>
        </w:tc>
        <w:tc>
          <w:tcPr>
            <w:tcW w:w="460" w:type="pct"/>
          </w:tcPr>
          <w:p w14:paraId="1FAD22F6" w14:textId="77777777" w:rsidR="00EF5C25" w:rsidRPr="007F530F" w:rsidRDefault="00EF5C25" w:rsidP="00DF5757">
            <w:pPr>
              <w:pStyle w:val="TableHeading"/>
            </w:pPr>
            <w:r w:rsidRPr="007F530F">
              <w:t>Incest</w:t>
            </w:r>
            <w:r w:rsidRPr="007F530F">
              <w:rPr>
                <w:vertAlign w:val="superscript"/>
              </w:rPr>
              <w:t>c</w:t>
            </w:r>
          </w:p>
        </w:tc>
        <w:tc>
          <w:tcPr>
            <w:tcW w:w="799" w:type="pct"/>
          </w:tcPr>
          <w:p w14:paraId="5022F149" w14:textId="77777777" w:rsidR="00EF5C25" w:rsidRPr="007F530F" w:rsidRDefault="00EF5C25" w:rsidP="00DF5757">
            <w:pPr>
              <w:pStyle w:val="TableHeading"/>
            </w:pPr>
            <w:r w:rsidRPr="007F530F">
              <w:t>Sexual penetration under 12</w:t>
            </w:r>
            <w:r w:rsidRPr="007F530F">
              <w:rPr>
                <w:vertAlign w:val="superscript"/>
              </w:rPr>
              <w:t>d</w:t>
            </w:r>
          </w:p>
        </w:tc>
        <w:tc>
          <w:tcPr>
            <w:tcW w:w="798" w:type="pct"/>
          </w:tcPr>
          <w:p w14:paraId="678F6704" w14:textId="77777777" w:rsidR="00EF5C25" w:rsidRPr="007F530F" w:rsidRDefault="00EF5C25" w:rsidP="00DF5757">
            <w:pPr>
              <w:pStyle w:val="TableHeading"/>
            </w:pPr>
            <w:r w:rsidRPr="007F530F">
              <w:t>Sexual penetration 12 to 15</w:t>
            </w:r>
            <w:r w:rsidRPr="007F530F">
              <w:rPr>
                <w:vertAlign w:val="superscript"/>
              </w:rPr>
              <w:t>e</w:t>
            </w:r>
          </w:p>
        </w:tc>
        <w:tc>
          <w:tcPr>
            <w:tcW w:w="628" w:type="pct"/>
          </w:tcPr>
          <w:p w14:paraId="036FFB12" w14:textId="77777777" w:rsidR="00EF5C25" w:rsidRPr="007F530F" w:rsidRDefault="00EF5C25" w:rsidP="00DF5757">
            <w:pPr>
              <w:pStyle w:val="TableHeading"/>
            </w:pPr>
            <w:r w:rsidRPr="007F530F">
              <w:t>Sexual assault of a child</w:t>
            </w:r>
            <w:r w:rsidRPr="007F530F">
              <w:rPr>
                <w:vertAlign w:val="superscript"/>
              </w:rPr>
              <w:t>f</w:t>
            </w:r>
          </w:p>
        </w:tc>
        <w:tc>
          <w:tcPr>
            <w:tcW w:w="607" w:type="pct"/>
            <w:gridSpan w:val="2"/>
          </w:tcPr>
          <w:p w14:paraId="79FF8341" w14:textId="77777777" w:rsidR="00EF5C25" w:rsidRPr="007F530F" w:rsidRDefault="00EF5C25" w:rsidP="00DF5757">
            <w:pPr>
              <w:pStyle w:val="TableHeading"/>
            </w:pPr>
            <w:r w:rsidRPr="007F530F">
              <w:t>Persist sexual abuse</w:t>
            </w:r>
            <w:r w:rsidRPr="007F530F">
              <w:rPr>
                <w:vertAlign w:val="superscript"/>
              </w:rPr>
              <w:t>g</w:t>
            </w:r>
          </w:p>
        </w:tc>
      </w:tr>
      <w:tr w:rsidR="0044610B" w:rsidRPr="007F530F" w14:paraId="1E70D54D" w14:textId="77777777" w:rsidTr="00397C27">
        <w:trPr>
          <w:gridAfter w:val="1"/>
          <w:wAfter w:w="329" w:type="pct"/>
          <w:trHeight w:val="60"/>
        </w:trPr>
        <w:tc>
          <w:tcPr>
            <w:tcW w:w="4671" w:type="pct"/>
            <w:gridSpan w:val="8"/>
          </w:tcPr>
          <w:p w14:paraId="4C6D76BC" w14:textId="08D90A78" w:rsidR="0044610B" w:rsidRPr="0044610B" w:rsidRDefault="0044610B" w:rsidP="00AC34F3">
            <w:pPr>
              <w:pStyle w:val="TableBody"/>
              <w:rPr>
                <w:rStyle w:val="Strong"/>
              </w:rPr>
            </w:pPr>
            <w:r w:rsidRPr="0044610B">
              <w:rPr>
                <w:rStyle w:val="Strong"/>
              </w:rPr>
              <w:t>Charge-level prison sentence length</w:t>
            </w:r>
          </w:p>
        </w:tc>
      </w:tr>
      <w:tr w:rsidR="00397C27" w:rsidRPr="007F530F" w14:paraId="251DB4D2" w14:textId="77777777" w:rsidTr="00397C27">
        <w:trPr>
          <w:trHeight w:val="60"/>
        </w:trPr>
        <w:tc>
          <w:tcPr>
            <w:tcW w:w="733" w:type="pct"/>
          </w:tcPr>
          <w:p w14:paraId="7B507900" w14:textId="77777777" w:rsidR="00EF5C25" w:rsidRPr="007F530F" w:rsidRDefault="00EF5C25" w:rsidP="00DC75F7">
            <w:pPr>
              <w:pStyle w:val="TableBody"/>
            </w:pPr>
            <w:r w:rsidRPr="007F530F">
              <w:t>Less than 1 year</w:t>
            </w:r>
          </w:p>
        </w:tc>
        <w:tc>
          <w:tcPr>
            <w:tcW w:w="430" w:type="pct"/>
          </w:tcPr>
          <w:p w14:paraId="593EE47E" w14:textId="77777777" w:rsidR="00EF5C25" w:rsidRPr="007F530F" w:rsidRDefault="00EF5C25" w:rsidP="00AC34F3">
            <w:pPr>
              <w:pStyle w:val="TableBody"/>
            </w:pPr>
            <w:r w:rsidRPr="007F530F">
              <w:t>9</w:t>
            </w:r>
          </w:p>
        </w:tc>
        <w:tc>
          <w:tcPr>
            <w:tcW w:w="545" w:type="pct"/>
          </w:tcPr>
          <w:p w14:paraId="5CD09A67" w14:textId="77777777" w:rsidR="00EF5C25" w:rsidRPr="007F530F" w:rsidRDefault="00EF5C25" w:rsidP="00AC34F3">
            <w:pPr>
              <w:pStyle w:val="TableBody"/>
            </w:pPr>
            <w:r w:rsidRPr="007F530F">
              <w:t>342</w:t>
            </w:r>
          </w:p>
        </w:tc>
        <w:tc>
          <w:tcPr>
            <w:tcW w:w="460" w:type="pct"/>
          </w:tcPr>
          <w:p w14:paraId="49C03915" w14:textId="77777777" w:rsidR="00EF5C25" w:rsidRPr="007F530F" w:rsidRDefault="00EF5C25" w:rsidP="00AC34F3">
            <w:pPr>
              <w:pStyle w:val="TableBody"/>
            </w:pPr>
            <w:r w:rsidRPr="007F530F">
              <w:t>3</w:t>
            </w:r>
          </w:p>
        </w:tc>
        <w:tc>
          <w:tcPr>
            <w:tcW w:w="799" w:type="pct"/>
          </w:tcPr>
          <w:p w14:paraId="6E5AC865" w14:textId="77777777" w:rsidR="00EF5C25" w:rsidRPr="007F530F" w:rsidRDefault="00EF5C25" w:rsidP="00AC34F3">
            <w:pPr>
              <w:pStyle w:val="TableBody"/>
            </w:pPr>
            <w:r w:rsidRPr="007F530F">
              <w:t>4</w:t>
            </w:r>
          </w:p>
        </w:tc>
        <w:tc>
          <w:tcPr>
            <w:tcW w:w="798" w:type="pct"/>
          </w:tcPr>
          <w:p w14:paraId="2BC6CEDE" w14:textId="77777777" w:rsidR="00EF5C25" w:rsidRPr="007F530F" w:rsidRDefault="00EF5C25" w:rsidP="00AC34F3">
            <w:pPr>
              <w:pStyle w:val="TableBody"/>
            </w:pPr>
            <w:r w:rsidRPr="007F530F">
              <w:t>78</w:t>
            </w:r>
          </w:p>
        </w:tc>
        <w:tc>
          <w:tcPr>
            <w:tcW w:w="628" w:type="pct"/>
          </w:tcPr>
          <w:p w14:paraId="04FADE03" w14:textId="77777777" w:rsidR="00EF5C25" w:rsidRPr="007F530F" w:rsidRDefault="00EF5C25" w:rsidP="00AC34F3">
            <w:pPr>
              <w:pStyle w:val="TableBody"/>
            </w:pPr>
            <w:r w:rsidRPr="007F530F">
              <w:t>779</w:t>
            </w:r>
          </w:p>
        </w:tc>
        <w:tc>
          <w:tcPr>
            <w:tcW w:w="607" w:type="pct"/>
            <w:gridSpan w:val="2"/>
          </w:tcPr>
          <w:p w14:paraId="2723D7E2" w14:textId="77777777" w:rsidR="00EF5C25" w:rsidRPr="007F530F" w:rsidRDefault="00EF5C25" w:rsidP="00AC34F3">
            <w:pPr>
              <w:pStyle w:val="TableBody"/>
            </w:pPr>
            <w:r w:rsidRPr="007F530F">
              <w:t>–</w:t>
            </w:r>
          </w:p>
        </w:tc>
      </w:tr>
      <w:tr w:rsidR="00397C27" w:rsidRPr="007F530F" w14:paraId="5A3B6298" w14:textId="77777777" w:rsidTr="00397C27">
        <w:trPr>
          <w:trHeight w:val="60"/>
        </w:trPr>
        <w:tc>
          <w:tcPr>
            <w:tcW w:w="733" w:type="pct"/>
          </w:tcPr>
          <w:p w14:paraId="7FAEAD35" w14:textId="77777777" w:rsidR="00EF5C25" w:rsidRPr="007F530F" w:rsidRDefault="00EF5C25" w:rsidP="00DC75F7">
            <w:pPr>
              <w:pStyle w:val="TableBody"/>
            </w:pPr>
            <w:r w:rsidRPr="007F530F">
              <w:t>1 year to less than 2 years</w:t>
            </w:r>
          </w:p>
        </w:tc>
        <w:tc>
          <w:tcPr>
            <w:tcW w:w="430" w:type="pct"/>
          </w:tcPr>
          <w:p w14:paraId="6B37D10C" w14:textId="77777777" w:rsidR="00EF5C25" w:rsidRPr="007F530F" w:rsidRDefault="00EF5C25" w:rsidP="00AC34F3">
            <w:pPr>
              <w:pStyle w:val="TableBody"/>
            </w:pPr>
            <w:r w:rsidRPr="007F530F">
              <w:t>12</w:t>
            </w:r>
          </w:p>
        </w:tc>
        <w:tc>
          <w:tcPr>
            <w:tcW w:w="545" w:type="pct"/>
          </w:tcPr>
          <w:p w14:paraId="575BB0DE" w14:textId="77777777" w:rsidR="00EF5C25" w:rsidRPr="007F530F" w:rsidRDefault="00EF5C25" w:rsidP="00AC34F3">
            <w:pPr>
              <w:pStyle w:val="TableBody"/>
            </w:pPr>
            <w:r w:rsidRPr="007F530F">
              <w:t>299</w:t>
            </w:r>
          </w:p>
        </w:tc>
        <w:tc>
          <w:tcPr>
            <w:tcW w:w="460" w:type="pct"/>
          </w:tcPr>
          <w:p w14:paraId="739D2A0F" w14:textId="77777777" w:rsidR="00EF5C25" w:rsidRPr="007F530F" w:rsidRDefault="00EF5C25" w:rsidP="00AC34F3">
            <w:pPr>
              <w:pStyle w:val="TableBody"/>
            </w:pPr>
            <w:r w:rsidRPr="007F530F">
              <w:t>6</w:t>
            </w:r>
          </w:p>
        </w:tc>
        <w:tc>
          <w:tcPr>
            <w:tcW w:w="799" w:type="pct"/>
          </w:tcPr>
          <w:p w14:paraId="6F63737D" w14:textId="77777777" w:rsidR="00EF5C25" w:rsidRPr="007F530F" w:rsidRDefault="00EF5C25" w:rsidP="00AC34F3">
            <w:pPr>
              <w:pStyle w:val="TableBody"/>
            </w:pPr>
            <w:r w:rsidRPr="007F530F">
              <w:t>9</w:t>
            </w:r>
          </w:p>
        </w:tc>
        <w:tc>
          <w:tcPr>
            <w:tcW w:w="798" w:type="pct"/>
          </w:tcPr>
          <w:p w14:paraId="55526DEE" w14:textId="77777777" w:rsidR="00EF5C25" w:rsidRPr="007F530F" w:rsidRDefault="00EF5C25" w:rsidP="00AC34F3">
            <w:pPr>
              <w:pStyle w:val="TableBody"/>
            </w:pPr>
            <w:r w:rsidRPr="007F530F">
              <w:t>142</w:t>
            </w:r>
          </w:p>
        </w:tc>
        <w:tc>
          <w:tcPr>
            <w:tcW w:w="628" w:type="pct"/>
          </w:tcPr>
          <w:p w14:paraId="5650367A" w14:textId="77777777" w:rsidR="00EF5C25" w:rsidRPr="007F530F" w:rsidRDefault="00EF5C25" w:rsidP="00AC34F3">
            <w:pPr>
              <w:pStyle w:val="TableBody"/>
            </w:pPr>
            <w:r w:rsidRPr="007F530F">
              <w:t>973</w:t>
            </w:r>
          </w:p>
        </w:tc>
        <w:tc>
          <w:tcPr>
            <w:tcW w:w="607" w:type="pct"/>
            <w:gridSpan w:val="2"/>
          </w:tcPr>
          <w:p w14:paraId="5E46B931" w14:textId="77777777" w:rsidR="00EF5C25" w:rsidRPr="007F530F" w:rsidRDefault="00EF5C25" w:rsidP="00AC34F3">
            <w:pPr>
              <w:pStyle w:val="TableBody"/>
            </w:pPr>
            <w:r w:rsidRPr="007F530F">
              <w:t>6</w:t>
            </w:r>
          </w:p>
        </w:tc>
      </w:tr>
      <w:tr w:rsidR="00397C27" w:rsidRPr="007F530F" w14:paraId="59BFB115" w14:textId="77777777" w:rsidTr="00397C27">
        <w:trPr>
          <w:trHeight w:val="60"/>
        </w:trPr>
        <w:tc>
          <w:tcPr>
            <w:tcW w:w="733" w:type="pct"/>
          </w:tcPr>
          <w:p w14:paraId="33423A3C" w14:textId="77777777" w:rsidR="00EF5C25" w:rsidRPr="007F530F" w:rsidRDefault="00EF5C25" w:rsidP="00DC75F7">
            <w:pPr>
              <w:pStyle w:val="TableBody"/>
            </w:pPr>
            <w:r w:rsidRPr="007F530F">
              <w:t>2 year to less than 3 years</w:t>
            </w:r>
          </w:p>
        </w:tc>
        <w:tc>
          <w:tcPr>
            <w:tcW w:w="430" w:type="pct"/>
          </w:tcPr>
          <w:p w14:paraId="0EC0E18C" w14:textId="77777777" w:rsidR="00EF5C25" w:rsidRPr="007F530F" w:rsidRDefault="00EF5C25" w:rsidP="00AC34F3">
            <w:pPr>
              <w:pStyle w:val="TableBody"/>
            </w:pPr>
            <w:r w:rsidRPr="007F530F">
              <w:t>45</w:t>
            </w:r>
          </w:p>
        </w:tc>
        <w:tc>
          <w:tcPr>
            <w:tcW w:w="545" w:type="pct"/>
          </w:tcPr>
          <w:p w14:paraId="189971DB" w14:textId="77777777" w:rsidR="00EF5C25" w:rsidRPr="007F530F" w:rsidRDefault="00EF5C25" w:rsidP="00AC34F3">
            <w:pPr>
              <w:pStyle w:val="TableBody"/>
            </w:pPr>
            <w:r w:rsidRPr="007F530F">
              <w:t>123</w:t>
            </w:r>
          </w:p>
        </w:tc>
        <w:tc>
          <w:tcPr>
            <w:tcW w:w="460" w:type="pct"/>
          </w:tcPr>
          <w:p w14:paraId="51B1A8A9" w14:textId="77777777" w:rsidR="00EF5C25" w:rsidRPr="007F530F" w:rsidRDefault="00EF5C25" w:rsidP="00AC34F3">
            <w:pPr>
              <w:pStyle w:val="TableBody"/>
            </w:pPr>
            <w:r w:rsidRPr="007F530F">
              <w:t>53</w:t>
            </w:r>
          </w:p>
        </w:tc>
        <w:tc>
          <w:tcPr>
            <w:tcW w:w="799" w:type="pct"/>
          </w:tcPr>
          <w:p w14:paraId="27A04DE3" w14:textId="77777777" w:rsidR="00EF5C25" w:rsidRPr="007F530F" w:rsidRDefault="00EF5C25" w:rsidP="00AC34F3">
            <w:pPr>
              <w:pStyle w:val="TableBody"/>
            </w:pPr>
            <w:r w:rsidRPr="007F530F">
              <w:t>31</w:t>
            </w:r>
          </w:p>
        </w:tc>
        <w:tc>
          <w:tcPr>
            <w:tcW w:w="798" w:type="pct"/>
          </w:tcPr>
          <w:p w14:paraId="4BD8C5EC" w14:textId="77777777" w:rsidR="00EF5C25" w:rsidRPr="007F530F" w:rsidRDefault="00EF5C25" w:rsidP="00AC34F3">
            <w:pPr>
              <w:pStyle w:val="TableBody"/>
            </w:pPr>
            <w:r w:rsidRPr="007F530F">
              <w:t>238</w:t>
            </w:r>
          </w:p>
        </w:tc>
        <w:tc>
          <w:tcPr>
            <w:tcW w:w="628" w:type="pct"/>
          </w:tcPr>
          <w:p w14:paraId="562DBB03" w14:textId="77777777" w:rsidR="00EF5C25" w:rsidRPr="007F530F" w:rsidRDefault="00EF5C25" w:rsidP="00AC34F3">
            <w:pPr>
              <w:pStyle w:val="TableBody"/>
            </w:pPr>
            <w:r w:rsidRPr="007F530F">
              <w:t>344</w:t>
            </w:r>
          </w:p>
        </w:tc>
        <w:tc>
          <w:tcPr>
            <w:tcW w:w="607" w:type="pct"/>
            <w:gridSpan w:val="2"/>
          </w:tcPr>
          <w:p w14:paraId="336C387C" w14:textId="77777777" w:rsidR="00EF5C25" w:rsidRPr="007F530F" w:rsidRDefault="00EF5C25" w:rsidP="00AC34F3">
            <w:pPr>
              <w:pStyle w:val="TableBody"/>
            </w:pPr>
            <w:r w:rsidRPr="007F530F">
              <w:t>4</w:t>
            </w:r>
          </w:p>
        </w:tc>
      </w:tr>
      <w:tr w:rsidR="00397C27" w:rsidRPr="007F530F" w14:paraId="5D00CB2B" w14:textId="77777777" w:rsidTr="00397C27">
        <w:trPr>
          <w:trHeight w:val="60"/>
        </w:trPr>
        <w:tc>
          <w:tcPr>
            <w:tcW w:w="733" w:type="pct"/>
          </w:tcPr>
          <w:p w14:paraId="29F949C6" w14:textId="77777777" w:rsidR="00EF5C25" w:rsidRPr="007F530F" w:rsidRDefault="00EF5C25" w:rsidP="00DC75F7">
            <w:pPr>
              <w:pStyle w:val="TableBody"/>
            </w:pPr>
            <w:r w:rsidRPr="007F530F">
              <w:t>3 year to less than 4 years</w:t>
            </w:r>
          </w:p>
        </w:tc>
        <w:tc>
          <w:tcPr>
            <w:tcW w:w="430" w:type="pct"/>
          </w:tcPr>
          <w:p w14:paraId="5B8FEDEC" w14:textId="77777777" w:rsidR="00EF5C25" w:rsidRPr="007F530F" w:rsidRDefault="00EF5C25" w:rsidP="00AC34F3">
            <w:pPr>
              <w:pStyle w:val="TableBody"/>
            </w:pPr>
            <w:r w:rsidRPr="007F530F">
              <w:t>115</w:t>
            </w:r>
          </w:p>
        </w:tc>
        <w:tc>
          <w:tcPr>
            <w:tcW w:w="545" w:type="pct"/>
          </w:tcPr>
          <w:p w14:paraId="3BA74B07" w14:textId="77777777" w:rsidR="00EF5C25" w:rsidRPr="007F530F" w:rsidRDefault="00EF5C25" w:rsidP="00AC34F3">
            <w:pPr>
              <w:pStyle w:val="TableBody"/>
            </w:pPr>
            <w:r w:rsidRPr="007F530F">
              <w:t>31</w:t>
            </w:r>
          </w:p>
        </w:tc>
        <w:tc>
          <w:tcPr>
            <w:tcW w:w="460" w:type="pct"/>
          </w:tcPr>
          <w:p w14:paraId="1BF632A6" w14:textId="77777777" w:rsidR="00EF5C25" w:rsidRPr="007F530F" w:rsidRDefault="00EF5C25" w:rsidP="00AC34F3">
            <w:pPr>
              <w:pStyle w:val="TableBody"/>
            </w:pPr>
            <w:r w:rsidRPr="007F530F">
              <w:t>170</w:t>
            </w:r>
          </w:p>
        </w:tc>
        <w:tc>
          <w:tcPr>
            <w:tcW w:w="799" w:type="pct"/>
          </w:tcPr>
          <w:p w14:paraId="4F01BB62" w14:textId="77777777" w:rsidR="00EF5C25" w:rsidRPr="007F530F" w:rsidRDefault="00EF5C25" w:rsidP="00AC34F3">
            <w:pPr>
              <w:pStyle w:val="TableBody"/>
            </w:pPr>
            <w:r w:rsidRPr="007F530F">
              <w:t>56</w:t>
            </w:r>
          </w:p>
        </w:tc>
        <w:tc>
          <w:tcPr>
            <w:tcW w:w="798" w:type="pct"/>
          </w:tcPr>
          <w:p w14:paraId="107E7778" w14:textId="77777777" w:rsidR="00EF5C25" w:rsidRPr="007F530F" w:rsidRDefault="00EF5C25" w:rsidP="00AC34F3">
            <w:pPr>
              <w:pStyle w:val="TableBody"/>
            </w:pPr>
            <w:r w:rsidRPr="007F530F">
              <w:t>321</w:t>
            </w:r>
          </w:p>
        </w:tc>
        <w:tc>
          <w:tcPr>
            <w:tcW w:w="628" w:type="pct"/>
          </w:tcPr>
          <w:p w14:paraId="5EB9FA67" w14:textId="77777777" w:rsidR="00EF5C25" w:rsidRPr="007F530F" w:rsidRDefault="00EF5C25" w:rsidP="00AC34F3">
            <w:pPr>
              <w:pStyle w:val="TableBody"/>
            </w:pPr>
            <w:r w:rsidRPr="007F530F">
              <w:t>104</w:t>
            </w:r>
          </w:p>
        </w:tc>
        <w:tc>
          <w:tcPr>
            <w:tcW w:w="607" w:type="pct"/>
            <w:gridSpan w:val="2"/>
          </w:tcPr>
          <w:p w14:paraId="1FC82A05" w14:textId="77777777" w:rsidR="00EF5C25" w:rsidRPr="007F530F" w:rsidRDefault="00EF5C25" w:rsidP="00AC34F3">
            <w:pPr>
              <w:pStyle w:val="TableBody"/>
            </w:pPr>
            <w:r w:rsidRPr="007F530F">
              <w:t>4</w:t>
            </w:r>
          </w:p>
        </w:tc>
      </w:tr>
      <w:tr w:rsidR="00397C27" w:rsidRPr="007F530F" w14:paraId="31EBD98C" w14:textId="77777777" w:rsidTr="00397C27">
        <w:trPr>
          <w:trHeight w:val="60"/>
        </w:trPr>
        <w:tc>
          <w:tcPr>
            <w:tcW w:w="733" w:type="pct"/>
          </w:tcPr>
          <w:p w14:paraId="027F2A29" w14:textId="77777777" w:rsidR="00EF5C25" w:rsidRPr="007F530F" w:rsidRDefault="00EF5C25" w:rsidP="00DC75F7">
            <w:pPr>
              <w:pStyle w:val="TableBody"/>
            </w:pPr>
            <w:r w:rsidRPr="007F530F">
              <w:t>4 year to less than 5 years</w:t>
            </w:r>
          </w:p>
        </w:tc>
        <w:tc>
          <w:tcPr>
            <w:tcW w:w="430" w:type="pct"/>
          </w:tcPr>
          <w:p w14:paraId="63810BD5" w14:textId="77777777" w:rsidR="00EF5C25" w:rsidRPr="007F530F" w:rsidRDefault="00EF5C25" w:rsidP="00AC34F3">
            <w:pPr>
              <w:pStyle w:val="TableBody"/>
            </w:pPr>
            <w:r w:rsidRPr="007F530F">
              <w:t>182</w:t>
            </w:r>
          </w:p>
        </w:tc>
        <w:tc>
          <w:tcPr>
            <w:tcW w:w="545" w:type="pct"/>
          </w:tcPr>
          <w:p w14:paraId="68AFD946" w14:textId="77777777" w:rsidR="00EF5C25" w:rsidRPr="007F530F" w:rsidRDefault="00EF5C25" w:rsidP="00AC34F3">
            <w:pPr>
              <w:pStyle w:val="TableBody"/>
            </w:pPr>
            <w:r w:rsidRPr="007F530F">
              <w:t>4</w:t>
            </w:r>
          </w:p>
        </w:tc>
        <w:tc>
          <w:tcPr>
            <w:tcW w:w="460" w:type="pct"/>
          </w:tcPr>
          <w:p w14:paraId="3D2F3CAE" w14:textId="77777777" w:rsidR="00EF5C25" w:rsidRPr="007F530F" w:rsidRDefault="00EF5C25" w:rsidP="00AC34F3">
            <w:pPr>
              <w:pStyle w:val="TableBody"/>
            </w:pPr>
            <w:r w:rsidRPr="007F530F">
              <w:t>235</w:t>
            </w:r>
          </w:p>
        </w:tc>
        <w:tc>
          <w:tcPr>
            <w:tcW w:w="799" w:type="pct"/>
          </w:tcPr>
          <w:p w14:paraId="5837A86A" w14:textId="77777777" w:rsidR="00EF5C25" w:rsidRPr="007F530F" w:rsidRDefault="00EF5C25" w:rsidP="00AC34F3">
            <w:pPr>
              <w:pStyle w:val="TableBody"/>
            </w:pPr>
            <w:r w:rsidRPr="007F530F">
              <w:t>55</w:t>
            </w:r>
          </w:p>
        </w:tc>
        <w:tc>
          <w:tcPr>
            <w:tcW w:w="798" w:type="pct"/>
          </w:tcPr>
          <w:p w14:paraId="6A44D61A" w14:textId="77777777" w:rsidR="00EF5C25" w:rsidRPr="007F530F" w:rsidRDefault="00EF5C25" w:rsidP="00AC34F3">
            <w:pPr>
              <w:pStyle w:val="TableBody"/>
            </w:pPr>
            <w:r w:rsidRPr="007F530F">
              <w:t>121</w:t>
            </w:r>
          </w:p>
        </w:tc>
        <w:tc>
          <w:tcPr>
            <w:tcW w:w="628" w:type="pct"/>
          </w:tcPr>
          <w:p w14:paraId="6DD69D5A" w14:textId="77777777" w:rsidR="00EF5C25" w:rsidRPr="007F530F" w:rsidRDefault="00EF5C25" w:rsidP="00AC34F3">
            <w:pPr>
              <w:pStyle w:val="TableBody"/>
            </w:pPr>
            <w:r w:rsidRPr="007F530F">
              <w:t>17</w:t>
            </w:r>
          </w:p>
        </w:tc>
        <w:tc>
          <w:tcPr>
            <w:tcW w:w="607" w:type="pct"/>
            <w:gridSpan w:val="2"/>
          </w:tcPr>
          <w:p w14:paraId="5D5F73D7" w14:textId="77777777" w:rsidR="00EF5C25" w:rsidRPr="007F530F" w:rsidRDefault="00EF5C25" w:rsidP="00AC34F3">
            <w:pPr>
              <w:pStyle w:val="TableBody"/>
            </w:pPr>
            <w:r w:rsidRPr="007F530F">
              <w:t>8</w:t>
            </w:r>
          </w:p>
        </w:tc>
      </w:tr>
      <w:tr w:rsidR="00397C27" w:rsidRPr="007F530F" w14:paraId="0E21C08A" w14:textId="77777777" w:rsidTr="00397C27">
        <w:trPr>
          <w:trHeight w:val="60"/>
        </w:trPr>
        <w:tc>
          <w:tcPr>
            <w:tcW w:w="733" w:type="pct"/>
          </w:tcPr>
          <w:p w14:paraId="40058C8D" w14:textId="77777777" w:rsidR="00EF5C25" w:rsidRPr="007F530F" w:rsidRDefault="00EF5C25" w:rsidP="00DC75F7">
            <w:pPr>
              <w:pStyle w:val="TableBody"/>
            </w:pPr>
            <w:r w:rsidRPr="007F530F">
              <w:t>5 year to less than 6 years</w:t>
            </w:r>
          </w:p>
        </w:tc>
        <w:tc>
          <w:tcPr>
            <w:tcW w:w="430" w:type="pct"/>
          </w:tcPr>
          <w:p w14:paraId="2FEDDC02" w14:textId="77777777" w:rsidR="00EF5C25" w:rsidRPr="007F530F" w:rsidRDefault="00EF5C25" w:rsidP="00AC34F3">
            <w:pPr>
              <w:pStyle w:val="TableBody"/>
            </w:pPr>
            <w:r w:rsidRPr="007F530F">
              <w:t>163</w:t>
            </w:r>
          </w:p>
        </w:tc>
        <w:tc>
          <w:tcPr>
            <w:tcW w:w="545" w:type="pct"/>
          </w:tcPr>
          <w:p w14:paraId="531E09F3" w14:textId="77777777" w:rsidR="00EF5C25" w:rsidRPr="007F530F" w:rsidRDefault="00EF5C25" w:rsidP="00AC34F3">
            <w:pPr>
              <w:pStyle w:val="TableBody"/>
            </w:pPr>
            <w:r w:rsidRPr="007F530F">
              <w:t>2</w:t>
            </w:r>
          </w:p>
        </w:tc>
        <w:tc>
          <w:tcPr>
            <w:tcW w:w="460" w:type="pct"/>
          </w:tcPr>
          <w:p w14:paraId="42708538" w14:textId="77777777" w:rsidR="00EF5C25" w:rsidRPr="007F530F" w:rsidRDefault="00EF5C25" w:rsidP="00AC34F3">
            <w:pPr>
              <w:pStyle w:val="TableBody"/>
            </w:pPr>
            <w:r w:rsidRPr="007F530F">
              <w:t>217</w:t>
            </w:r>
          </w:p>
        </w:tc>
        <w:tc>
          <w:tcPr>
            <w:tcW w:w="799" w:type="pct"/>
          </w:tcPr>
          <w:p w14:paraId="71B39C4B" w14:textId="77777777" w:rsidR="00EF5C25" w:rsidRPr="007F530F" w:rsidRDefault="00EF5C25" w:rsidP="00AC34F3">
            <w:pPr>
              <w:pStyle w:val="TableBody"/>
            </w:pPr>
            <w:r w:rsidRPr="007F530F">
              <w:t>43</w:t>
            </w:r>
          </w:p>
        </w:tc>
        <w:tc>
          <w:tcPr>
            <w:tcW w:w="798" w:type="pct"/>
          </w:tcPr>
          <w:p w14:paraId="127FD91E" w14:textId="77777777" w:rsidR="00EF5C25" w:rsidRPr="007F530F" w:rsidRDefault="00EF5C25" w:rsidP="00AC34F3">
            <w:pPr>
              <w:pStyle w:val="TableBody"/>
            </w:pPr>
            <w:r w:rsidRPr="007F530F">
              <w:t>48</w:t>
            </w:r>
          </w:p>
        </w:tc>
        <w:tc>
          <w:tcPr>
            <w:tcW w:w="628" w:type="pct"/>
          </w:tcPr>
          <w:p w14:paraId="4DB90EB7" w14:textId="77777777" w:rsidR="00EF5C25" w:rsidRPr="007F530F" w:rsidRDefault="00EF5C25" w:rsidP="00AC34F3">
            <w:pPr>
              <w:pStyle w:val="TableBody"/>
            </w:pPr>
            <w:r w:rsidRPr="007F530F">
              <w:t>3</w:t>
            </w:r>
          </w:p>
        </w:tc>
        <w:tc>
          <w:tcPr>
            <w:tcW w:w="607" w:type="pct"/>
            <w:gridSpan w:val="2"/>
          </w:tcPr>
          <w:p w14:paraId="4F7672DF" w14:textId="77777777" w:rsidR="00EF5C25" w:rsidRPr="007F530F" w:rsidRDefault="00EF5C25" w:rsidP="00AC34F3">
            <w:pPr>
              <w:pStyle w:val="TableBody"/>
            </w:pPr>
            <w:r w:rsidRPr="007F530F">
              <w:t>25</w:t>
            </w:r>
          </w:p>
        </w:tc>
      </w:tr>
      <w:tr w:rsidR="00397C27" w:rsidRPr="007F530F" w14:paraId="53E0A564" w14:textId="77777777" w:rsidTr="00397C27">
        <w:trPr>
          <w:trHeight w:val="60"/>
        </w:trPr>
        <w:tc>
          <w:tcPr>
            <w:tcW w:w="733" w:type="pct"/>
          </w:tcPr>
          <w:p w14:paraId="3FE41459" w14:textId="77777777" w:rsidR="00EF5C25" w:rsidRPr="007F530F" w:rsidRDefault="00EF5C25" w:rsidP="00DC75F7">
            <w:pPr>
              <w:pStyle w:val="TableBody"/>
            </w:pPr>
            <w:r w:rsidRPr="007F530F">
              <w:t>6 year to less than 7 years</w:t>
            </w:r>
          </w:p>
        </w:tc>
        <w:tc>
          <w:tcPr>
            <w:tcW w:w="430" w:type="pct"/>
          </w:tcPr>
          <w:p w14:paraId="2BED663C" w14:textId="77777777" w:rsidR="00EF5C25" w:rsidRPr="007F530F" w:rsidRDefault="00EF5C25" w:rsidP="00AC34F3">
            <w:pPr>
              <w:pStyle w:val="TableBody"/>
            </w:pPr>
            <w:r w:rsidRPr="007F530F">
              <w:t>127</w:t>
            </w:r>
          </w:p>
        </w:tc>
        <w:tc>
          <w:tcPr>
            <w:tcW w:w="545" w:type="pct"/>
          </w:tcPr>
          <w:p w14:paraId="4D77E5B6" w14:textId="77777777" w:rsidR="00EF5C25" w:rsidRPr="007F530F" w:rsidRDefault="00EF5C25" w:rsidP="00AC34F3">
            <w:pPr>
              <w:pStyle w:val="TableBody"/>
            </w:pPr>
            <w:r w:rsidRPr="007F530F">
              <w:t>–</w:t>
            </w:r>
          </w:p>
        </w:tc>
        <w:tc>
          <w:tcPr>
            <w:tcW w:w="460" w:type="pct"/>
          </w:tcPr>
          <w:p w14:paraId="0BB44FC3" w14:textId="77777777" w:rsidR="00EF5C25" w:rsidRPr="007F530F" w:rsidRDefault="00EF5C25" w:rsidP="00AC34F3">
            <w:pPr>
              <w:pStyle w:val="TableBody"/>
            </w:pPr>
            <w:r w:rsidRPr="007F530F">
              <w:t>129</w:t>
            </w:r>
          </w:p>
        </w:tc>
        <w:tc>
          <w:tcPr>
            <w:tcW w:w="799" w:type="pct"/>
          </w:tcPr>
          <w:p w14:paraId="1F649ABF" w14:textId="77777777" w:rsidR="00EF5C25" w:rsidRPr="007F530F" w:rsidRDefault="00EF5C25" w:rsidP="00AC34F3">
            <w:pPr>
              <w:pStyle w:val="TableBody"/>
            </w:pPr>
            <w:r w:rsidRPr="007F530F">
              <w:t>18</w:t>
            </w:r>
          </w:p>
        </w:tc>
        <w:tc>
          <w:tcPr>
            <w:tcW w:w="798" w:type="pct"/>
          </w:tcPr>
          <w:p w14:paraId="71915FFC" w14:textId="77777777" w:rsidR="00EF5C25" w:rsidRPr="007F530F" w:rsidRDefault="00EF5C25" w:rsidP="00AC34F3">
            <w:pPr>
              <w:pStyle w:val="TableBody"/>
            </w:pPr>
            <w:r w:rsidRPr="007F530F">
              <w:t>12</w:t>
            </w:r>
          </w:p>
        </w:tc>
        <w:tc>
          <w:tcPr>
            <w:tcW w:w="628" w:type="pct"/>
          </w:tcPr>
          <w:p w14:paraId="711C3523" w14:textId="77777777" w:rsidR="00EF5C25" w:rsidRPr="007F530F" w:rsidRDefault="00EF5C25" w:rsidP="00AC34F3">
            <w:pPr>
              <w:pStyle w:val="TableBody"/>
            </w:pPr>
            <w:r w:rsidRPr="007F530F">
              <w:t>5</w:t>
            </w:r>
          </w:p>
        </w:tc>
        <w:tc>
          <w:tcPr>
            <w:tcW w:w="607" w:type="pct"/>
            <w:gridSpan w:val="2"/>
          </w:tcPr>
          <w:p w14:paraId="622F83D0" w14:textId="77777777" w:rsidR="00EF5C25" w:rsidRPr="007F530F" w:rsidRDefault="00EF5C25" w:rsidP="00AC34F3">
            <w:pPr>
              <w:pStyle w:val="TableBody"/>
            </w:pPr>
            <w:r w:rsidRPr="007F530F">
              <w:t>24</w:t>
            </w:r>
          </w:p>
        </w:tc>
      </w:tr>
      <w:tr w:rsidR="00397C27" w:rsidRPr="007F530F" w14:paraId="41BDC473" w14:textId="77777777" w:rsidTr="00397C27">
        <w:trPr>
          <w:trHeight w:val="60"/>
        </w:trPr>
        <w:tc>
          <w:tcPr>
            <w:tcW w:w="733" w:type="pct"/>
          </w:tcPr>
          <w:p w14:paraId="6C35DD91" w14:textId="77777777" w:rsidR="00EF5C25" w:rsidRPr="007F530F" w:rsidRDefault="00EF5C25" w:rsidP="00DC75F7">
            <w:pPr>
              <w:pStyle w:val="TableBody"/>
            </w:pPr>
            <w:r w:rsidRPr="007F530F">
              <w:t>7 year to less than 8 years</w:t>
            </w:r>
          </w:p>
        </w:tc>
        <w:tc>
          <w:tcPr>
            <w:tcW w:w="430" w:type="pct"/>
          </w:tcPr>
          <w:p w14:paraId="6982079F" w14:textId="77777777" w:rsidR="00EF5C25" w:rsidRPr="007F530F" w:rsidRDefault="00EF5C25" w:rsidP="00AC34F3">
            <w:pPr>
              <w:pStyle w:val="TableBody"/>
            </w:pPr>
            <w:r w:rsidRPr="007F530F">
              <w:t>96</w:t>
            </w:r>
          </w:p>
        </w:tc>
        <w:tc>
          <w:tcPr>
            <w:tcW w:w="545" w:type="pct"/>
          </w:tcPr>
          <w:p w14:paraId="3C6B5A05" w14:textId="77777777" w:rsidR="00EF5C25" w:rsidRPr="007F530F" w:rsidRDefault="00EF5C25" w:rsidP="00AC34F3">
            <w:pPr>
              <w:pStyle w:val="TableBody"/>
            </w:pPr>
            <w:r w:rsidRPr="007F530F">
              <w:t>–</w:t>
            </w:r>
          </w:p>
        </w:tc>
        <w:tc>
          <w:tcPr>
            <w:tcW w:w="460" w:type="pct"/>
          </w:tcPr>
          <w:p w14:paraId="7D6943EF" w14:textId="77777777" w:rsidR="00EF5C25" w:rsidRPr="007F530F" w:rsidRDefault="00EF5C25" w:rsidP="00AC34F3">
            <w:pPr>
              <w:pStyle w:val="TableBody"/>
            </w:pPr>
            <w:r w:rsidRPr="007F530F">
              <w:t>61</w:t>
            </w:r>
          </w:p>
        </w:tc>
        <w:tc>
          <w:tcPr>
            <w:tcW w:w="799" w:type="pct"/>
          </w:tcPr>
          <w:p w14:paraId="4A602B06" w14:textId="77777777" w:rsidR="00EF5C25" w:rsidRPr="007F530F" w:rsidRDefault="00EF5C25" w:rsidP="00AC34F3">
            <w:pPr>
              <w:pStyle w:val="TableBody"/>
            </w:pPr>
            <w:r w:rsidRPr="007F530F">
              <w:t>11</w:t>
            </w:r>
          </w:p>
        </w:tc>
        <w:tc>
          <w:tcPr>
            <w:tcW w:w="798" w:type="pct"/>
          </w:tcPr>
          <w:p w14:paraId="665F611D" w14:textId="77777777" w:rsidR="00EF5C25" w:rsidRPr="007F530F" w:rsidRDefault="00EF5C25" w:rsidP="00AC34F3">
            <w:pPr>
              <w:pStyle w:val="TableBody"/>
            </w:pPr>
            <w:r w:rsidRPr="007F530F">
              <w:t>–</w:t>
            </w:r>
          </w:p>
        </w:tc>
        <w:tc>
          <w:tcPr>
            <w:tcW w:w="628" w:type="pct"/>
          </w:tcPr>
          <w:p w14:paraId="741D90DD" w14:textId="77777777" w:rsidR="00EF5C25" w:rsidRPr="007F530F" w:rsidRDefault="00EF5C25" w:rsidP="00AC34F3">
            <w:pPr>
              <w:pStyle w:val="TableBody"/>
            </w:pPr>
            <w:r w:rsidRPr="007F530F">
              <w:t>1</w:t>
            </w:r>
          </w:p>
        </w:tc>
        <w:tc>
          <w:tcPr>
            <w:tcW w:w="607" w:type="pct"/>
            <w:gridSpan w:val="2"/>
          </w:tcPr>
          <w:p w14:paraId="2D4B6DBD" w14:textId="77777777" w:rsidR="00EF5C25" w:rsidRPr="007F530F" w:rsidRDefault="00EF5C25" w:rsidP="00AC34F3">
            <w:pPr>
              <w:pStyle w:val="TableBody"/>
            </w:pPr>
            <w:r w:rsidRPr="007F530F">
              <w:t>18</w:t>
            </w:r>
          </w:p>
        </w:tc>
      </w:tr>
      <w:tr w:rsidR="00397C27" w:rsidRPr="007F530F" w14:paraId="22276CE4" w14:textId="77777777" w:rsidTr="00397C27">
        <w:trPr>
          <w:trHeight w:val="60"/>
        </w:trPr>
        <w:tc>
          <w:tcPr>
            <w:tcW w:w="733" w:type="pct"/>
          </w:tcPr>
          <w:p w14:paraId="282652FC" w14:textId="77777777" w:rsidR="00EF5C25" w:rsidRPr="007F530F" w:rsidRDefault="00EF5C25" w:rsidP="00DC75F7">
            <w:pPr>
              <w:pStyle w:val="TableBody"/>
            </w:pPr>
            <w:r w:rsidRPr="007F530F">
              <w:t>8 year to less than 9 years</w:t>
            </w:r>
          </w:p>
        </w:tc>
        <w:tc>
          <w:tcPr>
            <w:tcW w:w="430" w:type="pct"/>
          </w:tcPr>
          <w:p w14:paraId="614A53E7" w14:textId="77777777" w:rsidR="00EF5C25" w:rsidRPr="007F530F" w:rsidRDefault="00EF5C25" w:rsidP="00AC34F3">
            <w:pPr>
              <w:pStyle w:val="TableBody"/>
            </w:pPr>
            <w:r w:rsidRPr="007F530F">
              <w:t>72</w:t>
            </w:r>
          </w:p>
        </w:tc>
        <w:tc>
          <w:tcPr>
            <w:tcW w:w="545" w:type="pct"/>
          </w:tcPr>
          <w:p w14:paraId="7B81B442" w14:textId="77777777" w:rsidR="00EF5C25" w:rsidRPr="007F530F" w:rsidRDefault="00EF5C25" w:rsidP="00AC34F3">
            <w:pPr>
              <w:pStyle w:val="TableBody"/>
            </w:pPr>
            <w:r w:rsidRPr="007F530F">
              <w:t>–</w:t>
            </w:r>
          </w:p>
        </w:tc>
        <w:tc>
          <w:tcPr>
            <w:tcW w:w="460" w:type="pct"/>
          </w:tcPr>
          <w:p w14:paraId="39ED4508" w14:textId="77777777" w:rsidR="00EF5C25" w:rsidRPr="007F530F" w:rsidRDefault="00EF5C25" w:rsidP="00AC34F3">
            <w:pPr>
              <w:pStyle w:val="TableBody"/>
            </w:pPr>
            <w:r w:rsidRPr="007F530F">
              <w:t>26</w:t>
            </w:r>
          </w:p>
        </w:tc>
        <w:tc>
          <w:tcPr>
            <w:tcW w:w="799" w:type="pct"/>
          </w:tcPr>
          <w:p w14:paraId="5E7E23E3" w14:textId="77777777" w:rsidR="00EF5C25" w:rsidRPr="007F530F" w:rsidRDefault="00EF5C25" w:rsidP="00AC34F3">
            <w:pPr>
              <w:pStyle w:val="TableBody"/>
            </w:pPr>
            <w:r w:rsidRPr="007F530F">
              <w:t>2</w:t>
            </w:r>
          </w:p>
        </w:tc>
        <w:tc>
          <w:tcPr>
            <w:tcW w:w="798" w:type="pct"/>
          </w:tcPr>
          <w:p w14:paraId="2833AF75" w14:textId="77777777" w:rsidR="00EF5C25" w:rsidRPr="007F530F" w:rsidRDefault="00EF5C25" w:rsidP="00AC34F3">
            <w:pPr>
              <w:pStyle w:val="TableBody"/>
            </w:pPr>
            <w:r w:rsidRPr="007F530F">
              <w:t>–</w:t>
            </w:r>
          </w:p>
        </w:tc>
        <w:tc>
          <w:tcPr>
            <w:tcW w:w="628" w:type="pct"/>
          </w:tcPr>
          <w:p w14:paraId="61DED5DF" w14:textId="77777777" w:rsidR="00EF5C25" w:rsidRPr="007F530F" w:rsidRDefault="00EF5C25" w:rsidP="00AC34F3">
            <w:pPr>
              <w:pStyle w:val="TableBody"/>
            </w:pPr>
            <w:r w:rsidRPr="007F530F">
              <w:t>–</w:t>
            </w:r>
          </w:p>
        </w:tc>
        <w:tc>
          <w:tcPr>
            <w:tcW w:w="607" w:type="pct"/>
            <w:gridSpan w:val="2"/>
          </w:tcPr>
          <w:p w14:paraId="3CBFB8F5" w14:textId="77777777" w:rsidR="00EF5C25" w:rsidRPr="007F530F" w:rsidRDefault="00EF5C25" w:rsidP="00AC34F3">
            <w:pPr>
              <w:pStyle w:val="TableBody"/>
            </w:pPr>
            <w:r w:rsidRPr="007F530F">
              <w:t>14</w:t>
            </w:r>
          </w:p>
        </w:tc>
      </w:tr>
      <w:tr w:rsidR="00397C27" w:rsidRPr="007F530F" w14:paraId="1E0E6DA2" w14:textId="77777777" w:rsidTr="00397C27">
        <w:trPr>
          <w:trHeight w:val="60"/>
        </w:trPr>
        <w:tc>
          <w:tcPr>
            <w:tcW w:w="733" w:type="pct"/>
          </w:tcPr>
          <w:p w14:paraId="5D893128" w14:textId="77777777" w:rsidR="00EF5C25" w:rsidRPr="007F530F" w:rsidRDefault="00EF5C25" w:rsidP="00DC75F7">
            <w:pPr>
              <w:pStyle w:val="TableBody"/>
            </w:pPr>
            <w:r w:rsidRPr="007F530F">
              <w:t>9 year to less than 10 years</w:t>
            </w:r>
          </w:p>
        </w:tc>
        <w:tc>
          <w:tcPr>
            <w:tcW w:w="430" w:type="pct"/>
          </w:tcPr>
          <w:p w14:paraId="732FAC90" w14:textId="77777777" w:rsidR="00EF5C25" w:rsidRPr="007F530F" w:rsidRDefault="00EF5C25" w:rsidP="00AC34F3">
            <w:pPr>
              <w:pStyle w:val="TableBody"/>
            </w:pPr>
            <w:r w:rsidRPr="007F530F">
              <w:t>12</w:t>
            </w:r>
          </w:p>
        </w:tc>
        <w:tc>
          <w:tcPr>
            <w:tcW w:w="545" w:type="pct"/>
          </w:tcPr>
          <w:p w14:paraId="06FBF2C6" w14:textId="77777777" w:rsidR="00EF5C25" w:rsidRPr="007F530F" w:rsidRDefault="00EF5C25" w:rsidP="00AC34F3">
            <w:pPr>
              <w:pStyle w:val="TableBody"/>
            </w:pPr>
            <w:r w:rsidRPr="007F530F">
              <w:t>–</w:t>
            </w:r>
          </w:p>
        </w:tc>
        <w:tc>
          <w:tcPr>
            <w:tcW w:w="460" w:type="pct"/>
          </w:tcPr>
          <w:p w14:paraId="0A9D3D1F" w14:textId="77777777" w:rsidR="00EF5C25" w:rsidRPr="007F530F" w:rsidRDefault="00EF5C25" w:rsidP="00AC34F3">
            <w:pPr>
              <w:pStyle w:val="TableBody"/>
            </w:pPr>
            <w:r w:rsidRPr="007F530F">
              <w:t>6</w:t>
            </w:r>
          </w:p>
        </w:tc>
        <w:tc>
          <w:tcPr>
            <w:tcW w:w="799" w:type="pct"/>
          </w:tcPr>
          <w:p w14:paraId="4D3E81A9" w14:textId="77777777" w:rsidR="00EF5C25" w:rsidRPr="007F530F" w:rsidRDefault="00EF5C25" w:rsidP="00AC34F3">
            <w:pPr>
              <w:pStyle w:val="TableBody"/>
            </w:pPr>
            <w:r w:rsidRPr="007F530F">
              <w:t>1</w:t>
            </w:r>
          </w:p>
        </w:tc>
        <w:tc>
          <w:tcPr>
            <w:tcW w:w="798" w:type="pct"/>
          </w:tcPr>
          <w:p w14:paraId="72012175" w14:textId="77777777" w:rsidR="00EF5C25" w:rsidRPr="007F530F" w:rsidRDefault="00EF5C25" w:rsidP="00AC34F3">
            <w:pPr>
              <w:pStyle w:val="TableBody"/>
            </w:pPr>
            <w:r w:rsidRPr="007F530F">
              <w:t>–</w:t>
            </w:r>
          </w:p>
        </w:tc>
        <w:tc>
          <w:tcPr>
            <w:tcW w:w="628" w:type="pct"/>
          </w:tcPr>
          <w:p w14:paraId="306D8961" w14:textId="77777777" w:rsidR="00EF5C25" w:rsidRPr="007F530F" w:rsidRDefault="00EF5C25" w:rsidP="00AC34F3">
            <w:pPr>
              <w:pStyle w:val="TableBody"/>
            </w:pPr>
            <w:r w:rsidRPr="007F530F">
              <w:t>–</w:t>
            </w:r>
          </w:p>
        </w:tc>
        <w:tc>
          <w:tcPr>
            <w:tcW w:w="607" w:type="pct"/>
            <w:gridSpan w:val="2"/>
          </w:tcPr>
          <w:p w14:paraId="753C1C16" w14:textId="77777777" w:rsidR="00EF5C25" w:rsidRPr="007F530F" w:rsidRDefault="00EF5C25" w:rsidP="00AC34F3">
            <w:pPr>
              <w:pStyle w:val="TableBody"/>
            </w:pPr>
            <w:r w:rsidRPr="007F530F">
              <w:t>14</w:t>
            </w:r>
          </w:p>
        </w:tc>
      </w:tr>
      <w:tr w:rsidR="00397C27" w:rsidRPr="007F530F" w14:paraId="54DFC186" w14:textId="77777777" w:rsidTr="00397C27">
        <w:trPr>
          <w:trHeight w:val="60"/>
        </w:trPr>
        <w:tc>
          <w:tcPr>
            <w:tcW w:w="733" w:type="pct"/>
          </w:tcPr>
          <w:p w14:paraId="2A909A39" w14:textId="77777777" w:rsidR="00EF5C25" w:rsidRPr="007F530F" w:rsidRDefault="00EF5C25" w:rsidP="00DC75F7">
            <w:pPr>
              <w:pStyle w:val="TableBody"/>
            </w:pPr>
            <w:r w:rsidRPr="007F530F">
              <w:t>10 year to less than 11 years</w:t>
            </w:r>
          </w:p>
        </w:tc>
        <w:tc>
          <w:tcPr>
            <w:tcW w:w="430" w:type="pct"/>
          </w:tcPr>
          <w:p w14:paraId="0879434B" w14:textId="77777777" w:rsidR="00EF5C25" w:rsidRPr="007F530F" w:rsidRDefault="00EF5C25" w:rsidP="00AC34F3">
            <w:pPr>
              <w:pStyle w:val="TableBody"/>
            </w:pPr>
            <w:r w:rsidRPr="007F530F">
              <w:t>23</w:t>
            </w:r>
          </w:p>
        </w:tc>
        <w:tc>
          <w:tcPr>
            <w:tcW w:w="545" w:type="pct"/>
          </w:tcPr>
          <w:p w14:paraId="2F174BC5" w14:textId="77777777" w:rsidR="00EF5C25" w:rsidRPr="007F530F" w:rsidRDefault="00EF5C25" w:rsidP="00AC34F3">
            <w:pPr>
              <w:pStyle w:val="TableBody"/>
            </w:pPr>
            <w:r w:rsidRPr="007F530F">
              <w:t>–</w:t>
            </w:r>
          </w:p>
        </w:tc>
        <w:tc>
          <w:tcPr>
            <w:tcW w:w="460" w:type="pct"/>
          </w:tcPr>
          <w:p w14:paraId="2BC28EE6" w14:textId="77777777" w:rsidR="00EF5C25" w:rsidRPr="007F530F" w:rsidRDefault="00EF5C25" w:rsidP="00AC34F3">
            <w:pPr>
              <w:pStyle w:val="TableBody"/>
            </w:pPr>
            <w:r w:rsidRPr="007F530F">
              <w:t>18</w:t>
            </w:r>
          </w:p>
        </w:tc>
        <w:tc>
          <w:tcPr>
            <w:tcW w:w="799" w:type="pct"/>
          </w:tcPr>
          <w:p w14:paraId="61F0C839" w14:textId="77777777" w:rsidR="00EF5C25" w:rsidRPr="007F530F" w:rsidRDefault="00EF5C25" w:rsidP="00AC34F3">
            <w:pPr>
              <w:pStyle w:val="TableBody"/>
            </w:pPr>
            <w:r w:rsidRPr="007F530F">
              <w:t>1</w:t>
            </w:r>
          </w:p>
        </w:tc>
        <w:tc>
          <w:tcPr>
            <w:tcW w:w="798" w:type="pct"/>
          </w:tcPr>
          <w:p w14:paraId="6D3E1529" w14:textId="77777777" w:rsidR="00EF5C25" w:rsidRPr="007F530F" w:rsidRDefault="00EF5C25" w:rsidP="00AC34F3">
            <w:pPr>
              <w:pStyle w:val="TableBody"/>
            </w:pPr>
            <w:r w:rsidRPr="007F530F">
              <w:t>–</w:t>
            </w:r>
          </w:p>
        </w:tc>
        <w:tc>
          <w:tcPr>
            <w:tcW w:w="628" w:type="pct"/>
          </w:tcPr>
          <w:p w14:paraId="01BEB9AA" w14:textId="77777777" w:rsidR="00EF5C25" w:rsidRPr="007F530F" w:rsidRDefault="00EF5C25" w:rsidP="00AC34F3">
            <w:pPr>
              <w:pStyle w:val="TableBody"/>
            </w:pPr>
            <w:r w:rsidRPr="007F530F">
              <w:t>–</w:t>
            </w:r>
          </w:p>
        </w:tc>
        <w:tc>
          <w:tcPr>
            <w:tcW w:w="607" w:type="pct"/>
            <w:gridSpan w:val="2"/>
          </w:tcPr>
          <w:p w14:paraId="0CE5544D" w14:textId="77777777" w:rsidR="00EF5C25" w:rsidRPr="007F530F" w:rsidRDefault="00EF5C25" w:rsidP="00AC34F3">
            <w:pPr>
              <w:pStyle w:val="TableBody"/>
            </w:pPr>
            <w:r w:rsidRPr="007F530F">
              <w:t>8</w:t>
            </w:r>
          </w:p>
        </w:tc>
      </w:tr>
      <w:tr w:rsidR="00397C27" w:rsidRPr="007F530F" w14:paraId="477EF4AA" w14:textId="77777777" w:rsidTr="00397C27">
        <w:trPr>
          <w:trHeight w:val="60"/>
        </w:trPr>
        <w:tc>
          <w:tcPr>
            <w:tcW w:w="733" w:type="pct"/>
          </w:tcPr>
          <w:p w14:paraId="27102151" w14:textId="77777777" w:rsidR="00EF5C25" w:rsidRPr="007F530F" w:rsidRDefault="00EF5C25" w:rsidP="00DC75F7">
            <w:pPr>
              <w:pStyle w:val="TableBody"/>
            </w:pPr>
            <w:r w:rsidRPr="007F530F">
              <w:t>11 years or more</w:t>
            </w:r>
          </w:p>
        </w:tc>
        <w:tc>
          <w:tcPr>
            <w:tcW w:w="430" w:type="pct"/>
          </w:tcPr>
          <w:p w14:paraId="30DADD58" w14:textId="77777777" w:rsidR="00EF5C25" w:rsidRPr="007F530F" w:rsidRDefault="00EF5C25" w:rsidP="00AC34F3">
            <w:pPr>
              <w:pStyle w:val="TableBody"/>
            </w:pPr>
            <w:r w:rsidRPr="007F530F">
              <w:t>19</w:t>
            </w:r>
          </w:p>
        </w:tc>
        <w:tc>
          <w:tcPr>
            <w:tcW w:w="545" w:type="pct"/>
          </w:tcPr>
          <w:p w14:paraId="576A464B" w14:textId="77777777" w:rsidR="00EF5C25" w:rsidRPr="007F530F" w:rsidRDefault="00EF5C25" w:rsidP="00AC34F3">
            <w:pPr>
              <w:pStyle w:val="TableBody"/>
            </w:pPr>
            <w:r w:rsidRPr="007F530F">
              <w:t>–</w:t>
            </w:r>
          </w:p>
        </w:tc>
        <w:tc>
          <w:tcPr>
            <w:tcW w:w="460" w:type="pct"/>
          </w:tcPr>
          <w:p w14:paraId="23179678" w14:textId="77777777" w:rsidR="00EF5C25" w:rsidRPr="007F530F" w:rsidRDefault="00EF5C25" w:rsidP="00AC34F3">
            <w:pPr>
              <w:pStyle w:val="TableBody"/>
            </w:pPr>
            <w:r w:rsidRPr="007F530F">
              <w:t>4</w:t>
            </w:r>
          </w:p>
        </w:tc>
        <w:tc>
          <w:tcPr>
            <w:tcW w:w="799" w:type="pct"/>
          </w:tcPr>
          <w:p w14:paraId="5AF450A9" w14:textId="77777777" w:rsidR="00EF5C25" w:rsidRPr="007F530F" w:rsidRDefault="00EF5C25" w:rsidP="00AC34F3">
            <w:pPr>
              <w:pStyle w:val="TableBody"/>
            </w:pPr>
            <w:r w:rsidRPr="007F530F">
              <w:t>–</w:t>
            </w:r>
          </w:p>
        </w:tc>
        <w:tc>
          <w:tcPr>
            <w:tcW w:w="798" w:type="pct"/>
          </w:tcPr>
          <w:p w14:paraId="69C73FC7" w14:textId="77777777" w:rsidR="00EF5C25" w:rsidRPr="007F530F" w:rsidRDefault="00EF5C25" w:rsidP="00AC34F3">
            <w:pPr>
              <w:pStyle w:val="TableBody"/>
            </w:pPr>
            <w:r w:rsidRPr="007F530F">
              <w:t>–</w:t>
            </w:r>
          </w:p>
        </w:tc>
        <w:tc>
          <w:tcPr>
            <w:tcW w:w="628" w:type="pct"/>
          </w:tcPr>
          <w:p w14:paraId="1BE6B413" w14:textId="77777777" w:rsidR="00EF5C25" w:rsidRPr="007F530F" w:rsidRDefault="00EF5C25" w:rsidP="00AC34F3">
            <w:pPr>
              <w:pStyle w:val="TableBody"/>
            </w:pPr>
            <w:r w:rsidRPr="007F530F">
              <w:t>–</w:t>
            </w:r>
          </w:p>
        </w:tc>
        <w:tc>
          <w:tcPr>
            <w:tcW w:w="607" w:type="pct"/>
            <w:gridSpan w:val="2"/>
          </w:tcPr>
          <w:p w14:paraId="7C96FD43" w14:textId="77777777" w:rsidR="00EF5C25" w:rsidRPr="007F530F" w:rsidRDefault="00EF5C25" w:rsidP="00AC34F3">
            <w:pPr>
              <w:pStyle w:val="TableBody"/>
            </w:pPr>
            <w:r w:rsidRPr="007F530F">
              <w:t>5</w:t>
            </w:r>
          </w:p>
        </w:tc>
      </w:tr>
      <w:tr w:rsidR="00397C27" w:rsidRPr="007F530F" w14:paraId="4AB30E95" w14:textId="77777777" w:rsidTr="00397C27">
        <w:trPr>
          <w:trHeight w:val="60"/>
        </w:trPr>
        <w:tc>
          <w:tcPr>
            <w:tcW w:w="733" w:type="pct"/>
          </w:tcPr>
          <w:p w14:paraId="6C7D0B60" w14:textId="77777777" w:rsidR="00EF5C25" w:rsidRPr="00D00197" w:rsidRDefault="00EF5C25" w:rsidP="00DC75F7">
            <w:pPr>
              <w:pStyle w:val="TableBody"/>
              <w:rPr>
                <w:rStyle w:val="Strong"/>
              </w:rPr>
            </w:pPr>
            <w:r w:rsidRPr="00D00197">
              <w:rPr>
                <w:rStyle w:val="Strong"/>
              </w:rPr>
              <w:t>Total</w:t>
            </w:r>
          </w:p>
        </w:tc>
        <w:tc>
          <w:tcPr>
            <w:tcW w:w="430" w:type="pct"/>
          </w:tcPr>
          <w:p w14:paraId="142A581D" w14:textId="77777777" w:rsidR="00EF5C25" w:rsidRPr="00D00197" w:rsidRDefault="00EF5C25" w:rsidP="00AC34F3">
            <w:pPr>
              <w:pStyle w:val="TableBody"/>
              <w:rPr>
                <w:rStyle w:val="Strong"/>
              </w:rPr>
            </w:pPr>
            <w:r w:rsidRPr="00D00197">
              <w:rPr>
                <w:rStyle w:val="Strong"/>
              </w:rPr>
              <w:t>875</w:t>
            </w:r>
          </w:p>
        </w:tc>
        <w:tc>
          <w:tcPr>
            <w:tcW w:w="545" w:type="pct"/>
          </w:tcPr>
          <w:p w14:paraId="37831C4A" w14:textId="77777777" w:rsidR="00EF5C25" w:rsidRPr="00D00197" w:rsidRDefault="00EF5C25" w:rsidP="00AC34F3">
            <w:pPr>
              <w:pStyle w:val="TableBody"/>
              <w:rPr>
                <w:rStyle w:val="Strong"/>
              </w:rPr>
            </w:pPr>
            <w:r w:rsidRPr="00D00197">
              <w:rPr>
                <w:rStyle w:val="Strong"/>
              </w:rPr>
              <w:t>800</w:t>
            </w:r>
          </w:p>
        </w:tc>
        <w:tc>
          <w:tcPr>
            <w:tcW w:w="460" w:type="pct"/>
          </w:tcPr>
          <w:p w14:paraId="3BE10EDC" w14:textId="77777777" w:rsidR="00EF5C25" w:rsidRPr="00D00197" w:rsidRDefault="00EF5C25" w:rsidP="00AC34F3">
            <w:pPr>
              <w:pStyle w:val="TableBody"/>
              <w:rPr>
                <w:rStyle w:val="Strong"/>
              </w:rPr>
            </w:pPr>
            <w:r w:rsidRPr="00D00197">
              <w:rPr>
                <w:rStyle w:val="Strong"/>
              </w:rPr>
              <w:t>928</w:t>
            </w:r>
          </w:p>
        </w:tc>
        <w:tc>
          <w:tcPr>
            <w:tcW w:w="799" w:type="pct"/>
          </w:tcPr>
          <w:p w14:paraId="4403EECE" w14:textId="77777777" w:rsidR="00EF5C25" w:rsidRPr="00D00197" w:rsidRDefault="00EF5C25" w:rsidP="00AC34F3">
            <w:pPr>
              <w:pStyle w:val="TableBody"/>
              <w:rPr>
                <w:rStyle w:val="Strong"/>
              </w:rPr>
            </w:pPr>
            <w:r w:rsidRPr="00D00197">
              <w:rPr>
                <w:rStyle w:val="Strong"/>
              </w:rPr>
              <w:t>231</w:t>
            </w:r>
          </w:p>
        </w:tc>
        <w:tc>
          <w:tcPr>
            <w:tcW w:w="798" w:type="pct"/>
          </w:tcPr>
          <w:p w14:paraId="65ED295A" w14:textId="77777777" w:rsidR="00EF5C25" w:rsidRPr="00D00197" w:rsidRDefault="00EF5C25" w:rsidP="00AC34F3">
            <w:pPr>
              <w:pStyle w:val="TableBody"/>
              <w:rPr>
                <w:rStyle w:val="Strong"/>
              </w:rPr>
            </w:pPr>
            <w:r w:rsidRPr="00D00197">
              <w:rPr>
                <w:rStyle w:val="Strong"/>
              </w:rPr>
              <w:t>960</w:t>
            </w:r>
          </w:p>
        </w:tc>
        <w:tc>
          <w:tcPr>
            <w:tcW w:w="628" w:type="pct"/>
          </w:tcPr>
          <w:p w14:paraId="56585DB3" w14:textId="77777777" w:rsidR="00EF5C25" w:rsidRPr="00D00197" w:rsidRDefault="00EF5C25" w:rsidP="00AC34F3">
            <w:pPr>
              <w:pStyle w:val="TableBody"/>
              <w:rPr>
                <w:rStyle w:val="Strong"/>
              </w:rPr>
            </w:pPr>
            <w:r w:rsidRPr="00D00197">
              <w:rPr>
                <w:rStyle w:val="Strong"/>
              </w:rPr>
              <w:t>2,226</w:t>
            </w:r>
          </w:p>
        </w:tc>
        <w:tc>
          <w:tcPr>
            <w:tcW w:w="607" w:type="pct"/>
            <w:gridSpan w:val="2"/>
          </w:tcPr>
          <w:p w14:paraId="170F8D79" w14:textId="77777777" w:rsidR="00EF5C25" w:rsidRPr="00D00197" w:rsidRDefault="00EF5C25" w:rsidP="00AC34F3">
            <w:pPr>
              <w:pStyle w:val="TableBody"/>
              <w:rPr>
                <w:rStyle w:val="Strong"/>
              </w:rPr>
            </w:pPr>
            <w:r w:rsidRPr="00D00197">
              <w:rPr>
                <w:rStyle w:val="Strong"/>
              </w:rPr>
              <w:t>130</w:t>
            </w:r>
          </w:p>
        </w:tc>
      </w:tr>
      <w:tr w:rsidR="00DA40BE" w:rsidRPr="007F530F" w14:paraId="5C2DDF58" w14:textId="77777777" w:rsidTr="00397C27">
        <w:trPr>
          <w:gridAfter w:val="1"/>
          <w:wAfter w:w="329" w:type="pct"/>
          <w:trHeight w:val="60"/>
        </w:trPr>
        <w:tc>
          <w:tcPr>
            <w:tcW w:w="4671" w:type="pct"/>
            <w:gridSpan w:val="8"/>
          </w:tcPr>
          <w:p w14:paraId="1456ACBF" w14:textId="7272472C" w:rsidR="00DA40BE" w:rsidRPr="007F530F" w:rsidRDefault="00DA40BE" w:rsidP="00166EB7">
            <w:pPr>
              <w:pStyle w:val="TableBody"/>
            </w:pPr>
            <w:r w:rsidRPr="00FD752F">
              <w:rPr>
                <w:rStyle w:val="Strong"/>
              </w:rPr>
              <w:t>Total effective sentence length</w:t>
            </w:r>
          </w:p>
        </w:tc>
      </w:tr>
      <w:tr w:rsidR="00397C27" w:rsidRPr="007F530F" w14:paraId="12EA543D" w14:textId="77777777" w:rsidTr="00397C27">
        <w:trPr>
          <w:trHeight w:val="60"/>
        </w:trPr>
        <w:tc>
          <w:tcPr>
            <w:tcW w:w="733" w:type="pct"/>
          </w:tcPr>
          <w:p w14:paraId="52E472C3" w14:textId="77777777" w:rsidR="006D2D55" w:rsidRPr="007F530F" w:rsidRDefault="006D2D55" w:rsidP="00166EB7">
            <w:pPr>
              <w:pStyle w:val="TableBody"/>
            </w:pPr>
            <w:r w:rsidRPr="007F530F">
              <w:t>Less than 1 year</w:t>
            </w:r>
          </w:p>
        </w:tc>
        <w:tc>
          <w:tcPr>
            <w:tcW w:w="430" w:type="pct"/>
          </w:tcPr>
          <w:p w14:paraId="21137497" w14:textId="77777777" w:rsidR="006D2D55" w:rsidRPr="007F530F" w:rsidRDefault="006D2D55" w:rsidP="00166EB7">
            <w:pPr>
              <w:pStyle w:val="TableBody"/>
            </w:pPr>
            <w:r w:rsidRPr="007F530F">
              <w:t>5</w:t>
            </w:r>
          </w:p>
        </w:tc>
        <w:tc>
          <w:tcPr>
            <w:tcW w:w="545" w:type="pct"/>
          </w:tcPr>
          <w:p w14:paraId="026C7EDB" w14:textId="77777777" w:rsidR="006D2D55" w:rsidRPr="007F530F" w:rsidRDefault="006D2D55" w:rsidP="00166EB7">
            <w:pPr>
              <w:pStyle w:val="TableBody"/>
            </w:pPr>
            <w:r w:rsidRPr="007F530F">
              <w:t>27</w:t>
            </w:r>
          </w:p>
        </w:tc>
        <w:tc>
          <w:tcPr>
            <w:tcW w:w="460" w:type="pct"/>
          </w:tcPr>
          <w:p w14:paraId="174B3B4D" w14:textId="77777777" w:rsidR="006D2D55" w:rsidRPr="007F530F" w:rsidRDefault="006D2D55" w:rsidP="00166EB7">
            <w:pPr>
              <w:pStyle w:val="TableBody"/>
            </w:pPr>
            <w:r w:rsidRPr="007F530F">
              <w:t>–</w:t>
            </w:r>
          </w:p>
        </w:tc>
        <w:tc>
          <w:tcPr>
            <w:tcW w:w="799" w:type="pct"/>
          </w:tcPr>
          <w:p w14:paraId="3C2EC51A" w14:textId="77777777" w:rsidR="006D2D55" w:rsidRPr="007F530F" w:rsidRDefault="006D2D55" w:rsidP="00166EB7">
            <w:pPr>
              <w:pStyle w:val="TableBody"/>
            </w:pPr>
            <w:r w:rsidRPr="007F530F">
              <w:t>2</w:t>
            </w:r>
          </w:p>
        </w:tc>
        <w:tc>
          <w:tcPr>
            <w:tcW w:w="798" w:type="pct"/>
          </w:tcPr>
          <w:p w14:paraId="694C55E7" w14:textId="77777777" w:rsidR="006D2D55" w:rsidRPr="007F530F" w:rsidRDefault="006D2D55" w:rsidP="00166EB7">
            <w:pPr>
              <w:pStyle w:val="TableBody"/>
            </w:pPr>
            <w:r w:rsidRPr="007F530F">
              <w:t>39</w:t>
            </w:r>
          </w:p>
        </w:tc>
        <w:tc>
          <w:tcPr>
            <w:tcW w:w="628" w:type="pct"/>
          </w:tcPr>
          <w:p w14:paraId="3088687E" w14:textId="77777777" w:rsidR="006D2D55" w:rsidRPr="007F530F" w:rsidRDefault="006D2D55" w:rsidP="00166EB7">
            <w:pPr>
              <w:pStyle w:val="TableBody"/>
            </w:pPr>
            <w:r w:rsidRPr="007F530F">
              <w:t>32</w:t>
            </w:r>
          </w:p>
        </w:tc>
        <w:tc>
          <w:tcPr>
            <w:tcW w:w="607" w:type="pct"/>
            <w:gridSpan w:val="2"/>
          </w:tcPr>
          <w:p w14:paraId="7C1D80FD" w14:textId="77777777" w:rsidR="006D2D55" w:rsidRPr="007F530F" w:rsidRDefault="006D2D55" w:rsidP="00166EB7">
            <w:pPr>
              <w:pStyle w:val="TableBody"/>
            </w:pPr>
            <w:r w:rsidRPr="007F530F">
              <w:t>–</w:t>
            </w:r>
          </w:p>
        </w:tc>
      </w:tr>
      <w:tr w:rsidR="00397C27" w:rsidRPr="007F530F" w14:paraId="41C8DB98" w14:textId="77777777" w:rsidTr="00397C27">
        <w:trPr>
          <w:trHeight w:val="60"/>
        </w:trPr>
        <w:tc>
          <w:tcPr>
            <w:tcW w:w="733" w:type="pct"/>
          </w:tcPr>
          <w:p w14:paraId="42AE520C" w14:textId="77777777" w:rsidR="006D2D55" w:rsidRPr="007F530F" w:rsidRDefault="006D2D55" w:rsidP="00166EB7">
            <w:pPr>
              <w:pStyle w:val="TableBody"/>
            </w:pPr>
            <w:r w:rsidRPr="007F530F">
              <w:t>1 year to less than 2 years</w:t>
            </w:r>
          </w:p>
        </w:tc>
        <w:tc>
          <w:tcPr>
            <w:tcW w:w="430" w:type="pct"/>
          </w:tcPr>
          <w:p w14:paraId="348E5E71" w14:textId="77777777" w:rsidR="006D2D55" w:rsidRPr="007F530F" w:rsidRDefault="006D2D55" w:rsidP="00166EB7">
            <w:pPr>
              <w:pStyle w:val="TableBody"/>
            </w:pPr>
            <w:r w:rsidRPr="007F530F">
              <w:t>8</w:t>
            </w:r>
          </w:p>
        </w:tc>
        <w:tc>
          <w:tcPr>
            <w:tcW w:w="545" w:type="pct"/>
          </w:tcPr>
          <w:p w14:paraId="54C9E4D9" w14:textId="77777777" w:rsidR="006D2D55" w:rsidRPr="007F530F" w:rsidRDefault="006D2D55" w:rsidP="00166EB7">
            <w:pPr>
              <w:pStyle w:val="TableBody"/>
            </w:pPr>
            <w:r w:rsidRPr="007F530F">
              <w:t>34</w:t>
            </w:r>
          </w:p>
        </w:tc>
        <w:tc>
          <w:tcPr>
            <w:tcW w:w="460" w:type="pct"/>
          </w:tcPr>
          <w:p w14:paraId="605D43D4" w14:textId="77777777" w:rsidR="006D2D55" w:rsidRPr="007F530F" w:rsidRDefault="006D2D55" w:rsidP="00166EB7">
            <w:pPr>
              <w:pStyle w:val="TableBody"/>
            </w:pPr>
            <w:r w:rsidRPr="007F530F">
              <w:t>1</w:t>
            </w:r>
          </w:p>
        </w:tc>
        <w:tc>
          <w:tcPr>
            <w:tcW w:w="799" w:type="pct"/>
          </w:tcPr>
          <w:p w14:paraId="7500048A" w14:textId="77777777" w:rsidR="006D2D55" w:rsidRPr="007F530F" w:rsidRDefault="006D2D55" w:rsidP="00166EB7">
            <w:pPr>
              <w:pStyle w:val="TableBody"/>
            </w:pPr>
            <w:r w:rsidRPr="007F530F">
              <w:t>2</w:t>
            </w:r>
          </w:p>
        </w:tc>
        <w:tc>
          <w:tcPr>
            <w:tcW w:w="798" w:type="pct"/>
          </w:tcPr>
          <w:p w14:paraId="1CBB0AE3" w14:textId="77777777" w:rsidR="006D2D55" w:rsidRPr="007F530F" w:rsidRDefault="006D2D55" w:rsidP="00166EB7">
            <w:pPr>
              <w:pStyle w:val="TableBody"/>
            </w:pPr>
            <w:r w:rsidRPr="007F530F">
              <w:t>40</w:t>
            </w:r>
          </w:p>
        </w:tc>
        <w:tc>
          <w:tcPr>
            <w:tcW w:w="628" w:type="pct"/>
          </w:tcPr>
          <w:p w14:paraId="4E9D578B" w14:textId="77777777" w:rsidR="006D2D55" w:rsidRPr="007F530F" w:rsidRDefault="006D2D55" w:rsidP="00166EB7">
            <w:pPr>
              <w:pStyle w:val="TableBody"/>
            </w:pPr>
            <w:r w:rsidRPr="007F530F">
              <w:t>56</w:t>
            </w:r>
          </w:p>
        </w:tc>
        <w:tc>
          <w:tcPr>
            <w:tcW w:w="607" w:type="pct"/>
            <w:gridSpan w:val="2"/>
          </w:tcPr>
          <w:p w14:paraId="0534485D" w14:textId="77777777" w:rsidR="006D2D55" w:rsidRPr="007F530F" w:rsidRDefault="006D2D55" w:rsidP="00166EB7">
            <w:pPr>
              <w:pStyle w:val="TableBody"/>
            </w:pPr>
            <w:r w:rsidRPr="007F530F">
              <w:t>4</w:t>
            </w:r>
          </w:p>
        </w:tc>
      </w:tr>
      <w:tr w:rsidR="00397C27" w:rsidRPr="007F530F" w14:paraId="2EC7538D" w14:textId="77777777" w:rsidTr="00397C27">
        <w:trPr>
          <w:trHeight w:val="60"/>
        </w:trPr>
        <w:tc>
          <w:tcPr>
            <w:tcW w:w="733" w:type="pct"/>
          </w:tcPr>
          <w:p w14:paraId="519D3ED1" w14:textId="77777777" w:rsidR="006D2D55" w:rsidRPr="007F530F" w:rsidRDefault="006D2D55" w:rsidP="00166EB7">
            <w:pPr>
              <w:pStyle w:val="TableBody"/>
            </w:pPr>
            <w:r w:rsidRPr="007F530F">
              <w:t>2 year to less than 3 years</w:t>
            </w:r>
          </w:p>
        </w:tc>
        <w:tc>
          <w:tcPr>
            <w:tcW w:w="430" w:type="pct"/>
          </w:tcPr>
          <w:p w14:paraId="187FC7A6" w14:textId="77777777" w:rsidR="006D2D55" w:rsidRPr="007F530F" w:rsidRDefault="006D2D55" w:rsidP="00166EB7">
            <w:pPr>
              <w:pStyle w:val="TableBody"/>
            </w:pPr>
            <w:r w:rsidRPr="007F530F">
              <w:t>14</w:t>
            </w:r>
          </w:p>
        </w:tc>
        <w:tc>
          <w:tcPr>
            <w:tcW w:w="545" w:type="pct"/>
          </w:tcPr>
          <w:p w14:paraId="791AD81C" w14:textId="77777777" w:rsidR="006D2D55" w:rsidRPr="007F530F" w:rsidRDefault="006D2D55" w:rsidP="00166EB7">
            <w:pPr>
              <w:pStyle w:val="TableBody"/>
            </w:pPr>
            <w:r w:rsidRPr="007F530F">
              <w:t>16</w:t>
            </w:r>
          </w:p>
        </w:tc>
        <w:tc>
          <w:tcPr>
            <w:tcW w:w="460" w:type="pct"/>
          </w:tcPr>
          <w:p w14:paraId="15E19BD7" w14:textId="77777777" w:rsidR="006D2D55" w:rsidRPr="007F530F" w:rsidRDefault="006D2D55" w:rsidP="00166EB7">
            <w:pPr>
              <w:pStyle w:val="TableBody"/>
            </w:pPr>
            <w:r w:rsidRPr="007F530F">
              <w:t>3</w:t>
            </w:r>
          </w:p>
        </w:tc>
        <w:tc>
          <w:tcPr>
            <w:tcW w:w="799" w:type="pct"/>
          </w:tcPr>
          <w:p w14:paraId="0B244FB7" w14:textId="77777777" w:rsidR="006D2D55" w:rsidRPr="007F530F" w:rsidRDefault="006D2D55" w:rsidP="00166EB7">
            <w:pPr>
              <w:pStyle w:val="TableBody"/>
            </w:pPr>
            <w:r w:rsidRPr="007F530F">
              <w:t>9</w:t>
            </w:r>
          </w:p>
        </w:tc>
        <w:tc>
          <w:tcPr>
            <w:tcW w:w="798" w:type="pct"/>
          </w:tcPr>
          <w:p w14:paraId="0B12D356" w14:textId="77777777" w:rsidR="006D2D55" w:rsidRPr="007F530F" w:rsidRDefault="006D2D55" w:rsidP="00166EB7">
            <w:pPr>
              <w:pStyle w:val="TableBody"/>
            </w:pPr>
            <w:r w:rsidRPr="007F530F">
              <w:t>81</w:t>
            </w:r>
          </w:p>
        </w:tc>
        <w:tc>
          <w:tcPr>
            <w:tcW w:w="628" w:type="pct"/>
          </w:tcPr>
          <w:p w14:paraId="6C423207" w14:textId="77777777" w:rsidR="006D2D55" w:rsidRPr="007F530F" w:rsidRDefault="006D2D55" w:rsidP="00166EB7">
            <w:pPr>
              <w:pStyle w:val="TableBody"/>
            </w:pPr>
            <w:r w:rsidRPr="007F530F">
              <w:t>40</w:t>
            </w:r>
          </w:p>
        </w:tc>
        <w:tc>
          <w:tcPr>
            <w:tcW w:w="607" w:type="pct"/>
            <w:gridSpan w:val="2"/>
          </w:tcPr>
          <w:p w14:paraId="428621B1" w14:textId="77777777" w:rsidR="006D2D55" w:rsidRPr="007F530F" w:rsidRDefault="006D2D55" w:rsidP="00166EB7">
            <w:pPr>
              <w:pStyle w:val="TableBody"/>
            </w:pPr>
            <w:r w:rsidRPr="007F530F">
              <w:t>3</w:t>
            </w:r>
          </w:p>
        </w:tc>
      </w:tr>
      <w:tr w:rsidR="00397C27" w:rsidRPr="007F530F" w14:paraId="5669F266" w14:textId="77777777" w:rsidTr="00397C27">
        <w:trPr>
          <w:trHeight w:val="60"/>
        </w:trPr>
        <w:tc>
          <w:tcPr>
            <w:tcW w:w="733" w:type="pct"/>
          </w:tcPr>
          <w:p w14:paraId="2FDD104E" w14:textId="77777777" w:rsidR="006D2D55" w:rsidRPr="007F530F" w:rsidRDefault="006D2D55" w:rsidP="00166EB7">
            <w:pPr>
              <w:pStyle w:val="TableBody"/>
            </w:pPr>
            <w:r w:rsidRPr="007F530F">
              <w:lastRenderedPageBreak/>
              <w:t>3 year to less than 4 years</w:t>
            </w:r>
          </w:p>
        </w:tc>
        <w:tc>
          <w:tcPr>
            <w:tcW w:w="430" w:type="pct"/>
          </w:tcPr>
          <w:p w14:paraId="4EC75022" w14:textId="77777777" w:rsidR="006D2D55" w:rsidRPr="007F530F" w:rsidRDefault="006D2D55" w:rsidP="00166EB7">
            <w:pPr>
              <w:pStyle w:val="TableBody"/>
            </w:pPr>
            <w:r w:rsidRPr="007F530F">
              <w:t>48</w:t>
            </w:r>
          </w:p>
        </w:tc>
        <w:tc>
          <w:tcPr>
            <w:tcW w:w="545" w:type="pct"/>
          </w:tcPr>
          <w:p w14:paraId="4F5A1359" w14:textId="77777777" w:rsidR="006D2D55" w:rsidRPr="007F530F" w:rsidRDefault="006D2D55" w:rsidP="00166EB7">
            <w:pPr>
              <w:pStyle w:val="TableBody"/>
            </w:pPr>
            <w:r w:rsidRPr="007F530F">
              <w:t>7</w:t>
            </w:r>
          </w:p>
        </w:tc>
        <w:tc>
          <w:tcPr>
            <w:tcW w:w="460" w:type="pct"/>
          </w:tcPr>
          <w:p w14:paraId="4DA525DB" w14:textId="77777777" w:rsidR="006D2D55" w:rsidRPr="007F530F" w:rsidRDefault="006D2D55" w:rsidP="00166EB7">
            <w:pPr>
              <w:pStyle w:val="TableBody"/>
            </w:pPr>
            <w:r w:rsidRPr="007F530F">
              <w:t>44</w:t>
            </w:r>
          </w:p>
        </w:tc>
        <w:tc>
          <w:tcPr>
            <w:tcW w:w="799" w:type="pct"/>
          </w:tcPr>
          <w:p w14:paraId="53AA2B4F" w14:textId="77777777" w:rsidR="006D2D55" w:rsidRPr="007F530F" w:rsidRDefault="006D2D55" w:rsidP="00166EB7">
            <w:pPr>
              <w:pStyle w:val="TableBody"/>
            </w:pPr>
            <w:r w:rsidRPr="007F530F">
              <w:t>24</w:t>
            </w:r>
          </w:p>
        </w:tc>
        <w:tc>
          <w:tcPr>
            <w:tcW w:w="798" w:type="pct"/>
          </w:tcPr>
          <w:p w14:paraId="424C4CFE" w14:textId="77777777" w:rsidR="006D2D55" w:rsidRPr="007F530F" w:rsidRDefault="006D2D55" w:rsidP="00166EB7">
            <w:pPr>
              <w:pStyle w:val="TableBody"/>
            </w:pPr>
            <w:r w:rsidRPr="007F530F">
              <w:t>107</w:t>
            </w:r>
          </w:p>
        </w:tc>
        <w:tc>
          <w:tcPr>
            <w:tcW w:w="628" w:type="pct"/>
          </w:tcPr>
          <w:p w14:paraId="04327735" w14:textId="77777777" w:rsidR="006D2D55" w:rsidRPr="007F530F" w:rsidRDefault="006D2D55" w:rsidP="00166EB7">
            <w:pPr>
              <w:pStyle w:val="TableBody"/>
            </w:pPr>
            <w:r w:rsidRPr="007F530F">
              <w:t>16</w:t>
            </w:r>
          </w:p>
        </w:tc>
        <w:tc>
          <w:tcPr>
            <w:tcW w:w="607" w:type="pct"/>
            <w:gridSpan w:val="2"/>
          </w:tcPr>
          <w:p w14:paraId="1F13D1F2" w14:textId="77777777" w:rsidR="006D2D55" w:rsidRPr="007F530F" w:rsidRDefault="006D2D55" w:rsidP="00166EB7">
            <w:pPr>
              <w:pStyle w:val="TableBody"/>
            </w:pPr>
            <w:r w:rsidRPr="007F530F">
              <w:t>4</w:t>
            </w:r>
          </w:p>
        </w:tc>
      </w:tr>
      <w:tr w:rsidR="00397C27" w:rsidRPr="007F530F" w14:paraId="50489668" w14:textId="77777777" w:rsidTr="00397C27">
        <w:trPr>
          <w:trHeight w:val="60"/>
        </w:trPr>
        <w:tc>
          <w:tcPr>
            <w:tcW w:w="733" w:type="pct"/>
          </w:tcPr>
          <w:p w14:paraId="398529D1" w14:textId="77777777" w:rsidR="006D2D55" w:rsidRPr="007F530F" w:rsidRDefault="006D2D55" w:rsidP="00166EB7">
            <w:pPr>
              <w:pStyle w:val="TableBody"/>
            </w:pPr>
            <w:r w:rsidRPr="007F530F">
              <w:t>4 year to less than 5 years</w:t>
            </w:r>
          </w:p>
        </w:tc>
        <w:tc>
          <w:tcPr>
            <w:tcW w:w="430" w:type="pct"/>
          </w:tcPr>
          <w:p w14:paraId="44A20CF2" w14:textId="77777777" w:rsidR="006D2D55" w:rsidRPr="007F530F" w:rsidRDefault="006D2D55" w:rsidP="00166EB7">
            <w:pPr>
              <w:pStyle w:val="TableBody"/>
            </w:pPr>
            <w:r w:rsidRPr="007F530F">
              <w:t>85</w:t>
            </w:r>
          </w:p>
        </w:tc>
        <w:tc>
          <w:tcPr>
            <w:tcW w:w="545" w:type="pct"/>
          </w:tcPr>
          <w:p w14:paraId="17D76779" w14:textId="77777777" w:rsidR="006D2D55" w:rsidRPr="007F530F" w:rsidRDefault="006D2D55" w:rsidP="00166EB7">
            <w:pPr>
              <w:pStyle w:val="TableBody"/>
            </w:pPr>
            <w:r w:rsidRPr="007F530F">
              <w:t>3</w:t>
            </w:r>
          </w:p>
        </w:tc>
        <w:tc>
          <w:tcPr>
            <w:tcW w:w="460" w:type="pct"/>
          </w:tcPr>
          <w:p w14:paraId="3DA95257" w14:textId="77777777" w:rsidR="006D2D55" w:rsidRPr="007F530F" w:rsidRDefault="006D2D55" w:rsidP="00166EB7">
            <w:pPr>
              <w:pStyle w:val="TableBody"/>
            </w:pPr>
            <w:r w:rsidRPr="007F530F">
              <w:t>58</w:t>
            </w:r>
          </w:p>
        </w:tc>
        <w:tc>
          <w:tcPr>
            <w:tcW w:w="799" w:type="pct"/>
          </w:tcPr>
          <w:p w14:paraId="23C8B517" w14:textId="77777777" w:rsidR="006D2D55" w:rsidRPr="007F530F" w:rsidRDefault="006D2D55" w:rsidP="00166EB7">
            <w:pPr>
              <w:pStyle w:val="TableBody"/>
            </w:pPr>
            <w:r w:rsidRPr="007F530F">
              <w:t>24</w:t>
            </w:r>
          </w:p>
        </w:tc>
        <w:tc>
          <w:tcPr>
            <w:tcW w:w="798" w:type="pct"/>
          </w:tcPr>
          <w:p w14:paraId="65D7F2E5" w14:textId="77777777" w:rsidR="006D2D55" w:rsidRPr="007F530F" w:rsidRDefault="006D2D55" w:rsidP="00166EB7">
            <w:pPr>
              <w:pStyle w:val="TableBody"/>
            </w:pPr>
            <w:r w:rsidRPr="007F530F">
              <w:t>45</w:t>
            </w:r>
          </w:p>
        </w:tc>
        <w:tc>
          <w:tcPr>
            <w:tcW w:w="628" w:type="pct"/>
          </w:tcPr>
          <w:p w14:paraId="288E163B" w14:textId="77777777" w:rsidR="006D2D55" w:rsidRPr="007F530F" w:rsidRDefault="006D2D55" w:rsidP="00166EB7">
            <w:pPr>
              <w:pStyle w:val="TableBody"/>
            </w:pPr>
            <w:r w:rsidRPr="007F530F">
              <w:t>6</w:t>
            </w:r>
          </w:p>
        </w:tc>
        <w:tc>
          <w:tcPr>
            <w:tcW w:w="607" w:type="pct"/>
            <w:gridSpan w:val="2"/>
          </w:tcPr>
          <w:p w14:paraId="6DF7A382" w14:textId="77777777" w:rsidR="006D2D55" w:rsidRPr="007F530F" w:rsidRDefault="006D2D55" w:rsidP="00166EB7">
            <w:pPr>
              <w:pStyle w:val="TableBody"/>
            </w:pPr>
            <w:r w:rsidRPr="007F530F">
              <w:t>7</w:t>
            </w:r>
          </w:p>
        </w:tc>
      </w:tr>
      <w:tr w:rsidR="00397C27" w:rsidRPr="007F530F" w14:paraId="3C08F062" w14:textId="77777777" w:rsidTr="00397C27">
        <w:trPr>
          <w:trHeight w:val="60"/>
        </w:trPr>
        <w:tc>
          <w:tcPr>
            <w:tcW w:w="733" w:type="pct"/>
          </w:tcPr>
          <w:p w14:paraId="0BBEE814" w14:textId="77777777" w:rsidR="006D2D55" w:rsidRPr="007F530F" w:rsidRDefault="006D2D55" w:rsidP="00166EB7">
            <w:pPr>
              <w:pStyle w:val="TableBody"/>
            </w:pPr>
            <w:r w:rsidRPr="007F530F">
              <w:t>5 year to less than 6 years</w:t>
            </w:r>
          </w:p>
        </w:tc>
        <w:tc>
          <w:tcPr>
            <w:tcW w:w="430" w:type="pct"/>
          </w:tcPr>
          <w:p w14:paraId="35DA0801" w14:textId="77777777" w:rsidR="006D2D55" w:rsidRPr="007F530F" w:rsidRDefault="006D2D55" w:rsidP="00166EB7">
            <w:pPr>
              <w:pStyle w:val="TableBody"/>
            </w:pPr>
            <w:r w:rsidRPr="007F530F">
              <w:t>82</w:t>
            </w:r>
          </w:p>
        </w:tc>
        <w:tc>
          <w:tcPr>
            <w:tcW w:w="545" w:type="pct"/>
          </w:tcPr>
          <w:p w14:paraId="0871E5CF" w14:textId="77777777" w:rsidR="006D2D55" w:rsidRPr="007F530F" w:rsidRDefault="006D2D55" w:rsidP="00166EB7">
            <w:pPr>
              <w:pStyle w:val="TableBody"/>
            </w:pPr>
            <w:r w:rsidRPr="007F530F">
              <w:t>–</w:t>
            </w:r>
          </w:p>
        </w:tc>
        <w:tc>
          <w:tcPr>
            <w:tcW w:w="460" w:type="pct"/>
          </w:tcPr>
          <w:p w14:paraId="1489E8B4" w14:textId="77777777" w:rsidR="006D2D55" w:rsidRPr="007F530F" w:rsidRDefault="006D2D55" w:rsidP="00166EB7">
            <w:pPr>
              <w:pStyle w:val="TableBody"/>
            </w:pPr>
            <w:r w:rsidRPr="007F530F">
              <w:t>67</w:t>
            </w:r>
          </w:p>
        </w:tc>
        <w:tc>
          <w:tcPr>
            <w:tcW w:w="799" w:type="pct"/>
          </w:tcPr>
          <w:p w14:paraId="09B10534" w14:textId="77777777" w:rsidR="006D2D55" w:rsidRPr="007F530F" w:rsidRDefault="006D2D55" w:rsidP="00166EB7">
            <w:pPr>
              <w:pStyle w:val="TableBody"/>
            </w:pPr>
            <w:r w:rsidRPr="007F530F">
              <w:t>21</w:t>
            </w:r>
          </w:p>
        </w:tc>
        <w:tc>
          <w:tcPr>
            <w:tcW w:w="798" w:type="pct"/>
          </w:tcPr>
          <w:p w14:paraId="67215E20" w14:textId="77777777" w:rsidR="006D2D55" w:rsidRPr="007F530F" w:rsidRDefault="006D2D55" w:rsidP="00166EB7">
            <w:pPr>
              <w:pStyle w:val="TableBody"/>
            </w:pPr>
            <w:r w:rsidRPr="007F530F">
              <w:t>16</w:t>
            </w:r>
          </w:p>
        </w:tc>
        <w:tc>
          <w:tcPr>
            <w:tcW w:w="628" w:type="pct"/>
          </w:tcPr>
          <w:p w14:paraId="0624E159" w14:textId="77777777" w:rsidR="006D2D55" w:rsidRPr="007F530F" w:rsidRDefault="006D2D55" w:rsidP="00166EB7">
            <w:pPr>
              <w:pStyle w:val="TableBody"/>
            </w:pPr>
            <w:r w:rsidRPr="007F530F">
              <w:t>1</w:t>
            </w:r>
          </w:p>
        </w:tc>
        <w:tc>
          <w:tcPr>
            <w:tcW w:w="607" w:type="pct"/>
            <w:gridSpan w:val="2"/>
          </w:tcPr>
          <w:p w14:paraId="4FE5C023" w14:textId="77777777" w:rsidR="006D2D55" w:rsidRPr="007F530F" w:rsidRDefault="006D2D55" w:rsidP="00166EB7">
            <w:pPr>
              <w:pStyle w:val="TableBody"/>
            </w:pPr>
            <w:r w:rsidRPr="007F530F">
              <w:t>20</w:t>
            </w:r>
          </w:p>
        </w:tc>
      </w:tr>
      <w:tr w:rsidR="00397C27" w:rsidRPr="007F530F" w14:paraId="20A66132" w14:textId="77777777" w:rsidTr="00397C27">
        <w:trPr>
          <w:trHeight w:val="60"/>
        </w:trPr>
        <w:tc>
          <w:tcPr>
            <w:tcW w:w="733" w:type="pct"/>
          </w:tcPr>
          <w:p w14:paraId="3DFAA822" w14:textId="77777777" w:rsidR="006D2D55" w:rsidRPr="007F530F" w:rsidRDefault="006D2D55" w:rsidP="00166EB7">
            <w:pPr>
              <w:pStyle w:val="TableBody"/>
            </w:pPr>
            <w:r w:rsidRPr="007F530F">
              <w:t>6 year to less than 7 years</w:t>
            </w:r>
          </w:p>
        </w:tc>
        <w:tc>
          <w:tcPr>
            <w:tcW w:w="430" w:type="pct"/>
          </w:tcPr>
          <w:p w14:paraId="5410F399" w14:textId="77777777" w:rsidR="006D2D55" w:rsidRPr="007F530F" w:rsidRDefault="006D2D55" w:rsidP="00166EB7">
            <w:pPr>
              <w:pStyle w:val="TableBody"/>
            </w:pPr>
            <w:r w:rsidRPr="007F530F">
              <w:t>61</w:t>
            </w:r>
          </w:p>
        </w:tc>
        <w:tc>
          <w:tcPr>
            <w:tcW w:w="545" w:type="pct"/>
          </w:tcPr>
          <w:p w14:paraId="295E06DB" w14:textId="77777777" w:rsidR="006D2D55" w:rsidRPr="007F530F" w:rsidRDefault="006D2D55" w:rsidP="00166EB7">
            <w:pPr>
              <w:pStyle w:val="TableBody"/>
            </w:pPr>
            <w:r w:rsidRPr="007F530F">
              <w:t>–</w:t>
            </w:r>
          </w:p>
        </w:tc>
        <w:tc>
          <w:tcPr>
            <w:tcW w:w="460" w:type="pct"/>
          </w:tcPr>
          <w:p w14:paraId="1739C3F9" w14:textId="77777777" w:rsidR="006D2D55" w:rsidRPr="007F530F" w:rsidRDefault="006D2D55" w:rsidP="00166EB7">
            <w:pPr>
              <w:pStyle w:val="TableBody"/>
            </w:pPr>
            <w:r w:rsidRPr="007F530F">
              <w:t>43</w:t>
            </w:r>
          </w:p>
        </w:tc>
        <w:tc>
          <w:tcPr>
            <w:tcW w:w="799" w:type="pct"/>
          </w:tcPr>
          <w:p w14:paraId="1E1FD4B7" w14:textId="77777777" w:rsidR="006D2D55" w:rsidRPr="007F530F" w:rsidRDefault="006D2D55" w:rsidP="00166EB7">
            <w:pPr>
              <w:pStyle w:val="TableBody"/>
            </w:pPr>
            <w:r w:rsidRPr="007F530F">
              <w:t>12</w:t>
            </w:r>
          </w:p>
        </w:tc>
        <w:tc>
          <w:tcPr>
            <w:tcW w:w="798" w:type="pct"/>
          </w:tcPr>
          <w:p w14:paraId="46303F3B" w14:textId="77777777" w:rsidR="006D2D55" w:rsidRPr="007F530F" w:rsidRDefault="006D2D55" w:rsidP="00166EB7">
            <w:pPr>
              <w:pStyle w:val="TableBody"/>
            </w:pPr>
            <w:r w:rsidRPr="007F530F">
              <w:t>7</w:t>
            </w:r>
          </w:p>
        </w:tc>
        <w:tc>
          <w:tcPr>
            <w:tcW w:w="628" w:type="pct"/>
          </w:tcPr>
          <w:p w14:paraId="43F6909A" w14:textId="77777777" w:rsidR="006D2D55" w:rsidRPr="007F530F" w:rsidRDefault="006D2D55" w:rsidP="00166EB7">
            <w:pPr>
              <w:pStyle w:val="TableBody"/>
            </w:pPr>
            <w:r w:rsidRPr="007F530F">
              <w:t>2</w:t>
            </w:r>
          </w:p>
        </w:tc>
        <w:tc>
          <w:tcPr>
            <w:tcW w:w="607" w:type="pct"/>
            <w:gridSpan w:val="2"/>
          </w:tcPr>
          <w:p w14:paraId="65163970" w14:textId="77777777" w:rsidR="006D2D55" w:rsidRPr="007F530F" w:rsidRDefault="006D2D55" w:rsidP="00166EB7">
            <w:pPr>
              <w:pStyle w:val="TableBody"/>
            </w:pPr>
            <w:r w:rsidRPr="007F530F">
              <w:t>19</w:t>
            </w:r>
          </w:p>
        </w:tc>
      </w:tr>
      <w:tr w:rsidR="00397C27" w:rsidRPr="007F530F" w14:paraId="48AB16B4" w14:textId="77777777" w:rsidTr="00397C27">
        <w:trPr>
          <w:trHeight w:val="60"/>
        </w:trPr>
        <w:tc>
          <w:tcPr>
            <w:tcW w:w="733" w:type="pct"/>
          </w:tcPr>
          <w:p w14:paraId="29EB7709" w14:textId="77777777" w:rsidR="006D2D55" w:rsidRPr="007F530F" w:rsidRDefault="006D2D55" w:rsidP="00166EB7">
            <w:pPr>
              <w:pStyle w:val="TableBody"/>
            </w:pPr>
            <w:r w:rsidRPr="007F530F">
              <w:t>7 year to less than 8 years</w:t>
            </w:r>
          </w:p>
        </w:tc>
        <w:tc>
          <w:tcPr>
            <w:tcW w:w="430" w:type="pct"/>
          </w:tcPr>
          <w:p w14:paraId="49424CC4" w14:textId="77777777" w:rsidR="006D2D55" w:rsidRPr="007F530F" w:rsidRDefault="006D2D55" w:rsidP="00166EB7">
            <w:pPr>
              <w:pStyle w:val="TableBody"/>
            </w:pPr>
            <w:r w:rsidRPr="007F530F">
              <w:t>38</w:t>
            </w:r>
          </w:p>
        </w:tc>
        <w:tc>
          <w:tcPr>
            <w:tcW w:w="545" w:type="pct"/>
          </w:tcPr>
          <w:p w14:paraId="0F87D366" w14:textId="77777777" w:rsidR="006D2D55" w:rsidRPr="007F530F" w:rsidRDefault="006D2D55" w:rsidP="00166EB7">
            <w:pPr>
              <w:pStyle w:val="TableBody"/>
            </w:pPr>
            <w:r w:rsidRPr="007F530F">
              <w:t>–</w:t>
            </w:r>
          </w:p>
        </w:tc>
        <w:tc>
          <w:tcPr>
            <w:tcW w:w="460" w:type="pct"/>
          </w:tcPr>
          <w:p w14:paraId="68C59B83" w14:textId="77777777" w:rsidR="006D2D55" w:rsidRPr="007F530F" w:rsidRDefault="006D2D55" w:rsidP="00166EB7">
            <w:pPr>
              <w:pStyle w:val="TableBody"/>
            </w:pPr>
            <w:r w:rsidRPr="007F530F">
              <w:t>17</w:t>
            </w:r>
          </w:p>
        </w:tc>
        <w:tc>
          <w:tcPr>
            <w:tcW w:w="799" w:type="pct"/>
          </w:tcPr>
          <w:p w14:paraId="7FEBD7EA" w14:textId="77777777" w:rsidR="006D2D55" w:rsidRPr="007F530F" w:rsidRDefault="006D2D55" w:rsidP="00166EB7">
            <w:pPr>
              <w:pStyle w:val="TableBody"/>
            </w:pPr>
            <w:r w:rsidRPr="007F530F">
              <w:t>5</w:t>
            </w:r>
          </w:p>
        </w:tc>
        <w:tc>
          <w:tcPr>
            <w:tcW w:w="798" w:type="pct"/>
          </w:tcPr>
          <w:p w14:paraId="15C7185B" w14:textId="77777777" w:rsidR="006D2D55" w:rsidRPr="007F530F" w:rsidRDefault="006D2D55" w:rsidP="00166EB7">
            <w:pPr>
              <w:pStyle w:val="TableBody"/>
            </w:pPr>
            <w:r w:rsidRPr="007F530F">
              <w:t>–</w:t>
            </w:r>
          </w:p>
        </w:tc>
        <w:tc>
          <w:tcPr>
            <w:tcW w:w="628" w:type="pct"/>
          </w:tcPr>
          <w:p w14:paraId="11FE27B7" w14:textId="77777777" w:rsidR="006D2D55" w:rsidRPr="007F530F" w:rsidRDefault="006D2D55" w:rsidP="00166EB7">
            <w:pPr>
              <w:pStyle w:val="TableBody"/>
            </w:pPr>
            <w:r w:rsidRPr="007F530F">
              <w:t>–</w:t>
            </w:r>
          </w:p>
        </w:tc>
        <w:tc>
          <w:tcPr>
            <w:tcW w:w="607" w:type="pct"/>
            <w:gridSpan w:val="2"/>
          </w:tcPr>
          <w:p w14:paraId="5E4643FD" w14:textId="77777777" w:rsidR="006D2D55" w:rsidRPr="007F530F" w:rsidRDefault="006D2D55" w:rsidP="00166EB7">
            <w:pPr>
              <w:pStyle w:val="TableBody"/>
            </w:pPr>
            <w:r w:rsidRPr="007F530F">
              <w:t>15</w:t>
            </w:r>
          </w:p>
        </w:tc>
      </w:tr>
      <w:tr w:rsidR="00397C27" w:rsidRPr="007F530F" w14:paraId="15B5ACA6" w14:textId="77777777" w:rsidTr="00397C27">
        <w:trPr>
          <w:trHeight w:val="60"/>
        </w:trPr>
        <w:tc>
          <w:tcPr>
            <w:tcW w:w="733" w:type="pct"/>
          </w:tcPr>
          <w:p w14:paraId="6692D067" w14:textId="77777777" w:rsidR="006D2D55" w:rsidRPr="007F530F" w:rsidRDefault="006D2D55" w:rsidP="00166EB7">
            <w:pPr>
              <w:pStyle w:val="TableBody"/>
            </w:pPr>
            <w:r w:rsidRPr="007F530F">
              <w:t>8 year to less than 9 years</w:t>
            </w:r>
          </w:p>
        </w:tc>
        <w:tc>
          <w:tcPr>
            <w:tcW w:w="430" w:type="pct"/>
          </w:tcPr>
          <w:p w14:paraId="2951F788" w14:textId="77777777" w:rsidR="006D2D55" w:rsidRPr="007F530F" w:rsidRDefault="006D2D55" w:rsidP="00166EB7">
            <w:pPr>
              <w:pStyle w:val="TableBody"/>
            </w:pPr>
            <w:r w:rsidRPr="007F530F">
              <w:t>31</w:t>
            </w:r>
          </w:p>
        </w:tc>
        <w:tc>
          <w:tcPr>
            <w:tcW w:w="545" w:type="pct"/>
          </w:tcPr>
          <w:p w14:paraId="4891D667" w14:textId="77777777" w:rsidR="006D2D55" w:rsidRPr="007F530F" w:rsidRDefault="006D2D55" w:rsidP="00166EB7">
            <w:pPr>
              <w:pStyle w:val="TableBody"/>
            </w:pPr>
            <w:r w:rsidRPr="007F530F">
              <w:t>–</w:t>
            </w:r>
          </w:p>
        </w:tc>
        <w:tc>
          <w:tcPr>
            <w:tcW w:w="460" w:type="pct"/>
          </w:tcPr>
          <w:p w14:paraId="1DDAF786" w14:textId="77777777" w:rsidR="006D2D55" w:rsidRPr="007F530F" w:rsidRDefault="006D2D55" w:rsidP="00166EB7">
            <w:pPr>
              <w:pStyle w:val="TableBody"/>
            </w:pPr>
            <w:r w:rsidRPr="007F530F">
              <w:t>12</w:t>
            </w:r>
          </w:p>
        </w:tc>
        <w:tc>
          <w:tcPr>
            <w:tcW w:w="799" w:type="pct"/>
          </w:tcPr>
          <w:p w14:paraId="74569BCE" w14:textId="77777777" w:rsidR="006D2D55" w:rsidRPr="007F530F" w:rsidRDefault="006D2D55" w:rsidP="00166EB7">
            <w:pPr>
              <w:pStyle w:val="TableBody"/>
            </w:pPr>
            <w:r w:rsidRPr="007F530F">
              <w:t>2</w:t>
            </w:r>
          </w:p>
        </w:tc>
        <w:tc>
          <w:tcPr>
            <w:tcW w:w="798" w:type="pct"/>
          </w:tcPr>
          <w:p w14:paraId="39A41CA8" w14:textId="77777777" w:rsidR="006D2D55" w:rsidRPr="007F530F" w:rsidRDefault="006D2D55" w:rsidP="00166EB7">
            <w:pPr>
              <w:pStyle w:val="TableBody"/>
            </w:pPr>
            <w:r w:rsidRPr="007F530F">
              <w:t>–</w:t>
            </w:r>
          </w:p>
        </w:tc>
        <w:tc>
          <w:tcPr>
            <w:tcW w:w="628" w:type="pct"/>
          </w:tcPr>
          <w:p w14:paraId="67EC2562" w14:textId="77777777" w:rsidR="006D2D55" w:rsidRPr="007F530F" w:rsidRDefault="006D2D55" w:rsidP="00166EB7">
            <w:pPr>
              <w:pStyle w:val="TableBody"/>
            </w:pPr>
            <w:r w:rsidRPr="007F530F">
              <w:t>–</w:t>
            </w:r>
          </w:p>
        </w:tc>
        <w:tc>
          <w:tcPr>
            <w:tcW w:w="607" w:type="pct"/>
            <w:gridSpan w:val="2"/>
          </w:tcPr>
          <w:p w14:paraId="6962FDF6" w14:textId="77777777" w:rsidR="006D2D55" w:rsidRPr="007F530F" w:rsidRDefault="006D2D55" w:rsidP="00166EB7">
            <w:pPr>
              <w:pStyle w:val="TableBody"/>
            </w:pPr>
            <w:r w:rsidRPr="007F530F">
              <w:t>13</w:t>
            </w:r>
          </w:p>
        </w:tc>
      </w:tr>
      <w:tr w:rsidR="00397C27" w:rsidRPr="007F530F" w14:paraId="318F5DC7" w14:textId="77777777" w:rsidTr="00397C27">
        <w:trPr>
          <w:trHeight w:val="60"/>
        </w:trPr>
        <w:tc>
          <w:tcPr>
            <w:tcW w:w="733" w:type="pct"/>
          </w:tcPr>
          <w:p w14:paraId="75AD0D74" w14:textId="77777777" w:rsidR="006D2D55" w:rsidRPr="007F530F" w:rsidRDefault="006D2D55" w:rsidP="00166EB7">
            <w:pPr>
              <w:pStyle w:val="TableBody"/>
            </w:pPr>
            <w:r w:rsidRPr="007F530F">
              <w:t>9 year to less than 10 years</w:t>
            </w:r>
          </w:p>
        </w:tc>
        <w:tc>
          <w:tcPr>
            <w:tcW w:w="430" w:type="pct"/>
          </w:tcPr>
          <w:p w14:paraId="0AEA2157" w14:textId="77777777" w:rsidR="006D2D55" w:rsidRPr="007F530F" w:rsidRDefault="006D2D55" w:rsidP="00166EB7">
            <w:pPr>
              <w:pStyle w:val="TableBody"/>
            </w:pPr>
            <w:r w:rsidRPr="007F530F">
              <w:t>7</w:t>
            </w:r>
          </w:p>
        </w:tc>
        <w:tc>
          <w:tcPr>
            <w:tcW w:w="545" w:type="pct"/>
          </w:tcPr>
          <w:p w14:paraId="530DC65E" w14:textId="77777777" w:rsidR="006D2D55" w:rsidRPr="007F530F" w:rsidRDefault="006D2D55" w:rsidP="00166EB7">
            <w:pPr>
              <w:pStyle w:val="TableBody"/>
            </w:pPr>
            <w:r w:rsidRPr="007F530F">
              <w:t>–</w:t>
            </w:r>
          </w:p>
        </w:tc>
        <w:tc>
          <w:tcPr>
            <w:tcW w:w="460" w:type="pct"/>
          </w:tcPr>
          <w:p w14:paraId="527FF417" w14:textId="77777777" w:rsidR="006D2D55" w:rsidRPr="007F530F" w:rsidRDefault="006D2D55" w:rsidP="00166EB7">
            <w:pPr>
              <w:pStyle w:val="TableBody"/>
            </w:pPr>
            <w:r w:rsidRPr="007F530F">
              <w:t>5</w:t>
            </w:r>
          </w:p>
        </w:tc>
        <w:tc>
          <w:tcPr>
            <w:tcW w:w="799" w:type="pct"/>
          </w:tcPr>
          <w:p w14:paraId="11C3FE6F" w14:textId="77777777" w:rsidR="006D2D55" w:rsidRPr="007F530F" w:rsidRDefault="006D2D55" w:rsidP="00166EB7">
            <w:pPr>
              <w:pStyle w:val="TableBody"/>
            </w:pPr>
            <w:r w:rsidRPr="007F530F">
              <w:t>1</w:t>
            </w:r>
          </w:p>
        </w:tc>
        <w:tc>
          <w:tcPr>
            <w:tcW w:w="798" w:type="pct"/>
          </w:tcPr>
          <w:p w14:paraId="2704A744" w14:textId="77777777" w:rsidR="006D2D55" w:rsidRPr="007F530F" w:rsidRDefault="006D2D55" w:rsidP="00166EB7">
            <w:pPr>
              <w:pStyle w:val="TableBody"/>
            </w:pPr>
            <w:r w:rsidRPr="007F530F">
              <w:t>–</w:t>
            </w:r>
          </w:p>
        </w:tc>
        <w:tc>
          <w:tcPr>
            <w:tcW w:w="628" w:type="pct"/>
          </w:tcPr>
          <w:p w14:paraId="7891A55B" w14:textId="77777777" w:rsidR="006D2D55" w:rsidRPr="007F530F" w:rsidRDefault="006D2D55" w:rsidP="00166EB7">
            <w:pPr>
              <w:pStyle w:val="TableBody"/>
            </w:pPr>
            <w:r w:rsidRPr="007F530F">
              <w:t>–</w:t>
            </w:r>
          </w:p>
        </w:tc>
        <w:tc>
          <w:tcPr>
            <w:tcW w:w="607" w:type="pct"/>
            <w:gridSpan w:val="2"/>
          </w:tcPr>
          <w:p w14:paraId="0681831B" w14:textId="77777777" w:rsidR="006D2D55" w:rsidRPr="007F530F" w:rsidRDefault="006D2D55" w:rsidP="00166EB7">
            <w:pPr>
              <w:pStyle w:val="TableBody"/>
            </w:pPr>
            <w:r w:rsidRPr="007F530F">
              <w:t>10</w:t>
            </w:r>
          </w:p>
        </w:tc>
      </w:tr>
      <w:tr w:rsidR="00397C27" w:rsidRPr="007F530F" w14:paraId="195C17C1" w14:textId="77777777" w:rsidTr="00397C27">
        <w:trPr>
          <w:trHeight w:val="60"/>
        </w:trPr>
        <w:tc>
          <w:tcPr>
            <w:tcW w:w="733" w:type="pct"/>
          </w:tcPr>
          <w:p w14:paraId="640D7342" w14:textId="77777777" w:rsidR="006D2D55" w:rsidRPr="007F530F" w:rsidRDefault="006D2D55" w:rsidP="00166EB7">
            <w:pPr>
              <w:pStyle w:val="TableBody"/>
            </w:pPr>
            <w:r w:rsidRPr="007F530F">
              <w:t>10 year to less than 11 years</w:t>
            </w:r>
          </w:p>
        </w:tc>
        <w:tc>
          <w:tcPr>
            <w:tcW w:w="430" w:type="pct"/>
          </w:tcPr>
          <w:p w14:paraId="730B8E41" w14:textId="77777777" w:rsidR="006D2D55" w:rsidRPr="007F530F" w:rsidRDefault="006D2D55" w:rsidP="00166EB7">
            <w:pPr>
              <w:pStyle w:val="TableBody"/>
            </w:pPr>
            <w:r w:rsidRPr="007F530F">
              <w:t>7</w:t>
            </w:r>
          </w:p>
        </w:tc>
        <w:tc>
          <w:tcPr>
            <w:tcW w:w="545" w:type="pct"/>
          </w:tcPr>
          <w:p w14:paraId="1D5D474E" w14:textId="77777777" w:rsidR="006D2D55" w:rsidRPr="007F530F" w:rsidRDefault="006D2D55" w:rsidP="00166EB7">
            <w:pPr>
              <w:pStyle w:val="TableBody"/>
            </w:pPr>
            <w:r w:rsidRPr="007F530F">
              <w:t>–</w:t>
            </w:r>
          </w:p>
        </w:tc>
        <w:tc>
          <w:tcPr>
            <w:tcW w:w="460" w:type="pct"/>
          </w:tcPr>
          <w:p w14:paraId="1E854033" w14:textId="77777777" w:rsidR="006D2D55" w:rsidRPr="007F530F" w:rsidRDefault="006D2D55" w:rsidP="00166EB7">
            <w:pPr>
              <w:pStyle w:val="TableBody"/>
            </w:pPr>
            <w:r w:rsidRPr="007F530F">
              <w:t>1</w:t>
            </w:r>
          </w:p>
        </w:tc>
        <w:tc>
          <w:tcPr>
            <w:tcW w:w="799" w:type="pct"/>
          </w:tcPr>
          <w:p w14:paraId="78FC953A" w14:textId="77777777" w:rsidR="006D2D55" w:rsidRPr="007F530F" w:rsidRDefault="006D2D55" w:rsidP="00166EB7">
            <w:pPr>
              <w:pStyle w:val="TableBody"/>
            </w:pPr>
            <w:r w:rsidRPr="007F530F">
              <w:t>1</w:t>
            </w:r>
          </w:p>
        </w:tc>
        <w:tc>
          <w:tcPr>
            <w:tcW w:w="798" w:type="pct"/>
          </w:tcPr>
          <w:p w14:paraId="0CF5D4D3" w14:textId="77777777" w:rsidR="006D2D55" w:rsidRPr="007F530F" w:rsidRDefault="006D2D55" w:rsidP="00166EB7">
            <w:pPr>
              <w:pStyle w:val="TableBody"/>
            </w:pPr>
            <w:r w:rsidRPr="007F530F">
              <w:t>–</w:t>
            </w:r>
          </w:p>
        </w:tc>
        <w:tc>
          <w:tcPr>
            <w:tcW w:w="628" w:type="pct"/>
          </w:tcPr>
          <w:p w14:paraId="4DF254C7" w14:textId="77777777" w:rsidR="006D2D55" w:rsidRPr="007F530F" w:rsidRDefault="006D2D55" w:rsidP="00166EB7">
            <w:pPr>
              <w:pStyle w:val="TableBody"/>
            </w:pPr>
            <w:r w:rsidRPr="007F530F">
              <w:t>–</w:t>
            </w:r>
          </w:p>
        </w:tc>
        <w:tc>
          <w:tcPr>
            <w:tcW w:w="607" w:type="pct"/>
            <w:gridSpan w:val="2"/>
          </w:tcPr>
          <w:p w14:paraId="64AB43FC" w14:textId="77777777" w:rsidR="006D2D55" w:rsidRPr="007F530F" w:rsidRDefault="006D2D55" w:rsidP="00166EB7">
            <w:pPr>
              <w:pStyle w:val="TableBody"/>
            </w:pPr>
            <w:r w:rsidRPr="007F530F">
              <w:t>7</w:t>
            </w:r>
          </w:p>
        </w:tc>
      </w:tr>
      <w:tr w:rsidR="00397C27" w:rsidRPr="007F530F" w14:paraId="16F63191" w14:textId="77777777" w:rsidTr="00397C27">
        <w:trPr>
          <w:trHeight w:val="60"/>
        </w:trPr>
        <w:tc>
          <w:tcPr>
            <w:tcW w:w="733" w:type="pct"/>
          </w:tcPr>
          <w:p w14:paraId="7D080E97" w14:textId="77777777" w:rsidR="006D2D55" w:rsidRPr="007F530F" w:rsidRDefault="006D2D55" w:rsidP="00166EB7">
            <w:pPr>
              <w:pStyle w:val="TableBody"/>
            </w:pPr>
            <w:r w:rsidRPr="007F530F">
              <w:t>11 years or more</w:t>
            </w:r>
          </w:p>
        </w:tc>
        <w:tc>
          <w:tcPr>
            <w:tcW w:w="430" w:type="pct"/>
          </w:tcPr>
          <w:p w14:paraId="3924C200" w14:textId="77777777" w:rsidR="006D2D55" w:rsidRPr="007F530F" w:rsidRDefault="006D2D55" w:rsidP="00166EB7">
            <w:pPr>
              <w:pStyle w:val="TableBody"/>
            </w:pPr>
            <w:r w:rsidRPr="007F530F">
              <w:t>10</w:t>
            </w:r>
          </w:p>
        </w:tc>
        <w:tc>
          <w:tcPr>
            <w:tcW w:w="545" w:type="pct"/>
          </w:tcPr>
          <w:p w14:paraId="52333950" w14:textId="77777777" w:rsidR="006D2D55" w:rsidRPr="007F530F" w:rsidRDefault="006D2D55" w:rsidP="00166EB7">
            <w:pPr>
              <w:pStyle w:val="TableBody"/>
            </w:pPr>
            <w:r w:rsidRPr="007F530F">
              <w:t>–</w:t>
            </w:r>
          </w:p>
        </w:tc>
        <w:tc>
          <w:tcPr>
            <w:tcW w:w="460" w:type="pct"/>
          </w:tcPr>
          <w:p w14:paraId="122A9E90" w14:textId="77777777" w:rsidR="006D2D55" w:rsidRPr="007F530F" w:rsidRDefault="006D2D55" w:rsidP="00166EB7">
            <w:pPr>
              <w:pStyle w:val="TableBody"/>
            </w:pPr>
            <w:r w:rsidRPr="007F530F">
              <w:t>3</w:t>
            </w:r>
          </w:p>
        </w:tc>
        <w:tc>
          <w:tcPr>
            <w:tcW w:w="799" w:type="pct"/>
          </w:tcPr>
          <w:p w14:paraId="0811AE64" w14:textId="77777777" w:rsidR="006D2D55" w:rsidRPr="007F530F" w:rsidRDefault="006D2D55" w:rsidP="00166EB7">
            <w:pPr>
              <w:pStyle w:val="TableBody"/>
            </w:pPr>
            <w:r w:rsidRPr="007F530F">
              <w:t>–</w:t>
            </w:r>
          </w:p>
        </w:tc>
        <w:tc>
          <w:tcPr>
            <w:tcW w:w="798" w:type="pct"/>
          </w:tcPr>
          <w:p w14:paraId="295BEF06" w14:textId="77777777" w:rsidR="006D2D55" w:rsidRPr="007F530F" w:rsidRDefault="006D2D55" w:rsidP="00166EB7">
            <w:pPr>
              <w:pStyle w:val="TableBody"/>
            </w:pPr>
            <w:r w:rsidRPr="007F530F">
              <w:t>–</w:t>
            </w:r>
          </w:p>
        </w:tc>
        <w:tc>
          <w:tcPr>
            <w:tcW w:w="628" w:type="pct"/>
          </w:tcPr>
          <w:p w14:paraId="46ED719A" w14:textId="77777777" w:rsidR="006D2D55" w:rsidRPr="007F530F" w:rsidRDefault="006D2D55" w:rsidP="00166EB7">
            <w:pPr>
              <w:pStyle w:val="TableBody"/>
            </w:pPr>
            <w:r w:rsidRPr="007F530F">
              <w:t>–</w:t>
            </w:r>
          </w:p>
        </w:tc>
        <w:tc>
          <w:tcPr>
            <w:tcW w:w="607" w:type="pct"/>
            <w:gridSpan w:val="2"/>
          </w:tcPr>
          <w:p w14:paraId="1E2BF22C" w14:textId="77777777" w:rsidR="006D2D55" w:rsidRPr="007F530F" w:rsidRDefault="006D2D55" w:rsidP="00166EB7">
            <w:pPr>
              <w:pStyle w:val="TableBody"/>
            </w:pPr>
            <w:r w:rsidRPr="007F530F">
              <w:t>5</w:t>
            </w:r>
          </w:p>
        </w:tc>
      </w:tr>
      <w:tr w:rsidR="00397C27" w:rsidRPr="00D00197" w14:paraId="27C26386" w14:textId="77777777" w:rsidTr="00397C27">
        <w:trPr>
          <w:trHeight w:val="60"/>
        </w:trPr>
        <w:tc>
          <w:tcPr>
            <w:tcW w:w="733" w:type="pct"/>
          </w:tcPr>
          <w:p w14:paraId="7DD84843" w14:textId="77777777" w:rsidR="006D2D55" w:rsidRPr="00D00197" w:rsidRDefault="006D2D55" w:rsidP="00166EB7">
            <w:pPr>
              <w:pStyle w:val="TableBody"/>
              <w:rPr>
                <w:rStyle w:val="Strong"/>
              </w:rPr>
            </w:pPr>
            <w:r w:rsidRPr="00D00197">
              <w:rPr>
                <w:rStyle w:val="Strong"/>
              </w:rPr>
              <w:t>Total</w:t>
            </w:r>
          </w:p>
        </w:tc>
        <w:tc>
          <w:tcPr>
            <w:tcW w:w="430" w:type="pct"/>
          </w:tcPr>
          <w:p w14:paraId="6D592235" w14:textId="77777777" w:rsidR="006D2D55" w:rsidRPr="00D00197" w:rsidRDefault="006D2D55" w:rsidP="00166EB7">
            <w:pPr>
              <w:pStyle w:val="TableBody"/>
              <w:rPr>
                <w:rStyle w:val="Strong"/>
              </w:rPr>
            </w:pPr>
            <w:r w:rsidRPr="00D00197">
              <w:rPr>
                <w:rStyle w:val="Strong"/>
              </w:rPr>
              <w:t>395</w:t>
            </w:r>
          </w:p>
        </w:tc>
        <w:tc>
          <w:tcPr>
            <w:tcW w:w="545" w:type="pct"/>
          </w:tcPr>
          <w:p w14:paraId="0F822C70" w14:textId="77777777" w:rsidR="006D2D55" w:rsidRPr="00D00197" w:rsidRDefault="006D2D55" w:rsidP="00166EB7">
            <w:pPr>
              <w:pStyle w:val="TableBody"/>
              <w:rPr>
                <w:rStyle w:val="Strong"/>
              </w:rPr>
            </w:pPr>
            <w:r w:rsidRPr="00D00197">
              <w:rPr>
                <w:rStyle w:val="Strong"/>
              </w:rPr>
              <w:t>87</w:t>
            </w:r>
          </w:p>
        </w:tc>
        <w:tc>
          <w:tcPr>
            <w:tcW w:w="460" w:type="pct"/>
          </w:tcPr>
          <w:p w14:paraId="0FEF8ECB" w14:textId="77777777" w:rsidR="006D2D55" w:rsidRPr="00D00197" w:rsidRDefault="006D2D55" w:rsidP="00166EB7">
            <w:pPr>
              <w:pStyle w:val="TableBody"/>
              <w:rPr>
                <w:rStyle w:val="Strong"/>
              </w:rPr>
            </w:pPr>
            <w:r w:rsidRPr="00D00197">
              <w:rPr>
                <w:rStyle w:val="Strong"/>
              </w:rPr>
              <w:t>254</w:t>
            </w:r>
          </w:p>
        </w:tc>
        <w:tc>
          <w:tcPr>
            <w:tcW w:w="799" w:type="pct"/>
          </w:tcPr>
          <w:p w14:paraId="7445CDDF" w14:textId="77777777" w:rsidR="006D2D55" w:rsidRPr="00D00197" w:rsidRDefault="006D2D55" w:rsidP="00166EB7">
            <w:pPr>
              <w:pStyle w:val="TableBody"/>
              <w:rPr>
                <w:rStyle w:val="Strong"/>
              </w:rPr>
            </w:pPr>
            <w:r w:rsidRPr="00D00197">
              <w:rPr>
                <w:rStyle w:val="Strong"/>
              </w:rPr>
              <w:t>89</w:t>
            </w:r>
          </w:p>
        </w:tc>
        <w:tc>
          <w:tcPr>
            <w:tcW w:w="798" w:type="pct"/>
          </w:tcPr>
          <w:p w14:paraId="34F7D2D5" w14:textId="77777777" w:rsidR="006D2D55" w:rsidRPr="00D00197" w:rsidRDefault="006D2D55" w:rsidP="00166EB7">
            <w:pPr>
              <w:pStyle w:val="TableBody"/>
              <w:rPr>
                <w:rStyle w:val="Strong"/>
              </w:rPr>
            </w:pPr>
            <w:r w:rsidRPr="00D00197">
              <w:rPr>
                <w:rStyle w:val="Strong"/>
              </w:rPr>
              <w:t>335</w:t>
            </w:r>
          </w:p>
        </w:tc>
        <w:tc>
          <w:tcPr>
            <w:tcW w:w="628" w:type="pct"/>
          </w:tcPr>
          <w:p w14:paraId="226001BC" w14:textId="77777777" w:rsidR="006D2D55" w:rsidRPr="00D00197" w:rsidRDefault="006D2D55" w:rsidP="00166EB7">
            <w:pPr>
              <w:pStyle w:val="TableBody"/>
              <w:rPr>
                <w:rStyle w:val="Strong"/>
              </w:rPr>
            </w:pPr>
            <w:r w:rsidRPr="00D00197">
              <w:rPr>
                <w:rStyle w:val="Strong"/>
              </w:rPr>
              <w:t>153</w:t>
            </w:r>
          </w:p>
        </w:tc>
        <w:tc>
          <w:tcPr>
            <w:tcW w:w="607" w:type="pct"/>
            <w:gridSpan w:val="2"/>
          </w:tcPr>
          <w:p w14:paraId="582F404B" w14:textId="77777777" w:rsidR="006D2D55" w:rsidRPr="00D00197" w:rsidRDefault="006D2D55" w:rsidP="00166EB7">
            <w:pPr>
              <w:pStyle w:val="TableBody"/>
              <w:rPr>
                <w:rStyle w:val="Strong"/>
              </w:rPr>
            </w:pPr>
            <w:r w:rsidRPr="00D00197">
              <w:rPr>
                <w:rStyle w:val="Strong"/>
              </w:rPr>
              <w:t>107</w:t>
            </w:r>
          </w:p>
        </w:tc>
      </w:tr>
    </w:tbl>
    <w:p w14:paraId="5C1FE4C7" w14:textId="77777777" w:rsidR="00EF5C25" w:rsidRPr="007F530F" w:rsidRDefault="00EF5C25" w:rsidP="00C10631">
      <w:pPr>
        <w:pStyle w:val="Footnote"/>
      </w:pPr>
      <w:r w:rsidRPr="007F530F">
        <w:t>a.</w:t>
      </w:r>
      <w:r w:rsidRPr="007F530F">
        <w:tab/>
        <w:t xml:space="preserve">The data is based on sentenced charges of, and cases involving as a principal proven offence a charge of, rape contrary to section 38 of the </w:t>
      </w:r>
      <w:r w:rsidRPr="00D62402">
        <w:rPr>
          <w:rStyle w:val="Emphasis"/>
        </w:rPr>
        <w:t xml:space="preserve">Crimes Act 1958 </w:t>
      </w:r>
      <w:r w:rsidRPr="007F530F">
        <w:t>(Vic).</w:t>
      </w:r>
    </w:p>
    <w:p w14:paraId="4E98897F" w14:textId="77777777" w:rsidR="00EF5C25" w:rsidRPr="007F530F" w:rsidRDefault="00EF5C25" w:rsidP="00C10631">
      <w:pPr>
        <w:pStyle w:val="Footnote"/>
      </w:pPr>
      <w:r w:rsidRPr="007F530F">
        <w:t>b.</w:t>
      </w:r>
      <w:r w:rsidRPr="007F530F">
        <w:tab/>
        <w:t xml:space="preserve">The data is based on sentenced charges of, and cases involving as a principal proven offence a charge of, either indecent assault or sexual assault contrary to sections 39(1) and 40(1) of the </w:t>
      </w:r>
      <w:r w:rsidRPr="00D62402">
        <w:rPr>
          <w:rStyle w:val="Emphasis"/>
        </w:rPr>
        <w:t xml:space="preserve">Crimes Act 1958 </w:t>
      </w:r>
      <w:r w:rsidRPr="007F530F">
        <w:t>(Vic).</w:t>
      </w:r>
    </w:p>
    <w:p w14:paraId="4CDFB9DB" w14:textId="77777777" w:rsidR="00EF5C25" w:rsidRPr="007F530F" w:rsidRDefault="00EF5C25" w:rsidP="00C10631">
      <w:pPr>
        <w:pStyle w:val="Footnote"/>
      </w:pPr>
      <w:r w:rsidRPr="007F530F">
        <w:t>c.</w:t>
      </w:r>
      <w:r w:rsidRPr="007F530F">
        <w:tab/>
        <w:t xml:space="preserve">The data is based on sentenced charges of, and cases involving as a principal proven offence a charge of, one of the following: incest with a child, stepchild or lineal descendant contrary to sections 44(1), 44(2), 50C and 50D of the </w:t>
      </w:r>
      <w:r w:rsidRPr="00D62402">
        <w:rPr>
          <w:rStyle w:val="Emphasis"/>
        </w:rPr>
        <w:t>Crimes Act 1958</w:t>
      </w:r>
      <w:r w:rsidRPr="007F530F">
        <w:t xml:space="preserve"> (Vic).</w:t>
      </w:r>
    </w:p>
    <w:p w14:paraId="3DE9F5E7" w14:textId="77777777" w:rsidR="00EF5C25" w:rsidRPr="007F530F" w:rsidRDefault="00EF5C25" w:rsidP="00C10631">
      <w:pPr>
        <w:pStyle w:val="Footnote"/>
      </w:pPr>
      <w:r w:rsidRPr="007F530F">
        <w:t>d.</w:t>
      </w:r>
      <w:r w:rsidRPr="007F530F">
        <w:tab/>
        <w:t xml:space="preserve">The data is based on sentenced charges of, and cases involving as a principal proven offence a charge of, sexual penetration with a child aged under 10/12 contrary to sections 45(1) and 49A of the </w:t>
      </w:r>
      <w:r w:rsidRPr="00D62402">
        <w:rPr>
          <w:rStyle w:val="Emphasis"/>
        </w:rPr>
        <w:t>Crimes Act 1958</w:t>
      </w:r>
      <w:r w:rsidRPr="007F530F">
        <w:t xml:space="preserve"> (Vic).</w:t>
      </w:r>
    </w:p>
    <w:p w14:paraId="538B759C" w14:textId="77777777" w:rsidR="00EF5C25" w:rsidRPr="007F530F" w:rsidRDefault="00EF5C25" w:rsidP="00C10631">
      <w:pPr>
        <w:pStyle w:val="Footnote"/>
      </w:pPr>
      <w:r w:rsidRPr="007F530F">
        <w:t>e.</w:t>
      </w:r>
      <w:r w:rsidRPr="007F530F">
        <w:tab/>
        <w:t xml:space="preserve">The data is based on sentenced charges of, and cases involving as a principal proven offence a charge of, sexual penetration with a child aged 10/12 to 15 contrary to sections 45(1) and 49B of the </w:t>
      </w:r>
      <w:r w:rsidRPr="00D62402">
        <w:rPr>
          <w:rStyle w:val="Emphasis"/>
        </w:rPr>
        <w:t xml:space="preserve">Crimes Act 1958 </w:t>
      </w:r>
      <w:r w:rsidRPr="007F530F">
        <w:t>(Vic).</w:t>
      </w:r>
    </w:p>
    <w:p w14:paraId="282BC195" w14:textId="77777777" w:rsidR="00EF5C25" w:rsidRPr="007F530F" w:rsidRDefault="00EF5C25" w:rsidP="00C10631">
      <w:pPr>
        <w:pStyle w:val="Footnote"/>
      </w:pPr>
      <w:r w:rsidRPr="007F530F">
        <w:t>f.</w:t>
      </w:r>
      <w:r w:rsidRPr="007F530F">
        <w:tab/>
        <w:t xml:space="preserve">The data is based on sentenced charges of, and cases involving as a principal proven offence a charge of, indecent act with a child aged under 16 or sexual assault of a child aged under 16 contrary to sections 47(1) and 49D of the </w:t>
      </w:r>
      <w:r w:rsidRPr="00D62402">
        <w:rPr>
          <w:rStyle w:val="Emphasis"/>
        </w:rPr>
        <w:t xml:space="preserve">Crimes Act 1958 </w:t>
      </w:r>
      <w:r w:rsidRPr="007F530F">
        <w:t>(Vic).</w:t>
      </w:r>
    </w:p>
    <w:p w14:paraId="31AE37CA" w14:textId="77777777" w:rsidR="00EF5C25" w:rsidRPr="007F530F" w:rsidRDefault="00EF5C25" w:rsidP="00C10631">
      <w:pPr>
        <w:pStyle w:val="Footnote"/>
      </w:pPr>
      <w:r w:rsidRPr="007F530F">
        <w:t>g.</w:t>
      </w:r>
      <w:r w:rsidRPr="007F530F">
        <w:tab/>
        <w:t xml:space="preserve">The data is based on sentenced charges of, and cases involving as a principal proven offence a charge of, maintaining a sexual relationship with a child aged under 16 or persistent sexual abuse of a child aged under 16 contrary to sections 47A and 49J of the </w:t>
      </w:r>
      <w:r w:rsidRPr="00D62402">
        <w:rPr>
          <w:rStyle w:val="Emphasis"/>
        </w:rPr>
        <w:t xml:space="preserve">Crimes Act 1958 </w:t>
      </w:r>
      <w:r w:rsidRPr="007F530F">
        <w:t>(Vic).</w:t>
      </w:r>
    </w:p>
    <w:p w14:paraId="5BBC20BA" w14:textId="77777777" w:rsidR="00AA49EA" w:rsidRDefault="00AA49EA" w:rsidP="006633AA">
      <w:pPr>
        <w:pStyle w:val="Heading1"/>
        <w:sectPr w:rsidR="00AA49EA" w:rsidSect="00AA49EA">
          <w:pgSz w:w="16838" w:h="11906" w:orient="landscape"/>
          <w:pgMar w:top="1440" w:right="1440" w:bottom="1440" w:left="1440" w:header="720" w:footer="720" w:gutter="0"/>
          <w:cols w:space="720"/>
          <w:noEndnote/>
          <w:docGrid w:linePitch="326"/>
        </w:sectPr>
      </w:pPr>
    </w:p>
    <w:p w14:paraId="039EFEE1" w14:textId="5EB83452" w:rsidR="00EF5C25" w:rsidRPr="007F530F" w:rsidRDefault="00EF5C25" w:rsidP="006633AA">
      <w:pPr>
        <w:pStyle w:val="Heading1"/>
      </w:pPr>
      <w:bookmarkStart w:id="17" w:name="_Toc74904010"/>
      <w:r w:rsidRPr="007F530F">
        <w:lastRenderedPageBreak/>
        <w:t>Appendix 4: How long were prison sentences for other contact sex offences?</w:t>
      </w:r>
      <w:bookmarkEnd w:id="17"/>
    </w:p>
    <w:p w14:paraId="05A49D96" w14:textId="77777777" w:rsidR="00EF5C25" w:rsidRPr="007F530F" w:rsidRDefault="00EF5C25" w:rsidP="002C6923">
      <w:r w:rsidRPr="007F530F">
        <w:t>Within each category of sex offence analysed in this report, multiple historical versions of offences were nevertheless sentenced during the reference period due to a delay, sometimes decades-long, in their prosecution. There were also a handful of offences with so few charges that they did not warrant distinct analysis in the body of the report. Table A4 provides an overview of the shortest, longest and average non-aggregate sentence of imprisonment for those various historical and rarely prosecuted offences.</w:t>
      </w:r>
    </w:p>
    <w:p w14:paraId="46BF888B" w14:textId="77777777" w:rsidR="00C5287D" w:rsidRDefault="00C5287D" w:rsidP="00D00197">
      <w:pPr>
        <w:pStyle w:val="Caption"/>
        <w:sectPr w:rsidR="00C5287D" w:rsidSect="00D6349A">
          <w:pgSz w:w="11906" w:h="16838"/>
          <w:pgMar w:top="1440" w:right="1440" w:bottom="1440" w:left="1440" w:header="720" w:footer="720" w:gutter="0"/>
          <w:cols w:space="720"/>
          <w:noEndnote/>
          <w:docGrid w:linePitch="326"/>
        </w:sectPr>
      </w:pPr>
    </w:p>
    <w:p w14:paraId="173E3E8A" w14:textId="01CD9451" w:rsidR="00EF5C25" w:rsidRPr="007F530F" w:rsidRDefault="00EF5C25" w:rsidP="00D00197">
      <w:pPr>
        <w:pStyle w:val="Caption"/>
      </w:pPr>
      <w:r w:rsidRPr="00D00197">
        <w:lastRenderedPageBreak/>
        <w:t>Table A4</w:t>
      </w:r>
      <w:r w:rsidRPr="007F530F">
        <w:t>: Duration of non-aggregate sentences of imprisonment imposed for all other contact sex offences sentenced in Victoria, 2010 to 2019</w:t>
      </w:r>
    </w:p>
    <w:tbl>
      <w:tblPr>
        <w:tblStyle w:val="Table"/>
        <w:tblW w:w="5000" w:type="pct"/>
        <w:tblLook w:val="0020" w:firstRow="1" w:lastRow="0" w:firstColumn="0" w:lastColumn="0" w:noHBand="0" w:noVBand="0"/>
      </w:tblPr>
      <w:tblGrid>
        <w:gridCol w:w="2850"/>
        <w:gridCol w:w="1448"/>
        <w:gridCol w:w="1526"/>
        <w:gridCol w:w="1568"/>
        <w:gridCol w:w="2056"/>
        <w:gridCol w:w="1526"/>
        <w:gridCol w:w="1526"/>
        <w:gridCol w:w="1448"/>
      </w:tblGrid>
      <w:tr w:rsidR="00EF5C25" w:rsidRPr="007F530F" w14:paraId="490EEB91" w14:textId="77777777" w:rsidTr="0012596A">
        <w:trPr>
          <w:trHeight w:val="60"/>
          <w:tblHeader/>
        </w:trPr>
        <w:tc>
          <w:tcPr>
            <w:tcW w:w="1022" w:type="pct"/>
          </w:tcPr>
          <w:p w14:paraId="49F1ECB4" w14:textId="77777777" w:rsidR="00EF5C25" w:rsidRPr="007F530F" w:rsidRDefault="00EF5C25" w:rsidP="00841071">
            <w:pPr>
              <w:pStyle w:val="TableHeading"/>
            </w:pPr>
            <w:r w:rsidRPr="007F530F">
              <w:t>Offence</w:t>
            </w:r>
          </w:p>
        </w:tc>
        <w:tc>
          <w:tcPr>
            <w:tcW w:w="519" w:type="pct"/>
          </w:tcPr>
          <w:p w14:paraId="6112948C" w14:textId="77777777" w:rsidR="00EF5C25" w:rsidRPr="007F530F" w:rsidRDefault="00EF5C25" w:rsidP="00DF5757">
            <w:pPr>
              <w:pStyle w:val="TableHeading"/>
            </w:pPr>
            <w:r w:rsidRPr="007F530F">
              <w:t>Maximum penalty</w:t>
            </w:r>
          </w:p>
        </w:tc>
        <w:tc>
          <w:tcPr>
            <w:tcW w:w="547" w:type="pct"/>
          </w:tcPr>
          <w:p w14:paraId="20D9B2ED" w14:textId="77777777" w:rsidR="00EF5C25" w:rsidRPr="007F530F" w:rsidRDefault="00EF5C25" w:rsidP="00DF5757">
            <w:pPr>
              <w:pStyle w:val="TableHeading"/>
            </w:pPr>
            <w:r w:rsidRPr="007F530F">
              <w:t>Total number of charges</w:t>
            </w:r>
          </w:p>
        </w:tc>
        <w:tc>
          <w:tcPr>
            <w:tcW w:w="562" w:type="pct"/>
          </w:tcPr>
          <w:p w14:paraId="5AB1EF6F" w14:textId="77777777" w:rsidR="00EF5C25" w:rsidRPr="007F530F" w:rsidRDefault="00EF5C25" w:rsidP="00DF5757">
            <w:pPr>
              <w:pStyle w:val="TableHeading"/>
            </w:pPr>
            <w:r w:rsidRPr="007F530F">
              <w:t>Charges receiving a custodial sentence</w:t>
            </w:r>
          </w:p>
        </w:tc>
        <w:tc>
          <w:tcPr>
            <w:tcW w:w="737" w:type="pct"/>
          </w:tcPr>
          <w:p w14:paraId="773B5E25" w14:textId="77777777" w:rsidR="00EF5C25" w:rsidRPr="007F530F" w:rsidRDefault="00EF5C25" w:rsidP="00DF5757">
            <w:pPr>
              <w:pStyle w:val="TableHeading"/>
            </w:pPr>
            <w:r w:rsidRPr="007F530F">
              <w:t>Charges receiving a non-aggregate sentence of imprisonment</w:t>
            </w:r>
          </w:p>
        </w:tc>
        <w:tc>
          <w:tcPr>
            <w:tcW w:w="547" w:type="pct"/>
          </w:tcPr>
          <w:p w14:paraId="3B97B611" w14:textId="77777777" w:rsidR="00EF5C25" w:rsidRPr="007F530F" w:rsidRDefault="00EF5C25" w:rsidP="00DF5757">
            <w:pPr>
              <w:pStyle w:val="TableHeading"/>
            </w:pPr>
            <w:r w:rsidRPr="007F530F">
              <w:t>Shortest prison sentence</w:t>
            </w:r>
            <w:r w:rsidRPr="007F530F">
              <w:br/>
              <w:t>(months)</w:t>
            </w:r>
          </w:p>
        </w:tc>
        <w:tc>
          <w:tcPr>
            <w:tcW w:w="547" w:type="pct"/>
          </w:tcPr>
          <w:p w14:paraId="46307122" w14:textId="77777777" w:rsidR="00EF5C25" w:rsidRPr="007F530F" w:rsidRDefault="00EF5C25" w:rsidP="00DF5757">
            <w:pPr>
              <w:pStyle w:val="TableHeading"/>
            </w:pPr>
            <w:r w:rsidRPr="007F530F">
              <w:t>Longest prison sentence</w:t>
            </w:r>
            <w:r w:rsidRPr="007F530F">
              <w:br/>
              <w:t>(months)</w:t>
            </w:r>
          </w:p>
        </w:tc>
        <w:tc>
          <w:tcPr>
            <w:tcW w:w="519" w:type="pct"/>
          </w:tcPr>
          <w:p w14:paraId="4B70FFB7" w14:textId="77777777" w:rsidR="00EF5C25" w:rsidRPr="007F530F" w:rsidRDefault="00EF5C25" w:rsidP="00DF5757">
            <w:pPr>
              <w:pStyle w:val="TableHeading"/>
            </w:pPr>
            <w:r w:rsidRPr="007F530F">
              <w:t>Average prison sentence</w:t>
            </w:r>
            <w:r w:rsidRPr="007F530F">
              <w:br/>
              <w:t>(months)</w:t>
            </w:r>
          </w:p>
        </w:tc>
      </w:tr>
      <w:tr w:rsidR="00EF5C25" w:rsidRPr="007F530F" w14:paraId="4F39B0FA" w14:textId="77777777" w:rsidTr="00C5287D">
        <w:trPr>
          <w:trHeight w:val="60"/>
        </w:trPr>
        <w:tc>
          <w:tcPr>
            <w:tcW w:w="5000" w:type="pct"/>
            <w:gridSpan w:val="8"/>
          </w:tcPr>
          <w:p w14:paraId="5C6FFC94" w14:textId="77777777" w:rsidR="00EF5C25" w:rsidRPr="00CF04F3" w:rsidRDefault="00EF5C25" w:rsidP="00CF04F3">
            <w:pPr>
              <w:pStyle w:val="TableBody"/>
              <w:rPr>
                <w:rStyle w:val="Strong"/>
              </w:rPr>
            </w:pPr>
            <w:r w:rsidRPr="00CF04F3">
              <w:rPr>
                <w:rStyle w:val="Strong"/>
              </w:rPr>
              <w:t>Rape offences</w:t>
            </w:r>
          </w:p>
        </w:tc>
      </w:tr>
      <w:tr w:rsidR="00EF5C25" w:rsidRPr="007F530F" w14:paraId="5BFB1DA8" w14:textId="77777777" w:rsidTr="00C5287D">
        <w:trPr>
          <w:trHeight w:val="60"/>
        </w:trPr>
        <w:tc>
          <w:tcPr>
            <w:tcW w:w="1022" w:type="pct"/>
          </w:tcPr>
          <w:p w14:paraId="73474048" w14:textId="77777777" w:rsidR="00EF5C25" w:rsidRPr="007F530F" w:rsidRDefault="00EF5C25" w:rsidP="00DC75F7">
            <w:pPr>
              <w:pStyle w:val="TableBody"/>
            </w:pPr>
            <w:r w:rsidRPr="00D00197">
              <w:rPr>
                <w:rStyle w:val="Strong"/>
              </w:rPr>
              <w:t xml:space="preserve">Rape </w:t>
            </w:r>
            <w:r w:rsidRPr="00D00197">
              <w:rPr>
                <w:rStyle w:val="Strong"/>
              </w:rPr>
              <w:br/>
            </w:r>
            <w:r w:rsidRPr="007F530F">
              <w:t>Section 44</w:t>
            </w:r>
            <w:r w:rsidRPr="007F530F">
              <w:br/>
              <w:t>1 April 1959 to 28 February 1981</w:t>
            </w:r>
          </w:p>
        </w:tc>
        <w:tc>
          <w:tcPr>
            <w:tcW w:w="519" w:type="pct"/>
          </w:tcPr>
          <w:p w14:paraId="0F7A05B7" w14:textId="77777777" w:rsidR="00EF5C25" w:rsidRPr="007F530F" w:rsidRDefault="00EF5C25" w:rsidP="00AC34F3">
            <w:pPr>
              <w:pStyle w:val="TableBody"/>
            </w:pPr>
            <w:r w:rsidRPr="007F530F">
              <w:t>10 or 20 years</w:t>
            </w:r>
          </w:p>
        </w:tc>
        <w:tc>
          <w:tcPr>
            <w:tcW w:w="547" w:type="pct"/>
          </w:tcPr>
          <w:p w14:paraId="573A0530" w14:textId="77777777" w:rsidR="00EF5C25" w:rsidRPr="007F530F" w:rsidRDefault="00EF5C25" w:rsidP="00AC34F3">
            <w:pPr>
              <w:pStyle w:val="TableBody"/>
            </w:pPr>
            <w:r w:rsidRPr="007F530F">
              <w:t>13</w:t>
            </w:r>
          </w:p>
        </w:tc>
        <w:tc>
          <w:tcPr>
            <w:tcW w:w="562" w:type="pct"/>
          </w:tcPr>
          <w:p w14:paraId="67E5D5C1" w14:textId="77777777" w:rsidR="00EF5C25" w:rsidRPr="007F530F" w:rsidRDefault="00EF5C25" w:rsidP="00AC34F3">
            <w:pPr>
              <w:pStyle w:val="TableBody"/>
            </w:pPr>
            <w:r w:rsidRPr="007F530F">
              <w:t>12</w:t>
            </w:r>
          </w:p>
        </w:tc>
        <w:tc>
          <w:tcPr>
            <w:tcW w:w="737" w:type="pct"/>
          </w:tcPr>
          <w:p w14:paraId="77464CB7" w14:textId="77777777" w:rsidR="00EF5C25" w:rsidRPr="007F530F" w:rsidRDefault="00EF5C25" w:rsidP="00AC34F3">
            <w:pPr>
              <w:pStyle w:val="TableBody"/>
            </w:pPr>
            <w:r w:rsidRPr="007F530F">
              <w:t>12</w:t>
            </w:r>
          </w:p>
        </w:tc>
        <w:tc>
          <w:tcPr>
            <w:tcW w:w="547" w:type="pct"/>
          </w:tcPr>
          <w:p w14:paraId="5EF9EF21" w14:textId="77777777" w:rsidR="00EF5C25" w:rsidRPr="007F530F" w:rsidRDefault="00EF5C25" w:rsidP="00AC34F3">
            <w:pPr>
              <w:pStyle w:val="TableBody"/>
            </w:pPr>
            <w:r w:rsidRPr="007F530F">
              <w:t>24</w:t>
            </w:r>
          </w:p>
        </w:tc>
        <w:tc>
          <w:tcPr>
            <w:tcW w:w="547" w:type="pct"/>
          </w:tcPr>
          <w:p w14:paraId="3557BF7F" w14:textId="77777777" w:rsidR="00EF5C25" w:rsidRPr="007F530F" w:rsidRDefault="00EF5C25" w:rsidP="00AC34F3">
            <w:pPr>
              <w:pStyle w:val="TableBody"/>
            </w:pPr>
            <w:r w:rsidRPr="007F530F">
              <w:t>144</w:t>
            </w:r>
          </w:p>
        </w:tc>
        <w:tc>
          <w:tcPr>
            <w:tcW w:w="519" w:type="pct"/>
          </w:tcPr>
          <w:p w14:paraId="025A444E" w14:textId="77777777" w:rsidR="00EF5C25" w:rsidRPr="007F530F" w:rsidRDefault="00EF5C25" w:rsidP="00AC34F3">
            <w:pPr>
              <w:pStyle w:val="TableBody"/>
            </w:pPr>
            <w:r w:rsidRPr="007F530F">
              <w:t>82</w:t>
            </w:r>
          </w:p>
        </w:tc>
      </w:tr>
      <w:tr w:rsidR="00EF5C25" w:rsidRPr="007F530F" w14:paraId="2D1DF57F" w14:textId="77777777" w:rsidTr="00C5287D">
        <w:trPr>
          <w:trHeight w:val="60"/>
        </w:trPr>
        <w:tc>
          <w:tcPr>
            <w:tcW w:w="1022" w:type="pct"/>
          </w:tcPr>
          <w:p w14:paraId="4BAD8E26" w14:textId="77777777" w:rsidR="00EF5C25" w:rsidRPr="007F530F" w:rsidRDefault="00EF5C25" w:rsidP="00DC75F7">
            <w:pPr>
              <w:pStyle w:val="TableBody"/>
            </w:pPr>
            <w:r w:rsidRPr="00D00197">
              <w:rPr>
                <w:rStyle w:val="Strong"/>
              </w:rPr>
              <w:t>Rape</w:t>
            </w:r>
            <w:r w:rsidRPr="007F530F">
              <w:br/>
              <w:t>Sections 45(1)</w:t>
            </w:r>
            <w:r w:rsidRPr="007F530F">
              <w:br/>
              <w:t>1 March 1981 to 31 December 1991</w:t>
            </w:r>
          </w:p>
        </w:tc>
        <w:tc>
          <w:tcPr>
            <w:tcW w:w="519" w:type="pct"/>
          </w:tcPr>
          <w:p w14:paraId="5C3329A9" w14:textId="77777777" w:rsidR="00EF5C25" w:rsidRPr="007F530F" w:rsidRDefault="00EF5C25" w:rsidP="00AC34F3">
            <w:pPr>
              <w:pStyle w:val="TableBody"/>
            </w:pPr>
            <w:r w:rsidRPr="007F530F">
              <w:t>10 years</w:t>
            </w:r>
          </w:p>
        </w:tc>
        <w:tc>
          <w:tcPr>
            <w:tcW w:w="547" w:type="pct"/>
          </w:tcPr>
          <w:p w14:paraId="31D21AC7" w14:textId="77777777" w:rsidR="00EF5C25" w:rsidRPr="007F530F" w:rsidRDefault="00EF5C25" w:rsidP="00AC34F3">
            <w:pPr>
              <w:pStyle w:val="TableBody"/>
            </w:pPr>
            <w:r w:rsidRPr="007F530F">
              <w:t>26</w:t>
            </w:r>
          </w:p>
        </w:tc>
        <w:tc>
          <w:tcPr>
            <w:tcW w:w="562" w:type="pct"/>
          </w:tcPr>
          <w:p w14:paraId="645A0AB9" w14:textId="77777777" w:rsidR="00EF5C25" w:rsidRPr="007F530F" w:rsidRDefault="00EF5C25" w:rsidP="00AC34F3">
            <w:pPr>
              <w:pStyle w:val="TableBody"/>
            </w:pPr>
            <w:r w:rsidRPr="007F530F">
              <w:t>26</w:t>
            </w:r>
          </w:p>
        </w:tc>
        <w:tc>
          <w:tcPr>
            <w:tcW w:w="737" w:type="pct"/>
          </w:tcPr>
          <w:p w14:paraId="6D5A5184" w14:textId="77777777" w:rsidR="00EF5C25" w:rsidRPr="007F530F" w:rsidRDefault="00EF5C25" w:rsidP="00AC34F3">
            <w:pPr>
              <w:pStyle w:val="TableBody"/>
            </w:pPr>
            <w:r w:rsidRPr="007F530F">
              <w:t>26</w:t>
            </w:r>
          </w:p>
        </w:tc>
        <w:tc>
          <w:tcPr>
            <w:tcW w:w="547" w:type="pct"/>
          </w:tcPr>
          <w:p w14:paraId="3CF62DE3" w14:textId="77777777" w:rsidR="00EF5C25" w:rsidRPr="007F530F" w:rsidRDefault="00EF5C25" w:rsidP="00AC34F3">
            <w:pPr>
              <w:pStyle w:val="TableBody"/>
            </w:pPr>
            <w:r w:rsidRPr="007F530F">
              <w:t>30</w:t>
            </w:r>
          </w:p>
        </w:tc>
        <w:tc>
          <w:tcPr>
            <w:tcW w:w="547" w:type="pct"/>
          </w:tcPr>
          <w:p w14:paraId="4B4B3DE6" w14:textId="77777777" w:rsidR="00EF5C25" w:rsidRPr="007F530F" w:rsidRDefault="00EF5C25" w:rsidP="00AC34F3">
            <w:pPr>
              <w:pStyle w:val="TableBody"/>
            </w:pPr>
            <w:r w:rsidRPr="007F530F">
              <w:t>72</w:t>
            </w:r>
          </w:p>
        </w:tc>
        <w:tc>
          <w:tcPr>
            <w:tcW w:w="519" w:type="pct"/>
          </w:tcPr>
          <w:p w14:paraId="209271A1" w14:textId="77777777" w:rsidR="00EF5C25" w:rsidRPr="007F530F" w:rsidRDefault="00EF5C25" w:rsidP="00AC34F3">
            <w:pPr>
              <w:pStyle w:val="TableBody"/>
            </w:pPr>
            <w:r w:rsidRPr="007F530F">
              <w:t>52</w:t>
            </w:r>
          </w:p>
        </w:tc>
      </w:tr>
      <w:tr w:rsidR="00EF5C25" w:rsidRPr="007F530F" w14:paraId="327A6FB3" w14:textId="77777777" w:rsidTr="00C5287D">
        <w:trPr>
          <w:trHeight w:val="60"/>
        </w:trPr>
        <w:tc>
          <w:tcPr>
            <w:tcW w:w="1022" w:type="pct"/>
          </w:tcPr>
          <w:p w14:paraId="715FD1F7" w14:textId="77777777" w:rsidR="00EF5C25" w:rsidRPr="007F530F" w:rsidRDefault="00EF5C25" w:rsidP="00DC75F7">
            <w:pPr>
              <w:pStyle w:val="TableBody"/>
            </w:pPr>
            <w:r w:rsidRPr="00D00197">
              <w:rPr>
                <w:rStyle w:val="Strong"/>
              </w:rPr>
              <w:t>Aggravated rape</w:t>
            </w:r>
            <w:r w:rsidRPr="00D00197">
              <w:rPr>
                <w:rStyle w:val="Strong"/>
              </w:rPr>
              <w:br/>
            </w:r>
            <w:r w:rsidRPr="007F530F">
              <w:t>Sections 45(3) and 41</w:t>
            </w:r>
            <w:r w:rsidRPr="007F530F">
              <w:br/>
              <w:t>1 March 1981 to 31 December 1991</w:t>
            </w:r>
          </w:p>
        </w:tc>
        <w:tc>
          <w:tcPr>
            <w:tcW w:w="519" w:type="pct"/>
          </w:tcPr>
          <w:p w14:paraId="0406DFDA" w14:textId="77777777" w:rsidR="00EF5C25" w:rsidRPr="007F530F" w:rsidRDefault="00EF5C25" w:rsidP="00AC34F3">
            <w:pPr>
              <w:pStyle w:val="TableBody"/>
            </w:pPr>
            <w:r w:rsidRPr="007F530F">
              <w:t>20 years</w:t>
            </w:r>
          </w:p>
        </w:tc>
        <w:tc>
          <w:tcPr>
            <w:tcW w:w="547" w:type="pct"/>
          </w:tcPr>
          <w:p w14:paraId="16C6700F" w14:textId="77777777" w:rsidR="00EF5C25" w:rsidRPr="007F530F" w:rsidRDefault="00EF5C25" w:rsidP="00AC34F3">
            <w:pPr>
              <w:pStyle w:val="TableBody"/>
            </w:pPr>
            <w:r w:rsidRPr="007F530F">
              <w:t>23</w:t>
            </w:r>
          </w:p>
        </w:tc>
        <w:tc>
          <w:tcPr>
            <w:tcW w:w="562" w:type="pct"/>
          </w:tcPr>
          <w:p w14:paraId="55C5BC53" w14:textId="77777777" w:rsidR="00EF5C25" w:rsidRPr="007F530F" w:rsidRDefault="00EF5C25" w:rsidP="00AC34F3">
            <w:pPr>
              <w:pStyle w:val="TableBody"/>
            </w:pPr>
            <w:r w:rsidRPr="007F530F">
              <w:t>23</w:t>
            </w:r>
          </w:p>
        </w:tc>
        <w:tc>
          <w:tcPr>
            <w:tcW w:w="737" w:type="pct"/>
          </w:tcPr>
          <w:p w14:paraId="1DD6A3EE" w14:textId="77777777" w:rsidR="00EF5C25" w:rsidRPr="007F530F" w:rsidRDefault="00EF5C25" w:rsidP="00AC34F3">
            <w:pPr>
              <w:pStyle w:val="TableBody"/>
            </w:pPr>
            <w:r w:rsidRPr="007F530F">
              <w:t>23</w:t>
            </w:r>
          </w:p>
        </w:tc>
        <w:tc>
          <w:tcPr>
            <w:tcW w:w="547" w:type="pct"/>
          </w:tcPr>
          <w:p w14:paraId="4E5BAAE4" w14:textId="77777777" w:rsidR="00EF5C25" w:rsidRPr="007F530F" w:rsidRDefault="00EF5C25" w:rsidP="00AC34F3">
            <w:pPr>
              <w:pStyle w:val="TableBody"/>
            </w:pPr>
            <w:r w:rsidRPr="007F530F">
              <w:t>8</w:t>
            </w:r>
          </w:p>
        </w:tc>
        <w:tc>
          <w:tcPr>
            <w:tcW w:w="547" w:type="pct"/>
          </w:tcPr>
          <w:p w14:paraId="2DB7C6F8" w14:textId="77777777" w:rsidR="00EF5C25" w:rsidRPr="007F530F" w:rsidRDefault="00EF5C25" w:rsidP="00AC34F3">
            <w:pPr>
              <w:pStyle w:val="TableBody"/>
            </w:pPr>
            <w:r w:rsidRPr="007F530F">
              <w:t>180</w:t>
            </w:r>
          </w:p>
        </w:tc>
        <w:tc>
          <w:tcPr>
            <w:tcW w:w="519" w:type="pct"/>
          </w:tcPr>
          <w:p w14:paraId="7E58DF46" w14:textId="77777777" w:rsidR="00EF5C25" w:rsidRPr="007F530F" w:rsidRDefault="00EF5C25" w:rsidP="00AC34F3">
            <w:pPr>
              <w:pStyle w:val="TableBody"/>
            </w:pPr>
            <w:r w:rsidRPr="007F530F">
              <w:t>93</w:t>
            </w:r>
          </w:p>
        </w:tc>
      </w:tr>
      <w:tr w:rsidR="00EF5C25" w:rsidRPr="007F530F" w14:paraId="1317B623" w14:textId="77777777" w:rsidTr="00C5287D">
        <w:trPr>
          <w:trHeight w:val="60"/>
        </w:trPr>
        <w:tc>
          <w:tcPr>
            <w:tcW w:w="1022" w:type="pct"/>
          </w:tcPr>
          <w:p w14:paraId="1E1BF5D4" w14:textId="77777777" w:rsidR="00EF5C25" w:rsidRPr="007F530F" w:rsidRDefault="00EF5C25" w:rsidP="00DC75F7">
            <w:pPr>
              <w:pStyle w:val="TableBody"/>
            </w:pPr>
            <w:r w:rsidRPr="00D00197">
              <w:rPr>
                <w:rStyle w:val="Strong"/>
              </w:rPr>
              <w:t>Rape by compelling sexual penetration</w:t>
            </w:r>
            <w:r w:rsidRPr="00D00197">
              <w:rPr>
                <w:rStyle w:val="Strong"/>
              </w:rPr>
              <w:br/>
            </w:r>
            <w:r w:rsidRPr="007F530F">
              <w:t>Sections 38A and 39</w:t>
            </w:r>
            <w:r w:rsidRPr="007F530F">
              <w:br/>
              <w:t>1 December 2006 to 31 December 2019</w:t>
            </w:r>
          </w:p>
        </w:tc>
        <w:tc>
          <w:tcPr>
            <w:tcW w:w="519" w:type="pct"/>
          </w:tcPr>
          <w:p w14:paraId="31B28AA7" w14:textId="77777777" w:rsidR="00EF5C25" w:rsidRPr="007F530F" w:rsidRDefault="00EF5C25" w:rsidP="00AC34F3">
            <w:pPr>
              <w:pStyle w:val="TableBody"/>
            </w:pPr>
            <w:r w:rsidRPr="007F530F">
              <w:t>25 years</w:t>
            </w:r>
          </w:p>
        </w:tc>
        <w:tc>
          <w:tcPr>
            <w:tcW w:w="547" w:type="pct"/>
          </w:tcPr>
          <w:p w14:paraId="297DEAD5" w14:textId="77777777" w:rsidR="00EF5C25" w:rsidRPr="007F530F" w:rsidRDefault="00EF5C25" w:rsidP="00AC34F3">
            <w:pPr>
              <w:pStyle w:val="TableBody"/>
            </w:pPr>
            <w:r w:rsidRPr="007F530F">
              <w:t>11</w:t>
            </w:r>
          </w:p>
        </w:tc>
        <w:tc>
          <w:tcPr>
            <w:tcW w:w="562" w:type="pct"/>
          </w:tcPr>
          <w:p w14:paraId="5EA6AFC4" w14:textId="77777777" w:rsidR="00EF5C25" w:rsidRPr="007F530F" w:rsidRDefault="00EF5C25" w:rsidP="00AC34F3">
            <w:pPr>
              <w:pStyle w:val="TableBody"/>
            </w:pPr>
            <w:r w:rsidRPr="007F530F">
              <w:t>11</w:t>
            </w:r>
          </w:p>
        </w:tc>
        <w:tc>
          <w:tcPr>
            <w:tcW w:w="737" w:type="pct"/>
          </w:tcPr>
          <w:p w14:paraId="3BB1C97F" w14:textId="77777777" w:rsidR="00EF5C25" w:rsidRPr="007F530F" w:rsidRDefault="00EF5C25" w:rsidP="00AC34F3">
            <w:pPr>
              <w:pStyle w:val="TableBody"/>
            </w:pPr>
            <w:r w:rsidRPr="007F530F">
              <w:t>11</w:t>
            </w:r>
          </w:p>
        </w:tc>
        <w:tc>
          <w:tcPr>
            <w:tcW w:w="547" w:type="pct"/>
          </w:tcPr>
          <w:p w14:paraId="2E8BD811" w14:textId="77777777" w:rsidR="00EF5C25" w:rsidRPr="007F530F" w:rsidRDefault="00EF5C25" w:rsidP="00AC34F3">
            <w:pPr>
              <w:pStyle w:val="TableBody"/>
            </w:pPr>
            <w:r w:rsidRPr="007F530F">
              <w:t>24</w:t>
            </w:r>
          </w:p>
        </w:tc>
        <w:tc>
          <w:tcPr>
            <w:tcW w:w="547" w:type="pct"/>
          </w:tcPr>
          <w:p w14:paraId="45ECD03A" w14:textId="77777777" w:rsidR="00EF5C25" w:rsidRPr="007F530F" w:rsidRDefault="00EF5C25" w:rsidP="00AC34F3">
            <w:pPr>
              <w:pStyle w:val="TableBody"/>
            </w:pPr>
            <w:r w:rsidRPr="007F530F">
              <w:t>72</w:t>
            </w:r>
          </w:p>
        </w:tc>
        <w:tc>
          <w:tcPr>
            <w:tcW w:w="519" w:type="pct"/>
          </w:tcPr>
          <w:p w14:paraId="28FD28EC" w14:textId="77777777" w:rsidR="00EF5C25" w:rsidRPr="007F530F" w:rsidRDefault="00EF5C25" w:rsidP="00AC34F3">
            <w:pPr>
              <w:pStyle w:val="TableBody"/>
            </w:pPr>
            <w:r w:rsidRPr="007F530F">
              <w:t>38</w:t>
            </w:r>
          </w:p>
        </w:tc>
      </w:tr>
      <w:tr w:rsidR="00EF5C25" w:rsidRPr="007F530F" w14:paraId="62EE6011" w14:textId="77777777" w:rsidTr="00C5287D">
        <w:trPr>
          <w:trHeight w:val="60"/>
        </w:trPr>
        <w:tc>
          <w:tcPr>
            <w:tcW w:w="5000" w:type="pct"/>
            <w:gridSpan w:val="8"/>
          </w:tcPr>
          <w:p w14:paraId="0FB30C5F" w14:textId="77777777" w:rsidR="00EF5C25" w:rsidRPr="00D00197" w:rsidRDefault="00EF5C25" w:rsidP="002527DA">
            <w:pPr>
              <w:pStyle w:val="TableBody"/>
              <w:rPr>
                <w:rStyle w:val="Strong"/>
              </w:rPr>
            </w:pPr>
            <w:r w:rsidRPr="00D00197">
              <w:rPr>
                <w:rStyle w:val="Strong"/>
              </w:rPr>
              <w:t>Sexual assault offences</w:t>
            </w:r>
          </w:p>
        </w:tc>
      </w:tr>
      <w:tr w:rsidR="00EF5C25" w:rsidRPr="007F530F" w14:paraId="18B1C6FB" w14:textId="77777777" w:rsidTr="00C5287D">
        <w:trPr>
          <w:trHeight w:val="60"/>
        </w:trPr>
        <w:tc>
          <w:tcPr>
            <w:tcW w:w="1022" w:type="pct"/>
          </w:tcPr>
          <w:p w14:paraId="6DE857EC" w14:textId="77777777" w:rsidR="00EF5C25" w:rsidRPr="007F530F" w:rsidRDefault="00EF5C25" w:rsidP="00DC75F7">
            <w:pPr>
              <w:pStyle w:val="TableBody"/>
            </w:pPr>
            <w:r w:rsidRPr="00D00197">
              <w:rPr>
                <w:rStyle w:val="Strong"/>
              </w:rPr>
              <w:t xml:space="preserve">Indecent assault </w:t>
            </w:r>
            <w:r w:rsidRPr="00D00197">
              <w:rPr>
                <w:rStyle w:val="Strong"/>
              </w:rPr>
              <w:br/>
            </w:r>
            <w:r w:rsidRPr="007F530F">
              <w:t>Section 42</w:t>
            </w:r>
            <w:r w:rsidRPr="007F530F">
              <w:br/>
              <w:t>5 August 1991 to 31 December 1991</w:t>
            </w:r>
          </w:p>
        </w:tc>
        <w:tc>
          <w:tcPr>
            <w:tcW w:w="519" w:type="pct"/>
          </w:tcPr>
          <w:p w14:paraId="0581DA38" w14:textId="77777777" w:rsidR="00EF5C25" w:rsidRPr="007F530F" w:rsidRDefault="00EF5C25" w:rsidP="00AC34F3">
            <w:pPr>
              <w:pStyle w:val="TableBody"/>
            </w:pPr>
            <w:r w:rsidRPr="007F530F">
              <w:t>5 years</w:t>
            </w:r>
          </w:p>
        </w:tc>
        <w:tc>
          <w:tcPr>
            <w:tcW w:w="547" w:type="pct"/>
          </w:tcPr>
          <w:p w14:paraId="619D55F5" w14:textId="77777777" w:rsidR="00EF5C25" w:rsidRPr="007F530F" w:rsidRDefault="00EF5C25" w:rsidP="00AC34F3">
            <w:pPr>
              <w:pStyle w:val="TableBody"/>
            </w:pPr>
            <w:r w:rsidRPr="007F530F">
              <w:t>5</w:t>
            </w:r>
          </w:p>
        </w:tc>
        <w:tc>
          <w:tcPr>
            <w:tcW w:w="562" w:type="pct"/>
          </w:tcPr>
          <w:p w14:paraId="6BF77A02" w14:textId="77777777" w:rsidR="00EF5C25" w:rsidRPr="007F530F" w:rsidRDefault="00EF5C25" w:rsidP="00AC34F3">
            <w:pPr>
              <w:pStyle w:val="TableBody"/>
            </w:pPr>
            <w:r w:rsidRPr="007F530F">
              <w:t>2</w:t>
            </w:r>
          </w:p>
        </w:tc>
        <w:tc>
          <w:tcPr>
            <w:tcW w:w="737" w:type="pct"/>
          </w:tcPr>
          <w:p w14:paraId="10108F0C" w14:textId="77777777" w:rsidR="00EF5C25" w:rsidRPr="007F530F" w:rsidRDefault="00EF5C25" w:rsidP="00AC34F3">
            <w:pPr>
              <w:pStyle w:val="TableBody"/>
            </w:pPr>
            <w:r w:rsidRPr="007F530F">
              <w:t>2</w:t>
            </w:r>
          </w:p>
        </w:tc>
        <w:tc>
          <w:tcPr>
            <w:tcW w:w="547" w:type="pct"/>
          </w:tcPr>
          <w:p w14:paraId="664C7D9F" w14:textId="77777777" w:rsidR="00EF5C25" w:rsidRPr="007F530F" w:rsidRDefault="00EF5C25" w:rsidP="00AC34F3">
            <w:pPr>
              <w:pStyle w:val="TableBody"/>
            </w:pPr>
            <w:r w:rsidRPr="007F530F">
              <w:t>1</w:t>
            </w:r>
          </w:p>
        </w:tc>
        <w:tc>
          <w:tcPr>
            <w:tcW w:w="547" w:type="pct"/>
          </w:tcPr>
          <w:p w14:paraId="1F7C3ACB" w14:textId="77777777" w:rsidR="00EF5C25" w:rsidRPr="007F530F" w:rsidRDefault="00EF5C25" w:rsidP="00AC34F3">
            <w:pPr>
              <w:pStyle w:val="TableBody"/>
            </w:pPr>
            <w:r w:rsidRPr="007F530F">
              <w:t>10</w:t>
            </w:r>
          </w:p>
        </w:tc>
        <w:tc>
          <w:tcPr>
            <w:tcW w:w="519" w:type="pct"/>
          </w:tcPr>
          <w:p w14:paraId="7BE84526" w14:textId="77777777" w:rsidR="00EF5C25" w:rsidRPr="007F530F" w:rsidRDefault="00EF5C25" w:rsidP="00AC34F3">
            <w:pPr>
              <w:pStyle w:val="TableBody"/>
            </w:pPr>
            <w:r w:rsidRPr="007F530F">
              <w:t>6</w:t>
            </w:r>
          </w:p>
        </w:tc>
      </w:tr>
      <w:tr w:rsidR="00EF5C25" w:rsidRPr="007F530F" w14:paraId="3FF77207" w14:textId="77777777" w:rsidTr="00C5287D">
        <w:trPr>
          <w:trHeight w:val="60"/>
        </w:trPr>
        <w:tc>
          <w:tcPr>
            <w:tcW w:w="1022" w:type="pct"/>
          </w:tcPr>
          <w:p w14:paraId="772B4E8B" w14:textId="77777777" w:rsidR="00EF5C25" w:rsidRPr="007F530F" w:rsidRDefault="00EF5C25" w:rsidP="00DC75F7">
            <w:pPr>
              <w:pStyle w:val="TableBody"/>
            </w:pPr>
            <w:r w:rsidRPr="00D00197">
              <w:rPr>
                <w:rStyle w:val="Strong"/>
              </w:rPr>
              <w:t xml:space="preserve">Aggravated indecent assault </w:t>
            </w:r>
            <w:r w:rsidRPr="007F530F">
              <w:br/>
              <w:t>Section 43</w:t>
            </w:r>
            <w:r w:rsidRPr="007F530F">
              <w:br/>
              <w:t>5 August 1991 to 31 December 1991</w:t>
            </w:r>
          </w:p>
        </w:tc>
        <w:tc>
          <w:tcPr>
            <w:tcW w:w="519" w:type="pct"/>
          </w:tcPr>
          <w:p w14:paraId="53710FA6" w14:textId="77777777" w:rsidR="00EF5C25" w:rsidRPr="007F530F" w:rsidRDefault="00EF5C25" w:rsidP="00AC34F3">
            <w:pPr>
              <w:pStyle w:val="TableBody"/>
            </w:pPr>
            <w:r w:rsidRPr="007F530F">
              <w:t>10 years</w:t>
            </w:r>
          </w:p>
        </w:tc>
        <w:tc>
          <w:tcPr>
            <w:tcW w:w="547" w:type="pct"/>
          </w:tcPr>
          <w:p w14:paraId="33723589" w14:textId="77777777" w:rsidR="00EF5C25" w:rsidRPr="007F530F" w:rsidRDefault="00EF5C25" w:rsidP="00AC34F3">
            <w:pPr>
              <w:pStyle w:val="TableBody"/>
            </w:pPr>
            <w:r w:rsidRPr="007F530F">
              <w:t>1</w:t>
            </w:r>
          </w:p>
        </w:tc>
        <w:tc>
          <w:tcPr>
            <w:tcW w:w="562" w:type="pct"/>
          </w:tcPr>
          <w:p w14:paraId="3F7CA7A1" w14:textId="77777777" w:rsidR="00EF5C25" w:rsidRPr="007F530F" w:rsidRDefault="00EF5C25" w:rsidP="00AC34F3">
            <w:pPr>
              <w:pStyle w:val="TableBody"/>
            </w:pPr>
            <w:r w:rsidRPr="007F530F">
              <w:t>1</w:t>
            </w:r>
          </w:p>
        </w:tc>
        <w:tc>
          <w:tcPr>
            <w:tcW w:w="737" w:type="pct"/>
          </w:tcPr>
          <w:p w14:paraId="2C37A3AE" w14:textId="77777777" w:rsidR="00EF5C25" w:rsidRPr="007F530F" w:rsidRDefault="00EF5C25" w:rsidP="00AC34F3">
            <w:pPr>
              <w:pStyle w:val="TableBody"/>
            </w:pPr>
            <w:r w:rsidRPr="007F530F">
              <w:t>1</w:t>
            </w:r>
          </w:p>
        </w:tc>
        <w:tc>
          <w:tcPr>
            <w:tcW w:w="547" w:type="pct"/>
          </w:tcPr>
          <w:p w14:paraId="6D8F1C08"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547" w:type="pct"/>
          </w:tcPr>
          <w:p w14:paraId="2633463C" w14:textId="77777777" w:rsidR="00EF5C25" w:rsidRPr="007F530F" w:rsidRDefault="00EF5C25" w:rsidP="00AC34F3">
            <w:pPr>
              <w:pStyle w:val="TableBody"/>
            </w:pPr>
            <w:r w:rsidRPr="007F530F">
              <w:t>30</w:t>
            </w:r>
          </w:p>
        </w:tc>
        <w:tc>
          <w:tcPr>
            <w:tcW w:w="519" w:type="pct"/>
          </w:tcPr>
          <w:p w14:paraId="181A31DC"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r>
      <w:tr w:rsidR="00EF5C25" w:rsidRPr="007F530F" w14:paraId="6C308546" w14:textId="77777777" w:rsidTr="00C5287D">
        <w:trPr>
          <w:trHeight w:val="60"/>
        </w:trPr>
        <w:tc>
          <w:tcPr>
            <w:tcW w:w="1022" w:type="pct"/>
          </w:tcPr>
          <w:p w14:paraId="12DE5DB9" w14:textId="77777777" w:rsidR="00EF5C25" w:rsidRPr="007F530F" w:rsidRDefault="00EF5C25" w:rsidP="00DC75F7">
            <w:pPr>
              <w:pStyle w:val="TableBody"/>
            </w:pPr>
            <w:r w:rsidRPr="00D00197">
              <w:rPr>
                <w:rStyle w:val="Strong"/>
              </w:rPr>
              <w:lastRenderedPageBreak/>
              <w:t>Assault with intent to rape</w:t>
            </w:r>
            <w:r w:rsidRPr="007F530F">
              <w:br/>
              <w:t>Section 40(1)</w:t>
            </w:r>
            <w:r w:rsidRPr="007F530F">
              <w:br/>
              <w:t>15 August 1993 to 30 June 2015</w:t>
            </w:r>
          </w:p>
        </w:tc>
        <w:tc>
          <w:tcPr>
            <w:tcW w:w="519" w:type="pct"/>
          </w:tcPr>
          <w:p w14:paraId="77BE3A40" w14:textId="77777777" w:rsidR="00EF5C25" w:rsidRPr="007F530F" w:rsidRDefault="00EF5C25" w:rsidP="00AC34F3">
            <w:pPr>
              <w:pStyle w:val="TableBody"/>
            </w:pPr>
            <w:r w:rsidRPr="007F530F">
              <w:t>10 years</w:t>
            </w:r>
          </w:p>
        </w:tc>
        <w:tc>
          <w:tcPr>
            <w:tcW w:w="547" w:type="pct"/>
          </w:tcPr>
          <w:p w14:paraId="57CDA45B" w14:textId="77777777" w:rsidR="00EF5C25" w:rsidRPr="007F530F" w:rsidRDefault="00EF5C25" w:rsidP="00AC34F3">
            <w:pPr>
              <w:pStyle w:val="TableBody"/>
            </w:pPr>
            <w:r w:rsidRPr="007F530F">
              <w:t>25</w:t>
            </w:r>
          </w:p>
        </w:tc>
        <w:tc>
          <w:tcPr>
            <w:tcW w:w="562" w:type="pct"/>
          </w:tcPr>
          <w:p w14:paraId="072721AF" w14:textId="77777777" w:rsidR="00EF5C25" w:rsidRPr="007F530F" w:rsidRDefault="00EF5C25" w:rsidP="00AC34F3">
            <w:pPr>
              <w:pStyle w:val="TableBody"/>
            </w:pPr>
            <w:r w:rsidRPr="007F530F">
              <w:t>23</w:t>
            </w:r>
          </w:p>
        </w:tc>
        <w:tc>
          <w:tcPr>
            <w:tcW w:w="737" w:type="pct"/>
          </w:tcPr>
          <w:p w14:paraId="0343FC43" w14:textId="77777777" w:rsidR="00EF5C25" w:rsidRPr="007F530F" w:rsidRDefault="00EF5C25" w:rsidP="00AC34F3">
            <w:pPr>
              <w:pStyle w:val="TableBody"/>
            </w:pPr>
            <w:r w:rsidRPr="007F530F">
              <w:t>19</w:t>
            </w:r>
          </w:p>
        </w:tc>
        <w:tc>
          <w:tcPr>
            <w:tcW w:w="547" w:type="pct"/>
          </w:tcPr>
          <w:p w14:paraId="623146F7" w14:textId="77777777" w:rsidR="00EF5C25" w:rsidRPr="007F530F" w:rsidRDefault="00EF5C25" w:rsidP="00AC34F3">
            <w:pPr>
              <w:pStyle w:val="TableBody"/>
            </w:pPr>
            <w:r w:rsidRPr="007F530F">
              <w:t>3</w:t>
            </w:r>
          </w:p>
        </w:tc>
        <w:tc>
          <w:tcPr>
            <w:tcW w:w="547" w:type="pct"/>
          </w:tcPr>
          <w:p w14:paraId="177C6D84" w14:textId="77777777" w:rsidR="00EF5C25" w:rsidRPr="007F530F" w:rsidRDefault="00EF5C25" w:rsidP="00AC34F3">
            <w:pPr>
              <w:pStyle w:val="TableBody"/>
            </w:pPr>
            <w:r w:rsidRPr="007F530F">
              <w:t>60</w:t>
            </w:r>
          </w:p>
        </w:tc>
        <w:tc>
          <w:tcPr>
            <w:tcW w:w="519" w:type="pct"/>
          </w:tcPr>
          <w:p w14:paraId="1B822E22" w14:textId="77777777" w:rsidR="00EF5C25" w:rsidRPr="007F530F" w:rsidRDefault="00EF5C25" w:rsidP="00AC34F3">
            <w:pPr>
              <w:pStyle w:val="TableBody"/>
            </w:pPr>
            <w:r w:rsidRPr="007F530F">
              <w:t>28</w:t>
            </w:r>
          </w:p>
        </w:tc>
      </w:tr>
      <w:tr w:rsidR="00EF5C25" w:rsidRPr="007F530F" w14:paraId="677E570F" w14:textId="77777777" w:rsidTr="00C5287D">
        <w:trPr>
          <w:trHeight w:val="60"/>
        </w:trPr>
        <w:tc>
          <w:tcPr>
            <w:tcW w:w="1022" w:type="pct"/>
          </w:tcPr>
          <w:p w14:paraId="1C75ADBE" w14:textId="77777777" w:rsidR="00EF5C25" w:rsidRPr="007F530F" w:rsidRDefault="00EF5C25" w:rsidP="00DC75F7">
            <w:pPr>
              <w:pStyle w:val="TableBody"/>
            </w:pPr>
            <w:r w:rsidRPr="00D00197">
              <w:rPr>
                <w:rStyle w:val="Strong"/>
              </w:rPr>
              <w:t>Assault with intent to commit a sexual offence</w:t>
            </w:r>
            <w:r w:rsidRPr="00D00197">
              <w:rPr>
                <w:rStyle w:val="Strong"/>
              </w:rPr>
              <w:br/>
            </w:r>
            <w:r w:rsidRPr="007F530F">
              <w:t>Section 42(1)</w:t>
            </w:r>
            <w:r w:rsidRPr="007F530F">
              <w:br/>
              <w:t>1 July 2015 to present</w:t>
            </w:r>
          </w:p>
        </w:tc>
        <w:tc>
          <w:tcPr>
            <w:tcW w:w="519" w:type="pct"/>
          </w:tcPr>
          <w:p w14:paraId="6997074C" w14:textId="77777777" w:rsidR="00EF5C25" w:rsidRPr="007F530F" w:rsidRDefault="00EF5C25" w:rsidP="00AC34F3">
            <w:pPr>
              <w:pStyle w:val="TableBody"/>
            </w:pPr>
            <w:r w:rsidRPr="007F530F">
              <w:t>15 years</w:t>
            </w:r>
          </w:p>
        </w:tc>
        <w:tc>
          <w:tcPr>
            <w:tcW w:w="547" w:type="pct"/>
          </w:tcPr>
          <w:p w14:paraId="61FFCE11" w14:textId="77777777" w:rsidR="00EF5C25" w:rsidRPr="007F530F" w:rsidRDefault="00EF5C25" w:rsidP="00AC34F3">
            <w:pPr>
              <w:pStyle w:val="TableBody"/>
            </w:pPr>
            <w:r w:rsidRPr="007F530F">
              <w:t>26</w:t>
            </w:r>
          </w:p>
        </w:tc>
        <w:tc>
          <w:tcPr>
            <w:tcW w:w="562" w:type="pct"/>
          </w:tcPr>
          <w:p w14:paraId="2D914BC0" w14:textId="77777777" w:rsidR="00EF5C25" w:rsidRPr="007F530F" w:rsidRDefault="00EF5C25" w:rsidP="00AC34F3">
            <w:pPr>
              <w:pStyle w:val="TableBody"/>
            </w:pPr>
            <w:r w:rsidRPr="007F530F">
              <w:t>18</w:t>
            </w:r>
          </w:p>
        </w:tc>
        <w:tc>
          <w:tcPr>
            <w:tcW w:w="737" w:type="pct"/>
          </w:tcPr>
          <w:p w14:paraId="3A13DBF8" w14:textId="77777777" w:rsidR="00EF5C25" w:rsidRPr="007F530F" w:rsidRDefault="00EF5C25" w:rsidP="00AC34F3">
            <w:pPr>
              <w:pStyle w:val="TableBody"/>
            </w:pPr>
            <w:r w:rsidRPr="007F530F">
              <w:t>13</w:t>
            </w:r>
          </w:p>
        </w:tc>
        <w:tc>
          <w:tcPr>
            <w:tcW w:w="547" w:type="pct"/>
          </w:tcPr>
          <w:p w14:paraId="26EA7D0E" w14:textId="77777777" w:rsidR="00EF5C25" w:rsidRPr="007F530F" w:rsidRDefault="00EF5C25" w:rsidP="00AC34F3">
            <w:pPr>
              <w:pStyle w:val="TableBody"/>
            </w:pPr>
            <w:r w:rsidRPr="007F530F">
              <w:t>1</w:t>
            </w:r>
          </w:p>
        </w:tc>
        <w:tc>
          <w:tcPr>
            <w:tcW w:w="547" w:type="pct"/>
          </w:tcPr>
          <w:p w14:paraId="0CCC5243" w14:textId="77777777" w:rsidR="00EF5C25" w:rsidRPr="007F530F" w:rsidRDefault="00EF5C25" w:rsidP="00AC34F3">
            <w:pPr>
              <w:pStyle w:val="TableBody"/>
            </w:pPr>
            <w:r w:rsidRPr="007F530F">
              <w:t>60</w:t>
            </w:r>
          </w:p>
        </w:tc>
        <w:tc>
          <w:tcPr>
            <w:tcW w:w="519" w:type="pct"/>
          </w:tcPr>
          <w:p w14:paraId="157C9575" w14:textId="77777777" w:rsidR="00EF5C25" w:rsidRPr="007F530F" w:rsidRDefault="00EF5C25" w:rsidP="00AC34F3">
            <w:pPr>
              <w:pStyle w:val="TableBody"/>
            </w:pPr>
            <w:r w:rsidRPr="007F530F">
              <w:t>26</w:t>
            </w:r>
          </w:p>
        </w:tc>
      </w:tr>
      <w:tr w:rsidR="00EF5C25" w:rsidRPr="007F530F" w14:paraId="2B33AC82" w14:textId="77777777" w:rsidTr="00C5287D">
        <w:trPr>
          <w:trHeight w:val="60"/>
        </w:trPr>
        <w:tc>
          <w:tcPr>
            <w:tcW w:w="1022" w:type="pct"/>
          </w:tcPr>
          <w:p w14:paraId="74DEC512" w14:textId="77777777" w:rsidR="00EF5C25" w:rsidRPr="007F530F" w:rsidRDefault="00EF5C25" w:rsidP="00DC75F7">
            <w:pPr>
              <w:pStyle w:val="TableBody"/>
            </w:pPr>
            <w:r w:rsidRPr="00D00197">
              <w:rPr>
                <w:rStyle w:val="Strong"/>
              </w:rPr>
              <w:t>Sexual assault by compelling sexual touching</w:t>
            </w:r>
            <w:r w:rsidRPr="00D00197">
              <w:rPr>
                <w:rStyle w:val="Strong"/>
              </w:rPr>
              <w:br/>
            </w:r>
            <w:r w:rsidRPr="007F530F">
              <w:t>Section 41(1)</w:t>
            </w:r>
            <w:r w:rsidRPr="007F530F">
              <w:br/>
              <w:t>1 July 2015 to present</w:t>
            </w:r>
          </w:p>
        </w:tc>
        <w:tc>
          <w:tcPr>
            <w:tcW w:w="519" w:type="pct"/>
          </w:tcPr>
          <w:p w14:paraId="213B2F96" w14:textId="77777777" w:rsidR="00EF5C25" w:rsidRPr="007F530F" w:rsidRDefault="00EF5C25" w:rsidP="00AC34F3">
            <w:pPr>
              <w:pStyle w:val="TableBody"/>
            </w:pPr>
            <w:r w:rsidRPr="007F530F">
              <w:t>10 years</w:t>
            </w:r>
          </w:p>
        </w:tc>
        <w:tc>
          <w:tcPr>
            <w:tcW w:w="547" w:type="pct"/>
          </w:tcPr>
          <w:p w14:paraId="769D64A1" w14:textId="77777777" w:rsidR="00EF5C25" w:rsidRPr="007F530F" w:rsidRDefault="00EF5C25" w:rsidP="00AC34F3">
            <w:pPr>
              <w:pStyle w:val="TableBody"/>
            </w:pPr>
            <w:r w:rsidRPr="007F530F">
              <w:t>15</w:t>
            </w:r>
          </w:p>
        </w:tc>
        <w:tc>
          <w:tcPr>
            <w:tcW w:w="562" w:type="pct"/>
          </w:tcPr>
          <w:p w14:paraId="0F2A7E36" w14:textId="77777777" w:rsidR="00EF5C25" w:rsidRPr="007F530F" w:rsidRDefault="00EF5C25" w:rsidP="00AC34F3">
            <w:pPr>
              <w:pStyle w:val="TableBody"/>
            </w:pPr>
            <w:r w:rsidRPr="007F530F">
              <w:t>5</w:t>
            </w:r>
          </w:p>
        </w:tc>
        <w:tc>
          <w:tcPr>
            <w:tcW w:w="737" w:type="pct"/>
          </w:tcPr>
          <w:p w14:paraId="6C388BB2" w14:textId="77777777" w:rsidR="00EF5C25" w:rsidRPr="007F530F" w:rsidRDefault="00EF5C25" w:rsidP="00AC34F3">
            <w:pPr>
              <w:pStyle w:val="TableBody"/>
            </w:pPr>
            <w:r w:rsidRPr="007F530F">
              <w:t>3</w:t>
            </w:r>
          </w:p>
        </w:tc>
        <w:tc>
          <w:tcPr>
            <w:tcW w:w="547" w:type="pct"/>
          </w:tcPr>
          <w:p w14:paraId="505420B4" w14:textId="77777777" w:rsidR="00EF5C25" w:rsidRPr="007F530F" w:rsidRDefault="00EF5C25" w:rsidP="00AC34F3">
            <w:pPr>
              <w:pStyle w:val="TableBody"/>
            </w:pPr>
            <w:r w:rsidRPr="007F530F">
              <w:t>8</w:t>
            </w:r>
          </w:p>
        </w:tc>
        <w:tc>
          <w:tcPr>
            <w:tcW w:w="547" w:type="pct"/>
          </w:tcPr>
          <w:p w14:paraId="467768BD" w14:textId="77777777" w:rsidR="00EF5C25" w:rsidRPr="007F530F" w:rsidRDefault="00EF5C25" w:rsidP="00AC34F3">
            <w:pPr>
              <w:pStyle w:val="TableBody"/>
            </w:pPr>
            <w:r w:rsidRPr="007F530F">
              <w:t>36</w:t>
            </w:r>
          </w:p>
        </w:tc>
        <w:tc>
          <w:tcPr>
            <w:tcW w:w="519" w:type="pct"/>
          </w:tcPr>
          <w:p w14:paraId="6DFA0235" w14:textId="77777777" w:rsidR="00EF5C25" w:rsidRPr="007F530F" w:rsidRDefault="00EF5C25" w:rsidP="00AC34F3">
            <w:pPr>
              <w:pStyle w:val="TableBody"/>
            </w:pPr>
            <w:r w:rsidRPr="007F530F">
              <w:t>19</w:t>
            </w:r>
          </w:p>
        </w:tc>
      </w:tr>
      <w:tr w:rsidR="00EF5C25" w:rsidRPr="007F530F" w14:paraId="24233714" w14:textId="77777777" w:rsidTr="00C5287D">
        <w:trPr>
          <w:trHeight w:val="60"/>
        </w:trPr>
        <w:tc>
          <w:tcPr>
            <w:tcW w:w="5000" w:type="pct"/>
            <w:gridSpan w:val="8"/>
          </w:tcPr>
          <w:p w14:paraId="786DB770" w14:textId="77777777" w:rsidR="00EF5C25" w:rsidRPr="00D00197" w:rsidRDefault="00EF5C25" w:rsidP="00DC75F7">
            <w:pPr>
              <w:pStyle w:val="TableBody"/>
              <w:rPr>
                <w:rStyle w:val="Strong"/>
              </w:rPr>
            </w:pPr>
            <w:r w:rsidRPr="00D00197">
              <w:rPr>
                <w:rStyle w:val="Strong"/>
              </w:rPr>
              <w:t>Incest offences</w:t>
            </w:r>
          </w:p>
        </w:tc>
      </w:tr>
      <w:tr w:rsidR="00EF5C25" w:rsidRPr="007F530F" w14:paraId="5FC9C604" w14:textId="77777777" w:rsidTr="00C5287D">
        <w:trPr>
          <w:trHeight w:val="60"/>
        </w:trPr>
        <w:tc>
          <w:tcPr>
            <w:tcW w:w="1022" w:type="pct"/>
          </w:tcPr>
          <w:p w14:paraId="7604C99D" w14:textId="77777777" w:rsidR="00EF5C25" w:rsidRPr="007F530F" w:rsidRDefault="00EF5C25" w:rsidP="00DC75F7">
            <w:pPr>
              <w:pStyle w:val="TableBody"/>
            </w:pPr>
            <w:r w:rsidRPr="00D00197">
              <w:rPr>
                <w:rStyle w:val="Strong"/>
              </w:rPr>
              <w:t>Carnal knowledge of mother or sister</w:t>
            </w:r>
            <w:r w:rsidRPr="00D00197">
              <w:rPr>
                <w:rStyle w:val="Strong"/>
              </w:rPr>
              <w:br/>
            </w:r>
            <w:r w:rsidRPr="007F530F">
              <w:t>Section 52(3)</w:t>
            </w:r>
            <w:r w:rsidRPr="007F530F">
              <w:br/>
              <w:t>1 April 1959 to 28 February 1981</w:t>
            </w:r>
          </w:p>
        </w:tc>
        <w:tc>
          <w:tcPr>
            <w:tcW w:w="519" w:type="pct"/>
          </w:tcPr>
          <w:p w14:paraId="30B77396" w14:textId="77777777" w:rsidR="00EF5C25" w:rsidRPr="007F530F" w:rsidRDefault="00EF5C25" w:rsidP="00AC34F3">
            <w:pPr>
              <w:pStyle w:val="TableBody"/>
            </w:pPr>
            <w:r w:rsidRPr="007F530F">
              <w:t>7 years</w:t>
            </w:r>
          </w:p>
        </w:tc>
        <w:tc>
          <w:tcPr>
            <w:tcW w:w="547" w:type="pct"/>
          </w:tcPr>
          <w:p w14:paraId="08DA1C89" w14:textId="77777777" w:rsidR="00EF5C25" w:rsidRPr="007F530F" w:rsidRDefault="00EF5C25" w:rsidP="00AC34F3">
            <w:pPr>
              <w:pStyle w:val="TableBody"/>
            </w:pPr>
            <w:r w:rsidRPr="007F530F">
              <w:t>8</w:t>
            </w:r>
          </w:p>
        </w:tc>
        <w:tc>
          <w:tcPr>
            <w:tcW w:w="562" w:type="pct"/>
          </w:tcPr>
          <w:p w14:paraId="32855B7C" w14:textId="77777777" w:rsidR="00EF5C25" w:rsidRPr="007F530F" w:rsidRDefault="00EF5C25" w:rsidP="00AC34F3">
            <w:pPr>
              <w:pStyle w:val="TableBody"/>
            </w:pPr>
            <w:r w:rsidRPr="007F530F">
              <w:t>5</w:t>
            </w:r>
          </w:p>
        </w:tc>
        <w:tc>
          <w:tcPr>
            <w:tcW w:w="737" w:type="pct"/>
          </w:tcPr>
          <w:p w14:paraId="411361DD" w14:textId="77777777" w:rsidR="00EF5C25" w:rsidRPr="007F530F" w:rsidRDefault="00EF5C25" w:rsidP="00AC34F3">
            <w:pPr>
              <w:pStyle w:val="TableBody"/>
            </w:pPr>
            <w:r w:rsidRPr="007F530F">
              <w:t>5</w:t>
            </w:r>
          </w:p>
        </w:tc>
        <w:tc>
          <w:tcPr>
            <w:tcW w:w="547" w:type="pct"/>
          </w:tcPr>
          <w:p w14:paraId="1F9E2F82" w14:textId="77777777" w:rsidR="00EF5C25" w:rsidRPr="007F530F" w:rsidRDefault="00EF5C25" w:rsidP="00AC34F3">
            <w:pPr>
              <w:pStyle w:val="TableBody"/>
            </w:pPr>
            <w:r w:rsidRPr="007F530F">
              <w:t>12</w:t>
            </w:r>
          </w:p>
        </w:tc>
        <w:tc>
          <w:tcPr>
            <w:tcW w:w="547" w:type="pct"/>
          </w:tcPr>
          <w:p w14:paraId="12914800" w14:textId="77777777" w:rsidR="00EF5C25" w:rsidRPr="007F530F" w:rsidRDefault="00EF5C25" w:rsidP="00AC34F3">
            <w:pPr>
              <w:pStyle w:val="TableBody"/>
            </w:pPr>
            <w:r w:rsidRPr="007F530F">
              <w:t>36</w:t>
            </w:r>
          </w:p>
        </w:tc>
        <w:tc>
          <w:tcPr>
            <w:tcW w:w="519" w:type="pct"/>
          </w:tcPr>
          <w:p w14:paraId="6A83DD32" w14:textId="77777777" w:rsidR="00EF5C25" w:rsidRPr="007F530F" w:rsidRDefault="00EF5C25" w:rsidP="00AC34F3">
            <w:pPr>
              <w:pStyle w:val="TableBody"/>
            </w:pPr>
            <w:r w:rsidRPr="007F530F">
              <w:t>22</w:t>
            </w:r>
          </w:p>
        </w:tc>
      </w:tr>
      <w:tr w:rsidR="00EF5C25" w:rsidRPr="007F530F" w14:paraId="458C9550" w14:textId="77777777" w:rsidTr="00C5287D">
        <w:trPr>
          <w:trHeight w:val="60"/>
        </w:trPr>
        <w:tc>
          <w:tcPr>
            <w:tcW w:w="1022" w:type="pct"/>
          </w:tcPr>
          <w:p w14:paraId="5ABE7526" w14:textId="77777777" w:rsidR="00EF5C25" w:rsidRPr="007F530F" w:rsidRDefault="00EF5C25" w:rsidP="00DC75F7">
            <w:pPr>
              <w:pStyle w:val="TableBody"/>
            </w:pPr>
            <w:r w:rsidRPr="00D00197">
              <w:rPr>
                <w:rStyle w:val="Strong"/>
              </w:rPr>
              <w:t>Incest with a sibling</w:t>
            </w:r>
            <w:r w:rsidRPr="00D00197">
              <w:rPr>
                <w:rStyle w:val="Strong"/>
              </w:rPr>
              <w:br/>
            </w:r>
            <w:r w:rsidRPr="007F530F">
              <w:t>Sections 44(4), 52(4) and 50F</w:t>
            </w:r>
            <w:r w:rsidRPr="007F530F">
              <w:br/>
              <w:t>1 March 1981 to present</w:t>
            </w:r>
          </w:p>
        </w:tc>
        <w:tc>
          <w:tcPr>
            <w:tcW w:w="519" w:type="pct"/>
          </w:tcPr>
          <w:p w14:paraId="57A109A5" w14:textId="77777777" w:rsidR="00EF5C25" w:rsidRPr="007F530F" w:rsidRDefault="00EF5C25" w:rsidP="00AC34F3">
            <w:pPr>
              <w:pStyle w:val="TableBody"/>
            </w:pPr>
            <w:r w:rsidRPr="007F530F">
              <w:t>5, 7 or 7.5 years</w:t>
            </w:r>
          </w:p>
        </w:tc>
        <w:tc>
          <w:tcPr>
            <w:tcW w:w="547" w:type="pct"/>
          </w:tcPr>
          <w:p w14:paraId="57FBECC9" w14:textId="77777777" w:rsidR="00EF5C25" w:rsidRPr="007F530F" w:rsidRDefault="00EF5C25" w:rsidP="00AC34F3">
            <w:pPr>
              <w:pStyle w:val="TableBody"/>
            </w:pPr>
            <w:r w:rsidRPr="007F530F">
              <w:t>97</w:t>
            </w:r>
          </w:p>
        </w:tc>
        <w:tc>
          <w:tcPr>
            <w:tcW w:w="562" w:type="pct"/>
          </w:tcPr>
          <w:p w14:paraId="76B7BFCC" w14:textId="77777777" w:rsidR="00EF5C25" w:rsidRPr="007F530F" w:rsidRDefault="00EF5C25" w:rsidP="00AC34F3">
            <w:pPr>
              <w:pStyle w:val="TableBody"/>
            </w:pPr>
            <w:r w:rsidRPr="007F530F">
              <w:t>40</w:t>
            </w:r>
          </w:p>
        </w:tc>
        <w:tc>
          <w:tcPr>
            <w:tcW w:w="737" w:type="pct"/>
          </w:tcPr>
          <w:p w14:paraId="0245DAB7" w14:textId="77777777" w:rsidR="00EF5C25" w:rsidRPr="007F530F" w:rsidRDefault="00EF5C25" w:rsidP="00AC34F3">
            <w:pPr>
              <w:pStyle w:val="TableBody"/>
            </w:pPr>
            <w:r w:rsidRPr="007F530F">
              <w:t>39</w:t>
            </w:r>
          </w:p>
        </w:tc>
        <w:tc>
          <w:tcPr>
            <w:tcW w:w="547" w:type="pct"/>
          </w:tcPr>
          <w:p w14:paraId="4CE45DA5" w14:textId="77777777" w:rsidR="00EF5C25" w:rsidRPr="007F530F" w:rsidRDefault="00EF5C25" w:rsidP="00AC34F3">
            <w:pPr>
              <w:pStyle w:val="TableBody"/>
            </w:pPr>
            <w:r w:rsidRPr="007F530F">
              <w:t>4</w:t>
            </w:r>
          </w:p>
        </w:tc>
        <w:tc>
          <w:tcPr>
            <w:tcW w:w="547" w:type="pct"/>
          </w:tcPr>
          <w:p w14:paraId="6FE96180" w14:textId="77777777" w:rsidR="00EF5C25" w:rsidRPr="007F530F" w:rsidRDefault="00EF5C25" w:rsidP="00AC34F3">
            <w:pPr>
              <w:pStyle w:val="TableBody"/>
            </w:pPr>
            <w:r w:rsidRPr="007F530F">
              <w:t>36</w:t>
            </w:r>
          </w:p>
        </w:tc>
        <w:tc>
          <w:tcPr>
            <w:tcW w:w="519" w:type="pct"/>
          </w:tcPr>
          <w:p w14:paraId="674E652E" w14:textId="77777777" w:rsidR="00EF5C25" w:rsidRPr="007F530F" w:rsidRDefault="00EF5C25" w:rsidP="00AC34F3">
            <w:pPr>
              <w:pStyle w:val="TableBody"/>
            </w:pPr>
            <w:r w:rsidRPr="007F530F">
              <w:t>21</w:t>
            </w:r>
          </w:p>
        </w:tc>
      </w:tr>
      <w:tr w:rsidR="00EF5C25" w:rsidRPr="007F530F" w14:paraId="7F16EB7F" w14:textId="77777777" w:rsidTr="00C5287D">
        <w:trPr>
          <w:trHeight w:val="60"/>
        </w:trPr>
        <w:tc>
          <w:tcPr>
            <w:tcW w:w="1022" w:type="pct"/>
          </w:tcPr>
          <w:p w14:paraId="3D4904B7" w14:textId="77777777" w:rsidR="00EF5C25" w:rsidRPr="007F530F" w:rsidRDefault="00EF5C25" w:rsidP="00DC75F7">
            <w:pPr>
              <w:pStyle w:val="TableBody"/>
            </w:pPr>
            <w:r w:rsidRPr="00D00197">
              <w:rPr>
                <w:rStyle w:val="Strong"/>
              </w:rPr>
              <w:t>Incest with a parent</w:t>
            </w:r>
            <w:r w:rsidRPr="00D00197">
              <w:rPr>
                <w:rStyle w:val="Strong"/>
              </w:rPr>
              <w:br/>
            </w:r>
            <w:r w:rsidRPr="007F530F">
              <w:t>Sections 44(3), 50E</w:t>
            </w:r>
            <w:r w:rsidRPr="007F530F">
              <w:br/>
              <w:t>5 August 1991 to present</w:t>
            </w:r>
          </w:p>
        </w:tc>
        <w:tc>
          <w:tcPr>
            <w:tcW w:w="519" w:type="pct"/>
          </w:tcPr>
          <w:p w14:paraId="3546B47A" w14:textId="77777777" w:rsidR="00EF5C25" w:rsidRPr="007F530F" w:rsidRDefault="00EF5C25" w:rsidP="00AC34F3">
            <w:pPr>
              <w:pStyle w:val="TableBody"/>
            </w:pPr>
            <w:r w:rsidRPr="007F530F">
              <w:t>5 or 7.5 years</w:t>
            </w:r>
          </w:p>
        </w:tc>
        <w:tc>
          <w:tcPr>
            <w:tcW w:w="547" w:type="pct"/>
          </w:tcPr>
          <w:p w14:paraId="7486778C" w14:textId="77777777" w:rsidR="00EF5C25" w:rsidRPr="007F530F" w:rsidRDefault="00EF5C25" w:rsidP="00AC34F3">
            <w:pPr>
              <w:pStyle w:val="TableBody"/>
            </w:pPr>
            <w:r w:rsidRPr="007F530F">
              <w:t>4</w:t>
            </w:r>
          </w:p>
        </w:tc>
        <w:tc>
          <w:tcPr>
            <w:tcW w:w="562" w:type="pct"/>
          </w:tcPr>
          <w:p w14:paraId="65A51DC8" w14:textId="77777777" w:rsidR="00EF5C25" w:rsidRPr="007F530F" w:rsidRDefault="00EF5C25" w:rsidP="00AC34F3">
            <w:pPr>
              <w:pStyle w:val="TableBody"/>
            </w:pPr>
            <w:r w:rsidRPr="007F530F">
              <w:t>2</w:t>
            </w:r>
          </w:p>
        </w:tc>
        <w:tc>
          <w:tcPr>
            <w:tcW w:w="737" w:type="pct"/>
          </w:tcPr>
          <w:p w14:paraId="0A747F77" w14:textId="77777777" w:rsidR="00EF5C25" w:rsidRPr="007F530F" w:rsidRDefault="00EF5C25" w:rsidP="00AC34F3">
            <w:pPr>
              <w:pStyle w:val="TableBody"/>
            </w:pPr>
            <w:r w:rsidRPr="007F530F">
              <w:t>2</w:t>
            </w:r>
          </w:p>
        </w:tc>
        <w:tc>
          <w:tcPr>
            <w:tcW w:w="547" w:type="pct"/>
          </w:tcPr>
          <w:p w14:paraId="324AAABC" w14:textId="77777777" w:rsidR="00EF5C25" w:rsidRPr="007F530F" w:rsidRDefault="00EF5C25" w:rsidP="00AC34F3">
            <w:pPr>
              <w:pStyle w:val="TableBody"/>
            </w:pPr>
            <w:r w:rsidRPr="007F530F">
              <w:t>6</w:t>
            </w:r>
          </w:p>
        </w:tc>
        <w:tc>
          <w:tcPr>
            <w:tcW w:w="547" w:type="pct"/>
          </w:tcPr>
          <w:p w14:paraId="7584B21B" w14:textId="77777777" w:rsidR="00EF5C25" w:rsidRPr="007F530F" w:rsidRDefault="00EF5C25" w:rsidP="00AC34F3">
            <w:pPr>
              <w:pStyle w:val="TableBody"/>
            </w:pPr>
            <w:r w:rsidRPr="007F530F">
              <w:t>24</w:t>
            </w:r>
          </w:p>
        </w:tc>
        <w:tc>
          <w:tcPr>
            <w:tcW w:w="519" w:type="pct"/>
          </w:tcPr>
          <w:p w14:paraId="7EB19E68" w14:textId="77777777" w:rsidR="00EF5C25" w:rsidRPr="007F530F" w:rsidRDefault="00EF5C25" w:rsidP="00AC34F3">
            <w:pPr>
              <w:pStyle w:val="TableBody"/>
            </w:pPr>
            <w:r w:rsidRPr="007F530F">
              <w:t>15</w:t>
            </w:r>
          </w:p>
        </w:tc>
      </w:tr>
      <w:tr w:rsidR="00EF5C25" w:rsidRPr="007F530F" w14:paraId="4F9842E5" w14:textId="77777777" w:rsidTr="00C5287D">
        <w:trPr>
          <w:trHeight w:val="60"/>
        </w:trPr>
        <w:tc>
          <w:tcPr>
            <w:tcW w:w="1022" w:type="pct"/>
          </w:tcPr>
          <w:p w14:paraId="2D5560BF" w14:textId="77777777" w:rsidR="00EF5C25" w:rsidRPr="007F530F" w:rsidRDefault="00EF5C25" w:rsidP="00DC75F7">
            <w:pPr>
              <w:pStyle w:val="TableBody"/>
            </w:pPr>
            <w:r w:rsidRPr="00D00197">
              <w:rPr>
                <w:rStyle w:val="Strong"/>
              </w:rPr>
              <w:t>Incest with a child aged 10 years or over</w:t>
            </w:r>
            <w:r w:rsidRPr="00D00197">
              <w:rPr>
                <w:rStyle w:val="Strong"/>
              </w:rPr>
              <w:br/>
            </w:r>
            <w:r w:rsidRPr="007F530F">
              <w:t>Section 52(1)</w:t>
            </w:r>
            <w:r w:rsidRPr="007F530F">
              <w:br/>
            </w:r>
            <w:r w:rsidRPr="007F530F">
              <w:lastRenderedPageBreak/>
              <w:t>1 April 1959 to 4 August 1991</w:t>
            </w:r>
          </w:p>
        </w:tc>
        <w:tc>
          <w:tcPr>
            <w:tcW w:w="519" w:type="pct"/>
          </w:tcPr>
          <w:p w14:paraId="3F6D51BC" w14:textId="77777777" w:rsidR="00EF5C25" w:rsidRPr="007F530F" w:rsidRDefault="00EF5C25" w:rsidP="00AC34F3">
            <w:pPr>
              <w:pStyle w:val="TableBody"/>
            </w:pPr>
            <w:r w:rsidRPr="007F530F">
              <w:lastRenderedPageBreak/>
              <w:t>20 years</w:t>
            </w:r>
          </w:p>
        </w:tc>
        <w:tc>
          <w:tcPr>
            <w:tcW w:w="547" w:type="pct"/>
          </w:tcPr>
          <w:p w14:paraId="5FE564AC" w14:textId="77777777" w:rsidR="00EF5C25" w:rsidRPr="007F530F" w:rsidRDefault="00EF5C25" w:rsidP="00AC34F3">
            <w:pPr>
              <w:pStyle w:val="TableBody"/>
            </w:pPr>
            <w:r w:rsidRPr="007F530F">
              <w:t>60</w:t>
            </w:r>
          </w:p>
        </w:tc>
        <w:tc>
          <w:tcPr>
            <w:tcW w:w="562" w:type="pct"/>
          </w:tcPr>
          <w:p w14:paraId="7E541058" w14:textId="77777777" w:rsidR="00EF5C25" w:rsidRPr="007F530F" w:rsidRDefault="00EF5C25" w:rsidP="00AC34F3">
            <w:pPr>
              <w:pStyle w:val="TableBody"/>
            </w:pPr>
            <w:r w:rsidRPr="007F530F">
              <w:t>60</w:t>
            </w:r>
          </w:p>
        </w:tc>
        <w:tc>
          <w:tcPr>
            <w:tcW w:w="737" w:type="pct"/>
          </w:tcPr>
          <w:p w14:paraId="7A03F574" w14:textId="77777777" w:rsidR="00EF5C25" w:rsidRPr="007F530F" w:rsidRDefault="00EF5C25" w:rsidP="00AC34F3">
            <w:pPr>
              <w:pStyle w:val="TableBody"/>
            </w:pPr>
            <w:r w:rsidRPr="007F530F">
              <w:t>59</w:t>
            </w:r>
          </w:p>
        </w:tc>
        <w:tc>
          <w:tcPr>
            <w:tcW w:w="547" w:type="pct"/>
          </w:tcPr>
          <w:p w14:paraId="04EC5C27" w14:textId="77777777" w:rsidR="00EF5C25" w:rsidRPr="007F530F" w:rsidRDefault="00EF5C25" w:rsidP="00AC34F3">
            <w:pPr>
              <w:pStyle w:val="TableBody"/>
            </w:pPr>
            <w:r w:rsidRPr="007F530F">
              <w:t>12</w:t>
            </w:r>
          </w:p>
        </w:tc>
        <w:tc>
          <w:tcPr>
            <w:tcW w:w="547" w:type="pct"/>
          </w:tcPr>
          <w:p w14:paraId="7A980521" w14:textId="77777777" w:rsidR="00EF5C25" w:rsidRPr="007F530F" w:rsidRDefault="00EF5C25" w:rsidP="00AC34F3">
            <w:pPr>
              <w:pStyle w:val="TableBody"/>
            </w:pPr>
            <w:r w:rsidRPr="007F530F">
              <w:t>114</w:t>
            </w:r>
          </w:p>
        </w:tc>
        <w:tc>
          <w:tcPr>
            <w:tcW w:w="519" w:type="pct"/>
          </w:tcPr>
          <w:p w14:paraId="3509AF56" w14:textId="77777777" w:rsidR="00EF5C25" w:rsidRPr="007F530F" w:rsidRDefault="00EF5C25" w:rsidP="00AC34F3">
            <w:pPr>
              <w:pStyle w:val="TableBody"/>
            </w:pPr>
            <w:r w:rsidRPr="007F530F">
              <w:t>52</w:t>
            </w:r>
          </w:p>
        </w:tc>
      </w:tr>
      <w:tr w:rsidR="00EF5C25" w:rsidRPr="007F530F" w14:paraId="1FCD219C" w14:textId="77777777" w:rsidTr="00C5287D">
        <w:trPr>
          <w:trHeight w:val="60"/>
        </w:trPr>
        <w:tc>
          <w:tcPr>
            <w:tcW w:w="5000" w:type="pct"/>
            <w:gridSpan w:val="8"/>
          </w:tcPr>
          <w:p w14:paraId="1F4B1E10" w14:textId="77777777" w:rsidR="00EF5C25" w:rsidRPr="00D00197" w:rsidRDefault="00EF5C25" w:rsidP="00DC75F7">
            <w:pPr>
              <w:pStyle w:val="TableBody"/>
              <w:rPr>
                <w:rStyle w:val="Strong"/>
              </w:rPr>
            </w:pPr>
            <w:r w:rsidRPr="00D00197">
              <w:rPr>
                <w:rStyle w:val="Strong"/>
              </w:rPr>
              <w:t>Child sexual penetration offences</w:t>
            </w:r>
          </w:p>
        </w:tc>
      </w:tr>
      <w:tr w:rsidR="00EF5C25" w:rsidRPr="007F530F" w14:paraId="7DB4BD8B" w14:textId="77777777" w:rsidTr="00C5287D">
        <w:trPr>
          <w:trHeight w:val="60"/>
        </w:trPr>
        <w:tc>
          <w:tcPr>
            <w:tcW w:w="1022" w:type="pct"/>
          </w:tcPr>
          <w:p w14:paraId="1B8F1053" w14:textId="77777777" w:rsidR="00EF5C25" w:rsidRPr="007F530F" w:rsidRDefault="00EF5C25" w:rsidP="00DC75F7">
            <w:pPr>
              <w:pStyle w:val="TableBody"/>
            </w:pPr>
            <w:r w:rsidRPr="00D00197">
              <w:rPr>
                <w:rStyle w:val="Strong"/>
              </w:rPr>
              <w:t>Carnal knowledge of a girl aged under 10</w:t>
            </w:r>
            <w:r w:rsidRPr="00D00197">
              <w:rPr>
                <w:rStyle w:val="Strong"/>
              </w:rPr>
              <w:br/>
            </w:r>
            <w:r w:rsidRPr="007F530F">
              <w:t>Section 46</w:t>
            </w:r>
            <w:r w:rsidRPr="007F530F">
              <w:br/>
              <w:t>1 April 1959 to 28 February 1981</w:t>
            </w:r>
          </w:p>
        </w:tc>
        <w:tc>
          <w:tcPr>
            <w:tcW w:w="519" w:type="pct"/>
          </w:tcPr>
          <w:p w14:paraId="5A7211E6" w14:textId="77777777" w:rsidR="00EF5C25" w:rsidRPr="007F530F" w:rsidRDefault="00EF5C25" w:rsidP="00AC34F3">
            <w:pPr>
              <w:pStyle w:val="TableBody"/>
            </w:pPr>
            <w:r w:rsidRPr="007F530F">
              <w:t>20 years</w:t>
            </w:r>
          </w:p>
        </w:tc>
        <w:tc>
          <w:tcPr>
            <w:tcW w:w="547" w:type="pct"/>
          </w:tcPr>
          <w:p w14:paraId="652584E9" w14:textId="77777777" w:rsidR="00EF5C25" w:rsidRPr="007F530F" w:rsidRDefault="00EF5C25" w:rsidP="00AC34F3">
            <w:pPr>
              <w:pStyle w:val="TableBody"/>
            </w:pPr>
            <w:r w:rsidRPr="007F530F">
              <w:t>38</w:t>
            </w:r>
          </w:p>
        </w:tc>
        <w:tc>
          <w:tcPr>
            <w:tcW w:w="562" w:type="pct"/>
          </w:tcPr>
          <w:p w14:paraId="6B68CF1C" w14:textId="77777777" w:rsidR="00EF5C25" w:rsidRPr="007F530F" w:rsidRDefault="00EF5C25" w:rsidP="00AC34F3">
            <w:pPr>
              <w:pStyle w:val="TableBody"/>
            </w:pPr>
            <w:r w:rsidRPr="007F530F">
              <w:t>37</w:t>
            </w:r>
          </w:p>
        </w:tc>
        <w:tc>
          <w:tcPr>
            <w:tcW w:w="737" w:type="pct"/>
          </w:tcPr>
          <w:p w14:paraId="2EDE57AA" w14:textId="77777777" w:rsidR="00EF5C25" w:rsidRPr="007F530F" w:rsidRDefault="00EF5C25" w:rsidP="00AC34F3">
            <w:pPr>
              <w:pStyle w:val="TableBody"/>
            </w:pPr>
            <w:r w:rsidRPr="007F530F">
              <w:t>36</w:t>
            </w:r>
          </w:p>
        </w:tc>
        <w:tc>
          <w:tcPr>
            <w:tcW w:w="547" w:type="pct"/>
          </w:tcPr>
          <w:p w14:paraId="22D5DD37" w14:textId="77777777" w:rsidR="00EF5C25" w:rsidRPr="007F530F" w:rsidRDefault="00EF5C25" w:rsidP="00AC34F3">
            <w:pPr>
              <w:pStyle w:val="TableBody"/>
            </w:pPr>
            <w:r w:rsidRPr="007F530F">
              <w:t>12</w:t>
            </w:r>
          </w:p>
        </w:tc>
        <w:tc>
          <w:tcPr>
            <w:tcW w:w="547" w:type="pct"/>
          </w:tcPr>
          <w:p w14:paraId="01945343" w14:textId="77777777" w:rsidR="00EF5C25" w:rsidRPr="007F530F" w:rsidRDefault="00EF5C25" w:rsidP="00AC34F3">
            <w:pPr>
              <w:pStyle w:val="TableBody"/>
            </w:pPr>
            <w:r w:rsidRPr="007F530F">
              <w:t>120</w:t>
            </w:r>
          </w:p>
        </w:tc>
        <w:tc>
          <w:tcPr>
            <w:tcW w:w="519" w:type="pct"/>
          </w:tcPr>
          <w:p w14:paraId="324AE15F" w14:textId="77777777" w:rsidR="00EF5C25" w:rsidRPr="007F530F" w:rsidRDefault="00EF5C25" w:rsidP="00AC34F3">
            <w:pPr>
              <w:pStyle w:val="TableBody"/>
            </w:pPr>
            <w:r w:rsidRPr="007F530F">
              <w:t>54</w:t>
            </w:r>
          </w:p>
        </w:tc>
      </w:tr>
      <w:tr w:rsidR="00EF5C25" w:rsidRPr="007F530F" w14:paraId="07002078" w14:textId="77777777" w:rsidTr="00C5287D">
        <w:trPr>
          <w:trHeight w:val="60"/>
        </w:trPr>
        <w:tc>
          <w:tcPr>
            <w:tcW w:w="1022" w:type="pct"/>
          </w:tcPr>
          <w:p w14:paraId="19D88681" w14:textId="77777777" w:rsidR="00EF5C25" w:rsidRPr="007F530F" w:rsidRDefault="00EF5C25" w:rsidP="00DC75F7">
            <w:pPr>
              <w:pStyle w:val="TableBody"/>
            </w:pPr>
            <w:r w:rsidRPr="00D00197">
              <w:rPr>
                <w:rStyle w:val="Strong"/>
              </w:rPr>
              <w:t>Buggery with a person aged under 14</w:t>
            </w:r>
            <w:r w:rsidRPr="00D00197">
              <w:rPr>
                <w:rStyle w:val="Strong"/>
              </w:rPr>
              <w:br/>
            </w:r>
            <w:r w:rsidRPr="007F530F">
              <w:t>Section 68(1)</w:t>
            </w:r>
            <w:r w:rsidRPr="007F530F">
              <w:br/>
              <w:t>1 April 1959 to 4 August 1991</w:t>
            </w:r>
          </w:p>
        </w:tc>
        <w:tc>
          <w:tcPr>
            <w:tcW w:w="519" w:type="pct"/>
          </w:tcPr>
          <w:p w14:paraId="22ACCE9E" w14:textId="77777777" w:rsidR="00EF5C25" w:rsidRPr="007F530F" w:rsidRDefault="00EF5C25" w:rsidP="00AC34F3">
            <w:pPr>
              <w:pStyle w:val="TableBody"/>
            </w:pPr>
            <w:r w:rsidRPr="007F530F">
              <w:t>20 years</w:t>
            </w:r>
          </w:p>
        </w:tc>
        <w:tc>
          <w:tcPr>
            <w:tcW w:w="547" w:type="pct"/>
          </w:tcPr>
          <w:p w14:paraId="5A7F4F60" w14:textId="77777777" w:rsidR="00EF5C25" w:rsidRPr="007F530F" w:rsidRDefault="00EF5C25" w:rsidP="00AC34F3">
            <w:pPr>
              <w:pStyle w:val="TableBody"/>
            </w:pPr>
            <w:r w:rsidRPr="007F530F">
              <w:t>44</w:t>
            </w:r>
          </w:p>
        </w:tc>
        <w:tc>
          <w:tcPr>
            <w:tcW w:w="562" w:type="pct"/>
          </w:tcPr>
          <w:p w14:paraId="6114F6C1" w14:textId="77777777" w:rsidR="00EF5C25" w:rsidRPr="007F530F" w:rsidRDefault="00EF5C25" w:rsidP="00AC34F3">
            <w:pPr>
              <w:pStyle w:val="TableBody"/>
            </w:pPr>
            <w:r w:rsidRPr="007F530F">
              <w:t>39</w:t>
            </w:r>
          </w:p>
        </w:tc>
        <w:tc>
          <w:tcPr>
            <w:tcW w:w="737" w:type="pct"/>
          </w:tcPr>
          <w:p w14:paraId="7C4B44FE" w14:textId="77777777" w:rsidR="00EF5C25" w:rsidRPr="007F530F" w:rsidRDefault="00EF5C25" w:rsidP="00AC34F3">
            <w:pPr>
              <w:pStyle w:val="TableBody"/>
            </w:pPr>
            <w:r w:rsidRPr="007F530F">
              <w:t>38</w:t>
            </w:r>
          </w:p>
        </w:tc>
        <w:tc>
          <w:tcPr>
            <w:tcW w:w="547" w:type="pct"/>
          </w:tcPr>
          <w:p w14:paraId="6EA2C047" w14:textId="77777777" w:rsidR="00EF5C25" w:rsidRPr="007F530F" w:rsidRDefault="00EF5C25" w:rsidP="00AC34F3">
            <w:pPr>
              <w:pStyle w:val="TableBody"/>
            </w:pPr>
            <w:r w:rsidRPr="007F530F">
              <w:t>12</w:t>
            </w:r>
          </w:p>
        </w:tc>
        <w:tc>
          <w:tcPr>
            <w:tcW w:w="547" w:type="pct"/>
          </w:tcPr>
          <w:p w14:paraId="74B7554E" w14:textId="77777777" w:rsidR="00EF5C25" w:rsidRPr="007F530F" w:rsidRDefault="00EF5C25" w:rsidP="00AC34F3">
            <w:pPr>
              <w:pStyle w:val="TableBody"/>
            </w:pPr>
            <w:r w:rsidRPr="007F530F">
              <w:t>96</w:t>
            </w:r>
          </w:p>
        </w:tc>
        <w:tc>
          <w:tcPr>
            <w:tcW w:w="519" w:type="pct"/>
          </w:tcPr>
          <w:p w14:paraId="385098BB" w14:textId="77777777" w:rsidR="00EF5C25" w:rsidRPr="007F530F" w:rsidRDefault="00EF5C25" w:rsidP="00AC34F3">
            <w:pPr>
              <w:pStyle w:val="TableBody"/>
            </w:pPr>
            <w:r w:rsidRPr="007F530F">
              <w:t>62</w:t>
            </w:r>
          </w:p>
        </w:tc>
      </w:tr>
      <w:tr w:rsidR="00EF5C25" w:rsidRPr="007F530F" w14:paraId="56E22781" w14:textId="77777777" w:rsidTr="00C5287D">
        <w:trPr>
          <w:trHeight w:val="60"/>
        </w:trPr>
        <w:tc>
          <w:tcPr>
            <w:tcW w:w="1022" w:type="pct"/>
          </w:tcPr>
          <w:p w14:paraId="2AEA499A" w14:textId="77777777" w:rsidR="00EF5C25" w:rsidRPr="007F530F" w:rsidRDefault="00EF5C25" w:rsidP="00DC75F7">
            <w:pPr>
              <w:pStyle w:val="TableBody"/>
            </w:pPr>
            <w:r w:rsidRPr="00D00197">
              <w:rPr>
                <w:rStyle w:val="Strong"/>
              </w:rPr>
              <w:t>Sexual penetration with a child aged under 10</w:t>
            </w:r>
            <w:r w:rsidRPr="00D00197">
              <w:rPr>
                <w:rStyle w:val="Strong"/>
              </w:rPr>
              <w:br/>
            </w:r>
            <w:r w:rsidRPr="007F530F">
              <w:t>Sections 45(1), 47(1)</w:t>
            </w:r>
            <w:r w:rsidRPr="007F530F">
              <w:br/>
              <w:t>1 March 1981 to 22 November 2000</w:t>
            </w:r>
          </w:p>
        </w:tc>
        <w:tc>
          <w:tcPr>
            <w:tcW w:w="519" w:type="pct"/>
          </w:tcPr>
          <w:p w14:paraId="791660A6" w14:textId="77777777" w:rsidR="00EF5C25" w:rsidRPr="007F530F" w:rsidRDefault="00EF5C25" w:rsidP="00AC34F3">
            <w:pPr>
              <w:pStyle w:val="TableBody"/>
            </w:pPr>
            <w:r w:rsidRPr="007F530F">
              <w:t>20 or 25 years</w:t>
            </w:r>
          </w:p>
        </w:tc>
        <w:tc>
          <w:tcPr>
            <w:tcW w:w="547" w:type="pct"/>
          </w:tcPr>
          <w:p w14:paraId="6A86B9FC" w14:textId="77777777" w:rsidR="00EF5C25" w:rsidRPr="007F530F" w:rsidRDefault="00EF5C25" w:rsidP="00AC34F3">
            <w:pPr>
              <w:pStyle w:val="TableBody"/>
            </w:pPr>
            <w:r w:rsidRPr="007F530F">
              <w:t>123</w:t>
            </w:r>
          </w:p>
        </w:tc>
        <w:tc>
          <w:tcPr>
            <w:tcW w:w="562" w:type="pct"/>
          </w:tcPr>
          <w:p w14:paraId="4D99F826" w14:textId="77777777" w:rsidR="00EF5C25" w:rsidRPr="007F530F" w:rsidRDefault="00EF5C25" w:rsidP="00AC34F3">
            <w:pPr>
              <w:pStyle w:val="TableBody"/>
            </w:pPr>
            <w:r w:rsidRPr="007F530F">
              <w:t>105</w:t>
            </w:r>
          </w:p>
        </w:tc>
        <w:tc>
          <w:tcPr>
            <w:tcW w:w="737" w:type="pct"/>
          </w:tcPr>
          <w:p w14:paraId="26D1B075" w14:textId="77777777" w:rsidR="00EF5C25" w:rsidRPr="007F530F" w:rsidRDefault="00EF5C25" w:rsidP="00AC34F3">
            <w:pPr>
              <w:pStyle w:val="TableBody"/>
            </w:pPr>
            <w:r w:rsidRPr="007F530F">
              <w:t>95</w:t>
            </w:r>
          </w:p>
        </w:tc>
        <w:tc>
          <w:tcPr>
            <w:tcW w:w="547" w:type="pct"/>
          </w:tcPr>
          <w:p w14:paraId="556B4C7F" w14:textId="77777777" w:rsidR="00EF5C25" w:rsidRPr="007F530F" w:rsidRDefault="00EF5C25" w:rsidP="00AC34F3">
            <w:pPr>
              <w:pStyle w:val="TableBody"/>
            </w:pPr>
            <w:r w:rsidRPr="007F530F">
              <w:t>9</w:t>
            </w:r>
          </w:p>
        </w:tc>
        <w:tc>
          <w:tcPr>
            <w:tcW w:w="547" w:type="pct"/>
          </w:tcPr>
          <w:p w14:paraId="106295BB" w14:textId="77777777" w:rsidR="00EF5C25" w:rsidRPr="007F530F" w:rsidRDefault="00EF5C25" w:rsidP="00AC34F3">
            <w:pPr>
              <w:pStyle w:val="TableBody"/>
            </w:pPr>
            <w:r w:rsidRPr="007F530F">
              <w:t>108</w:t>
            </w:r>
          </w:p>
        </w:tc>
        <w:tc>
          <w:tcPr>
            <w:tcW w:w="519" w:type="pct"/>
          </w:tcPr>
          <w:p w14:paraId="3116E87F" w14:textId="77777777" w:rsidR="00EF5C25" w:rsidRPr="007F530F" w:rsidRDefault="00EF5C25" w:rsidP="00AC34F3">
            <w:pPr>
              <w:pStyle w:val="TableBody"/>
            </w:pPr>
            <w:r w:rsidRPr="007F530F">
              <w:t>43</w:t>
            </w:r>
          </w:p>
        </w:tc>
      </w:tr>
      <w:tr w:rsidR="00EF5C25" w:rsidRPr="007F530F" w14:paraId="2A442E57" w14:textId="77777777" w:rsidTr="00C5287D">
        <w:trPr>
          <w:trHeight w:val="60"/>
        </w:trPr>
        <w:tc>
          <w:tcPr>
            <w:tcW w:w="1022" w:type="pct"/>
          </w:tcPr>
          <w:p w14:paraId="3D1251C3" w14:textId="77777777" w:rsidR="00EF5C25" w:rsidRPr="007F530F" w:rsidRDefault="00EF5C25" w:rsidP="00DC75F7">
            <w:pPr>
              <w:pStyle w:val="TableBody"/>
            </w:pPr>
            <w:r w:rsidRPr="00D00197">
              <w:rPr>
                <w:rStyle w:val="Strong"/>
              </w:rPr>
              <w:t>Carnal knowledge of a girl aged 10 to 15</w:t>
            </w:r>
            <w:r w:rsidRPr="00D00197">
              <w:rPr>
                <w:rStyle w:val="Strong"/>
              </w:rPr>
              <w:br/>
            </w:r>
            <w:r w:rsidRPr="007F530F">
              <w:t>Section 48(1)</w:t>
            </w:r>
            <w:r w:rsidRPr="007F530F">
              <w:br/>
              <w:t>1 April 1959 to 28 February 1981</w:t>
            </w:r>
          </w:p>
        </w:tc>
        <w:tc>
          <w:tcPr>
            <w:tcW w:w="519" w:type="pct"/>
          </w:tcPr>
          <w:p w14:paraId="02D76DC6" w14:textId="77777777" w:rsidR="00EF5C25" w:rsidRPr="007F530F" w:rsidRDefault="00EF5C25" w:rsidP="00AC34F3">
            <w:pPr>
              <w:pStyle w:val="TableBody"/>
            </w:pPr>
            <w:r w:rsidRPr="007F530F">
              <w:t>10 or 15 years</w:t>
            </w:r>
          </w:p>
        </w:tc>
        <w:tc>
          <w:tcPr>
            <w:tcW w:w="547" w:type="pct"/>
          </w:tcPr>
          <w:p w14:paraId="1D9B06CB" w14:textId="77777777" w:rsidR="00EF5C25" w:rsidRPr="007F530F" w:rsidRDefault="00EF5C25" w:rsidP="00AC34F3">
            <w:pPr>
              <w:pStyle w:val="TableBody"/>
            </w:pPr>
            <w:r w:rsidRPr="007F530F">
              <w:t>27</w:t>
            </w:r>
          </w:p>
        </w:tc>
        <w:tc>
          <w:tcPr>
            <w:tcW w:w="562" w:type="pct"/>
          </w:tcPr>
          <w:p w14:paraId="5F6066A0" w14:textId="77777777" w:rsidR="00EF5C25" w:rsidRPr="007F530F" w:rsidRDefault="00EF5C25" w:rsidP="00AC34F3">
            <w:pPr>
              <w:pStyle w:val="TableBody"/>
            </w:pPr>
            <w:r w:rsidRPr="007F530F">
              <w:t>24</w:t>
            </w:r>
          </w:p>
        </w:tc>
        <w:tc>
          <w:tcPr>
            <w:tcW w:w="737" w:type="pct"/>
          </w:tcPr>
          <w:p w14:paraId="104DE08B" w14:textId="77777777" w:rsidR="00EF5C25" w:rsidRPr="007F530F" w:rsidRDefault="00EF5C25" w:rsidP="00AC34F3">
            <w:pPr>
              <w:pStyle w:val="TableBody"/>
            </w:pPr>
            <w:r w:rsidRPr="007F530F">
              <w:t>21</w:t>
            </w:r>
          </w:p>
        </w:tc>
        <w:tc>
          <w:tcPr>
            <w:tcW w:w="547" w:type="pct"/>
          </w:tcPr>
          <w:p w14:paraId="16ABF4DD" w14:textId="77777777" w:rsidR="00EF5C25" w:rsidRPr="007F530F" w:rsidRDefault="00EF5C25" w:rsidP="00AC34F3">
            <w:pPr>
              <w:pStyle w:val="TableBody"/>
            </w:pPr>
            <w:r w:rsidRPr="007F530F">
              <w:t>7</w:t>
            </w:r>
          </w:p>
        </w:tc>
        <w:tc>
          <w:tcPr>
            <w:tcW w:w="547" w:type="pct"/>
          </w:tcPr>
          <w:p w14:paraId="5DDD76E2" w14:textId="77777777" w:rsidR="00EF5C25" w:rsidRPr="007F530F" w:rsidRDefault="00EF5C25" w:rsidP="00AC34F3">
            <w:pPr>
              <w:pStyle w:val="TableBody"/>
            </w:pPr>
            <w:r w:rsidRPr="007F530F">
              <w:t>78</w:t>
            </w:r>
          </w:p>
        </w:tc>
        <w:tc>
          <w:tcPr>
            <w:tcW w:w="519" w:type="pct"/>
          </w:tcPr>
          <w:p w14:paraId="1426A993" w14:textId="77777777" w:rsidR="00EF5C25" w:rsidRPr="007F530F" w:rsidRDefault="00EF5C25" w:rsidP="00AC34F3">
            <w:pPr>
              <w:pStyle w:val="TableBody"/>
            </w:pPr>
            <w:r w:rsidRPr="007F530F">
              <w:t>40</w:t>
            </w:r>
          </w:p>
        </w:tc>
      </w:tr>
      <w:tr w:rsidR="00EF5C25" w:rsidRPr="007F530F" w14:paraId="2D6FA54B" w14:textId="77777777" w:rsidTr="00C5287D">
        <w:trPr>
          <w:trHeight w:val="60"/>
        </w:trPr>
        <w:tc>
          <w:tcPr>
            <w:tcW w:w="1022" w:type="pct"/>
          </w:tcPr>
          <w:p w14:paraId="14B29374" w14:textId="77777777" w:rsidR="00EF5C25" w:rsidRPr="007F530F" w:rsidRDefault="00EF5C25" w:rsidP="00DC75F7">
            <w:pPr>
              <w:pStyle w:val="TableBody"/>
            </w:pPr>
            <w:r w:rsidRPr="00D00197">
              <w:rPr>
                <w:rStyle w:val="Strong"/>
              </w:rPr>
              <w:t>Sexual penetration with a child aged 10 to 15</w:t>
            </w:r>
            <w:r w:rsidRPr="00D00197">
              <w:rPr>
                <w:rStyle w:val="Strong"/>
              </w:rPr>
              <w:br/>
            </w:r>
            <w:r w:rsidRPr="007F530F">
              <w:t>Sections 46(1), 48(1)</w:t>
            </w:r>
            <w:r w:rsidRPr="007F530F">
              <w:br/>
              <w:t>1 March 1981 to 22 November 2000</w:t>
            </w:r>
          </w:p>
        </w:tc>
        <w:tc>
          <w:tcPr>
            <w:tcW w:w="519" w:type="pct"/>
          </w:tcPr>
          <w:p w14:paraId="21CF866F" w14:textId="77777777" w:rsidR="00EF5C25" w:rsidRPr="007F530F" w:rsidRDefault="00EF5C25" w:rsidP="00AC34F3">
            <w:pPr>
              <w:pStyle w:val="TableBody"/>
            </w:pPr>
            <w:r w:rsidRPr="007F530F">
              <w:t>10 or 15 years</w:t>
            </w:r>
          </w:p>
        </w:tc>
        <w:tc>
          <w:tcPr>
            <w:tcW w:w="547" w:type="pct"/>
          </w:tcPr>
          <w:p w14:paraId="31651A21" w14:textId="77777777" w:rsidR="00EF5C25" w:rsidRPr="007F530F" w:rsidRDefault="00EF5C25" w:rsidP="00AC34F3">
            <w:pPr>
              <w:pStyle w:val="TableBody"/>
            </w:pPr>
            <w:r w:rsidRPr="007F530F">
              <w:t>127</w:t>
            </w:r>
          </w:p>
        </w:tc>
        <w:tc>
          <w:tcPr>
            <w:tcW w:w="562" w:type="pct"/>
          </w:tcPr>
          <w:p w14:paraId="0EA83A9C" w14:textId="77777777" w:rsidR="00EF5C25" w:rsidRPr="007F530F" w:rsidRDefault="00EF5C25" w:rsidP="00AC34F3">
            <w:pPr>
              <w:pStyle w:val="TableBody"/>
            </w:pPr>
            <w:r w:rsidRPr="007F530F">
              <w:t>94</w:t>
            </w:r>
          </w:p>
        </w:tc>
        <w:tc>
          <w:tcPr>
            <w:tcW w:w="737" w:type="pct"/>
          </w:tcPr>
          <w:p w14:paraId="66DD253F" w14:textId="77777777" w:rsidR="00EF5C25" w:rsidRPr="007F530F" w:rsidRDefault="00EF5C25" w:rsidP="00AC34F3">
            <w:pPr>
              <w:pStyle w:val="TableBody"/>
            </w:pPr>
            <w:r w:rsidRPr="007F530F">
              <w:t>91</w:t>
            </w:r>
          </w:p>
        </w:tc>
        <w:tc>
          <w:tcPr>
            <w:tcW w:w="547" w:type="pct"/>
          </w:tcPr>
          <w:p w14:paraId="4CEAD307" w14:textId="77777777" w:rsidR="00EF5C25" w:rsidRPr="007F530F" w:rsidRDefault="00EF5C25" w:rsidP="00AC34F3">
            <w:pPr>
              <w:pStyle w:val="TableBody"/>
            </w:pPr>
            <w:r w:rsidRPr="007F530F">
              <w:t>9</w:t>
            </w:r>
          </w:p>
        </w:tc>
        <w:tc>
          <w:tcPr>
            <w:tcW w:w="547" w:type="pct"/>
          </w:tcPr>
          <w:p w14:paraId="67AE9805" w14:textId="77777777" w:rsidR="00EF5C25" w:rsidRPr="007F530F" w:rsidRDefault="00EF5C25" w:rsidP="00AC34F3">
            <w:pPr>
              <w:pStyle w:val="TableBody"/>
            </w:pPr>
            <w:r w:rsidRPr="007F530F">
              <w:t>108</w:t>
            </w:r>
          </w:p>
        </w:tc>
        <w:tc>
          <w:tcPr>
            <w:tcW w:w="519" w:type="pct"/>
          </w:tcPr>
          <w:p w14:paraId="300AE7E9" w14:textId="77777777" w:rsidR="00EF5C25" w:rsidRPr="007F530F" w:rsidRDefault="00EF5C25" w:rsidP="00AC34F3">
            <w:pPr>
              <w:pStyle w:val="TableBody"/>
            </w:pPr>
            <w:r w:rsidRPr="007F530F">
              <w:t>37</w:t>
            </w:r>
          </w:p>
        </w:tc>
      </w:tr>
      <w:tr w:rsidR="00B642EA" w:rsidRPr="007F530F" w14:paraId="4AE72426" w14:textId="77777777" w:rsidTr="00C5287D">
        <w:trPr>
          <w:trHeight w:val="60"/>
        </w:trPr>
        <w:tc>
          <w:tcPr>
            <w:tcW w:w="1022" w:type="pct"/>
          </w:tcPr>
          <w:p w14:paraId="500DF513" w14:textId="00E16029" w:rsidR="00B642EA" w:rsidRPr="00B642EA" w:rsidRDefault="00B642EA" w:rsidP="00B642EA">
            <w:pPr>
              <w:pStyle w:val="TableBody"/>
              <w:rPr>
                <w:rStyle w:val="Strong"/>
                <w:b w:val="0"/>
                <w:bCs w:val="0"/>
              </w:rPr>
            </w:pPr>
            <w:r w:rsidRPr="002B02B8">
              <w:rPr>
                <w:rStyle w:val="Strong"/>
              </w:rPr>
              <w:lastRenderedPageBreak/>
              <w:t>Carnal knowledge of an unmarried female aged 16 or 17 (by a person aged 21 years or over)</w:t>
            </w:r>
            <w:r w:rsidRPr="002B02B8">
              <w:rPr>
                <w:rStyle w:val="Strong"/>
              </w:rPr>
              <w:br/>
            </w:r>
            <w:r w:rsidRPr="00B642EA">
              <w:t>Section 50(1)</w:t>
            </w:r>
            <w:r w:rsidRPr="00B642EA">
              <w:br/>
              <w:t>1 April 1959 to 28 February 1981</w:t>
            </w:r>
          </w:p>
        </w:tc>
        <w:tc>
          <w:tcPr>
            <w:tcW w:w="519" w:type="pct"/>
          </w:tcPr>
          <w:p w14:paraId="427FC13B" w14:textId="6132AEC7" w:rsidR="00B642EA" w:rsidRPr="00B642EA" w:rsidRDefault="00B642EA" w:rsidP="00B642EA">
            <w:pPr>
              <w:pStyle w:val="TableBody"/>
            </w:pPr>
            <w:r w:rsidRPr="00B642EA">
              <w:t>1 year</w:t>
            </w:r>
          </w:p>
        </w:tc>
        <w:tc>
          <w:tcPr>
            <w:tcW w:w="547" w:type="pct"/>
          </w:tcPr>
          <w:p w14:paraId="3A24BA6B" w14:textId="7067F6BC" w:rsidR="00B642EA" w:rsidRPr="00B642EA" w:rsidRDefault="00B642EA" w:rsidP="00B642EA">
            <w:pPr>
              <w:pStyle w:val="TableBody"/>
            </w:pPr>
            <w:r w:rsidRPr="00B642EA">
              <w:t>3</w:t>
            </w:r>
          </w:p>
        </w:tc>
        <w:tc>
          <w:tcPr>
            <w:tcW w:w="562" w:type="pct"/>
          </w:tcPr>
          <w:p w14:paraId="2E106760" w14:textId="5F718BEC" w:rsidR="00B642EA" w:rsidRPr="00B642EA" w:rsidRDefault="00B642EA" w:rsidP="00B642EA">
            <w:pPr>
              <w:pStyle w:val="TableBody"/>
            </w:pPr>
            <w:r w:rsidRPr="00B642EA">
              <w:t>0</w:t>
            </w:r>
          </w:p>
        </w:tc>
        <w:tc>
          <w:tcPr>
            <w:tcW w:w="737" w:type="pct"/>
          </w:tcPr>
          <w:p w14:paraId="465A92CF" w14:textId="2211BFDE" w:rsidR="00B642EA" w:rsidRPr="007F530F" w:rsidRDefault="00B642EA" w:rsidP="00B642EA">
            <w:pPr>
              <w:pStyle w:val="TableBody"/>
            </w:pPr>
            <w:r>
              <w:t>–</w:t>
            </w:r>
          </w:p>
        </w:tc>
        <w:tc>
          <w:tcPr>
            <w:tcW w:w="547" w:type="pct"/>
          </w:tcPr>
          <w:p w14:paraId="1BBEED3D" w14:textId="1DFA670A" w:rsidR="00B642EA" w:rsidRPr="007F530F" w:rsidRDefault="00B642EA" w:rsidP="00B642EA">
            <w:pPr>
              <w:pStyle w:val="TableBody"/>
            </w:pPr>
            <w:r>
              <w:t>–</w:t>
            </w:r>
          </w:p>
        </w:tc>
        <w:tc>
          <w:tcPr>
            <w:tcW w:w="547" w:type="pct"/>
          </w:tcPr>
          <w:p w14:paraId="069FEF11" w14:textId="2A4FB7BC" w:rsidR="00B642EA" w:rsidRPr="007F530F" w:rsidRDefault="00B642EA" w:rsidP="00B642EA">
            <w:pPr>
              <w:pStyle w:val="TableBody"/>
            </w:pPr>
            <w:r>
              <w:t>–</w:t>
            </w:r>
          </w:p>
        </w:tc>
        <w:tc>
          <w:tcPr>
            <w:tcW w:w="519" w:type="pct"/>
          </w:tcPr>
          <w:p w14:paraId="40A3119A" w14:textId="4F487D9D" w:rsidR="00B642EA" w:rsidRPr="007F530F" w:rsidRDefault="00B642EA" w:rsidP="00B642EA">
            <w:pPr>
              <w:pStyle w:val="TableBody"/>
            </w:pPr>
            <w:r>
              <w:t>–</w:t>
            </w:r>
          </w:p>
        </w:tc>
      </w:tr>
      <w:tr w:rsidR="00EF5C25" w:rsidRPr="007F530F" w14:paraId="05AFF128" w14:textId="77777777" w:rsidTr="00C5287D">
        <w:trPr>
          <w:trHeight w:val="60"/>
        </w:trPr>
        <w:tc>
          <w:tcPr>
            <w:tcW w:w="1022" w:type="pct"/>
          </w:tcPr>
          <w:p w14:paraId="44F2B8C7" w14:textId="77777777" w:rsidR="00EF5C25" w:rsidRPr="007F530F" w:rsidRDefault="00EF5C25" w:rsidP="00DC75F7">
            <w:pPr>
              <w:pStyle w:val="TableBody"/>
            </w:pPr>
            <w:r w:rsidRPr="00D00197">
              <w:rPr>
                <w:rStyle w:val="Strong"/>
              </w:rPr>
              <w:t>Sexual penetration with a person aged 16 or 17</w:t>
            </w:r>
            <w:r w:rsidRPr="00D00197">
              <w:rPr>
                <w:rStyle w:val="Strong"/>
              </w:rPr>
              <w:br/>
            </w:r>
            <w:r w:rsidRPr="007F530F">
              <w:t>Section 49(1)</w:t>
            </w:r>
            <w:r w:rsidRPr="007F530F">
              <w:br/>
              <w:t>1 March 1981 to 4 August 1991</w:t>
            </w:r>
          </w:p>
        </w:tc>
        <w:tc>
          <w:tcPr>
            <w:tcW w:w="519" w:type="pct"/>
          </w:tcPr>
          <w:p w14:paraId="2EA780D6" w14:textId="77777777" w:rsidR="00EF5C25" w:rsidRPr="007F530F" w:rsidRDefault="00EF5C25" w:rsidP="00AC34F3">
            <w:pPr>
              <w:pStyle w:val="TableBody"/>
            </w:pPr>
            <w:r w:rsidRPr="007F530F">
              <w:t>2 years</w:t>
            </w:r>
          </w:p>
        </w:tc>
        <w:tc>
          <w:tcPr>
            <w:tcW w:w="547" w:type="pct"/>
          </w:tcPr>
          <w:p w14:paraId="6B0663B6" w14:textId="77777777" w:rsidR="00EF5C25" w:rsidRPr="007F530F" w:rsidRDefault="00EF5C25" w:rsidP="00AC34F3">
            <w:pPr>
              <w:pStyle w:val="TableBody"/>
            </w:pPr>
            <w:r w:rsidRPr="007F530F">
              <w:t>12</w:t>
            </w:r>
          </w:p>
        </w:tc>
        <w:tc>
          <w:tcPr>
            <w:tcW w:w="562" w:type="pct"/>
          </w:tcPr>
          <w:p w14:paraId="6F2C3261" w14:textId="77777777" w:rsidR="00EF5C25" w:rsidRPr="007F530F" w:rsidRDefault="00EF5C25" w:rsidP="00AC34F3">
            <w:pPr>
              <w:pStyle w:val="TableBody"/>
            </w:pPr>
            <w:r w:rsidRPr="007F530F">
              <w:t>12</w:t>
            </w:r>
          </w:p>
        </w:tc>
        <w:tc>
          <w:tcPr>
            <w:tcW w:w="737" w:type="pct"/>
          </w:tcPr>
          <w:p w14:paraId="0D95976C" w14:textId="77777777" w:rsidR="00EF5C25" w:rsidRPr="007F530F" w:rsidRDefault="00EF5C25" w:rsidP="00AC34F3">
            <w:pPr>
              <w:pStyle w:val="TableBody"/>
            </w:pPr>
            <w:r w:rsidRPr="007F530F">
              <w:t>10</w:t>
            </w:r>
          </w:p>
        </w:tc>
        <w:tc>
          <w:tcPr>
            <w:tcW w:w="547" w:type="pct"/>
          </w:tcPr>
          <w:p w14:paraId="3EDEB82A" w14:textId="77777777" w:rsidR="00EF5C25" w:rsidRPr="007F530F" w:rsidRDefault="00EF5C25" w:rsidP="00AC34F3">
            <w:pPr>
              <w:pStyle w:val="TableBody"/>
            </w:pPr>
            <w:r w:rsidRPr="007F530F">
              <w:t>6</w:t>
            </w:r>
          </w:p>
        </w:tc>
        <w:tc>
          <w:tcPr>
            <w:tcW w:w="547" w:type="pct"/>
          </w:tcPr>
          <w:p w14:paraId="014C0A5D" w14:textId="77777777" w:rsidR="00EF5C25" w:rsidRPr="007F530F" w:rsidRDefault="00EF5C25" w:rsidP="00AC34F3">
            <w:pPr>
              <w:pStyle w:val="TableBody"/>
            </w:pPr>
            <w:r w:rsidRPr="007F530F">
              <w:t>30</w:t>
            </w:r>
          </w:p>
        </w:tc>
        <w:tc>
          <w:tcPr>
            <w:tcW w:w="519" w:type="pct"/>
          </w:tcPr>
          <w:p w14:paraId="5D3642DD" w14:textId="77777777" w:rsidR="00EF5C25" w:rsidRPr="007F530F" w:rsidRDefault="00EF5C25" w:rsidP="00AC34F3">
            <w:pPr>
              <w:pStyle w:val="TableBody"/>
            </w:pPr>
            <w:r w:rsidRPr="007F530F">
              <w:t>13</w:t>
            </w:r>
          </w:p>
        </w:tc>
      </w:tr>
      <w:tr w:rsidR="00EF5C25" w:rsidRPr="007F530F" w14:paraId="49868330" w14:textId="77777777" w:rsidTr="00C5287D">
        <w:trPr>
          <w:trHeight w:val="60"/>
        </w:trPr>
        <w:tc>
          <w:tcPr>
            <w:tcW w:w="1022" w:type="pct"/>
          </w:tcPr>
          <w:p w14:paraId="49C33471" w14:textId="77777777" w:rsidR="00EF5C25" w:rsidRPr="007F530F" w:rsidRDefault="00EF5C25" w:rsidP="00DC75F7">
            <w:pPr>
              <w:pStyle w:val="TableBody"/>
            </w:pPr>
            <w:r w:rsidRPr="00D00197">
              <w:rPr>
                <w:rStyle w:val="Strong"/>
              </w:rPr>
              <w:t>Sexual penetration with a person aged 16 or 17 under care, supervision or authority</w:t>
            </w:r>
            <w:r w:rsidRPr="00D00197">
              <w:rPr>
                <w:rStyle w:val="Strong"/>
              </w:rPr>
              <w:br/>
            </w:r>
            <w:r w:rsidRPr="007F530F">
              <w:t>Section 49(3)</w:t>
            </w:r>
            <w:r w:rsidRPr="007F530F">
              <w:br/>
              <w:t>1 March 1981 to 22 November 2000</w:t>
            </w:r>
          </w:p>
        </w:tc>
        <w:tc>
          <w:tcPr>
            <w:tcW w:w="519" w:type="pct"/>
          </w:tcPr>
          <w:p w14:paraId="60BFB3A2" w14:textId="77777777" w:rsidR="00EF5C25" w:rsidRPr="007F530F" w:rsidRDefault="00EF5C25" w:rsidP="00AC34F3">
            <w:pPr>
              <w:pStyle w:val="TableBody"/>
            </w:pPr>
            <w:r w:rsidRPr="007F530F">
              <w:t>3 years</w:t>
            </w:r>
          </w:p>
        </w:tc>
        <w:tc>
          <w:tcPr>
            <w:tcW w:w="547" w:type="pct"/>
          </w:tcPr>
          <w:p w14:paraId="355B2CDD" w14:textId="77777777" w:rsidR="00EF5C25" w:rsidRPr="007F530F" w:rsidRDefault="00EF5C25" w:rsidP="00AC34F3">
            <w:pPr>
              <w:pStyle w:val="TableBody"/>
            </w:pPr>
            <w:r w:rsidRPr="007F530F">
              <w:t>10</w:t>
            </w:r>
          </w:p>
        </w:tc>
        <w:tc>
          <w:tcPr>
            <w:tcW w:w="562" w:type="pct"/>
          </w:tcPr>
          <w:p w14:paraId="05D4DA0E" w14:textId="77777777" w:rsidR="00EF5C25" w:rsidRPr="007F530F" w:rsidRDefault="00EF5C25" w:rsidP="00AC34F3">
            <w:pPr>
              <w:pStyle w:val="TableBody"/>
            </w:pPr>
            <w:r w:rsidRPr="007F530F">
              <w:t>10</w:t>
            </w:r>
          </w:p>
        </w:tc>
        <w:tc>
          <w:tcPr>
            <w:tcW w:w="737" w:type="pct"/>
          </w:tcPr>
          <w:p w14:paraId="51BDEE4D" w14:textId="77777777" w:rsidR="00EF5C25" w:rsidRPr="007F530F" w:rsidRDefault="00EF5C25" w:rsidP="00AC34F3">
            <w:pPr>
              <w:pStyle w:val="TableBody"/>
            </w:pPr>
            <w:r w:rsidRPr="007F530F">
              <w:t>10</w:t>
            </w:r>
          </w:p>
        </w:tc>
        <w:tc>
          <w:tcPr>
            <w:tcW w:w="547" w:type="pct"/>
          </w:tcPr>
          <w:p w14:paraId="7E6BE80B" w14:textId="77777777" w:rsidR="00EF5C25" w:rsidRPr="007F530F" w:rsidRDefault="00EF5C25" w:rsidP="00AC34F3">
            <w:pPr>
              <w:pStyle w:val="TableBody"/>
            </w:pPr>
            <w:r w:rsidRPr="007F530F">
              <w:t>9</w:t>
            </w:r>
          </w:p>
        </w:tc>
        <w:tc>
          <w:tcPr>
            <w:tcW w:w="547" w:type="pct"/>
          </w:tcPr>
          <w:p w14:paraId="0CB1F9AA" w14:textId="77777777" w:rsidR="00EF5C25" w:rsidRPr="007F530F" w:rsidRDefault="00EF5C25" w:rsidP="00AC34F3">
            <w:pPr>
              <w:pStyle w:val="TableBody"/>
            </w:pPr>
            <w:r w:rsidRPr="007F530F">
              <w:t>9</w:t>
            </w:r>
          </w:p>
        </w:tc>
        <w:tc>
          <w:tcPr>
            <w:tcW w:w="519" w:type="pct"/>
          </w:tcPr>
          <w:p w14:paraId="22C3B86A" w14:textId="77777777" w:rsidR="00EF5C25" w:rsidRPr="007F530F" w:rsidRDefault="00EF5C25" w:rsidP="00AC34F3">
            <w:pPr>
              <w:pStyle w:val="TableBody"/>
            </w:pPr>
            <w:r w:rsidRPr="007F530F">
              <w:t>9</w:t>
            </w:r>
          </w:p>
        </w:tc>
      </w:tr>
      <w:tr w:rsidR="00EF5C25" w:rsidRPr="007F530F" w14:paraId="4E716D5B" w14:textId="77777777" w:rsidTr="00C5287D">
        <w:trPr>
          <w:trHeight w:val="60"/>
        </w:trPr>
        <w:tc>
          <w:tcPr>
            <w:tcW w:w="1022" w:type="pct"/>
          </w:tcPr>
          <w:p w14:paraId="4863A99F" w14:textId="77777777" w:rsidR="00EF5C25" w:rsidRPr="007F530F" w:rsidRDefault="00EF5C25" w:rsidP="00DC75F7">
            <w:pPr>
              <w:pStyle w:val="TableBody"/>
            </w:pPr>
            <w:r w:rsidRPr="00D00197">
              <w:rPr>
                <w:rStyle w:val="Strong"/>
              </w:rPr>
              <w:t>Sexual penetration with a child aged 16 or 17 under care, supervision or authority</w:t>
            </w:r>
            <w:r w:rsidRPr="00D00197">
              <w:rPr>
                <w:rStyle w:val="Strong"/>
              </w:rPr>
              <w:br/>
            </w:r>
            <w:r w:rsidRPr="007F530F">
              <w:t>Section 48(1)</w:t>
            </w:r>
            <w:r w:rsidRPr="007F530F">
              <w:br/>
              <w:t>5 August 1991 to 30 June 2017</w:t>
            </w:r>
          </w:p>
        </w:tc>
        <w:tc>
          <w:tcPr>
            <w:tcW w:w="519" w:type="pct"/>
          </w:tcPr>
          <w:p w14:paraId="326F02CB" w14:textId="77777777" w:rsidR="00EF5C25" w:rsidRPr="007F530F" w:rsidRDefault="00EF5C25" w:rsidP="00AC34F3">
            <w:pPr>
              <w:pStyle w:val="TableBody"/>
            </w:pPr>
            <w:r w:rsidRPr="007F530F">
              <w:t>3 or 10 years</w:t>
            </w:r>
          </w:p>
        </w:tc>
        <w:tc>
          <w:tcPr>
            <w:tcW w:w="547" w:type="pct"/>
          </w:tcPr>
          <w:p w14:paraId="67CAEAE7" w14:textId="77777777" w:rsidR="00EF5C25" w:rsidRPr="007F530F" w:rsidRDefault="00EF5C25" w:rsidP="00AC34F3">
            <w:pPr>
              <w:pStyle w:val="TableBody"/>
            </w:pPr>
            <w:r w:rsidRPr="007F530F">
              <w:t>120</w:t>
            </w:r>
          </w:p>
        </w:tc>
        <w:tc>
          <w:tcPr>
            <w:tcW w:w="562" w:type="pct"/>
          </w:tcPr>
          <w:p w14:paraId="6EA292DB" w14:textId="77777777" w:rsidR="00EF5C25" w:rsidRPr="007F530F" w:rsidRDefault="00EF5C25" w:rsidP="00AC34F3">
            <w:pPr>
              <w:pStyle w:val="TableBody"/>
            </w:pPr>
            <w:r w:rsidRPr="007F530F">
              <w:t>100</w:t>
            </w:r>
          </w:p>
        </w:tc>
        <w:tc>
          <w:tcPr>
            <w:tcW w:w="737" w:type="pct"/>
          </w:tcPr>
          <w:p w14:paraId="6DE8CDD2" w14:textId="77777777" w:rsidR="00EF5C25" w:rsidRPr="007F530F" w:rsidRDefault="00EF5C25" w:rsidP="00AC34F3">
            <w:pPr>
              <w:pStyle w:val="TableBody"/>
            </w:pPr>
            <w:r w:rsidRPr="007F530F">
              <w:t>86</w:t>
            </w:r>
          </w:p>
        </w:tc>
        <w:tc>
          <w:tcPr>
            <w:tcW w:w="547" w:type="pct"/>
          </w:tcPr>
          <w:p w14:paraId="172CF1A5" w14:textId="77777777" w:rsidR="00EF5C25" w:rsidRPr="007F530F" w:rsidRDefault="00EF5C25" w:rsidP="00AC34F3">
            <w:pPr>
              <w:pStyle w:val="TableBody"/>
            </w:pPr>
            <w:r w:rsidRPr="007F530F">
              <w:t>3</w:t>
            </w:r>
          </w:p>
        </w:tc>
        <w:tc>
          <w:tcPr>
            <w:tcW w:w="547" w:type="pct"/>
          </w:tcPr>
          <w:p w14:paraId="323F0043" w14:textId="77777777" w:rsidR="00EF5C25" w:rsidRPr="007F530F" w:rsidRDefault="00EF5C25" w:rsidP="00AC34F3">
            <w:pPr>
              <w:pStyle w:val="TableBody"/>
            </w:pPr>
            <w:r w:rsidRPr="007F530F">
              <w:t>72</w:t>
            </w:r>
          </w:p>
        </w:tc>
        <w:tc>
          <w:tcPr>
            <w:tcW w:w="519" w:type="pct"/>
          </w:tcPr>
          <w:p w14:paraId="35F9E275" w14:textId="77777777" w:rsidR="00EF5C25" w:rsidRPr="007F530F" w:rsidRDefault="00EF5C25" w:rsidP="00AC34F3">
            <w:pPr>
              <w:pStyle w:val="TableBody"/>
            </w:pPr>
            <w:r w:rsidRPr="007F530F">
              <w:t>29</w:t>
            </w:r>
          </w:p>
        </w:tc>
      </w:tr>
      <w:tr w:rsidR="00EF5C25" w:rsidRPr="007F530F" w14:paraId="06814CB9" w14:textId="77777777" w:rsidTr="00C5287D">
        <w:trPr>
          <w:trHeight w:val="60"/>
        </w:trPr>
        <w:tc>
          <w:tcPr>
            <w:tcW w:w="1022" w:type="pct"/>
          </w:tcPr>
          <w:p w14:paraId="707D2781" w14:textId="77777777" w:rsidR="00EF5C25" w:rsidRPr="007F530F" w:rsidRDefault="00EF5C25" w:rsidP="00DC75F7">
            <w:pPr>
              <w:pStyle w:val="TableBody"/>
            </w:pPr>
            <w:r w:rsidRPr="00D00197">
              <w:rPr>
                <w:rStyle w:val="Strong"/>
              </w:rPr>
              <w:lastRenderedPageBreak/>
              <w:t>Sexual penetration with a child aged 16 or 17 under care, supervision or authority</w:t>
            </w:r>
            <w:r w:rsidRPr="00D00197">
              <w:rPr>
                <w:rStyle w:val="Strong"/>
              </w:rPr>
              <w:br/>
            </w:r>
            <w:r w:rsidRPr="007F530F">
              <w:t>Section 49C(1)</w:t>
            </w:r>
          </w:p>
        </w:tc>
        <w:tc>
          <w:tcPr>
            <w:tcW w:w="519" w:type="pct"/>
          </w:tcPr>
          <w:p w14:paraId="0C616BD7" w14:textId="77777777" w:rsidR="00EF5C25" w:rsidRPr="007F530F" w:rsidRDefault="00EF5C25" w:rsidP="00AC34F3">
            <w:pPr>
              <w:pStyle w:val="TableBody"/>
            </w:pPr>
            <w:r w:rsidRPr="007F530F">
              <w:t>10 years</w:t>
            </w:r>
          </w:p>
        </w:tc>
        <w:tc>
          <w:tcPr>
            <w:tcW w:w="547" w:type="pct"/>
          </w:tcPr>
          <w:p w14:paraId="1072C0D8" w14:textId="77777777" w:rsidR="00EF5C25" w:rsidRPr="007F530F" w:rsidRDefault="00EF5C25" w:rsidP="00AC34F3">
            <w:pPr>
              <w:pStyle w:val="TableBody"/>
            </w:pPr>
            <w:r w:rsidRPr="007F530F">
              <w:t>4</w:t>
            </w:r>
          </w:p>
        </w:tc>
        <w:tc>
          <w:tcPr>
            <w:tcW w:w="562" w:type="pct"/>
          </w:tcPr>
          <w:p w14:paraId="1D5CD89E" w14:textId="77777777" w:rsidR="00EF5C25" w:rsidRPr="007F530F" w:rsidRDefault="00EF5C25" w:rsidP="00AC34F3">
            <w:pPr>
              <w:pStyle w:val="TableBody"/>
            </w:pPr>
            <w:r w:rsidRPr="007F530F">
              <w:t>3</w:t>
            </w:r>
          </w:p>
        </w:tc>
        <w:tc>
          <w:tcPr>
            <w:tcW w:w="737" w:type="pct"/>
          </w:tcPr>
          <w:p w14:paraId="0DEED714" w14:textId="77777777" w:rsidR="00EF5C25" w:rsidRPr="007F530F" w:rsidRDefault="00EF5C25" w:rsidP="00AC34F3">
            <w:pPr>
              <w:pStyle w:val="TableBody"/>
            </w:pPr>
            <w:r w:rsidRPr="007F530F">
              <w:t>3</w:t>
            </w:r>
          </w:p>
        </w:tc>
        <w:tc>
          <w:tcPr>
            <w:tcW w:w="547" w:type="pct"/>
          </w:tcPr>
          <w:p w14:paraId="1EBDDE27" w14:textId="77777777" w:rsidR="00EF5C25" w:rsidRPr="007F530F" w:rsidRDefault="00EF5C25" w:rsidP="00AC34F3">
            <w:pPr>
              <w:pStyle w:val="TableBody"/>
            </w:pPr>
            <w:r w:rsidRPr="007F530F">
              <w:t>30</w:t>
            </w:r>
          </w:p>
        </w:tc>
        <w:tc>
          <w:tcPr>
            <w:tcW w:w="547" w:type="pct"/>
          </w:tcPr>
          <w:p w14:paraId="7500475F" w14:textId="77777777" w:rsidR="00EF5C25" w:rsidRPr="007F530F" w:rsidRDefault="00EF5C25" w:rsidP="00AC34F3">
            <w:pPr>
              <w:pStyle w:val="TableBody"/>
            </w:pPr>
            <w:r w:rsidRPr="007F530F">
              <w:t>36</w:t>
            </w:r>
          </w:p>
        </w:tc>
        <w:tc>
          <w:tcPr>
            <w:tcW w:w="519" w:type="pct"/>
          </w:tcPr>
          <w:p w14:paraId="26BEF31C" w14:textId="77777777" w:rsidR="00EF5C25" w:rsidRPr="007F530F" w:rsidRDefault="00EF5C25" w:rsidP="00AC34F3">
            <w:pPr>
              <w:pStyle w:val="TableBody"/>
            </w:pPr>
            <w:r w:rsidRPr="007F530F">
              <w:t>32</w:t>
            </w:r>
          </w:p>
        </w:tc>
      </w:tr>
      <w:tr w:rsidR="00EF5C25" w:rsidRPr="007F530F" w14:paraId="3ACA326A" w14:textId="77777777" w:rsidTr="00C5287D">
        <w:trPr>
          <w:trHeight w:val="60"/>
        </w:trPr>
        <w:tc>
          <w:tcPr>
            <w:tcW w:w="5000" w:type="pct"/>
            <w:gridSpan w:val="8"/>
          </w:tcPr>
          <w:p w14:paraId="2968F6A0" w14:textId="77777777" w:rsidR="00EF5C25" w:rsidRPr="00D00197" w:rsidRDefault="00EF5C25" w:rsidP="00DC75F7">
            <w:pPr>
              <w:pStyle w:val="TableBody"/>
              <w:rPr>
                <w:rStyle w:val="Strong"/>
              </w:rPr>
            </w:pPr>
            <w:r w:rsidRPr="00D00197">
              <w:rPr>
                <w:rStyle w:val="Strong"/>
              </w:rPr>
              <w:t>Child sexual assault offences</w:t>
            </w:r>
          </w:p>
        </w:tc>
      </w:tr>
      <w:tr w:rsidR="00EF5C25" w:rsidRPr="007F530F" w14:paraId="29023032" w14:textId="77777777" w:rsidTr="00C5287D">
        <w:trPr>
          <w:trHeight w:val="60"/>
        </w:trPr>
        <w:tc>
          <w:tcPr>
            <w:tcW w:w="1022" w:type="pct"/>
          </w:tcPr>
          <w:p w14:paraId="79FCE1A0" w14:textId="77777777" w:rsidR="00EF5C25" w:rsidRPr="007F530F" w:rsidRDefault="00EF5C25" w:rsidP="00DC75F7">
            <w:pPr>
              <w:pStyle w:val="TableBody"/>
            </w:pPr>
            <w:r w:rsidRPr="00D00197">
              <w:rPr>
                <w:rStyle w:val="Strong"/>
              </w:rPr>
              <w:t>Indecent assault of a male aged under 16</w:t>
            </w:r>
            <w:r w:rsidRPr="00D00197">
              <w:rPr>
                <w:rStyle w:val="Strong"/>
              </w:rPr>
              <w:br/>
            </w:r>
            <w:r w:rsidRPr="007F530F">
              <w:t>Section 68(3)</w:t>
            </w:r>
            <w:r w:rsidRPr="007F530F">
              <w:br/>
              <w:t>1 April 1959 to 7 November 1967</w:t>
            </w:r>
          </w:p>
        </w:tc>
        <w:tc>
          <w:tcPr>
            <w:tcW w:w="519" w:type="pct"/>
          </w:tcPr>
          <w:p w14:paraId="75689E26" w14:textId="77777777" w:rsidR="00EF5C25" w:rsidRPr="007F530F" w:rsidRDefault="00EF5C25" w:rsidP="00AC34F3">
            <w:pPr>
              <w:pStyle w:val="TableBody"/>
            </w:pPr>
            <w:r w:rsidRPr="007F530F">
              <w:t>10 years</w:t>
            </w:r>
          </w:p>
        </w:tc>
        <w:tc>
          <w:tcPr>
            <w:tcW w:w="547" w:type="pct"/>
          </w:tcPr>
          <w:p w14:paraId="49880EB7" w14:textId="77777777" w:rsidR="00EF5C25" w:rsidRPr="007F530F" w:rsidRDefault="00EF5C25" w:rsidP="00AC34F3">
            <w:pPr>
              <w:pStyle w:val="TableBody"/>
            </w:pPr>
            <w:r w:rsidRPr="007F530F">
              <w:t>107</w:t>
            </w:r>
          </w:p>
        </w:tc>
        <w:tc>
          <w:tcPr>
            <w:tcW w:w="562" w:type="pct"/>
          </w:tcPr>
          <w:p w14:paraId="03A96684" w14:textId="77777777" w:rsidR="00EF5C25" w:rsidRPr="007F530F" w:rsidRDefault="00EF5C25" w:rsidP="00AC34F3">
            <w:pPr>
              <w:pStyle w:val="TableBody"/>
            </w:pPr>
            <w:r w:rsidRPr="007F530F">
              <w:t>85</w:t>
            </w:r>
          </w:p>
        </w:tc>
        <w:tc>
          <w:tcPr>
            <w:tcW w:w="737" w:type="pct"/>
          </w:tcPr>
          <w:p w14:paraId="14CE75E0" w14:textId="77777777" w:rsidR="00EF5C25" w:rsidRPr="007F530F" w:rsidRDefault="00EF5C25" w:rsidP="00AC34F3">
            <w:pPr>
              <w:pStyle w:val="TableBody"/>
            </w:pPr>
            <w:r w:rsidRPr="007F530F">
              <w:t>82</w:t>
            </w:r>
          </w:p>
        </w:tc>
        <w:tc>
          <w:tcPr>
            <w:tcW w:w="547" w:type="pct"/>
          </w:tcPr>
          <w:p w14:paraId="4F8CD463" w14:textId="77777777" w:rsidR="00EF5C25" w:rsidRPr="007F530F" w:rsidRDefault="00EF5C25" w:rsidP="00AC34F3">
            <w:pPr>
              <w:pStyle w:val="TableBody"/>
            </w:pPr>
            <w:r w:rsidRPr="007F530F">
              <w:t>1</w:t>
            </w:r>
          </w:p>
        </w:tc>
        <w:tc>
          <w:tcPr>
            <w:tcW w:w="547" w:type="pct"/>
          </w:tcPr>
          <w:p w14:paraId="68BCB4C7" w14:textId="77777777" w:rsidR="00EF5C25" w:rsidRPr="007F530F" w:rsidRDefault="00EF5C25" w:rsidP="00AC34F3">
            <w:pPr>
              <w:pStyle w:val="TableBody"/>
            </w:pPr>
            <w:r w:rsidRPr="007F530F">
              <w:t>42</w:t>
            </w:r>
          </w:p>
        </w:tc>
        <w:tc>
          <w:tcPr>
            <w:tcW w:w="519" w:type="pct"/>
          </w:tcPr>
          <w:p w14:paraId="2A7015D4" w14:textId="77777777" w:rsidR="00EF5C25" w:rsidRPr="007F530F" w:rsidRDefault="00EF5C25" w:rsidP="00AC34F3">
            <w:pPr>
              <w:pStyle w:val="TableBody"/>
            </w:pPr>
            <w:r w:rsidRPr="007F530F">
              <w:t>16</w:t>
            </w:r>
          </w:p>
        </w:tc>
      </w:tr>
      <w:tr w:rsidR="00EF5C25" w:rsidRPr="007F530F" w14:paraId="29589B40" w14:textId="77777777" w:rsidTr="00C5287D">
        <w:trPr>
          <w:trHeight w:val="60"/>
        </w:trPr>
        <w:tc>
          <w:tcPr>
            <w:tcW w:w="1022" w:type="pct"/>
          </w:tcPr>
          <w:p w14:paraId="53FFC142" w14:textId="77777777" w:rsidR="00EF5C25" w:rsidRPr="007F530F" w:rsidRDefault="00EF5C25" w:rsidP="00DC75F7">
            <w:pPr>
              <w:pStyle w:val="TableBody"/>
            </w:pPr>
            <w:r w:rsidRPr="00D00197">
              <w:rPr>
                <w:rStyle w:val="Strong"/>
              </w:rPr>
              <w:t>Gross indecency with a girl aged under 16</w:t>
            </w:r>
            <w:r w:rsidRPr="00D00197">
              <w:rPr>
                <w:rStyle w:val="Strong"/>
              </w:rPr>
              <w:br/>
            </w:r>
            <w:r w:rsidRPr="007F530F">
              <w:t>Section 69(1)(a)</w:t>
            </w:r>
            <w:r w:rsidRPr="007F530F">
              <w:br/>
              <w:t>1 April 1959 to 28 February 1981</w:t>
            </w:r>
          </w:p>
        </w:tc>
        <w:tc>
          <w:tcPr>
            <w:tcW w:w="519" w:type="pct"/>
          </w:tcPr>
          <w:p w14:paraId="15A5EBAD" w14:textId="77777777" w:rsidR="00EF5C25" w:rsidRPr="007F530F" w:rsidRDefault="00EF5C25" w:rsidP="00AC34F3">
            <w:pPr>
              <w:pStyle w:val="TableBody"/>
            </w:pPr>
            <w:r w:rsidRPr="007F530F">
              <w:t xml:space="preserve">2 or 3 years </w:t>
            </w:r>
          </w:p>
        </w:tc>
        <w:tc>
          <w:tcPr>
            <w:tcW w:w="547" w:type="pct"/>
          </w:tcPr>
          <w:p w14:paraId="194F1881" w14:textId="77777777" w:rsidR="00EF5C25" w:rsidRPr="007F530F" w:rsidRDefault="00EF5C25" w:rsidP="00AC34F3">
            <w:pPr>
              <w:pStyle w:val="TableBody"/>
            </w:pPr>
            <w:r w:rsidRPr="007F530F">
              <w:t>69</w:t>
            </w:r>
          </w:p>
        </w:tc>
        <w:tc>
          <w:tcPr>
            <w:tcW w:w="562" w:type="pct"/>
          </w:tcPr>
          <w:p w14:paraId="0A6BB960" w14:textId="77777777" w:rsidR="00EF5C25" w:rsidRPr="007F530F" w:rsidRDefault="00EF5C25" w:rsidP="00AC34F3">
            <w:pPr>
              <w:pStyle w:val="TableBody"/>
            </w:pPr>
            <w:r w:rsidRPr="007F530F">
              <w:t>46</w:t>
            </w:r>
          </w:p>
        </w:tc>
        <w:tc>
          <w:tcPr>
            <w:tcW w:w="737" w:type="pct"/>
          </w:tcPr>
          <w:p w14:paraId="61B3474E" w14:textId="77777777" w:rsidR="00EF5C25" w:rsidRPr="007F530F" w:rsidRDefault="00EF5C25" w:rsidP="00AC34F3">
            <w:pPr>
              <w:pStyle w:val="TableBody"/>
            </w:pPr>
            <w:r w:rsidRPr="007F530F">
              <w:t>40</w:t>
            </w:r>
          </w:p>
        </w:tc>
        <w:tc>
          <w:tcPr>
            <w:tcW w:w="547" w:type="pct"/>
          </w:tcPr>
          <w:p w14:paraId="35C3545A" w14:textId="77777777" w:rsidR="00EF5C25" w:rsidRPr="007F530F" w:rsidRDefault="00EF5C25" w:rsidP="00AC34F3">
            <w:pPr>
              <w:pStyle w:val="TableBody"/>
            </w:pPr>
            <w:r w:rsidRPr="007F530F">
              <w:t>2</w:t>
            </w:r>
          </w:p>
        </w:tc>
        <w:tc>
          <w:tcPr>
            <w:tcW w:w="547" w:type="pct"/>
          </w:tcPr>
          <w:p w14:paraId="2187D272" w14:textId="77777777" w:rsidR="00EF5C25" w:rsidRPr="007F530F" w:rsidRDefault="00EF5C25" w:rsidP="00AC34F3">
            <w:pPr>
              <w:pStyle w:val="TableBody"/>
            </w:pPr>
            <w:r w:rsidRPr="007F530F">
              <w:t>18</w:t>
            </w:r>
          </w:p>
        </w:tc>
        <w:tc>
          <w:tcPr>
            <w:tcW w:w="519" w:type="pct"/>
          </w:tcPr>
          <w:p w14:paraId="72A11968" w14:textId="77777777" w:rsidR="00EF5C25" w:rsidRPr="007F530F" w:rsidRDefault="00EF5C25" w:rsidP="00AC34F3">
            <w:pPr>
              <w:pStyle w:val="TableBody"/>
            </w:pPr>
            <w:r w:rsidRPr="007F530F">
              <w:t>8</w:t>
            </w:r>
          </w:p>
        </w:tc>
      </w:tr>
      <w:tr w:rsidR="000234B7" w:rsidRPr="007F530F" w14:paraId="0142FF6A" w14:textId="77777777" w:rsidTr="00C5287D">
        <w:trPr>
          <w:trHeight w:val="60"/>
        </w:trPr>
        <w:tc>
          <w:tcPr>
            <w:tcW w:w="1022" w:type="pct"/>
          </w:tcPr>
          <w:p w14:paraId="7BBA95BC" w14:textId="74DA060F" w:rsidR="000234B7" w:rsidRPr="00D00197" w:rsidRDefault="000234B7" w:rsidP="000234B7">
            <w:pPr>
              <w:pStyle w:val="TableBody"/>
              <w:rPr>
                <w:rStyle w:val="Strong"/>
              </w:rPr>
            </w:pPr>
            <w:r w:rsidRPr="00D00197">
              <w:rPr>
                <w:rStyle w:val="Strong"/>
              </w:rPr>
              <w:t>Assault with intent to sexually penetrate a child aged under 10</w:t>
            </w:r>
            <w:r w:rsidRPr="00D00197">
              <w:rPr>
                <w:rStyle w:val="Strong"/>
              </w:rPr>
              <w:br/>
            </w:r>
            <w:r w:rsidRPr="007F530F">
              <w:t>Section 47(2)</w:t>
            </w:r>
            <w:r w:rsidRPr="007F530F">
              <w:br/>
              <w:t>1 January 1981 to 4 August 1991</w:t>
            </w:r>
          </w:p>
        </w:tc>
        <w:tc>
          <w:tcPr>
            <w:tcW w:w="519" w:type="pct"/>
          </w:tcPr>
          <w:p w14:paraId="400F35F9" w14:textId="6B275D77" w:rsidR="000234B7" w:rsidRPr="007F530F" w:rsidRDefault="000234B7" w:rsidP="000234B7">
            <w:pPr>
              <w:pStyle w:val="TableBody"/>
            </w:pPr>
            <w:r w:rsidRPr="007F530F">
              <w:t>10 years</w:t>
            </w:r>
          </w:p>
        </w:tc>
        <w:tc>
          <w:tcPr>
            <w:tcW w:w="547" w:type="pct"/>
          </w:tcPr>
          <w:p w14:paraId="229661DB" w14:textId="60398D59" w:rsidR="000234B7" w:rsidRPr="007F530F" w:rsidRDefault="000234B7" w:rsidP="000234B7">
            <w:pPr>
              <w:pStyle w:val="TableBody"/>
            </w:pPr>
            <w:r w:rsidRPr="007F530F">
              <w:t>2</w:t>
            </w:r>
          </w:p>
        </w:tc>
        <w:tc>
          <w:tcPr>
            <w:tcW w:w="562" w:type="pct"/>
          </w:tcPr>
          <w:p w14:paraId="7E34E493" w14:textId="1AF0778F" w:rsidR="000234B7" w:rsidRPr="007F530F" w:rsidRDefault="000234B7" w:rsidP="000234B7">
            <w:pPr>
              <w:pStyle w:val="TableBody"/>
            </w:pPr>
            <w:r w:rsidRPr="007F530F">
              <w:t>0</w:t>
            </w:r>
          </w:p>
        </w:tc>
        <w:tc>
          <w:tcPr>
            <w:tcW w:w="737" w:type="pct"/>
          </w:tcPr>
          <w:p w14:paraId="4E31C952" w14:textId="162775D4" w:rsidR="000234B7" w:rsidRPr="007F530F" w:rsidRDefault="000234B7" w:rsidP="000234B7">
            <w:pPr>
              <w:pStyle w:val="TableBody"/>
            </w:pPr>
            <w:r>
              <w:t>–</w:t>
            </w:r>
          </w:p>
        </w:tc>
        <w:tc>
          <w:tcPr>
            <w:tcW w:w="547" w:type="pct"/>
          </w:tcPr>
          <w:p w14:paraId="67053A9C" w14:textId="02E0076F" w:rsidR="000234B7" w:rsidRPr="007F530F" w:rsidRDefault="000234B7" w:rsidP="000234B7">
            <w:pPr>
              <w:pStyle w:val="TableBody"/>
            </w:pPr>
            <w:r>
              <w:t>–</w:t>
            </w:r>
          </w:p>
        </w:tc>
        <w:tc>
          <w:tcPr>
            <w:tcW w:w="547" w:type="pct"/>
          </w:tcPr>
          <w:p w14:paraId="4EA65B1F" w14:textId="6789D063" w:rsidR="000234B7" w:rsidRPr="007F530F" w:rsidRDefault="000234B7" w:rsidP="000234B7">
            <w:pPr>
              <w:pStyle w:val="TableBody"/>
            </w:pPr>
            <w:r>
              <w:t>–</w:t>
            </w:r>
          </w:p>
        </w:tc>
        <w:tc>
          <w:tcPr>
            <w:tcW w:w="519" w:type="pct"/>
          </w:tcPr>
          <w:p w14:paraId="5F02960B" w14:textId="2D0C6678" w:rsidR="000234B7" w:rsidRPr="007F530F" w:rsidRDefault="000234B7" w:rsidP="000234B7">
            <w:pPr>
              <w:pStyle w:val="TableBody"/>
            </w:pPr>
            <w:r>
              <w:t>–</w:t>
            </w:r>
          </w:p>
        </w:tc>
      </w:tr>
      <w:tr w:rsidR="00EF5C25" w:rsidRPr="007F530F" w14:paraId="007E3771" w14:textId="77777777" w:rsidTr="00C5287D">
        <w:trPr>
          <w:trHeight w:val="60"/>
        </w:trPr>
        <w:tc>
          <w:tcPr>
            <w:tcW w:w="1022" w:type="pct"/>
          </w:tcPr>
          <w:p w14:paraId="5D32DE61" w14:textId="77777777" w:rsidR="00EF5C25" w:rsidRPr="007F530F" w:rsidRDefault="00EF5C25" w:rsidP="00DC75F7">
            <w:pPr>
              <w:pStyle w:val="TableBody"/>
            </w:pPr>
            <w:r w:rsidRPr="00D00197">
              <w:rPr>
                <w:rStyle w:val="Strong"/>
              </w:rPr>
              <w:t xml:space="preserve">Gross indecency with a person aged under 16 </w:t>
            </w:r>
            <w:r w:rsidRPr="00D00197">
              <w:rPr>
                <w:rStyle w:val="Strong"/>
              </w:rPr>
              <w:br/>
            </w:r>
            <w:r w:rsidRPr="007F530F">
              <w:t>Section 50(1)(a)</w:t>
            </w:r>
          </w:p>
        </w:tc>
        <w:tc>
          <w:tcPr>
            <w:tcW w:w="519" w:type="pct"/>
          </w:tcPr>
          <w:p w14:paraId="038A184B" w14:textId="77777777" w:rsidR="00EF5C25" w:rsidRPr="007F530F" w:rsidRDefault="00EF5C25" w:rsidP="00AC34F3">
            <w:pPr>
              <w:pStyle w:val="TableBody"/>
            </w:pPr>
            <w:r w:rsidRPr="007F530F">
              <w:t>2 or 3 years</w:t>
            </w:r>
          </w:p>
        </w:tc>
        <w:tc>
          <w:tcPr>
            <w:tcW w:w="547" w:type="pct"/>
          </w:tcPr>
          <w:p w14:paraId="63D29BAF" w14:textId="77777777" w:rsidR="00EF5C25" w:rsidRPr="007F530F" w:rsidRDefault="00EF5C25" w:rsidP="00AC34F3">
            <w:pPr>
              <w:pStyle w:val="TableBody"/>
            </w:pPr>
            <w:r w:rsidRPr="007F530F">
              <w:t>102</w:t>
            </w:r>
          </w:p>
        </w:tc>
        <w:tc>
          <w:tcPr>
            <w:tcW w:w="562" w:type="pct"/>
          </w:tcPr>
          <w:p w14:paraId="21AB6962" w14:textId="77777777" w:rsidR="00EF5C25" w:rsidRPr="007F530F" w:rsidRDefault="00EF5C25" w:rsidP="00AC34F3">
            <w:pPr>
              <w:pStyle w:val="TableBody"/>
            </w:pPr>
            <w:r w:rsidRPr="007F530F">
              <w:t>77</w:t>
            </w:r>
          </w:p>
        </w:tc>
        <w:tc>
          <w:tcPr>
            <w:tcW w:w="737" w:type="pct"/>
          </w:tcPr>
          <w:p w14:paraId="47F6A227" w14:textId="77777777" w:rsidR="00EF5C25" w:rsidRPr="007F530F" w:rsidRDefault="00EF5C25" w:rsidP="00AC34F3">
            <w:pPr>
              <w:pStyle w:val="TableBody"/>
            </w:pPr>
            <w:r w:rsidRPr="007F530F">
              <w:t>66</w:t>
            </w:r>
          </w:p>
        </w:tc>
        <w:tc>
          <w:tcPr>
            <w:tcW w:w="547" w:type="pct"/>
          </w:tcPr>
          <w:p w14:paraId="5BB78BEE" w14:textId="77777777" w:rsidR="00EF5C25" w:rsidRPr="007F530F" w:rsidRDefault="00EF5C25" w:rsidP="00AC34F3">
            <w:pPr>
              <w:pStyle w:val="TableBody"/>
            </w:pPr>
            <w:r w:rsidRPr="007F530F">
              <w:t>2</w:t>
            </w:r>
          </w:p>
        </w:tc>
        <w:tc>
          <w:tcPr>
            <w:tcW w:w="547" w:type="pct"/>
          </w:tcPr>
          <w:p w14:paraId="2B801A88" w14:textId="77777777" w:rsidR="00EF5C25" w:rsidRPr="007F530F" w:rsidRDefault="00EF5C25" w:rsidP="00AC34F3">
            <w:pPr>
              <w:pStyle w:val="TableBody"/>
            </w:pPr>
            <w:r w:rsidRPr="007F530F">
              <w:t>18</w:t>
            </w:r>
          </w:p>
        </w:tc>
        <w:tc>
          <w:tcPr>
            <w:tcW w:w="519" w:type="pct"/>
          </w:tcPr>
          <w:p w14:paraId="6C868A8D" w14:textId="77777777" w:rsidR="00EF5C25" w:rsidRPr="007F530F" w:rsidRDefault="00EF5C25" w:rsidP="00AC34F3">
            <w:pPr>
              <w:pStyle w:val="TableBody"/>
            </w:pPr>
            <w:r w:rsidRPr="007F530F">
              <w:t>8</w:t>
            </w:r>
          </w:p>
        </w:tc>
      </w:tr>
      <w:tr w:rsidR="00EF5C25" w:rsidRPr="007F530F" w14:paraId="51C97FFB" w14:textId="77777777" w:rsidTr="00C5287D">
        <w:trPr>
          <w:trHeight w:val="60"/>
        </w:trPr>
        <w:tc>
          <w:tcPr>
            <w:tcW w:w="1022" w:type="pct"/>
          </w:tcPr>
          <w:p w14:paraId="0521930A" w14:textId="77777777" w:rsidR="00EF5C25" w:rsidRPr="007F530F" w:rsidRDefault="00EF5C25" w:rsidP="00DC75F7">
            <w:pPr>
              <w:pStyle w:val="TableBody"/>
            </w:pPr>
            <w:r w:rsidRPr="00D00197">
              <w:rPr>
                <w:rStyle w:val="Strong"/>
              </w:rPr>
              <w:t>Gross indecency with a person aged under 16 under care, supervision or authority</w:t>
            </w:r>
            <w:r w:rsidRPr="00D00197">
              <w:rPr>
                <w:rStyle w:val="Strong"/>
              </w:rPr>
              <w:br/>
            </w:r>
            <w:r w:rsidRPr="007F530F">
              <w:lastRenderedPageBreak/>
              <w:t>Section 50(2)(a)</w:t>
            </w:r>
            <w:r w:rsidRPr="007F530F">
              <w:br/>
              <w:t>1 January 1981 to 4 August 1991</w:t>
            </w:r>
          </w:p>
        </w:tc>
        <w:tc>
          <w:tcPr>
            <w:tcW w:w="519" w:type="pct"/>
          </w:tcPr>
          <w:p w14:paraId="7412A7D2" w14:textId="77777777" w:rsidR="00EF5C25" w:rsidRPr="007F530F" w:rsidRDefault="00EF5C25" w:rsidP="00AC34F3">
            <w:pPr>
              <w:pStyle w:val="TableBody"/>
            </w:pPr>
            <w:r w:rsidRPr="007F530F">
              <w:lastRenderedPageBreak/>
              <w:t>3 years</w:t>
            </w:r>
          </w:p>
        </w:tc>
        <w:tc>
          <w:tcPr>
            <w:tcW w:w="547" w:type="pct"/>
          </w:tcPr>
          <w:p w14:paraId="0ABD09AD" w14:textId="77777777" w:rsidR="00EF5C25" w:rsidRPr="007F530F" w:rsidRDefault="00EF5C25" w:rsidP="00AC34F3">
            <w:pPr>
              <w:pStyle w:val="TableBody"/>
            </w:pPr>
            <w:r w:rsidRPr="007F530F">
              <w:t>14</w:t>
            </w:r>
          </w:p>
        </w:tc>
        <w:tc>
          <w:tcPr>
            <w:tcW w:w="562" w:type="pct"/>
          </w:tcPr>
          <w:p w14:paraId="1128F91C" w14:textId="77777777" w:rsidR="00EF5C25" w:rsidRPr="007F530F" w:rsidRDefault="00EF5C25" w:rsidP="00AC34F3">
            <w:pPr>
              <w:pStyle w:val="TableBody"/>
            </w:pPr>
            <w:r w:rsidRPr="007F530F">
              <w:t>12</w:t>
            </w:r>
          </w:p>
        </w:tc>
        <w:tc>
          <w:tcPr>
            <w:tcW w:w="737" w:type="pct"/>
          </w:tcPr>
          <w:p w14:paraId="6BE950AE" w14:textId="77777777" w:rsidR="00EF5C25" w:rsidRPr="007F530F" w:rsidRDefault="00EF5C25" w:rsidP="00AC34F3">
            <w:pPr>
              <w:pStyle w:val="TableBody"/>
            </w:pPr>
            <w:r w:rsidRPr="007F530F">
              <w:t>12</w:t>
            </w:r>
          </w:p>
        </w:tc>
        <w:tc>
          <w:tcPr>
            <w:tcW w:w="547" w:type="pct"/>
          </w:tcPr>
          <w:p w14:paraId="70C9152D" w14:textId="77777777" w:rsidR="00EF5C25" w:rsidRPr="007F530F" w:rsidRDefault="00EF5C25" w:rsidP="00AC34F3">
            <w:pPr>
              <w:pStyle w:val="TableBody"/>
            </w:pPr>
            <w:r w:rsidRPr="007F530F">
              <w:t>3</w:t>
            </w:r>
          </w:p>
        </w:tc>
        <w:tc>
          <w:tcPr>
            <w:tcW w:w="547" w:type="pct"/>
          </w:tcPr>
          <w:p w14:paraId="6D3E43D3" w14:textId="77777777" w:rsidR="00EF5C25" w:rsidRPr="007F530F" w:rsidRDefault="00EF5C25" w:rsidP="00AC34F3">
            <w:pPr>
              <w:pStyle w:val="TableBody"/>
            </w:pPr>
            <w:r w:rsidRPr="007F530F">
              <w:t>18</w:t>
            </w:r>
          </w:p>
        </w:tc>
        <w:tc>
          <w:tcPr>
            <w:tcW w:w="519" w:type="pct"/>
          </w:tcPr>
          <w:p w14:paraId="08BCE5D3" w14:textId="77777777" w:rsidR="00EF5C25" w:rsidRPr="007F530F" w:rsidRDefault="00EF5C25" w:rsidP="00AC34F3">
            <w:pPr>
              <w:pStyle w:val="TableBody"/>
            </w:pPr>
            <w:r w:rsidRPr="007F530F">
              <w:t>9</w:t>
            </w:r>
          </w:p>
        </w:tc>
      </w:tr>
      <w:tr w:rsidR="00EF5C25" w:rsidRPr="007F530F" w14:paraId="3F678F65" w14:textId="77777777" w:rsidTr="00C5287D">
        <w:trPr>
          <w:trHeight w:val="60"/>
        </w:trPr>
        <w:tc>
          <w:tcPr>
            <w:tcW w:w="1022" w:type="pct"/>
          </w:tcPr>
          <w:p w14:paraId="3A3FA018" w14:textId="77777777" w:rsidR="00EF5C25" w:rsidRPr="007F530F" w:rsidRDefault="00EF5C25" w:rsidP="00DC75F7">
            <w:pPr>
              <w:pStyle w:val="TableBody"/>
            </w:pPr>
            <w:r w:rsidRPr="00D00197">
              <w:rPr>
                <w:rStyle w:val="Strong"/>
              </w:rPr>
              <w:t>Indecent act with a child aged 16 under care, supervision or authority</w:t>
            </w:r>
            <w:r w:rsidRPr="00D00197">
              <w:rPr>
                <w:rStyle w:val="Strong"/>
              </w:rPr>
              <w:br/>
            </w:r>
            <w:r w:rsidRPr="007F530F">
              <w:t>Section 49(1)</w:t>
            </w:r>
            <w:r w:rsidRPr="007F530F">
              <w:br/>
              <w:t>5 August 1991 to 30 November 2006</w:t>
            </w:r>
          </w:p>
        </w:tc>
        <w:tc>
          <w:tcPr>
            <w:tcW w:w="519" w:type="pct"/>
          </w:tcPr>
          <w:p w14:paraId="35ED7F61" w14:textId="77777777" w:rsidR="00EF5C25" w:rsidRPr="007F530F" w:rsidRDefault="00EF5C25" w:rsidP="00AC34F3">
            <w:pPr>
              <w:pStyle w:val="TableBody"/>
            </w:pPr>
            <w:r w:rsidRPr="007F530F">
              <w:t>2, 3 or 5 years</w:t>
            </w:r>
          </w:p>
        </w:tc>
        <w:tc>
          <w:tcPr>
            <w:tcW w:w="547" w:type="pct"/>
          </w:tcPr>
          <w:p w14:paraId="733C6ABA" w14:textId="77777777" w:rsidR="00EF5C25" w:rsidRPr="007F530F" w:rsidRDefault="00EF5C25" w:rsidP="00AC34F3">
            <w:pPr>
              <w:pStyle w:val="TableBody"/>
            </w:pPr>
            <w:r w:rsidRPr="007F530F">
              <w:t>18</w:t>
            </w:r>
          </w:p>
        </w:tc>
        <w:tc>
          <w:tcPr>
            <w:tcW w:w="562" w:type="pct"/>
          </w:tcPr>
          <w:p w14:paraId="6FD74E24" w14:textId="77777777" w:rsidR="00EF5C25" w:rsidRPr="007F530F" w:rsidRDefault="00EF5C25" w:rsidP="00AC34F3">
            <w:pPr>
              <w:pStyle w:val="TableBody"/>
            </w:pPr>
            <w:r w:rsidRPr="007F530F">
              <w:t>14</w:t>
            </w:r>
          </w:p>
        </w:tc>
        <w:tc>
          <w:tcPr>
            <w:tcW w:w="737" w:type="pct"/>
          </w:tcPr>
          <w:p w14:paraId="31DD9C90" w14:textId="77777777" w:rsidR="00EF5C25" w:rsidRPr="007F530F" w:rsidRDefault="00EF5C25" w:rsidP="00AC34F3">
            <w:pPr>
              <w:pStyle w:val="TableBody"/>
            </w:pPr>
            <w:r w:rsidRPr="007F530F">
              <w:t>13</w:t>
            </w:r>
          </w:p>
        </w:tc>
        <w:tc>
          <w:tcPr>
            <w:tcW w:w="547" w:type="pct"/>
          </w:tcPr>
          <w:p w14:paraId="1DCBFFEE" w14:textId="77777777" w:rsidR="00EF5C25" w:rsidRPr="007F530F" w:rsidRDefault="00EF5C25" w:rsidP="00AC34F3">
            <w:pPr>
              <w:pStyle w:val="TableBody"/>
            </w:pPr>
            <w:r w:rsidRPr="007F530F">
              <w:t>1</w:t>
            </w:r>
          </w:p>
        </w:tc>
        <w:tc>
          <w:tcPr>
            <w:tcW w:w="547" w:type="pct"/>
          </w:tcPr>
          <w:p w14:paraId="3626091B" w14:textId="77777777" w:rsidR="00EF5C25" w:rsidRPr="007F530F" w:rsidRDefault="00EF5C25" w:rsidP="00AC34F3">
            <w:pPr>
              <w:pStyle w:val="TableBody"/>
            </w:pPr>
            <w:r w:rsidRPr="007F530F">
              <w:t>12</w:t>
            </w:r>
          </w:p>
        </w:tc>
        <w:tc>
          <w:tcPr>
            <w:tcW w:w="519" w:type="pct"/>
          </w:tcPr>
          <w:p w14:paraId="6C381AC3" w14:textId="77777777" w:rsidR="00EF5C25" w:rsidRPr="007F530F" w:rsidRDefault="00EF5C25" w:rsidP="00AC34F3">
            <w:pPr>
              <w:pStyle w:val="TableBody"/>
            </w:pPr>
            <w:r w:rsidRPr="007F530F">
              <w:t>7</w:t>
            </w:r>
          </w:p>
        </w:tc>
      </w:tr>
      <w:tr w:rsidR="00EF5C25" w:rsidRPr="007F530F" w14:paraId="5ED4E828" w14:textId="77777777" w:rsidTr="00C5287D">
        <w:trPr>
          <w:trHeight w:val="60"/>
        </w:trPr>
        <w:tc>
          <w:tcPr>
            <w:tcW w:w="1022" w:type="pct"/>
          </w:tcPr>
          <w:p w14:paraId="02F4E68B" w14:textId="77777777" w:rsidR="00EF5C25" w:rsidRPr="007F530F" w:rsidRDefault="00EF5C25" w:rsidP="00DC75F7">
            <w:pPr>
              <w:pStyle w:val="TableBody"/>
            </w:pPr>
            <w:r w:rsidRPr="00D00197">
              <w:rPr>
                <w:rStyle w:val="Strong"/>
              </w:rPr>
              <w:t>Indecent act with a child aged 16 or 17 under care, supervision or authority</w:t>
            </w:r>
            <w:r w:rsidRPr="00D00197">
              <w:rPr>
                <w:rStyle w:val="Strong"/>
              </w:rPr>
              <w:br/>
            </w:r>
            <w:r w:rsidRPr="007F530F">
              <w:t>Section 49(1)</w:t>
            </w:r>
            <w:r w:rsidRPr="007F530F">
              <w:br/>
              <w:t>1 December 2006 to 30 June 2017</w:t>
            </w:r>
          </w:p>
        </w:tc>
        <w:tc>
          <w:tcPr>
            <w:tcW w:w="519" w:type="pct"/>
          </w:tcPr>
          <w:p w14:paraId="083D159A" w14:textId="77777777" w:rsidR="00EF5C25" w:rsidRPr="007F530F" w:rsidRDefault="00EF5C25" w:rsidP="00AC34F3">
            <w:pPr>
              <w:pStyle w:val="TableBody"/>
            </w:pPr>
            <w:r w:rsidRPr="007F530F">
              <w:t>5 years</w:t>
            </w:r>
          </w:p>
        </w:tc>
        <w:tc>
          <w:tcPr>
            <w:tcW w:w="547" w:type="pct"/>
          </w:tcPr>
          <w:p w14:paraId="2A7263C8" w14:textId="77777777" w:rsidR="00EF5C25" w:rsidRPr="007F530F" w:rsidRDefault="00EF5C25" w:rsidP="00AC34F3">
            <w:pPr>
              <w:pStyle w:val="TableBody"/>
            </w:pPr>
            <w:r w:rsidRPr="007F530F">
              <w:t>151</w:t>
            </w:r>
          </w:p>
        </w:tc>
        <w:tc>
          <w:tcPr>
            <w:tcW w:w="562" w:type="pct"/>
          </w:tcPr>
          <w:p w14:paraId="016AA7EC" w14:textId="77777777" w:rsidR="00EF5C25" w:rsidRPr="007F530F" w:rsidRDefault="00EF5C25" w:rsidP="00AC34F3">
            <w:pPr>
              <w:pStyle w:val="TableBody"/>
            </w:pPr>
            <w:r w:rsidRPr="007F530F">
              <w:t>102</w:t>
            </w:r>
          </w:p>
        </w:tc>
        <w:tc>
          <w:tcPr>
            <w:tcW w:w="737" w:type="pct"/>
          </w:tcPr>
          <w:p w14:paraId="73B8BCC5" w14:textId="77777777" w:rsidR="00EF5C25" w:rsidRPr="007F530F" w:rsidRDefault="00EF5C25" w:rsidP="00AC34F3">
            <w:pPr>
              <w:pStyle w:val="TableBody"/>
            </w:pPr>
            <w:r w:rsidRPr="007F530F">
              <w:t>77</w:t>
            </w:r>
          </w:p>
        </w:tc>
        <w:tc>
          <w:tcPr>
            <w:tcW w:w="547" w:type="pct"/>
          </w:tcPr>
          <w:p w14:paraId="112EC453" w14:textId="77777777" w:rsidR="00EF5C25" w:rsidRPr="007F530F" w:rsidRDefault="00EF5C25" w:rsidP="00AC34F3">
            <w:pPr>
              <w:pStyle w:val="TableBody"/>
            </w:pPr>
            <w:r w:rsidRPr="007F530F">
              <w:t>1</w:t>
            </w:r>
          </w:p>
        </w:tc>
        <w:tc>
          <w:tcPr>
            <w:tcW w:w="547" w:type="pct"/>
          </w:tcPr>
          <w:p w14:paraId="4A2E5707" w14:textId="77777777" w:rsidR="00EF5C25" w:rsidRPr="007F530F" w:rsidRDefault="00EF5C25" w:rsidP="00AC34F3">
            <w:pPr>
              <w:pStyle w:val="TableBody"/>
            </w:pPr>
            <w:r w:rsidRPr="007F530F">
              <w:t>30</w:t>
            </w:r>
          </w:p>
        </w:tc>
        <w:tc>
          <w:tcPr>
            <w:tcW w:w="519" w:type="pct"/>
          </w:tcPr>
          <w:p w14:paraId="6ECD8E31" w14:textId="77777777" w:rsidR="00EF5C25" w:rsidRPr="007F530F" w:rsidRDefault="00EF5C25" w:rsidP="00AC34F3">
            <w:pPr>
              <w:pStyle w:val="TableBody"/>
            </w:pPr>
            <w:r w:rsidRPr="007F530F">
              <w:t>10</w:t>
            </w:r>
          </w:p>
        </w:tc>
      </w:tr>
      <w:tr w:rsidR="00EF5C25" w:rsidRPr="007F530F" w14:paraId="50FCFEC9" w14:textId="77777777" w:rsidTr="00C5287D">
        <w:trPr>
          <w:trHeight w:val="60"/>
        </w:trPr>
        <w:tc>
          <w:tcPr>
            <w:tcW w:w="1022" w:type="pct"/>
          </w:tcPr>
          <w:p w14:paraId="28DB3833" w14:textId="77777777" w:rsidR="00EF5C25" w:rsidRPr="007F530F" w:rsidRDefault="00EF5C25" w:rsidP="00DC75F7">
            <w:pPr>
              <w:pStyle w:val="TableBody"/>
            </w:pPr>
            <w:r w:rsidRPr="00D00197">
              <w:rPr>
                <w:rStyle w:val="Strong"/>
              </w:rPr>
              <w:t>Sexual assault of a child aged 16 or 17 under care, supervision or authority</w:t>
            </w:r>
            <w:r w:rsidRPr="00D00197">
              <w:rPr>
                <w:rStyle w:val="Strong"/>
              </w:rPr>
              <w:br/>
            </w:r>
            <w:r w:rsidRPr="007F530F">
              <w:t>Section 49E</w:t>
            </w:r>
            <w:r w:rsidRPr="007F530F">
              <w:br/>
              <w:t>30 June 2017 to present</w:t>
            </w:r>
          </w:p>
        </w:tc>
        <w:tc>
          <w:tcPr>
            <w:tcW w:w="519" w:type="pct"/>
          </w:tcPr>
          <w:p w14:paraId="7D07C50E" w14:textId="77777777" w:rsidR="00EF5C25" w:rsidRPr="007F530F" w:rsidRDefault="00EF5C25" w:rsidP="00AC34F3">
            <w:pPr>
              <w:pStyle w:val="TableBody"/>
            </w:pPr>
            <w:r w:rsidRPr="007F530F">
              <w:t>5 years</w:t>
            </w:r>
          </w:p>
        </w:tc>
        <w:tc>
          <w:tcPr>
            <w:tcW w:w="547" w:type="pct"/>
          </w:tcPr>
          <w:p w14:paraId="2E1FA3B2" w14:textId="77777777" w:rsidR="00EF5C25" w:rsidRPr="007F530F" w:rsidRDefault="00EF5C25" w:rsidP="00AC34F3">
            <w:pPr>
              <w:pStyle w:val="TableBody"/>
            </w:pPr>
            <w:r w:rsidRPr="007F530F">
              <w:t>9</w:t>
            </w:r>
          </w:p>
        </w:tc>
        <w:tc>
          <w:tcPr>
            <w:tcW w:w="562" w:type="pct"/>
          </w:tcPr>
          <w:p w14:paraId="0ED7B603" w14:textId="77777777" w:rsidR="00EF5C25" w:rsidRPr="007F530F" w:rsidRDefault="00EF5C25" w:rsidP="00AC34F3">
            <w:pPr>
              <w:pStyle w:val="TableBody"/>
            </w:pPr>
            <w:r w:rsidRPr="007F530F">
              <w:t>1</w:t>
            </w:r>
          </w:p>
        </w:tc>
        <w:tc>
          <w:tcPr>
            <w:tcW w:w="737" w:type="pct"/>
          </w:tcPr>
          <w:p w14:paraId="046E5C79" w14:textId="77777777" w:rsidR="00EF5C25" w:rsidRPr="007F530F" w:rsidRDefault="00EF5C25" w:rsidP="00AC34F3">
            <w:pPr>
              <w:pStyle w:val="TableBody"/>
            </w:pPr>
            <w:r w:rsidRPr="007F530F">
              <w:t>1</w:t>
            </w:r>
          </w:p>
        </w:tc>
        <w:tc>
          <w:tcPr>
            <w:tcW w:w="547" w:type="pct"/>
          </w:tcPr>
          <w:p w14:paraId="18DE3718"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547" w:type="pct"/>
          </w:tcPr>
          <w:p w14:paraId="1FF462D8" w14:textId="77777777" w:rsidR="00EF5C25" w:rsidRPr="007F530F" w:rsidRDefault="00EF5C25" w:rsidP="00AC34F3">
            <w:pPr>
              <w:pStyle w:val="TableBody"/>
            </w:pPr>
            <w:r w:rsidRPr="007F530F">
              <w:t>15</w:t>
            </w:r>
          </w:p>
        </w:tc>
        <w:tc>
          <w:tcPr>
            <w:tcW w:w="519" w:type="pct"/>
          </w:tcPr>
          <w:p w14:paraId="7D80CB1C"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r>
      <w:tr w:rsidR="00EF5C25" w:rsidRPr="007F530F" w14:paraId="3C83BB6B" w14:textId="77777777" w:rsidTr="00C5287D">
        <w:trPr>
          <w:trHeight w:val="60"/>
        </w:trPr>
        <w:tc>
          <w:tcPr>
            <w:tcW w:w="5000" w:type="pct"/>
            <w:gridSpan w:val="8"/>
          </w:tcPr>
          <w:p w14:paraId="14C74A8D" w14:textId="77777777" w:rsidR="00EF5C25" w:rsidRPr="00D00197" w:rsidRDefault="00EF5C25" w:rsidP="00364846">
            <w:pPr>
              <w:pStyle w:val="TableBody"/>
              <w:rPr>
                <w:rStyle w:val="Strong"/>
              </w:rPr>
            </w:pPr>
            <w:r w:rsidRPr="00D00197">
              <w:rPr>
                <w:rStyle w:val="Strong"/>
              </w:rPr>
              <w:t>Persistent sexual abuse of a child offences</w:t>
            </w:r>
          </w:p>
        </w:tc>
      </w:tr>
      <w:tr w:rsidR="00EF5C25" w:rsidRPr="007F530F" w14:paraId="7CF403F9" w14:textId="77777777" w:rsidTr="00C5287D">
        <w:trPr>
          <w:trHeight w:val="60"/>
        </w:trPr>
        <w:tc>
          <w:tcPr>
            <w:tcW w:w="1022" w:type="pct"/>
          </w:tcPr>
          <w:p w14:paraId="24B9DA8E" w14:textId="77777777" w:rsidR="00EF5C25" w:rsidRPr="007F530F" w:rsidRDefault="00EF5C25" w:rsidP="00DC75F7">
            <w:pPr>
              <w:pStyle w:val="TableBody"/>
            </w:pPr>
            <w:r w:rsidRPr="00D00197">
              <w:rPr>
                <w:rStyle w:val="Strong"/>
              </w:rPr>
              <w:t xml:space="preserve">Maintaining a sexual relationship with a child aged under 16 under care, supervision or </w:t>
            </w:r>
            <w:r w:rsidRPr="00D00197">
              <w:rPr>
                <w:rStyle w:val="Strong"/>
              </w:rPr>
              <w:lastRenderedPageBreak/>
              <w:t>authority</w:t>
            </w:r>
            <w:r w:rsidRPr="00D00197">
              <w:rPr>
                <w:rStyle w:val="Strong"/>
              </w:rPr>
              <w:br/>
            </w:r>
            <w:r w:rsidRPr="007F530F">
              <w:t xml:space="preserve">Section 47A </w:t>
            </w:r>
            <w:r w:rsidRPr="007F530F">
              <w:br/>
              <w:t>5 August 1991 to 31 December 1997</w:t>
            </w:r>
          </w:p>
        </w:tc>
        <w:tc>
          <w:tcPr>
            <w:tcW w:w="519" w:type="pct"/>
          </w:tcPr>
          <w:p w14:paraId="09023588" w14:textId="77777777" w:rsidR="00EF5C25" w:rsidRPr="007F530F" w:rsidRDefault="00EF5C25" w:rsidP="00AC34F3">
            <w:pPr>
              <w:pStyle w:val="TableBody"/>
            </w:pPr>
            <w:r w:rsidRPr="007F530F">
              <w:lastRenderedPageBreak/>
              <w:t>10, 15 or 25 years</w:t>
            </w:r>
          </w:p>
        </w:tc>
        <w:tc>
          <w:tcPr>
            <w:tcW w:w="547" w:type="pct"/>
          </w:tcPr>
          <w:p w14:paraId="34CC61DF" w14:textId="77777777" w:rsidR="00EF5C25" w:rsidRPr="007F530F" w:rsidRDefault="00EF5C25" w:rsidP="00AC34F3">
            <w:pPr>
              <w:pStyle w:val="TableBody"/>
            </w:pPr>
            <w:r w:rsidRPr="007F530F">
              <w:t>2</w:t>
            </w:r>
          </w:p>
        </w:tc>
        <w:tc>
          <w:tcPr>
            <w:tcW w:w="562" w:type="pct"/>
          </w:tcPr>
          <w:p w14:paraId="1FD37C15" w14:textId="77777777" w:rsidR="00EF5C25" w:rsidRPr="007F530F" w:rsidRDefault="00EF5C25" w:rsidP="00AC34F3">
            <w:pPr>
              <w:pStyle w:val="TableBody"/>
            </w:pPr>
            <w:r w:rsidRPr="007F530F">
              <w:t>2</w:t>
            </w:r>
          </w:p>
        </w:tc>
        <w:tc>
          <w:tcPr>
            <w:tcW w:w="737" w:type="pct"/>
          </w:tcPr>
          <w:p w14:paraId="0F4C03D4" w14:textId="77777777" w:rsidR="00EF5C25" w:rsidRPr="007F530F" w:rsidRDefault="00EF5C25" w:rsidP="00AC34F3">
            <w:pPr>
              <w:pStyle w:val="TableBody"/>
            </w:pPr>
            <w:r w:rsidRPr="007F530F">
              <w:t>1</w:t>
            </w:r>
          </w:p>
        </w:tc>
        <w:tc>
          <w:tcPr>
            <w:tcW w:w="547" w:type="pct"/>
          </w:tcPr>
          <w:p w14:paraId="723B9974"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547" w:type="pct"/>
          </w:tcPr>
          <w:p w14:paraId="737AF53E" w14:textId="77777777" w:rsidR="00EF5C25" w:rsidRPr="007F530F" w:rsidRDefault="00EF5C25" w:rsidP="00AC34F3">
            <w:pPr>
              <w:pStyle w:val="TableBody"/>
            </w:pPr>
            <w:r w:rsidRPr="007F530F">
              <w:t>72</w:t>
            </w:r>
          </w:p>
        </w:tc>
        <w:tc>
          <w:tcPr>
            <w:tcW w:w="519" w:type="pct"/>
          </w:tcPr>
          <w:p w14:paraId="4F1F4056"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r>
      <w:tr w:rsidR="00EF5C25" w:rsidRPr="007F530F" w14:paraId="7037D173" w14:textId="77777777" w:rsidTr="00C5287D">
        <w:trPr>
          <w:trHeight w:val="60"/>
        </w:trPr>
        <w:tc>
          <w:tcPr>
            <w:tcW w:w="5000" w:type="pct"/>
            <w:gridSpan w:val="8"/>
          </w:tcPr>
          <w:p w14:paraId="38495467" w14:textId="77777777" w:rsidR="00EF5C25" w:rsidRPr="00D00197" w:rsidRDefault="00EF5C25" w:rsidP="00DC75F7">
            <w:pPr>
              <w:pStyle w:val="TableBody"/>
              <w:rPr>
                <w:rStyle w:val="Strong"/>
              </w:rPr>
            </w:pPr>
            <w:r w:rsidRPr="00D00197">
              <w:rPr>
                <w:rStyle w:val="Strong"/>
              </w:rPr>
              <w:t>Sex offences against persons with cognitive impairments</w:t>
            </w:r>
          </w:p>
        </w:tc>
      </w:tr>
      <w:tr w:rsidR="00DF4CDC" w:rsidRPr="007F530F" w14:paraId="4A283071" w14:textId="77777777" w:rsidTr="00C5287D">
        <w:trPr>
          <w:trHeight w:val="60"/>
        </w:trPr>
        <w:tc>
          <w:tcPr>
            <w:tcW w:w="1022" w:type="pct"/>
          </w:tcPr>
          <w:p w14:paraId="64C94C01" w14:textId="5287F4DB" w:rsidR="00DF4CDC" w:rsidRPr="00D00197" w:rsidRDefault="00DF4CDC" w:rsidP="00DF4CDC">
            <w:pPr>
              <w:pStyle w:val="TableBody"/>
              <w:rPr>
                <w:rStyle w:val="Strong"/>
              </w:rPr>
            </w:pPr>
            <w:r w:rsidRPr="00D00197">
              <w:rPr>
                <w:rStyle w:val="Strong"/>
              </w:rPr>
              <w:t xml:space="preserve">Sexual penetration with a person with mental illness or intellectual disability by employee of institution </w:t>
            </w:r>
            <w:r w:rsidRPr="00D00197">
              <w:rPr>
                <w:rStyle w:val="Strong"/>
              </w:rPr>
              <w:br/>
            </w:r>
            <w:r w:rsidRPr="007F530F">
              <w:t>Section 51(1)(a)</w:t>
            </w:r>
            <w:r w:rsidRPr="007F530F">
              <w:br/>
              <w:t>1 March 1981 to 4 August 1991</w:t>
            </w:r>
          </w:p>
        </w:tc>
        <w:tc>
          <w:tcPr>
            <w:tcW w:w="519" w:type="pct"/>
          </w:tcPr>
          <w:p w14:paraId="1975A053" w14:textId="44C94C40" w:rsidR="00DF4CDC" w:rsidRPr="007F530F" w:rsidRDefault="00DF4CDC" w:rsidP="00DF4CDC">
            <w:pPr>
              <w:pStyle w:val="TableBody"/>
            </w:pPr>
            <w:r w:rsidRPr="007F530F">
              <w:t>5 years</w:t>
            </w:r>
          </w:p>
        </w:tc>
        <w:tc>
          <w:tcPr>
            <w:tcW w:w="547" w:type="pct"/>
          </w:tcPr>
          <w:p w14:paraId="50946173" w14:textId="797F1328" w:rsidR="00DF4CDC" w:rsidRPr="00882868" w:rsidRDefault="00DF4CDC" w:rsidP="00882868">
            <w:pPr>
              <w:pStyle w:val="TableBody"/>
            </w:pPr>
            <w:r w:rsidRPr="00882868">
              <w:t>1</w:t>
            </w:r>
          </w:p>
        </w:tc>
        <w:tc>
          <w:tcPr>
            <w:tcW w:w="562" w:type="pct"/>
          </w:tcPr>
          <w:p w14:paraId="676B55B0" w14:textId="1B0ED28E" w:rsidR="00DF4CDC" w:rsidRPr="00882868" w:rsidRDefault="00DF4CDC" w:rsidP="00882868">
            <w:pPr>
              <w:pStyle w:val="TableBody"/>
            </w:pPr>
            <w:r w:rsidRPr="00882868">
              <w:t>0</w:t>
            </w:r>
          </w:p>
        </w:tc>
        <w:tc>
          <w:tcPr>
            <w:tcW w:w="737" w:type="pct"/>
          </w:tcPr>
          <w:p w14:paraId="1BC323C5" w14:textId="22B05027" w:rsidR="00DF4CDC" w:rsidRPr="00882868" w:rsidRDefault="00DF4CDC" w:rsidP="00882868">
            <w:pPr>
              <w:pStyle w:val="TableBody"/>
            </w:pPr>
            <w:r w:rsidRPr="00882868">
              <w:t>–</w:t>
            </w:r>
          </w:p>
        </w:tc>
        <w:tc>
          <w:tcPr>
            <w:tcW w:w="547" w:type="pct"/>
          </w:tcPr>
          <w:p w14:paraId="28400673" w14:textId="60FFB558" w:rsidR="00DF4CDC" w:rsidRPr="00882868" w:rsidRDefault="00DF4CDC" w:rsidP="00882868">
            <w:pPr>
              <w:pStyle w:val="TableBody"/>
            </w:pPr>
            <w:r w:rsidRPr="00882868">
              <w:t>–</w:t>
            </w:r>
          </w:p>
        </w:tc>
        <w:tc>
          <w:tcPr>
            <w:tcW w:w="547" w:type="pct"/>
          </w:tcPr>
          <w:p w14:paraId="3B442100" w14:textId="4CDCCE41" w:rsidR="00DF4CDC" w:rsidRPr="00882868" w:rsidRDefault="00DF4CDC" w:rsidP="00882868">
            <w:pPr>
              <w:pStyle w:val="TableBody"/>
            </w:pPr>
            <w:r w:rsidRPr="00882868">
              <w:t>–</w:t>
            </w:r>
          </w:p>
        </w:tc>
        <w:tc>
          <w:tcPr>
            <w:tcW w:w="519" w:type="pct"/>
          </w:tcPr>
          <w:p w14:paraId="3FB2D1D2" w14:textId="4DE172EC" w:rsidR="00DF4CDC" w:rsidRPr="00882868" w:rsidRDefault="00DF4CDC" w:rsidP="00882868">
            <w:pPr>
              <w:pStyle w:val="TableBody"/>
            </w:pPr>
            <w:r w:rsidRPr="00882868">
              <w:t>–</w:t>
            </w:r>
          </w:p>
        </w:tc>
      </w:tr>
      <w:tr w:rsidR="00EF5C25" w:rsidRPr="007F530F" w14:paraId="5E1CAEDD" w14:textId="77777777" w:rsidTr="00C5287D">
        <w:trPr>
          <w:trHeight w:val="60"/>
        </w:trPr>
        <w:tc>
          <w:tcPr>
            <w:tcW w:w="1022" w:type="pct"/>
          </w:tcPr>
          <w:p w14:paraId="7615BB53" w14:textId="77777777" w:rsidR="00EF5C25" w:rsidRPr="007F530F" w:rsidRDefault="00EF5C25" w:rsidP="00DC75F7">
            <w:pPr>
              <w:pStyle w:val="TableBody"/>
            </w:pPr>
            <w:r w:rsidRPr="00D00197">
              <w:rPr>
                <w:rStyle w:val="Strong"/>
              </w:rPr>
              <w:t xml:space="preserve">Sexual penetration with a person with impaired mental functioning by service provider or residential facility worker </w:t>
            </w:r>
            <w:r w:rsidRPr="00D00197">
              <w:rPr>
                <w:rStyle w:val="Strong"/>
              </w:rPr>
              <w:br/>
            </w:r>
            <w:r w:rsidRPr="007F530F">
              <w:t>Sections 51(1), 52(1)</w:t>
            </w:r>
            <w:r w:rsidRPr="007F530F">
              <w:br/>
              <w:t>5 August 1991 to 30 November 2006</w:t>
            </w:r>
          </w:p>
        </w:tc>
        <w:tc>
          <w:tcPr>
            <w:tcW w:w="519" w:type="pct"/>
          </w:tcPr>
          <w:p w14:paraId="3AC04FEC" w14:textId="77777777" w:rsidR="00EF5C25" w:rsidRPr="007F530F" w:rsidRDefault="00EF5C25" w:rsidP="00AC34F3">
            <w:pPr>
              <w:pStyle w:val="TableBody"/>
            </w:pPr>
            <w:r w:rsidRPr="007F530F">
              <w:t>5 years</w:t>
            </w:r>
          </w:p>
        </w:tc>
        <w:tc>
          <w:tcPr>
            <w:tcW w:w="547" w:type="pct"/>
          </w:tcPr>
          <w:p w14:paraId="7EC6D271" w14:textId="77777777" w:rsidR="00EF5C25" w:rsidRPr="007F530F" w:rsidRDefault="00EF5C25" w:rsidP="00AC34F3">
            <w:pPr>
              <w:pStyle w:val="TableBody"/>
            </w:pPr>
            <w:r w:rsidRPr="007F530F">
              <w:t>0</w:t>
            </w:r>
          </w:p>
        </w:tc>
        <w:tc>
          <w:tcPr>
            <w:tcW w:w="562" w:type="pct"/>
          </w:tcPr>
          <w:p w14:paraId="2C8444B8"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737" w:type="pct"/>
          </w:tcPr>
          <w:p w14:paraId="694D107F"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547" w:type="pct"/>
          </w:tcPr>
          <w:p w14:paraId="4C7EC72E" w14:textId="77777777" w:rsidR="00EF5C25" w:rsidRPr="007F530F" w:rsidRDefault="00EF5C25" w:rsidP="00AC34F3">
            <w:pPr>
              <w:pStyle w:val="TableBody"/>
            </w:pPr>
            <w:r w:rsidRPr="007F530F">
              <w:t>–</w:t>
            </w:r>
          </w:p>
        </w:tc>
        <w:tc>
          <w:tcPr>
            <w:tcW w:w="547" w:type="pct"/>
          </w:tcPr>
          <w:p w14:paraId="36AC10E5"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c>
          <w:tcPr>
            <w:tcW w:w="519" w:type="pct"/>
          </w:tcPr>
          <w:p w14:paraId="0210EB3A" w14:textId="77777777" w:rsidR="00EF5C25" w:rsidRPr="007F530F" w:rsidRDefault="00EF5C25" w:rsidP="00C73C18">
            <w:pPr>
              <w:pStyle w:val="NoParagraphStyle"/>
              <w:spacing w:line="240" w:lineRule="auto"/>
              <w:textAlignment w:val="auto"/>
              <w:rPr>
                <w:rFonts w:ascii="Verdana" w:hAnsi="Verdana" w:cstheme="minorBidi"/>
                <w:color w:val="auto"/>
                <w:lang w:val="en-AU"/>
              </w:rPr>
            </w:pPr>
          </w:p>
        </w:tc>
      </w:tr>
      <w:tr w:rsidR="00783ABE" w:rsidRPr="007F530F" w14:paraId="271B5176" w14:textId="77777777" w:rsidTr="00C5287D">
        <w:trPr>
          <w:trHeight w:val="60"/>
        </w:trPr>
        <w:tc>
          <w:tcPr>
            <w:tcW w:w="1022" w:type="pct"/>
          </w:tcPr>
          <w:p w14:paraId="470EFE13" w14:textId="788AA0B5" w:rsidR="00783ABE" w:rsidRPr="00D00197" w:rsidRDefault="00783ABE" w:rsidP="00783ABE">
            <w:pPr>
              <w:pStyle w:val="TableBody"/>
              <w:rPr>
                <w:rStyle w:val="Strong"/>
              </w:rPr>
            </w:pPr>
            <w:r w:rsidRPr="00D00197">
              <w:rPr>
                <w:rStyle w:val="Strong"/>
              </w:rPr>
              <w:t xml:space="preserve">Indecent act with a person with impaired mental functioning by service provider or residential facility worker </w:t>
            </w:r>
            <w:r w:rsidRPr="00D00197">
              <w:rPr>
                <w:rStyle w:val="Strong"/>
              </w:rPr>
              <w:br/>
            </w:r>
            <w:r w:rsidRPr="007F530F">
              <w:t>Sections 51(2), 52(2)</w:t>
            </w:r>
            <w:r w:rsidRPr="007F530F">
              <w:br/>
            </w:r>
            <w:r w:rsidRPr="007F530F">
              <w:lastRenderedPageBreak/>
              <w:t>5 August 1991 to 30 November 2006</w:t>
            </w:r>
          </w:p>
        </w:tc>
        <w:tc>
          <w:tcPr>
            <w:tcW w:w="519" w:type="pct"/>
          </w:tcPr>
          <w:p w14:paraId="253604F5" w14:textId="7944340A" w:rsidR="00783ABE" w:rsidRPr="007F530F" w:rsidRDefault="00783ABE" w:rsidP="00783ABE">
            <w:pPr>
              <w:pStyle w:val="TableBody"/>
            </w:pPr>
            <w:r w:rsidRPr="007F530F">
              <w:lastRenderedPageBreak/>
              <w:t>3 years</w:t>
            </w:r>
          </w:p>
        </w:tc>
        <w:tc>
          <w:tcPr>
            <w:tcW w:w="547" w:type="pct"/>
          </w:tcPr>
          <w:p w14:paraId="2468ED9E" w14:textId="488D603D" w:rsidR="00783ABE" w:rsidRPr="007F530F" w:rsidRDefault="00783ABE" w:rsidP="00783ABE">
            <w:pPr>
              <w:pStyle w:val="TableBody"/>
            </w:pPr>
            <w:r w:rsidRPr="007F530F">
              <w:t>1</w:t>
            </w:r>
          </w:p>
        </w:tc>
        <w:tc>
          <w:tcPr>
            <w:tcW w:w="562" w:type="pct"/>
          </w:tcPr>
          <w:p w14:paraId="68708C3B" w14:textId="72B1E0B2" w:rsidR="00783ABE" w:rsidRPr="007F530F" w:rsidRDefault="00783ABE" w:rsidP="002746CC">
            <w:pPr>
              <w:pStyle w:val="TableBody"/>
              <w:rPr>
                <w:rFonts w:cstheme="minorBidi"/>
                <w:color w:val="auto"/>
                <w:lang w:val="en-AU"/>
              </w:rPr>
            </w:pPr>
            <w:r w:rsidRPr="007F530F">
              <w:t>0</w:t>
            </w:r>
          </w:p>
        </w:tc>
        <w:tc>
          <w:tcPr>
            <w:tcW w:w="737" w:type="pct"/>
          </w:tcPr>
          <w:p w14:paraId="40C0985D" w14:textId="79D798A3" w:rsidR="00783ABE" w:rsidRPr="007F530F" w:rsidRDefault="00783ABE" w:rsidP="002746CC">
            <w:pPr>
              <w:pStyle w:val="TableBody"/>
              <w:rPr>
                <w:rFonts w:cstheme="minorBidi"/>
                <w:color w:val="auto"/>
                <w:lang w:val="en-AU"/>
              </w:rPr>
            </w:pPr>
            <w:r w:rsidRPr="007F530F">
              <w:t>–</w:t>
            </w:r>
          </w:p>
        </w:tc>
        <w:tc>
          <w:tcPr>
            <w:tcW w:w="547" w:type="pct"/>
          </w:tcPr>
          <w:p w14:paraId="37A1F4F6" w14:textId="5F07A9C3" w:rsidR="00783ABE" w:rsidRPr="007F530F" w:rsidRDefault="00783ABE" w:rsidP="00783ABE">
            <w:pPr>
              <w:pStyle w:val="TableBody"/>
            </w:pPr>
            <w:r w:rsidRPr="007F530F">
              <w:t>–</w:t>
            </w:r>
          </w:p>
        </w:tc>
        <w:tc>
          <w:tcPr>
            <w:tcW w:w="547" w:type="pct"/>
          </w:tcPr>
          <w:p w14:paraId="5B3F5EA7" w14:textId="4408841E" w:rsidR="00783ABE" w:rsidRPr="007F530F" w:rsidRDefault="00783ABE" w:rsidP="002746CC">
            <w:pPr>
              <w:pStyle w:val="TableBody"/>
              <w:rPr>
                <w:rFonts w:cstheme="minorBidi"/>
                <w:color w:val="auto"/>
                <w:lang w:val="en-AU"/>
              </w:rPr>
            </w:pPr>
            <w:r w:rsidRPr="007F530F">
              <w:t>–</w:t>
            </w:r>
          </w:p>
        </w:tc>
        <w:tc>
          <w:tcPr>
            <w:tcW w:w="519" w:type="pct"/>
          </w:tcPr>
          <w:p w14:paraId="291F0BFA" w14:textId="15C14A6B" w:rsidR="00783ABE" w:rsidRPr="007F530F" w:rsidRDefault="00783ABE" w:rsidP="002746CC">
            <w:pPr>
              <w:pStyle w:val="TableBody"/>
              <w:rPr>
                <w:rFonts w:cstheme="minorBidi"/>
                <w:color w:val="auto"/>
                <w:lang w:val="en-AU"/>
              </w:rPr>
            </w:pPr>
            <w:r w:rsidRPr="007F530F">
              <w:t>–</w:t>
            </w:r>
          </w:p>
        </w:tc>
      </w:tr>
      <w:tr w:rsidR="00EF5C25" w:rsidRPr="007F530F" w14:paraId="31D19ECC" w14:textId="77777777" w:rsidTr="00C5287D">
        <w:trPr>
          <w:trHeight w:val="60"/>
        </w:trPr>
        <w:tc>
          <w:tcPr>
            <w:tcW w:w="1022" w:type="pct"/>
          </w:tcPr>
          <w:p w14:paraId="0A631957" w14:textId="77777777" w:rsidR="00EF5C25" w:rsidRPr="007F530F" w:rsidRDefault="00EF5C25" w:rsidP="00DC75F7">
            <w:pPr>
              <w:pStyle w:val="TableBody"/>
            </w:pPr>
            <w:r w:rsidRPr="00D00197">
              <w:rPr>
                <w:rStyle w:val="Strong"/>
              </w:rPr>
              <w:t xml:space="preserve">Sexual penetration with a person with cognitive impairment by service provider or residential facility worker </w:t>
            </w:r>
            <w:r w:rsidRPr="00D00197">
              <w:rPr>
                <w:rStyle w:val="Strong"/>
              </w:rPr>
              <w:br/>
            </w:r>
            <w:r w:rsidRPr="007F530F">
              <w:t>Sections 51(1), 52(1)</w:t>
            </w:r>
            <w:r w:rsidRPr="007F530F">
              <w:br/>
              <w:t>1 December 2006 to 30 June 2017</w:t>
            </w:r>
          </w:p>
        </w:tc>
        <w:tc>
          <w:tcPr>
            <w:tcW w:w="519" w:type="pct"/>
          </w:tcPr>
          <w:p w14:paraId="16CFD874" w14:textId="77777777" w:rsidR="00EF5C25" w:rsidRPr="007F530F" w:rsidRDefault="00EF5C25" w:rsidP="00AC34F3">
            <w:pPr>
              <w:pStyle w:val="TableBody"/>
            </w:pPr>
            <w:r w:rsidRPr="007F530F">
              <w:t>10 years</w:t>
            </w:r>
          </w:p>
        </w:tc>
        <w:tc>
          <w:tcPr>
            <w:tcW w:w="547" w:type="pct"/>
          </w:tcPr>
          <w:p w14:paraId="3EAF964F" w14:textId="77777777" w:rsidR="00EF5C25" w:rsidRPr="007F530F" w:rsidRDefault="00EF5C25" w:rsidP="00AC34F3">
            <w:pPr>
              <w:pStyle w:val="TableBody"/>
            </w:pPr>
            <w:r w:rsidRPr="007F530F">
              <w:t>23</w:t>
            </w:r>
          </w:p>
        </w:tc>
        <w:tc>
          <w:tcPr>
            <w:tcW w:w="562" w:type="pct"/>
          </w:tcPr>
          <w:p w14:paraId="71262911" w14:textId="77777777" w:rsidR="00EF5C25" w:rsidRPr="007F530F" w:rsidRDefault="00EF5C25" w:rsidP="00AC34F3">
            <w:pPr>
              <w:pStyle w:val="TableBody"/>
            </w:pPr>
            <w:r w:rsidRPr="007F530F">
              <w:t>21</w:t>
            </w:r>
          </w:p>
        </w:tc>
        <w:tc>
          <w:tcPr>
            <w:tcW w:w="737" w:type="pct"/>
          </w:tcPr>
          <w:p w14:paraId="60025F3E" w14:textId="77777777" w:rsidR="00EF5C25" w:rsidRPr="007F530F" w:rsidRDefault="00EF5C25" w:rsidP="00AC34F3">
            <w:pPr>
              <w:pStyle w:val="TableBody"/>
            </w:pPr>
            <w:r w:rsidRPr="007F530F">
              <w:t>21</w:t>
            </w:r>
          </w:p>
        </w:tc>
        <w:tc>
          <w:tcPr>
            <w:tcW w:w="547" w:type="pct"/>
          </w:tcPr>
          <w:p w14:paraId="560CC748" w14:textId="77777777" w:rsidR="00EF5C25" w:rsidRPr="007F530F" w:rsidRDefault="00EF5C25" w:rsidP="00AC34F3">
            <w:pPr>
              <w:pStyle w:val="TableBody"/>
            </w:pPr>
            <w:r w:rsidRPr="007F530F">
              <w:t>24</w:t>
            </w:r>
          </w:p>
        </w:tc>
        <w:tc>
          <w:tcPr>
            <w:tcW w:w="547" w:type="pct"/>
          </w:tcPr>
          <w:p w14:paraId="4345F55D" w14:textId="77777777" w:rsidR="00EF5C25" w:rsidRPr="007F530F" w:rsidRDefault="00EF5C25" w:rsidP="00AC34F3">
            <w:pPr>
              <w:pStyle w:val="TableBody"/>
            </w:pPr>
            <w:r w:rsidRPr="007F530F">
              <w:t>60</w:t>
            </w:r>
          </w:p>
        </w:tc>
        <w:tc>
          <w:tcPr>
            <w:tcW w:w="519" w:type="pct"/>
          </w:tcPr>
          <w:p w14:paraId="6DE2D350" w14:textId="77777777" w:rsidR="00EF5C25" w:rsidRPr="007F530F" w:rsidRDefault="00EF5C25" w:rsidP="00AC34F3">
            <w:pPr>
              <w:pStyle w:val="TableBody"/>
            </w:pPr>
            <w:r w:rsidRPr="007F530F">
              <w:t>39</w:t>
            </w:r>
          </w:p>
        </w:tc>
      </w:tr>
      <w:tr w:rsidR="00EF5C25" w:rsidRPr="007F530F" w14:paraId="57FC66C5" w14:textId="77777777" w:rsidTr="00C5287D">
        <w:trPr>
          <w:trHeight w:val="60"/>
        </w:trPr>
        <w:tc>
          <w:tcPr>
            <w:tcW w:w="1022" w:type="pct"/>
          </w:tcPr>
          <w:p w14:paraId="51C5BFF7" w14:textId="77777777" w:rsidR="00EF5C25" w:rsidRPr="007F530F" w:rsidRDefault="00EF5C25" w:rsidP="00DC75F7">
            <w:pPr>
              <w:pStyle w:val="TableBody"/>
            </w:pPr>
            <w:r w:rsidRPr="00D00197">
              <w:rPr>
                <w:rStyle w:val="Strong"/>
              </w:rPr>
              <w:t xml:space="preserve">Indecent act with a person with cognitive impairment by service provider or residential facility worker </w:t>
            </w:r>
            <w:r w:rsidRPr="00D00197">
              <w:rPr>
                <w:rStyle w:val="Strong"/>
              </w:rPr>
              <w:br/>
            </w:r>
            <w:r w:rsidRPr="007F530F">
              <w:t>Sections 51(2), 52(2)</w:t>
            </w:r>
            <w:r w:rsidRPr="007F530F">
              <w:br/>
              <w:t>1 December 2006 to 30 June 2017</w:t>
            </w:r>
          </w:p>
        </w:tc>
        <w:tc>
          <w:tcPr>
            <w:tcW w:w="519" w:type="pct"/>
          </w:tcPr>
          <w:p w14:paraId="2A6247FD" w14:textId="77777777" w:rsidR="00EF5C25" w:rsidRPr="007F530F" w:rsidRDefault="00EF5C25" w:rsidP="00AC34F3">
            <w:pPr>
              <w:pStyle w:val="TableBody"/>
            </w:pPr>
            <w:r w:rsidRPr="007F530F">
              <w:t>5 years</w:t>
            </w:r>
          </w:p>
        </w:tc>
        <w:tc>
          <w:tcPr>
            <w:tcW w:w="547" w:type="pct"/>
          </w:tcPr>
          <w:p w14:paraId="177085E9" w14:textId="77777777" w:rsidR="00EF5C25" w:rsidRPr="007F530F" w:rsidRDefault="00EF5C25" w:rsidP="00AC34F3">
            <w:pPr>
              <w:pStyle w:val="TableBody"/>
            </w:pPr>
            <w:r w:rsidRPr="007F530F">
              <w:t>20</w:t>
            </w:r>
          </w:p>
        </w:tc>
        <w:tc>
          <w:tcPr>
            <w:tcW w:w="562" w:type="pct"/>
          </w:tcPr>
          <w:p w14:paraId="52CDFCAE" w14:textId="77777777" w:rsidR="00EF5C25" w:rsidRPr="007F530F" w:rsidRDefault="00EF5C25" w:rsidP="00AC34F3">
            <w:pPr>
              <w:pStyle w:val="TableBody"/>
            </w:pPr>
            <w:r w:rsidRPr="007F530F">
              <w:t>8</w:t>
            </w:r>
          </w:p>
        </w:tc>
        <w:tc>
          <w:tcPr>
            <w:tcW w:w="737" w:type="pct"/>
          </w:tcPr>
          <w:p w14:paraId="43639287" w14:textId="77777777" w:rsidR="00EF5C25" w:rsidRPr="007F530F" w:rsidRDefault="00EF5C25" w:rsidP="00AC34F3">
            <w:pPr>
              <w:pStyle w:val="TableBody"/>
            </w:pPr>
            <w:r w:rsidRPr="007F530F">
              <w:t>6</w:t>
            </w:r>
          </w:p>
        </w:tc>
        <w:tc>
          <w:tcPr>
            <w:tcW w:w="547" w:type="pct"/>
          </w:tcPr>
          <w:p w14:paraId="5DF90D6C" w14:textId="77777777" w:rsidR="00EF5C25" w:rsidRPr="007F530F" w:rsidRDefault="00EF5C25" w:rsidP="00AC34F3">
            <w:pPr>
              <w:pStyle w:val="TableBody"/>
            </w:pPr>
            <w:r w:rsidRPr="007F530F">
              <w:t>6</w:t>
            </w:r>
          </w:p>
        </w:tc>
        <w:tc>
          <w:tcPr>
            <w:tcW w:w="547" w:type="pct"/>
          </w:tcPr>
          <w:p w14:paraId="3684D3E8" w14:textId="77777777" w:rsidR="00EF5C25" w:rsidRPr="007F530F" w:rsidRDefault="00EF5C25" w:rsidP="00AC34F3">
            <w:pPr>
              <w:pStyle w:val="TableBody"/>
            </w:pPr>
            <w:r w:rsidRPr="007F530F">
              <w:t>30</w:t>
            </w:r>
          </w:p>
        </w:tc>
        <w:tc>
          <w:tcPr>
            <w:tcW w:w="519" w:type="pct"/>
          </w:tcPr>
          <w:p w14:paraId="20C245CC" w14:textId="77777777" w:rsidR="00EF5C25" w:rsidRPr="007F530F" w:rsidRDefault="00EF5C25" w:rsidP="00AC34F3">
            <w:pPr>
              <w:pStyle w:val="TableBody"/>
            </w:pPr>
            <w:r w:rsidRPr="007F530F">
              <w:t>13</w:t>
            </w:r>
          </w:p>
        </w:tc>
      </w:tr>
      <w:tr w:rsidR="00EF5C25" w:rsidRPr="007F530F" w14:paraId="4824329B" w14:textId="77777777" w:rsidTr="00C5287D">
        <w:trPr>
          <w:trHeight w:val="60"/>
        </w:trPr>
        <w:tc>
          <w:tcPr>
            <w:tcW w:w="1022" w:type="pct"/>
          </w:tcPr>
          <w:p w14:paraId="08FF6E3C" w14:textId="77777777" w:rsidR="00EF5C25" w:rsidRPr="007F530F" w:rsidRDefault="00EF5C25" w:rsidP="00DC75F7">
            <w:pPr>
              <w:pStyle w:val="TableBody"/>
            </w:pPr>
            <w:r w:rsidRPr="00D00197">
              <w:rPr>
                <w:rStyle w:val="Strong"/>
              </w:rPr>
              <w:t xml:space="preserve">Sexual penetration with a person with cognitive impairment  by treatment or support service provider </w:t>
            </w:r>
            <w:r w:rsidRPr="00D00197">
              <w:rPr>
                <w:rStyle w:val="Strong"/>
              </w:rPr>
              <w:br/>
            </w:r>
            <w:r w:rsidRPr="007F530F">
              <w:t>Section 52B</w:t>
            </w:r>
            <w:r w:rsidRPr="007F530F">
              <w:br/>
              <w:t>1 July 2017 to present</w:t>
            </w:r>
          </w:p>
        </w:tc>
        <w:tc>
          <w:tcPr>
            <w:tcW w:w="519" w:type="pct"/>
          </w:tcPr>
          <w:p w14:paraId="4A349F08" w14:textId="77777777" w:rsidR="00EF5C25" w:rsidRPr="007F530F" w:rsidRDefault="00EF5C25" w:rsidP="00AC34F3">
            <w:pPr>
              <w:pStyle w:val="TableBody"/>
            </w:pPr>
            <w:r w:rsidRPr="007F530F">
              <w:t>10 years</w:t>
            </w:r>
          </w:p>
        </w:tc>
        <w:tc>
          <w:tcPr>
            <w:tcW w:w="547" w:type="pct"/>
          </w:tcPr>
          <w:p w14:paraId="5FC5C853" w14:textId="77777777" w:rsidR="00EF5C25" w:rsidRPr="007F530F" w:rsidRDefault="00EF5C25" w:rsidP="00AC34F3">
            <w:pPr>
              <w:pStyle w:val="TableBody"/>
            </w:pPr>
            <w:r w:rsidRPr="007F530F">
              <w:t>2</w:t>
            </w:r>
          </w:p>
        </w:tc>
        <w:tc>
          <w:tcPr>
            <w:tcW w:w="562" w:type="pct"/>
          </w:tcPr>
          <w:p w14:paraId="41A310DD" w14:textId="77777777" w:rsidR="00EF5C25" w:rsidRPr="007F530F" w:rsidRDefault="00EF5C25" w:rsidP="00AC34F3">
            <w:pPr>
              <w:pStyle w:val="TableBody"/>
            </w:pPr>
            <w:r w:rsidRPr="007F530F">
              <w:t>2</w:t>
            </w:r>
          </w:p>
        </w:tc>
        <w:tc>
          <w:tcPr>
            <w:tcW w:w="737" w:type="pct"/>
          </w:tcPr>
          <w:p w14:paraId="27CAB9AA" w14:textId="77777777" w:rsidR="00EF5C25" w:rsidRPr="007F530F" w:rsidRDefault="00EF5C25" w:rsidP="00AC34F3">
            <w:pPr>
              <w:pStyle w:val="TableBody"/>
            </w:pPr>
            <w:r w:rsidRPr="007F530F">
              <w:t>2</w:t>
            </w:r>
          </w:p>
        </w:tc>
        <w:tc>
          <w:tcPr>
            <w:tcW w:w="547" w:type="pct"/>
          </w:tcPr>
          <w:p w14:paraId="27417E42" w14:textId="77777777" w:rsidR="00EF5C25" w:rsidRPr="007F530F" w:rsidRDefault="00EF5C25" w:rsidP="00AC34F3">
            <w:pPr>
              <w:pStyle w:val="TableBody"/>
            </w:pPr>
            <w:r w:rsidRPr="007F530F">
              <w:t>36</w:t>
            </w:r>
          </w:p>
        </w:tc>
        <w:tc>
          <w:tcPr>
            <w:tcW w:w="547" w:type="pct"/>
          </w:tcPr>
          <w:p w14:paraId="1695791B" w14:textId="77777777" w:rsidR="00EF5C25" w:rsidRPr="007F530F" w:rsidRDefault="00EF5C25" w:rsidP="00AC34F3">
            <w:pPr>
              <w:pStyle w:val="TableBody"/>
            </w:pPr>
            <w:r w:rsidRPr="007F530F">
              <w:t>42</w:t>
            </w:r>
          </w:p>
        </w:tc>
        <w:tc>
          <w:tcPr>
            <w:tcW w:w="519" w:type="pct"/>
          </w:tcPr>
          <w:p w14:paraId="7F53AD16" w14:textId="77777777" w:rsidR="00EF5C25" w:rsidRPr="007F530F" w:rsidRDefault="00EF5C25" w:rsidP="00AC34F3">
            <w:pPr>
              <w:pStyle w:val="TableBody"/>
            </w:pPr>
            <w:r w:rsidRPr="007F530F">
              <w:t>39</w:t>
            </w:r>
          </w:p>
        </w:tc>
      </w:tr>
      <w:tr w:rsidR="00D501E6" w:rsidRPr="007F530F" w14:paraId="4639A04F" w14:textId="77777777" w:rsidTr="00C5287D">
        <w:trPr>
          <w:trHeight w:val="60"/>
        </w:trPr>
        <w:tc>
          <w:tcPr>
            <w:tcW w:w="1022" w:type="pct"/>
          </w:tcPr>
          <w:p w14:paraId="2DA3EBCA" w14:textId="43F26DD4" w:rsidR="00D501E6" w:rsidRPr="00D00197" w:rsidRDefault="00D501E6" w:rsidP="00D501E6">
            <w:pPr>
              <w:pStyle w:val="TableBody"/>
              <w:rPr>
                <w:rStyle w:val="Strong"/>
              </w:rPr>
            </w:pPr>
            <w:r w:rsidRPr="00D00197">
              <w:rPr>
                <w:rStyle w:val="Strong"/>
              </w:rPr>
              <w:t xml:space="preserve">Indecent act with a person with cognitive impairment by treatment or support </w:t>
            </w:r>
            <w:r w:rsidRPr="00D00197">
              <w:rPr>
                <w:rStyle w:val="Strong"/>
              </w:rPr>
              <w:lastRenderedPageBreak/>
              <w:t xml:space="preserve">service provider </w:t>
            </w:r>
            <w:r w:rsidRPr="00D00197">
              <w:rPr>
                <w:rStyle w:val="Strong"/>
              </w:rPr>
              <w:br/>
            </w:r>
            <w:r w:rsidRPr="007F530F">
              <w:t>Section 52C</w:t>
            </w:r>
            <w:r w:rsidRPr="007F530F">
              <w:br/>
              <w:t>1 July 2017 to present</w:t>
            </w:r>
          </w:p>
        </w:tc>
        <w:tc>
          <w:tcPr>
            <w:tcW w:w="519" w:type="pct"/>
          </w:tcPr>
          <w:p w14:paraId="0499772F" w14:textId="466C359B" w:rsidR="00D501E6" w:rsidRPr="007F530F" w:rsidRDefault="00D501E6" w:rsidP="00D501E6">
            <w:pPr>
              <w:pStyle w:val="TableBody"/>
            </w:pPr>
            <w:r w:rsidRPr="007F530F">
              <w:lastRenderedPageBreak/>
              <w:t>5 years</w:t>
            </w:r>
          </w:p>
        </w:tc>
        <w:tc>
          <w:tcPr>
            <w:tcW w:w="547" w:type="pct"/>
          </w:tcPr>
          <w:p w14:paraId="0E7DEE8A" w14:textId="4051621C" w:rsidR="00D501E6" w:rsidRPr="007F530F" w:rsidRDefault="00D501E6" w:rsidP="00D501E6">
            <w:pPr>
              <w:pStyle w:val="TableBody"/>
            </w:pPr>
            <w:r w:rsidRPr="007F530F">
              <w:t>2</w:t>
            </w:r>
          </w:p>
        </w:tc>
        <w:tc>
          <w:tcPr>
            <w:tcW w:w="562" w:type="pct"/>
          </w:tcPr>
          <w:p w14:paraId="1034DAE9" w14:textId="0D2DAE1B" w:rsidR="00D501E6" w:rsidRPr="007F530F" w:rsidRDefault="00D501E6" w:rsidP="00D501E6">
            <w:pPr>
              <w:pStyle w:val="TableBody"/>
            </w:pPr>
            <w:r w:rsidRPr="007F530F">
              <w:t>2</w:t>
            </w:r>
          </w:p>
        </w:tc>
        <w:tc>
          <w:tcPr>
            <w:tcW w:w="737" w:type="pct"/>
          </w:tcPr>
          <w:p w14:paraId="56BEC7A7" w14:textId="2C7D04CC" w:rsidR="00D501E6" w:rsidRPr="007F530F" w:rsidRDefault="00D501E6" w:rsidP="00D501E6">
            <w:pPr>
              <w:pStyle w:val="TableBody"/>
            </w:pPr>
            <w:r>
              <w:t>–</w:t>
            </w:r>
          </w:p>
        </w:tc>
        <w:tc>
          <w:tcPr>
            <w:tcW w:w="547" w:type="pct"/>
          </w:tcPr>
          <w:p w14:paraId="6FFE358B" w14:textId="532DC86C" w:rsidR="00D501E6" w:rsidRPr="007F530F" w:rsidRDefault="00D501E6" w:rsidP="00D501E6">
            <w:pPr>
              <w:pStyle w:val="TableBody"/>
            </w:pPr>
            <w:r>
              <w:t>–</w:t>
            </w:r>
          </w:p>
        </w:tc>
        <w:tc>
          <w:tcPr>
            <w:tcW w:w="547" w:type="pct"/>
          </w:tcPr>
          <w:p w14:paraId="06591A93" w14:textId="1E6EA78F" w:rsidR="00D501E6" w:rsidRPr="007F530F" w:rsidRDefault="00D501E6" w:rsidP="00D501E6">
            <w:pPr>
              <w:pStyle w:val="TableBody"/>
            </w:pPr>
            <w:r>
              <w:t>–</w:t>
            </w:r>
          </w:p>
        </w:tc>
        <w:tc>
          <w:tcPr>
            <w:tcW w:w="519" w:type="pct"/>
          </w:tcPr>
          <w:p w14:paraId="235D1D4C" w14:textId="161EE800" w:rsidR="00D501E6" w:rsidRPr="007F530F" w:rsidRDefault="00D501E6" w:rsidP="00D501E6">
            <w:pPr>
              <w:pStyle w:val="TableBody"/>
            </w:pPr>
            <w:r>
              <w:t>–</w:t>
            </w:r>
          </w:p>
        </w:tc>
      </w:tr>
    </w:tbl>
    <w:p w14:paraId="63977709" w14:textId="77777777" w:rsidR="00C5287D" w:rsidRDefault="00C5287D" w:rsidP="00656CAA">
      <w:pPr>
        <w:pStyle w:val="Heading1"/>
        <w:sectPr w:rsidR="00C5287D" w:rsidSect="00C5287D">
          <w:pgSz w:w="16838" w:h="11906" w:orient="landscape"/>
          <w:pgMar w:top="1440" w:right="1440" w:bottom="1440" w:left="1440" w:header="720" w:footer="720" w:gutter="0"/>
          <w:cols w:space="720"/>
          <w:noEndnote/>
          <w:docGrid w:linePitch="326"/>
        </w:sectPr>
      </w:pPr>
    </w:p>
    <w:p w14:paraId="6E3F37E5" w14:textId="3CE62147" w:rsidR="00EF5C25" w:rsidRPr="007F530F" w:rsidRDefault="00EF5C25" w:rsidP="007405B8">
      <w:pPr>
        <w:pStyle w:val="Heading1"/>
        <w:pageBreakBefore/>
      </w:pPr>
      <w:bookmarkStart w:id="18" w:name="_Toc74904011"/>
      <w:r w:rsidRPr="007F530F">
        <w:lastRenderedPageBreak/>
        <w:t>Glossary</w:t>
      </w:r>
      <w:bookmarkEnd w:id="18"/>
    </w:p>
    <w:p w14:paraId="34A13205" w14:textId="782373F9" w:rsidR="001F0530" w:rsidRPr="007F530F" w:rsidRDefault="001F0530" w:rsidP="002C6923">
      <w:r w:rsidRPr="00495B88">
        <w:rPr>
          <w:rStyle w:val="Strong"/>
        </w:rPr>
        <w:t>Aggregate sentence:</w:t>
      </w:r>
      <w:r w:rsidR="000854F1">
        <w:rPr>
          <w:rStyle w:val="Strong"/>
        </w:rPr>
        <w:t xml:space="preserve"> </w:t>
      </w:r>
      <w:r w:rsidRPr="007F530F">
        <w:t>A single sentence imposed for two or more charges in a case, without specifying the individual sentence for each separate charge.</w:t>
      </w:r>
    </w:p>
    <w:p w14:paraId="2708CBD3" w14:textId="03250FB9" w:rsidR="001F0530" w:rsidRPr="007F530F" w:rsidRDefault="001F0530" w:rsidP="002C6923">
      <w:r w:rsidRPr="00495B88">
        <w:rPr>
          <w:rStyle w:val="Strong"/>
        </w:rPr>
        <w:t>Average prison sentence:</w:t>
      </w:r>
      <w:r w:rsidR="000854F1">
        <w:rPr>
          <w:rStyle w:val="Strong"/>
        </w:rPr>
        <w:t xml:space="preserve"> </w:t>
      </w:r>
      <w:r w:rsidRPr="007F530F">
        <w:t>The mean length of imprisonment calculated from a selection of cases or charges. Average prison sentences have been reported rather than median prison sentences to better highlight the effect of particularly long sentences.</w:t>
      </w:r>
    </w:p>
    <w:p w14:paraId="1780279C" w14:textId="3FD8CDDA" w:rsidR="001F0530" w:rsidRPr="007F530F" w:rsidRDefault="001F0530" w:rsidP="002C6923">
      <w:r w:rsidRPr="00495B88">
        <w:rPr>
          <w:rStyle w:val="Strong"/>
        </w:rPr>
        <w:t>Case-level prison sentence:</w:t>
      </w:r>
      <w:r w:rsidR="000854F1">
        <w:rPr>
          <w:rStyle w:val="Strong"/>
        </w:rPr>
        <w:t xml:space="preserve"> </w:t>
      </w:r>
      <w:r w:rsidRPr="007F530F">
        <w:t xml:space="preserve">The prison sentence imposed for all charges before the non-parole period is set. See total effective sentence. </w:t>
      </w:r>
    </w:p>
    <w:p w14:paraId="2A7C49DD" w14:textId="7B5DED06" w:rsidR="001F0530" w:rsidRPr="007F530F" w:rsidRDefault="001F0530" w:rsidP="002C6923">
      <w:r w:rsidRPr="00495B88">
        <w:rPr>
          <w:rStyle w:val="Strong"/>
        </w:rPr>
        <w:t>Category 1 offence:</w:t>
      </w:r>
      <w:r w:rsidR="000854F1">
        <w:rPr>
          <w:rStyle w:val="Strong"/>
        </w:rPr>
        <w:t xml:space="preserve"> </w:t>
      </w:r>
      <w:r w:rsidRPr="007F530F">
        <w:t>A specified serious offence committed by a person aged 18 years or over that will almost always require the court to impose imprisonment or youth detention. For sex offences classified as Category 1 offences, the court must always sentence the offender to either imprisonment or youth detention, if relevant.</w:t>
      </w:r>
    </w:p>
    <w:p w14:paraId="7D2A73FB" w14:textId="7992AF13" w:rsidR="001F0530" w:rsidRPr="007F530F" w:rsidRDefault="001F0530" w:rsidP="002C6923">
      <w:r w:rsidRPr="00495B88">
        <w:rPr>
          <w:rStyle w:val="Strong"/>
        </w:rPr>
        <w:t>Charge-level prison sentence:</w:t>
      </w:r>
      <w:r w:rsidR="000854F1">
        <w:rPr>
          <w:rStyle w:val="Strong"/>
        </w:rPr>
        <w:t xml:space="preserve"> </w:t>
      </w:r>
      <w:r w:rsidRPr="007F530F">
        <w:t>The prison sentence imposed for a single count of an offence within a case.</w:t>
      </w:r>
    </w:p>
    <w:p w14:paraId="60B05613" w14:textId="0B536AD6" w:rsidR="001F0530" w:rsidRPr="007F530F" w:rsidRDefault="001F0530" w:rsidP="002C6923">
      <w:r w:rsidRPr="00495B88">
        <w:rPr>
          <w:rStyle w:val="Strong"/>
        </w:rPr>
        <w:t>Child sexual assault offences:</w:t>
      </w:r>
      <w:r w:rsidR="000854F1">
        <w:rPr>
          <w:rStyle w:val="Strong"/>
        </w:rPr>
        <w:t xml:space="preserve"> </w:t>
      </w:r>
      <w:r w:rsidRPr="007F530F">
        <w:t>A term used generally to describe the specific offences listed in Table 10.</w:t>
      </w:r>
    </w:p>
    <w:p w14:paraId="67E2F456" w14:textId="1A363BD5" w:rsidR="001F0530" w:rsidRPr="007F530F" w:rsidRDefault="001F0530" w:rsidP="002C6923">
      <w:r w:rsidRPr="00495B88">
        <w:rPr>
          <w:rStyle w:val="Strong"/>
        </w:rPr>
        <w:t>Child sexual penetration offences:</w:t>
      </w:r>
      <w:r w:rsidR="000854F1">
        <w:rPr>
          <w:rStyle w:val="Strong"/>
        </w:rPr>
        <w:t xml:space="preserve"> </w:t>
      </w:r>
      <w:r w:rsidRPr="007F530F">
        <w:t>A term used generally to describe the specific offences listed in Table 8.</w:t>
      </w:r>
    </w:p>
    <w:p w14:paraId="08C4747E" w14:textId="2DA214AD" w:rsidR="001F0530" w:rsidRPr="007F530F" w:rsidRDefault="001F0530" w:rsidP="002C6923">
      <w:r w:rsidRPr="00495B88">
        <w:rPr>
          <w:rStyle w:val="Strong"/>
        </w:rPr>
        <w:t>Combined order:</w:t>
      </w:r>
      <w:r w:rsidR="000854F1">
        <w:rPr>
          <w:rStyle w:val="Strong"/>
        </w:rPr>
        <w:t xml:space="preserve"> </w:t>
      </w:r>
      <w:r w:rsidRPr="007F530F">
        <w:t>In this report, imprisonment combined with a community correction order.</w:t>
      </w:r>
    </w:p>
    <w:p w14:paraId="73B5B2CD" w14:textId="3DFFF076" w:rsidR="001F0530" w:rsidRPr="007F530F" w:rsidRDefault="001F0530" w:rsidP="002C6923">
      <w:r w:rsidRPr="00495B88">
        <w:rPr>
          <w:rStyle w:val="Strong"/>
        </w:rPr>
        <w:t>Community order:</w:t>
      </w:r>
      <w:r w:rsidR="000854F1">
        <w:rPr>
          <w:rStyle w:val="Strong"/>
        </w:rPr>
        <w:t xml:space="preserve"> </w:t>
      </w:r>
      <w:r w:rsidRPr="007F530F">
        <w:t xml:space="preserve">A non-custodial sentencing order that sits between an immediate custodial sentence and a fine on the sentencing hierarchy. It is served in the community under conditions that may include unpaid </w:t>
      </w:r>
      <w:r w:rsidRPr="007F530F">
        <w:lastRenderedPageBreak/>
        <w:t>community work, alcohol and drug bans, participation in treatment and rehabilitation programs and/or restrictions on where the offender can go or live, or who they can associate with. In this report, community orders include community correction orders, community-based orders (no longer available) and intensive correction orders (no longer available).</w:t>
      </w:r>
    </w:p>
    <w:p w14:paraId="1C99690C" w14:textId="1EB8C0E0" w:rsidR="001F0530" w:rsidRPr="007F530F" w:rsidRDefault="001F0530" w:rsidP="002C6923">
      <w:r w:rsidRPr="00495B88">
        <w:rPr>
          <w:rStyle w:val="Strong"/>
        </w:rPr>
        <w:t>Contact sex offence:</w:t>
      </w:r>
      <w:r w:rsidR="000854F1">
        <w:rPr>
          <w:rStyle w:val="Strong"/>
        </w:rPr>
        <w:t xml:space="preserve"> </w:t>
      </w:r>
      <w:r w:rsidRPr="007F530F">
        <w:t>An offence involving actual physical contact between the victim and offender (or a third person) for the purpose of achieving sexual gratification, including penetrative and non-penetrative acts.</w:t>
      </w:r>
    </w:p>
    <w:p w14:paraId="445FAD87" w14:textId="30CC1B55" w:rsidR="001F0530" w:rsidRPr="007F530F" w:rsidRDefault="001F0530" w:rsidP="002C6923">
      <w:r w:rsidRPr="00495B88">
        <w:rPr>
          <w:rStyle w:val="Strong"/>
        </w:rPr>
        <w:t>Current sentencing practices:</w:t>
      </w:r>
      <w:r w:rsidR="000854F1">
        <w:rPr>
          <w:rStyle w:val="Strong"/>
        </w:rPr>
        <w:t xml:space="preserve"> </w:t>
      </w:r>
      <w:r w:rsidRPr="007F530F">
        <w:t>In this report, the types and lengths of sentences imposed in other cases, especially in cases with comparatively similar facts and circumstances.</w:t>
      </w:r>
    </w:p>
    <w:p w14:paraId="2590E86A" w14:textId="21414A12" w:rsidR="001F0530" w:rsidRPr="007F530F" w:rsidRDefault="001F0530" w:rsidP="004C362C">
      <w:r w:rsidRPr="00495B88">
        <w:rPr>
          <w:rStyle w:val="Strong"/>
        </w:rPr>
        <w:t>Dalgliesh:</w:t>
      </w:r>
      <w:r w:rsidR="000854F1">
        <w:rPr>
          <w:rStyle w:val="Strong"/>
        </w:rPr>
        <w:t xml:space="preserve"> </w:t>
      </w:r>
      <w:r w:rsidRPr="007F530F">
        <w:t xml:space="preserve">In this report, primarily a reference to the High Court’s decision in </w:t>
      </w:r>
      <w:r w:rsidRPr="00D62402">
        <w:rPr>
          <w:rStyle w:val="Emphasis"/>
        </w:rPr>
        <w:t xml:space="preserve">DPP v Dalgliesh (A Pseudonym) </w:t>
      </w:r>
      <w:r w:rsidRPr="007F530F">
        <w:t xml:space="preserve">[2017] HCA 41, but also to the Court of Appeal’s two decisions in the same proceedings before and after the High Court judgment: </w:t>
      </w:r>
      <w:r w:rsidRPr="00D62402">
        <w:rPr>
          <w:rStyle w:val="Emphasis"/>
        </w:rPr>
        <w:t xml:space="preserve">DPP v Dalgliesh (A Pseudonym) </w:t>
      </w:r>
      <w:r w:rsidRPr="007F530F">
        <w:t xml:space="preserve">[2016] VSCA 148; </w:t>
      </w:r>
      <w:r w:rsidRPr="00D62402">
        <w:rPr>
          <w:rStyle w:val="Emphasis"/>
        </w:rPr>
        <w:t xml:space="preserve">DPP v Dalgliesh (A Pseudonym) </w:t>
      </w:r>
      <w:r w:rsidRPr="007F530F">
        <w:t>[2017] VSCA 360.</w:t>
      </w:r>
    </w:p>
    <w:p w14:paraId="4330F237" w14:textId="430FA0B0" w:rsidR="001F0530" w:rsidRPr="007F530F" w:rsidRDefault="001F0530" w:rsidP="002C6923">
      <w:r w:rsidRPr="00495B88">
        <w:rPr>
          <w:rStyle w:val="Strong"/>
        </w:rPr>
        <w:t>Immediate custodial sentence:</w:t>
      </w:r>
      <w:r w:rsidR="000854F1">
        <w:rPr>
          <w:rStyle w:val="Strong"/>
        </w:rPr>
        <w:t xml:space="preserve"> </w:t>
      </w:r>
      <w:r w:rsidRPr="007F530F">
        <w:t>In this report, a sentence that requires an offender to serve at least some time in custody, including imprisonment, combined orders, partially suspended sentences, youth justice centre orders and youth training centre orders (the predecessor to youth justice centre orders). It does not include wholly suspended sentences, which can result in, but do not necessarily require, the offender spending time in custody.</w:t>
      </w:r>
    </w:p>
    <w:p w14:paraId="47C8FB4D" w14:textId="49945D5F" w:rsidR="001F0530" w:rsidRPr="007F530F" w:rsidRDefault="001F0530" w:rsidP="002C6923">
      <w:r w:rsidRPr="00495B88">
        <w:rPr>
          <w:rStyle w:val="Strong"/>
        </w:rPr>
        <w:t>Incest offences:</w:t>
      </w:r>
      <w:r w:rsidR="000854F1">
        <w:rPr>
          <w:rStyle w:val="Strong"/>
        </w:rPr>
        <w:t xml:space="preserve"> </w:t>
      </w:r>
      <w:r w:rsidRPr="007F530F">
        <w:t>A term used generally to describe the specific offences listed in Table 6.</w:t>
      </w:r>
    </w:p>
    <w:p w14:paraId="045D9237" w14:textId="5BCEF2C1" w:rsidR="001F0530" w:rsidRPr="007F530F" w:rsidRDefault="001F0530" w:rsidP="002C6923">
      <w:r w:rsidRPr="00495B88">
        <w:rPr>
          <w:rStyle w:val="Strong"/>
        </w:rPr>
        <w:lastRenderedPageBreak/>
        <w:t>Non-aggregate sentence of imprisonment:</w:t>
      </w:r>
      <w:r w:rsidR="000854F1">
        <w:rPr>
          <w:rStyle w:val="Strong"/>
        </w:rPr>
        <w:t xml:space="preserve"> </w:t>
      </w:r>
      <w:r w:rsidRPr="007F530F">
        <w:t>A single prison sentence imposed for one charge in a case, thereby specifying the individual prison sentence for that charge.</w:t>
      </w:r>
    </w:p>
    <w:p w14:paraId="14BF0846" w14:textId="2D43CFE0" w:rsidR="001F0530" w:rsidRPr="007F530F" w:rsidRDefault="001F0530" w:rsidP="002C6923">
      <w:r w:rsidRPr="00495B88">
        <w:rPr>
          <w:rStyle w:val="Strong"/>
        </w:rPr>
        <w:t>Non-parole period:</w:t>
      </w:r>
      <w:r w:rsidR="000854F1">
        <w:rPr>
          <w:rStyle w:val="Strong"/>
        </w:rPr>
        <w:t xml:space="preserve"> </w:t>
      </w:r>
      <w:r w:rsidRPr="007F530F">
        <w:t>The period an offender must serve before becoming eligible for parole if they received a total effective sentence of one year or more. Non-parole periods are not imposed for sentences under one year. If parole is granted, the offender must serve the remainder of their sentence under supervision in the community. See total effective sentence.</w:t>
      </w:r>
    </w:p>
    <w:p w14:paraId="7FAD130F" w14:textId="1D8A7E39" w:rsidR="001F0530" w:rsidRPr="007F530F" w:rsidRDefault="001F0530" w:rsidP="002C6923">
      <w:r w:rsidRPr="00495B88">
        <w:rPr>
          <w:rStyle w:val="Strong"/>
        </w:rPr>
        <w:t>Pearson’s correlation coefficient:</w:t>
      </w:r>
      <w:r w:rsidR="000854F1">
        <w:rPr>
          <w:rStyle w:val="Strong"/>
        </w:rPr>
        <w:t xml:space="preserve"> </w:t>
      </w:r>
      <w:r w:rsidRPr="007F530F">
        <w:t>In this report, a mathematical formula to the measure of the strength of a linear relationship between average sentences and each year of sentence. The strength of that relationship informs whether the changes over time are random or part of a trend.</w:t>
      </w:r>
    </w:p>
    <w:p w14:paraId="2DC1180B" w14:textId="65190CDF" w:rsidR="001F0530" w:rsidRPr="007F530F" w:rsidRDefault="001F0530" w:rsidP="002C6923">
      <w:r w:rsidRPr="00495B88">
        <w:rPr>
          <w:rStyle w:val="Strong"/>
        </w:rPr>
        <w:t>Persistent sexual abuse of a child offences:</w:t>
      </w:r>
      <w:r w:rsidR="000854F1">
        <w:rPr>
          <w:rStyle w:val="Strong"/>
        </w:rPr>
        <w:t xml:space="preserve"> </w:t>
      </w:r>
      <w:r w:rsidRPr="007F530F">
        <w:t>A term used generally to describe the specific offences listed in Table 12.</w:t>
      </w:r>
    </w:p>
    <w:p w14:paraId="63C41F8E" w14:textId="0D0FC1BF" w:rsidR="001F0530" w:rsidRPr="007F530F" w:rsidRDefault="001F0530" w:rsidP="002C6923">
      <w:r w:rsidRPr="00495B88">
        <w:rPr>
          <w:rStyle w:val="Strong"/>
        </w:rPr>
        <w:t>Rape offences:</w:t>
      </w:r>
      <w:r w:rsidR="000854F1">
        <w:rPr>
          <w:rStyle w:val="Strong"/>
        </w:rPr>
        <w:t xml:space="preserve"> </w:t>
      </w:r>
      <w:r w:rsidRPr="007F530F">
        <w:t xml:space="preserve">A term used generally to describe the specific offences listed in Table 2. </w:t>
      </w:r>
    </w:p>
    <w:p w14:paraId="75FB8850" w14:textId="30888418" w:rsidR="001F0530" w:rsidRPr="007F530F" w:rsidRDefault="001F0530" w:rsidP="002C6923">
      <w:r w:rsidRPr="00495B88">
        <w:rPr>
          <w:rStyle w:val="Strong"/>
        </w:rPr>
        <w:t>Recorded offence:</w:t>
      </w:r>
      <w:r w:rsidR="000854F1">
        <w:rPr>
          <w:rStyle w:val="Strong"/>
        </w:rPr>
        <w:t xml:space="preserve"> </w:t>
      </w:r>
      <w:r w:rsidRPr="007F530F">
        <w:t>The Crime Statistics Agency defines a recorded offence as ‘any criminal act or omission by a person or organisation for which a penalty could be imposed by the Victorian legal system … An offence is counted and included in the data where it: was reported to, or detected by, Victoria Police; and was first recorded within the reference period.’</w:t>
      </w:r>
    </w:p>
    <w:p w14:paraId="4DA95D52" w14:textId="0040600B" w:rsidR="001F0530" w:rsidRPr="007F530F" w:rsidRDefault="001F0530" w:rsidP="002C6923">
      <w:r w:rsidRPr="00495B88">
        <w:rPr>
          <w:rStyle w:val="Strong"/>
        </w:rPr>
        <w:t>Sexual assault offences:</w:t>
      </w:r>
      <w:r w:rsidR="000854F1">
        <w:rPr>
          <w:rStyle w:val="Strong"/>
        </w:rPr>
        <w:t xml:space="preserve"> </w:t>
      </w:r>
      <w:r w:rsidRPr="007F530F">
        <w:t>A term used generally to describe the specific offences listed in Table 4.</w:t>
      </w:r>
    </w:p>
    <w:p w14:paraId="756E0128" w14:textId="40B138DF" w:rsidR="001F0530" w:rsidRPr="007F530F" w:rsidRDefault="001F0530" w:rsidP="002C6923">
      <w:r w:rsidRPr="00495B88">
        <w:rPr>
          <w:rStyle w:val="Strong"/>
        </w:rPr>
        <w:t>Standard sentence:</w:t>
      </w:r>
      <w:r w:rsidR="000854F1">
        <w:rPr>
          <w:rStyle w:val="Strong"/>
        </w:rPr>
        <w:t xml:space="preserve"> </w:t>
      </w:r>
      <w:r w:rsidRPr="007F530F">
        <w:t xml:space="preserve">A guidepost that courts consider when sentencing specified serious offences, including rape and murder. The standard </w:t>
      </w:r>
      <w:r w:rsidRPr="007F530F">
        <w:lastRenderedPageBreak/>
        <w:t>sentence represents the middle of the range of seriousness when just considering the offending and no other factors (such as the offender’s circumstances, prior offending history or plea). The standard sentence for most of these offences is set at 40% of the maximum penalty.</w:t>
      </w:r>
    </w:p>
    <w:p w14:paraId="182F4ABA" w14:textId="69DFA9AA" w:rsidR="001F0530" w:rsidRPr="007F530F" w:rsidRDefault="001F0530" w:rsidP="002C6923">
      <w:r w:rsidRPr="00495B88">
        <w:rPr>
          <w:rStyle w:val="Strong"/>
        </w:rPr>
        <w:t>Statistical significance:</w:t>
      </w:r>
      <w:r w:rsidR="000854F1">
        <w:rPr>
          <w:rStyle w:val="Strong"/>
        </w:rPr>
        <w:t xml:space="preserve"> </w:t>
      </w:r>
      <w:r w:rsidRPr="007F530F">
        <w:t>In this report, the evaluation of a trend in the data (for example, the average sentence each year) as not likely to have occurred randomly, but likely to have occurred due to specific causes. See Pearson’s correlation coefficient.</w:t>
      </w:r>
    </w:p>
    <w:p w14:paraId="69528A53" w14:textId="447CC124" w:rsidR="001F0530" w:rsidRPr="007F530F" w:rsidRDefault="001F0530" w:rsidP="002C6923">
      <w:r w:rsidRPr="00495B88">
        <w:rPr>
          <w:rStyle w:val="Strong"/>
        </w:rPr>
        <w:t>Suspended sentence:</w:t>
      </w:r>
      <w:r w:rsidR="000854F1">
        <w:rPr>
          <w:rStyle w:val="Strong"/>
        </w:rPr>
        <w:t xml:space="preserve"> </w:t>
      </w:r>
      <w:r w:rsidRPr="007F530F">
        <w:t>A now abolished prison sentence that the court held back, wholly or partially, for a period. If the offender reoffended during this period, they could be imprisoned for the total duration of the sentence. Suspended sentences are no longer available in the higher courts for offences committed on or after 1 September 2013, or in the Magistrates’ Court for offences committed on or after 1 September 2014.</w:t>
      </w:r>
    </w:p>
    <w:p w14:paraId="1E917A4E" w14:textId="010A4884" w:rsidR="001F0530" w:rsidRPr="007F530F" w:rsidRDefault="001F0530" w:rsidP="002C6923">
      <w:r w:rsidRPr="00495B88">
        <w:rPr>
          <w:rStyle w:val="Strong"/>
        </w:rPr>
        <w:t>Total effective sentence:</w:t>
      </w:r>
      <w:r w:rsidR="000854F1">
        <w:rPr>
          <w:rStyle w:val="Strong"/>
        </w:rPr>
        <w:t xml:space="preserve"> </w:t>
      </w:r>
      <w:r w:rsidRPr="007F530F">
        <w:t>The prison sentence imposed for all charges in a case before the non-parole period is set. In a case with a single charge, the total effective sentence is the sentence imposed for that charge. In a case with multiple charges, the total effective sentence is the total of the sentences imposed for all charges, taking into account whether the sentences are to be served cumulatively or concurrently.</w:t>
      </w:r>
    </w:p>
    <w:p w14:paraId="54801517" w14:textId="77777777" w:rsidR="00EF5C25" w:rsidRPr="007F530F" w:rsidRDefault="00EF5C25" w:rsidP="005F44D2">
      <w:pPr>
        <w:pStyle w:val="Heading1"/>
        <w:pageBreakBefore/>
      </w:pPr>
      <w:bookmarkStart w:id="19" w:name="_Toc74904012"/>
      <w:r w:rsidRPr="007F530F">
        <w:lastRenderedPageBreak/>
        <w:t>References</w:t>
      </w:r>
      <w:bookmarkEnd w:id="19"/>
    </w:p>
    <w:p w14:paraId="50B607DE" w14:textId="77777777" w:rsidR="00EF5C25" w:rsidRPr="007F530F" w:rsidRDefault="00EF5C25" w:rsidP="006633AA">
      <w:pPr>
        <w:pStyle w:val="Heading2"/>
      </w:pPr>
      <w:r w:rsidRPr="007F530F">
        <w:t>Bibliography</w:t>
      </w:r>
    </w:p>
    <w:p w14:paraId="7258BACB" w14:textId="77777777" w:rsidR="00EF5C25" w:rsidRPr="007F530F" w:rsidRDefault="00EF5C25" w:rsidP="002C6923">
      <w:r w:rsidRPr="007F530F">
        <w:t xml:space="preserve">Australian Bureau of Statistics, cat no. 1234.0, </w:t>
      </w:r>
      <w:r w:rsidRPr="00D62402">
        <w:rPr>
          <w:rStyle w:val="Emphasis"/>
        </w:rPr>
        <w:t>Australian and New Zealand Standard Offence Classification (ANZSOC)</w:t>
      </w:r>
      <w:r w:rsidRPr="007F530F">
        <w:t xml:space="preserve"> (2011) &lt;https://www.abs.gov.au/ausstats/abs@.nsf/mf/1234.0&gt;.</w:t>
      </w:r>
    </w:p>
    <w:p w14:paraId="5102F435" w14:textId="77777777" w:rsidR="00EF5C25" w:rsidRPr="007F530F" w:rsidRDefault="00EF5C25" w:rsidP="002C6923">
      <w:r w:rsidRPr="007F530F">
        <w:t>Australian Bureau of Statistics, cat. no. 2008.0‘Census of Population and Housing’ (2016) &lt;https://www.abs.gov.au/websitedbs/censushome.nsf/home/2016&gt;.</w:t>
      </w:r>
    </w:p>
    <w:p w14:paraId="795F75D5" w14:textId="77777777" w:rsidR="00EF5C25" w:rsidRPr="007F530F" w:rsidRDefault="00EF5C25" w:rsidP="002C6923">
      <w:r w:rsidRPr="007F530F">
        <w:t xml:space="preserve">Australian Institute of Health and Welfare, </w:t>
      </w:r>
      <w:r w:rsidRPr="00D62402">
        <w:rPr>
          <w:rStyle w:val="Emphasis"/>
        </w:rPr>
        <w:t xml:space="preserve">Sexual Assault in Australia </w:t>
      </w:r>
      <w:r w:rsidRPr="007F530F">
        <w:t>(Australian Institute of Health and Welfare, 2020) &lt;https://www.aihw.gov.au/reports/domestic-violence/sexual-assault-in-australia/contents/summary&gt;.</w:t>
      </w:r>
    </w:p>
    <w:p w14:paraId="5E3871C0" w14:textId="77777777" w:rsidR="00EF5C25" w:rsidRPr="007F530F" w:rsidRDefault="00EF5C25" w:rsidP="002C6923">
      <w:r w:rsidRPr="007F530F">
        <w:t>Bartels, Lorana, Kate Warner and George Zsenkowski, ‘National Research with Jurors on Sentences for Sexual Offenders’</w:t>
      </w:r>
      <w:r w:rsidRPr="00D62402">
        <w:rPr>
          <w:rStyle w:val="Emphasis"/>
        </w:rPr>
        <w:t xml:space="preserve"> </w:t>
      </w:r>
      <w:r w:rsidRPr="007F530F">
        <w:t xml:space="preserve">(2014) 26(2) </w:t>
      </w:r>
      <w:r w:rsidRPr="00D62402">
        <w:rPr>
          <w:rStyle w:val="Emphasis"/>
        </w:rPr>
        <w:t xml:space="preserve">Judicial Officers’ Bulletin </w:t>
      </w:r>
      <w:r w:rsidRPr="007F530F">
        <w:t>9.</w:t>
      </w:r>
    </w:p>
    <w:p w14:paraId="3670B8E1" w14:textId="77777777" w:rsidR="00EF5C25" w:rsidRPr="007F530F" w:rsidRDefault="00EF5C25" w:rsidP="002C6923">
      <w:r w:rsidRPr="007F530F">
        <w:t xml:space="preserve">Benedet, Janine, ‘Sentencing for Sexual Offences Against Children and Youth: Mandatory Minimums, Proportionality and Unintended Consequences’ (2019) 44(2) </w:t>
      </w:r>
      <w:r w:rsidRPr="00D62402">
        <w:rPr>
          <w:rStyle w:val="Emphasis"/>
        </w:rPr>
        <w:t xml:space="preserve">Queen’s Law Journal </w:t>
      </w:r>
      <w:r w:rsidRPr="007F530F">
        <w:t>284.</w:t>
      </w:r>
    </w:p>
    <w:p w14:paraId="1D715952" w14:textId="77777777" w:rsidR="00EF5C25" w:rsidRPr="007F530F" w:rsidRDefault="00EF5C25" w:rsidP="002C6923">
      <w:r w:rsidRPr="007F530F">
        <w:t xml:space="preserve">Boxall, Hayley and Georgina Fuller, </w:t>
      </w:r>
      <w:r w:rsidRPr="00D62402">
        <w:rPr>
          <w:rStyle w:val="Emphasis"/>
        </w:rPr>
        <w:t xml:space="preserve">Brief Review of Contemporary Sexual Offences and Child Sexual Abuse Legislation in Australia: 2015 Update </w:t>
      </w:r>
      <w:r w:rsidRPr="007F530F">
        <w:t>(Australian Institute of Criminology, 2016) &lt;https://www.aic.gov.au/sites/default/files/2020-05/Brief-review-sex-abuse-legislation-2015.pdf&gt;.</w:t>
      </w:r>
    </w:p>
    <w:p w14:paraId="207C6081" w14:textId="77777777" w:rsidR="00EF5C25" w:rsidRPr="007F530F" w:rsidRDefault="00EF5C25" w:rsidP="002C6923">
      <w:r w:rsidRPr="007F530F">
        <w:t>Cashmore, Judith, Alan Taylor and Patrick Parkinson, ‘Fourteen-Year Trends in the Criminal Justice Response to Child Sexual Abuse Reports in New South Wales’ (2020) 25(1) </w:t>
      </w:r>
      <w:r w:rsidRPr="00D62402">
        <w:rPr>
          <w:rStyle w:val="Emphasis"/>
        </w:rPr>
        <w:t>Child Maltreatment </w:t>
      </w:r>
      <w:r w:rsidRPr="007F530F">
        <w:t>85.</w:t>
      </w:r>
    </w:p>
    <w:p w14:paraId="5E8EF3CD" w14:textId="77777777" w:rsidR="00EF5C25" w:rsidRPr="007F530F" w:rsidRDefault="00EF5C25" w:rsidP="002C6923">
      <w:r w:rsidRPr="007F530F">
        <w:lastRenderedPageBreak/>
        <w:t xml:space="preserve">Commonwealth of Australia, Royal Commission into Institutional Responses to Child Sexual Abuse, </w:t>
      </w:r>
      <w:r w:rsidRPr="00D62402">
        <w:rPr>
          <w:rStyle w:val="Emphasis"/>
        </w:rPr>
        <w:t>Final Report,</w:t>
      </w:r>
      <w:r w:rsidRPr="007F530F">
        <w:t xml:space="preserve"> vol. 3 (2017).</w:t>
      </w:r>
    </w:p>
    <w:p w14:paraId="2D2BEF7E" w14:textId="77777777" w:rsidR="00EF5C25" w:rsidRPr="007F530F" w:rsidRDefault="00EF5C25" w:rsidP="002C6923">
      <w:r w:rsidRPr="007F530F">
        <w:t xml:space="preserve">Debowska, Agata, George Hales and Daniel Boduszek, ‘Violence Against Children by Stepparents’, in Todd K. Shackelford (ed.), </w:t>
      </w:r>
      <w:r w:rsidRPr="00D62402">
        <w:rPr>
          <w:rStyle w:val="Emphasis"/>
        </w:rPr>
        <w:t xml:space="preserve">The Sage Handbook of Domestic Violence </w:t>
      </w:r>
      <w:r w:rsidRPr="007F530F">
        <w:t>(Sage, 2020).</w:t>
      </w:r>
    </w:p>
    <w:p w14:paraId="098F7D75" w14:textId="77777777" w:rsidR="00EF5C25" w:rsidRPr="007F530F" w:rsidRDefault="00EF5C25" w:rsidP="002C6923">
      <w:r w:rsidRPr="007F530F">
        <w:t xml:space="preserve">Department of Justice (Vic), </w:t>
      </w:r>
      <w:r w:rsidRPr="00D62402">
        <w:rPr>
          <w:rStyle w:val="Emphasis"/>
        </w:rPr>
        <w:t xml:space="preserve">Review of Sexual Offences: Consultation Paper </w:t>
      </w:r>
      <w:r w:rsidRPr="007F530F">
        <w:t>(Department of Justice (Vic), 2013).</w:t>
      </w:r>
    </w:p>
    <w:p w14:paraId="60CCAC52" w14:textId="77777777" w:rsidR="00EF5C25" w:rsidRPr="007F530F" w:rsidRDefault="00EF5C25" w:rsidP="002C6923">
      <w:r w:rsidRPr="007F530F">
        <w:t xml:space="preserve">Englich, Birte and Thomas Mussweiler, ‘Sentencing Under Uncertainty: Anchoring Effects in the Courtroom’ (2001) 31(7) </w:t>
      </w:r>
      <w:r w:rsidRPr="00D62402">
        <w:rPr>
          <w:rStyle w:val="Emphasis"/>
        </w:rPr>
        <w:t xml:space="preserve">Journal of Applied Social Psychology </w:t>
      </w:r>
      <w:r w:rsidRPr="007F530F">
        <w:t>1535.</w:t>
      </w:r>
    </w:p>
    <w:p w14:paraId="26FBB62F" w14:textId="77777777" w:rsidR="00EF5C25" w:rsidRPr="007F530F" w:rsidRDefault="00EF5C25" w:rsidP="002C6923">
      <w:r w:rsidRPr="007F530F">
        <w:t xml:space="preserve">Fitzgerald, Jacqueline, </w:t>
      </w:r>
      <w:r w:rsidRPr="00D62402">
        <w:rPr>
          <w:rStyle w:val="Emphasis"/>
        </w:rPr>
        <w:t>The Attrition of Sexual Offences from the New South Wales Criminal Justice System</w:t>
      </w:r>
      <w:r w:rsidRPr="007F530F">
        <w:t>, Crime and Justice Bulletin no. 92 (NSW Bureau of Crime Statistics and Research, 2006) &lt;https://www.bocsar.nsw.gov.au/Publications/CJB/cjb92.pdf&gt;.</w:t>
      </w:r>
    </w:p>
    <w:p w14:paraId="2188EE3C" w14:textId="77777777" w:rsidR="00EF5C25" w:rsidRPr="007F530F" w:rsidRDefault="00EF5C25" w:rsidP="002C6923">
      <w:r w:rsidRPr="007F530F">
        <w:t xml:space="preserve">Freiberg, Arie, ‘Institutional Responses to the Sentencing Recommendations of the Royal Commission into Institutional Responses to Child Sexual Abuse’ (2020) 44 </w:t>
      </w:r>
      <w:r w:rsidRPr="00D62402">
        <w:rPr>
          <w:rStyle w:val="Emphasis"/>
        </w:rPr>
        <w:t>Criminal Law Journal</w:t>
      </w:r>
      <w:r w:rsidRPr="007F530F">
        <w:t xml:space="preserve"> 127.</w:t>
      </w:r>
    </w:p>
    <w:p w14:paraId="1D284060" w14:textId="77777777" w:rsidR="00EF5C25" w:rsidRPr="007F530F" w:rsidRDefault="00EF5C25" w:rsidP="002C6923">
      <w:r w:rsidRPr="007F530F">
        <w:t xml:space="preserve">Law Reform Commission of Victoria, </w:t>
      </w:r>
      <w:r w:rsidRPr="00D62402">
        <w:rPr>
          <w:rStyle w:val="Emphasis"/>
        </w:rPr>
        <w:t>Rape: Reform of Law and Procedure, Interim Report</w:t>
      </w:r>
      <w:r w:rsidRPr="007F530F">
        <w:t>, Report no. 42 (Law Reform Commission of Victoria, 1991).</w:t>
      </w:r>
    </w:p>
    <w:p w14:paraId="2C3A6EC7" w14:textId="77777777" w:rsidR="00EF5C25" w:rsidRPr="007F530F" w:rsidRDefault="00EF5C25" w:rsidP="002C6923">
      <w:r w:rsidRPr="007F530F">
        <w:t xml:space="preserve">Law Reform Commission of Victoria, </w:t>
      </w:r>
      <w:r w:rsidRPr="00D62402">
        <w:rPr>
          <w:rStyle w:val="Emphasis"/>
        </w:rPr>
        <w:t>Rape and Allied Offences: Substantive Aspects</w:t>
      </w:r>
      <w:r w:rsidRPr="007F530F">
        <w:t>, Report no. 7 (Law Reform Commission of Victoria, 1987).</w:t>
      </w:r>
    </w:p>
    <w:p w14:paraId="58B8A235" w14:textId="77777777" w:rsidR="00EF5C25" w:rsidRPr="007F530F" w:rsidRDefault="00EF5C25" w:rsidP="002C6923">
      <w:r w:rsidRPr="007F530F">
        <w:t xml:space="preserve">Law Reform Commission of Victoria, </w:t>
      </w:r>
      <w:r w:rsidRPr="00D62402">
        <w:rPr>
          <w:rStyle w:val="Emphasis"/>
        </w:rPr>
        <w:t>Sexual Offences Against Children</w:t>
      </w:r>
      <w:r w:rsidRPr="007F530F">
        <w:t>, Report no. 18 (Law Reform Commission of Victoria, 1988).</w:t>
      </w:r>
    </w:p>
    <w:p w14:paraId="3E33A3E5" w14:textId="77777777" w:rsidR="00EF5C25" w:rsidRPr="007F530F" w:rsidRDefault="00EF5C25" w:rsidP="002C6923">
      <w:r w:rsidRPr="007F530F">
        <w:lastRenderedPageBreak/>
        <w:t xml:space="preserve">Law Reform Commission of Victoria, </w:t>
      </w:r>
      <w:r w:rsidRPr="00D62402">
        <w:rPr>
          <w:rStyle w:val="Emphasis"/>
        </w:rPr>
        <w:t>Sexual Offences Against People with Impaired Mental Functioning</w:t>
      </w:r>
      <w:r w:rsidRPr="007F530F">
        <w:t>, Report no. 15 (Law Reform Commission of Victoria, 1988).</w:t>
      </w:r>
    </w:p>
    <w:p w14:paraId="5E235D75" w14:textId="77777777" w:rsidR="00EF5C25" w:rsidRPr="007F530F" w:rsidRDefault="00EF5C25" w:rsidP="002C6923">
      <w:r w:rsidRPr="007F530F">
        <w:t xml:space="preserve">Marder, Ian and Jose Pina-Sánchez, ‘Nudge the Judge? Theorising the Interaction Between Heuristics, Sentencing Guidelines and Sentence Clustering’ (2020) 20(4) </w:t>
      </w:r>
      <w:r w:rsidRPr="00D62402">
        <w:rPr>
          <w:rStyle w:val="Emphasis"/>
        </w:rPr>
        <w:t xml:space="preserve">Criminology &amp; Criminal Justice </w:t>
      </w:r>
      <w:r w:rsidRPr="007F530F">
        <w:t>399.</w:t>
      </w:r>
    </w:p>
    <w:p w14:paraId="0DC54678" w14:textId="77777777" w:rsidR="00EF5C25" w:rsidRPr="007F530F" w:rsidRDefault="00EF5C25" w:rsidP="002C6923">
      <w:r w:rsidRPr="007F530F">
        <w:t>Millsteed, Melanie and Cleave McDonald, </w:t>
      </w:r>
      <w:r w:rsidRPr="00D62402">
        <w:rPr>
          <w:rStyle w:val="Emphasis"/>
        </w:rPr>
        <w:t>Attrition of Sexual Offence Incidents Across the Victorian Criminal Justice System </w:t>
      </w:r>
      <w:r w:rsidRPr="007F530F">
        <w:t>(Crime Statistics Agency, 2017) &lt;https://www.crimestatistics.vic.gov.au/sites/default/files/embridge_cache/emshare/original/public/2017/01/fd/8d51b2494/20170202_SexualOffenceAttrition_FinalReport.pdf&gt;.</w:t>
      </w:r>
    </w:p>
    <w:p w14:paraId="642D31D3" w14:textId="77777777" w:rsidR="00EF5C25" w:rsidRPr="007F530F" w:rsidRDefault="00EF5C25" w:rsidP="002C6923">
      <w:r w:rsidRPr="007F530F">
        <w:t>Pakula, Martin, ‘State Election 2018: Statement from Attorney-General Martin Pakula’ (liv.asn.au, 2018) &lt;https://www.liv.asn.au/Staying-Informed/LIJ/LIJ/November-2018/Statement-from-Attorney-General-Martin-Pakula&gt;.</w:t>
      </w:r>
    </w:p>
    <w:p w14:paraId="34DD4963" w14:textId="77777777" w:rsidR="00EF5C25" w:rsidRPr="007F530F" w:rsidRDefault="00EF5C25" w:rsidP="002C6923">
      <w:r w:rsidRPr="007F530F">
        <w:t xml:space="preserve">Sentencing Advisory Council, </w:t>
      </w:r>
      <w:r w:rsidRPr="00D62402">
        <w:rPr>
          <w:rStyle w:val="Emphasis"/>
        </w:rPr>
        <w:t xml:space="preserve">Baseline Sentencing: Report </w:t>
      </w:r>
      <w:r w:rsidRPr="007F530F">
        <w:t>(Sentencing Advisory Council, 2012) &lt;https://www.sentencingcouncil.vic.gov.au/publications/baseline-sentencing-report&gt;.</w:t>
      </w:r>
    </w:p>
    <w:p w14:paraId="28553DB9" w14:textId="77777777" w:rsidR="00EF5C25" w:rsidRPr="007F530F" w:rsidRDefault="00EF5C25" w:rsidP="002C6923">
      <w:r w:rsidRPr="007F530F">
        <w:t xml:space="preserve">Sentencing Advisory Council, </w:t>
      </w:r>
      <w:r w:rsidRPr="00D62402">
        <w:rPr>
          <w:rStyle w:val="Emphasis"/>
        </w:rPr>
        <w:t xml:space="preserve">Community Attitudes to Offence Seriousness </w:t>
      </w:r>
      <w:r w:rsidRPr="007F530F">
        <w:t>(Sentencing Advisory Council, 2012) &lt;https://www.sentencingcouncil.vic.gov.au/publications/community-attitudes-to-offence-seriousness&gt;.</w:t>
      </w:r>
    </w:p>
    <w:p w14:paraId="692DA51E" w14:textId="77777777" w:rsidR="00EF5C25" w:rsidRPr="007F530F" w:rsidRDefault="00EF5C25" w:rsidP="002C6923">
      <w:r w:rsidRPr="007F530F">
        <w:t xml:space="preserve">Sentencing Advisory Council, </w:t>
      </w:r>
      <w:r w:rsidRPr="00D62402">
        <w:rPr>
          <w:rStyle w:val="Emphasis"/>
        </w:rPr>
        <w:t>Community Correction Orders: Third Monitoring Report (Post-Guideline Judgment)</w:t>
      </w:r>
      <w:r w:rsidRPr="007F530F">
        <w:t xml:space="preserve"> (Sentencing Advisory Council, 2015) </w:t>
      </w:r>
      <w:r w:rsidRPr="007F530F">
        <w:lastRenderedPageBreak/>
        <w:t>&lt;https://www.sentencingcouncil.vic.gov.au/publications/community-correction-orders-third-monitoring-report-post-guideline-judgment&gt;.</w:t>
      </w:r>
    </w:p>
    <w:p w14:paraId="1724519C" w14:textId="77777777" w:rsidR="00EF5C25" w:rsidRPr="007F530F" w:rsidRDefault="00EF5C25" w:rsidP="002C6923">
      <w:r w:rsidRPr="007F530F">
        <w:t xml:space="preserve">Sentencing Advisory Council, </w:t>
      </w:r>
      <w:r w:rsidRPr="00D62402">
        <w:rPr>
          <w:rStyle w:val="Emphasis"/>
        </w:rPr>
        <w:t>Guide to Sentencing Schemes in Victoria</w:t>
      </w:r>
      <w:r w:rsidRPr="007F530F">
        <w:t xml:space="preserve"> (Sentencing Advisory Council, 2021) &lt;https://www.sentencingcouncil.vic.gov.au/publications/guide-sentencing-schemes-victoria&gt;.</w:t>
      </w:r>
    </w:p>
    <w:p w14:paraId="675B7BC0" w14:textId="77777777" w:rsidR="00EF5C25" w:rsidRPr="007F530F" w:rsidRDefault="00EF5C25" w:rsidP="002C6923">
      <w:r w:rsidRPr="007F530F">
        <w:t xml:space="preserve">Sentencing Advisory Council, </w:t>
      </w:r>
      <w:r w:rsidRPr="00D62402">
        <w:rPr>
          <w:rStyle w:val="Emphasis"/>
        </w:rPr>
        <w:t xml:space="preserve">Guilty Pleas in the Higher Courts: Rates, Timing, and Discounts </w:t>
      </w:r>
      <w:r w:rsidRPr="007F530F">
        <w:t>(Sentencing Advisory Council, 2015) &lt;https://www.sentencingcouncil.vic.gov.au/publications/guilty-pleas-higher-courts-rates-timing-and-discounts&gt;.</w:t>
      </w:r>
    </w:p>
    <w:p w14:paraId="3BA769CA" w14:textId="77777777" w:rsidR="00EF5C25" w:rsidRPr="007F530F" w:rsidRDefault="00EF5C25" w:rsidP="002C6923">
      <w:r w:rsidRPr="007F530F">
        <w:t xml:space="preserve">Sentencing Advisory Council, </w:t>
      </w:r>
      <w:r w:rsidRPr="00D62402">
        <w:rPr>
          <w:rStyle w:val="Emphasis"/>
        </w:rPr>
        <w:t xml:space="preserve">Is Sentencing in Victoria Lenient? Key Findings of the Victorian Jury Sentencing Study </w:t>
      </w:r>
      <w:r w:rsidRPr="007F530F">
        <w:t>(Sentencing Advisory Council, 2018) &lt;https://www.sentencingcouncil.vic.gov.au/publications/sentencing-victoria-lenient&gt;.</w:t>
      </w:r>
    </w:p>
    <w:p w14:paraId="20923996" w14:textId="77777777" w:rsidR="00EF5C25" w:rsidRPr="007F530F" w:rsidRDefault="00EF5C25" w:rsidP="002C6923">
      <w:r w:rsidRPr="007F530F">
        <w:t xml:space="preserve">Sentencing Advisory Council, </w:t>
      </w:r>
      <w:r w:rsidRPr="00D62402">
        <w:rPr>
          <w:rStyle w:val="Emphasis"/>
        </w:rPr>
        <w:t xml:space="preserve">Mandatory Sentencing: Information Paper </w:t>
      </w:r>
      <w:r w:rsidRPr="007F530F">
        <w:t>(Sentencing Advisory Council, 2008) &lt;https://www.sentencingcouncil.vic.gov.au/publications/mandatory-sentencing-information-paper&gt;.</w:t>
      </w:r>
    </w:p>
    <w:p w14:paraId="24B7E2BF" w14:textId="77777777" w:rsidR="00EF5C25" w:rsidRPr="007F530F" w:rsidRDefault="00EF5C25" w:rsidP="002C6923">
      <w:r w:rsidRPr="007F530F">
        <w:t xml:space="preserve">Sentencing Advisory Council, </w:t>
      </w:r>
      <w:r w:rsidRPr="00D62402">
        <w:rPr>
          <w:rStyle w:val="Emphasis"/>
        </w:rPr>
        <w:t xml:space="preserve">Maximum Penalties for Sexual Penetration with a Child Under 16: Consultation Paper </w:t>
      </w:r>
      <w:r w:rsidRPr="007F530F">
        <w:t>(Sentencing Advisory Council, 2009) &lt;https://www.sentencingcouncil.vic.gov.au/publications/maximum-penalties-for-sexual-penetration-with-a-child-under-16-consultation-paper&gt;.</w:t>
      </w:r>
    </w:p>
    <w:p w14:paraId="3D827627" w14:textId="77777777" w:rsidR="00EF5C25" w:rsidRPr="007F530F" w:rsidRDefault="00EF5C25" w:rsidP="002C6923">
      <w:r w:rsidRPr="007F530F">
        <w:t xml:space="preserve">Sentencing Advisory Council, </w:t>
      </w:r>
      <w:r w:rsidRPr="00D62402">
        <w:rPr>
          <w:rStyle w:val="Emphasis"/>
        </w:rPr>
        <w:t xml:space="preserve">Maximum Penalties for Sexual Penetration with a Child Under 16: Report </w:t>
      </w:r>
      <w:r w:rsidRPr="007F530F">
        <w:t xml:space="preserve">(Sentencing Advisory Council, 2009) </w:t>
      </w:r>
      <w:r w:rsidRPr="007F530F">
        <w:lastRenderedPageBreak/>
        <w:t>&lt;https://www.sentencingcouncil.vic.gov.au/publications/maximum-penalties-for-sexual-penetration-with-a-child-under-16-report&gt;.</w:t>
      </w:r>
    </w:p>
    <w:p w14:paraId="50FB9BEB" w14:textId="77777777" w:rsidR="00EF5C25" w:rsidRPr="007F530F" w:rsidRDefault="00EF5C25" w:rsidP="002C6923">
      <w:r w:rsidRPr="007F530F">
        <w:t xml:space="preserve">Sentencing Advisory Council, </w:t>
      </w:r>
      <w:r w:rsidRPr="00D62402">
        <w:rPr>
          <w:rStyle w:val="Emphasis"/>
        </w:rPr>
        <w:t xml:space="preserve">Public Opinion About Sentencing: A Research Overview </w:t>
      </w:r>
      <w:r w:rsidRPr="007F530F">
        <w:t>(Sentencing Advisory Council, 2018) &lt;https://www.sentencingcouncil.vic.gov.au/publications/public-opinion-about-sentencing-research-overview&gt;.</w:t>
      </w:r>
    </w:p>
    <w:p w14:paraId="5F9979D6" w14:textId="77777777" w:rsidR="00EF5C25" w:rsidRPr="007F530F" w:rsidRDefault="00EF5C25" w:rsidP="002C6923">
      <w:r w:rsidRPr="007F530F">
        <w:t xml:space="preserve">Sentencing Advisory Council, </w:t>
      </w:r>
      <w:r w:rsidRPr="00D62402">
        <w:rPr>
          <w:rStyle w:val="Emphasis"/>
        </w:rPr>
        <w:t xml:space="preserve">Sentencing for Sexual Penetration Offences: A Statistical Report </w:t>
      </w:r>
      <w:r w:rsidRPr="007F530F">
        <w:t>(Sentencing Advisory Council, 2009) &lt;https://www.sentencingcouncil.vic.gov.au/publications/sentencing-sexual-penetration-offences-statistical-report&gt;.</w:t>
      </w:r>
    </w:p>
    <w:p w14:paraId="1DE3DD10" w14:textId="77777777" w:rsidR="00EF5C25" w:rsidRPr="007F530F" w:rsidRDefault="00EF5C25" w:rsidP="002C6923">
      <w:r w:rsidRPr="007F530F">
        <w:t xml:space="preserve">Sentencing Advisory Council, </w:t>
      </w:r>
      <w:r w:rsidRPr="00D62402">
        <w:rPr>
          <w:rStyle w:val="Emphasis"/>
        </w:rPr>
        <w:t xml:space="preserve">Sentencing Guidance in Victoria: Report </w:t>
      </w:r>
      <w:r w:rsidRPr="007F530F">
        <w:t>(Sentencing Advisory Council, 2016) &lt;https://www.sentencingcouncil.vic.gov.au/publications/sentencing-guidance-victoria-report&gt;.</w:t>
      </w:r>
    </w:p>
    <w:p w14:paraId="49A46BE1" w14:textId="77777777" w:rsidR="00EF5C25" w:rsidRPr="007F530F" w:rsidRDefault="00EF5C25" w:rsidP="002C6923">
      <w:r w:rsidRPr="007F530F">
        <w:t xml:space="preserve">Sentencing Advisory Council, </w:t>
      </w:r>
      <w:r w:rsidRPr="00D62402">
        <w:rPr>
          <w:rStyle w:val="Emphasis"/>
        </w:rPr>
        <w:t xml:space="preserve">Sentencing of Offenders: Sexual Penetration with a Child Under 12 </w:t>
      </w:r>
      <w:r w:rsidRPr="007F530F">
        <w:t>(Sentencing Advisory Council, 2016) &lt;https://www.sentencingcouncil.vic.gov.au/publications/sentencing-offenders-sexual-penetration-child-under-12&gt;.</w:t>
      </w:r>
    </w:p>
    <w:p w14:paraId="43CB7200" w14:textId="77777777" w:rsidR="00EF5C25" w:rsidRPr="007F530F" w:rsidRDefault="00EF5C25" w:rsidP="002C6923">
      <w:r w:rsidRPr="007F530F">
        <w:t xml:space="preserve">Sentencing Advisory Council, </w:t>
      </w:r>
      <w:r w:rsidRPr="00D62402">
        <w:rPr>
          <w:rStyle w:val="Emphasis"/>
        </w:rPr>
        <w:t>Sentencing Trends for Rape in the Higher Courts of Victoria, 2001–02 to 2005–6</w:t>
      </w:r>
      <w:r w:rsidRPr="007F530F">
        <w:t>, Sentencing Snapshot no. 26 (Sentencing Advisory Council, 2007) &lt;https://www.sentencingcouncil.vic.gov.au/snapshots/26-rape&gt;.</w:t>
      </w:r>
    </w:p>
    <w:p w14:paraId="6EE14CFA" w14:textId="77777777" w:rsidR="00EF5C25" w:rsidRPr="007F530F" w:rsidRDefault="00EF5C25" w:rsidP="002C6923">
      <w:r w:rsidRPr="007F530F">
        <w:t xml:space="preserve">Sentencing Advisory Council, </w:t>
      </w:r>
      <w:r w:rsidRPr="00D62402">
        <w:rPr>
          <w:rStyle w:val="Emphasis"/>
        </w:rPr>
        <w:t>Sentencing Trends for Rape in the Higher Courts of Victoria, 2005–06 to 2009–10</w:t>
      </w:r>
      <w:r w:rsidRPr="007F530F">
        <w:t>, Sentencing Snapshot no. 117</w:t>
      </w:r>
      <w:r w:rsidRPr="00D62402">
        <w:rPr>
          <w:rStyle w:val="Emphasis"/>
        </w:rPr>
        <w:t xml:space="preserve"> </w:t>
      </w:r>
      <w:r w:rsidRPr="007F530F">
        <w:t>(Sentencing Advisory Council, 2011) &lt;https://www.sentencingcouncil.vic.gov.au/snapshots/117-rape&gt;.</w:t>
      </w:r>
    </w:p>
    <w:p w14:paraId="54531100" w14:textId="77777777" w:rsidR="00EF5C25" w:rsidRPr="007F530F" w:rsidRDefault="00EF5C25" w:rsidP="002C6923">
      <w:r w:rsidRPr="007F530F">
        <w:t xml:space="preserve">Sentencing Advisory Council, </w:t>
      </w:r>
      <w:r w:rsidRPr="00D62402">
        <w:rPr>
          <w:rStyle w:val="Emphasis"/>
        </w:rPr>
        <w:t xml:space="preserve">Suspended Sentences: Final Report Part 1 </w:t>
      </w:r>
      <w:r w:rsidRPr="007F530F">
        <w:t xml:space="preserve">(Sentencing Advisory Council, 2006) </w:t>
      </w:r>
      <w:r w:rsidRPr="007F530F">
        <w:lastRenderedPageBreak/>
        <w:t>&lt;https://www.sentencingcouncil.vic.gov.au/publications/suspended-sentences-final-report-part-1&gt;.</w:t>
      </w:r>
    </w:p>
    <w:p w14:paraId="11C00259" w14:textId="77777777" w:rsidR="00EF5C25" w:rsidRPr="007F530F" w:rsidRDefault="00EF5C25" w:rsidP="002C6923">
      <w:r w:rsidRPr="007F530F">
        <w:t xml:space="preserve">Sentencing Advisory Council, </w:t>
      </w:r>
      <w:r w:rsidRPr="00D62402">
        <w:rPr>
          <w:rStyle w:val="Emphasis"/>
        </w:rPr>
        <w:t xml:space="preserve">Time Served Prison Sentences in Victoria </w:t>
      </w:r>
      <w:r w:rsidRPr="007F530F">
        <w:t>(Sentencing Advisory Council, 2020) &lt;https://www.sentencingcouncil.vic.gov.au/publications/time-served-prison-sentences-victoria&gt;.</w:t>
      </w:r>
    </w:p>
    <w:p w14:paraId="0E26BF8A" w14:textId="77777777" w:rsidR="00EF5C25" w:rsidRPr="007F530F" w:rsidRDefault="00EF5C25" w:rsidP="002C6923">
      <w:r w:rsidRPr="007F530F">
        <w:t xml:space="preserve">Swedish National Council for Crime Prevention, </w:t>
      </w:r>
      <w:r w:rsidRPr="00D62402">
        <w:rPr>
          <w:rStyle w:val="Emphasis"/>
        </w:rPr>
        <w:t>Gross Violation of a Woman’s Integrity: Trends in the Criminal Justice System 1998–2017</w:t>
      </w:r>
      <w:r w:rsidRPr="007F530F">
        <w:t>, Report no 2019:8</w:t>
      </w:r>
      <w:r w:rsidRPr="00D62402">
        <w:rPr>
          <w:rStyle w:val="Emphasis"/>
        </w:rPr>
        <w:t xml:space="preserve"> </w:t>
      </w:r>
      <w:r w:rsidRPr="007F530F">
        <w:t>(Swedish National Council for Crime Prevention, 2019).</w:t>
      </w:r>
    </w:p>
    <w:p w14:paraId="7F8ED53D" w14:textId="77777777" w:rsidR="00EF5C25" w:rsidRPr="007F530F" w:rsidRDefault="00EF5C25" w:rsidP="002C6923">
      <w:r w:rsidRPr="007F530F">
        <w:t xml:space="preserve">Tasmanian Sentencing Advisory Council, </w:t>
      </w:r>
      <w:r w:rsidRPr="00D62402">
        <w:rPr>
          <w:rStyle w:val="Emphasis"/>
        </w:rPr>
        <w:t xml:space="preserve">Sex Offences Sentencing: Final Report </w:t>
      </w:r>
      <w:r w:rsidRPr="007F530F">
        <w:t>(Tasmanian Sentencing Advisory Council, 2015) &lt;https://www.sentencingcouncil.tas.gov.au/__data/assets/pdf_file/0019/325054/1832_SAC_sex_offenders_report_Access2.pdf&gt;.</w:t>
      </w:r>
    </w:p>
    <w:p w14:paraId="259789A3" w14:textId="77777777" w:rsidR="00EF5C25" w:rsidRPr="007F530F" w:rsidRDefault="00EF5C25" w:rsidP="002C6923">
      <w:r w:rsidRPr="007F530F">
        <w:t xml:space="preserve">Tasmanian Sentencing Advisory Council, </w:t>
      </w:r>
      <w:r w:rsidRPr="00D62402">
        <w:rPr>
          <w:rStyle w:val="Emphasis"/>
        </w:rPr>
        <w:t>Sentencing for Serious Sex Offences Against Children: Research Paper 3</w:t>
      </w:r>
      <w:r w:rsidRPr="007F530F">
        <w:t xml:space="preserve"> (Tasmanian Sentencing Advisory Council, 2018) &lt;https://www.sentencingcouncil.tas.gov.au/__data/assets/pdf_file/0009/453456/Accessible-version-Research-Paper-3-Sentencing-for-serious-sex-offences-against-children.pdf&gt;.</w:t>
      </w:r>
    </w:p>
    <w:p w14:paraId="4187EB16" w14:textId="77777777" w:rsidR="00EF5C25" w:rsidRPr="007F530F" w:rsidRDefault="00EF5C25" w:rsidP="002C6923">
      <w:r w:rsidRPr="007F530F">
        <w:t xml:space="preserve">Victorian Government, </w:t>
      </w:r>
      <w:r w:rsidRPr="00D62402">
        <w:rPr>
          <w:rStyle w:val="Emphasis"/>
        </w:rPr>
        <w:t>Victoria’s New Sexual Offence Laws: An Introduction</w:t>
      </w:r>
      <w:r w:rsidRPr="007F530F">
        <w:t xml:space="preserve"> (Victorian Government, 2015).</w:t>
      </w:r>
    </w:p>
    <w:p w14:paraId="16527FAA" w14:textId="77777777" w:rsidR="00EF5C25" w:rsidRPr="007F530F" w:rsidRDefault="00EF5C25" w:rsidP="002C6923">
      <w:r w:rsidRPr="007F530F">
        <w:t>Warner, Kate, ‘Are Courts Soft on Crime? Lessons from the Victorian Jury Sentencing Study’ (Law Oration 2018, Victorian Law Foundation, Supreme Court of Victoria, 22 August 2018) &lt;https://victorialawfoundation.org.au/news/watch-the-2018-law-oration/&gt;.</w:t>
      </w:r>
    </w:p>
    <w:p w14:paraId="75F859F9" w14:textId="77777777" w:rsidR="00EF5C25" w:rsidRPr="007F530F" w:rsidRDefault="00EF5C25" w:rsidP="002C6923">
      <w:r w:rsidRPr="007F530F">
        <w:lastRenderedPageBreak/>
        <w:t xml:space="preserve">Warner, Kate, ‘The Australian National Jury Sex Offence Sentencing Study’ (2014) 11(4) </w:t>
      </w:r>
      <w:r w:rsidRPr="00D62402">
        <w:rPr>
          <w:rStyle w:val="Emphasis"/>
        </w:rPr>
        <w:t xml:space="preserve">The Judicial Review: Selected Conference Papers: Journal of the Judicial Commission of New South Wales </w:t>
      </w:r>
      <w:r w:rsidRPr="007F530F">
        <w:t>459.</w:t>
      </w:r>
    </w:p>
    <w:p w14:paraId="53A08EA8" w14:textId="77777777" w:rsidR="00EF5C25" w:rsidRPr="007F530F" w:rsidRDefault="00EF5C25" w:rsidP="002C6923">
      <w:r w:rsidRPr="007F530F">
        <w:t xml:space="preserve">Warner, Kate, Julia Davis, Maggie Walter, Rebecca Bradfield and Rachel Vermey, </w:t>
      </w:r>
      <w:r w:rsidRPr="00D62402">
        <w:rPr>
          <w:rStyle w:val="Emphasis"/>
        </w:rPr>
        <w:t>Jury Sentencing Survey</w:t>
      </w:r>
      <w:r w:rsidRPr="007F530F">
        <w:t>, Report to the Criminology Research Council (Criminology Research Council, 2010).</w:t>
      </w:r>
    </w:p>
    <w:p w14:paraId="518D9DC5" w14:textId="77777777" w:rsidR="00EF5C25" w:rsidRPr="007F530F" w:rsidRDefault="00EF5C25" w:rsidP="002C6923">
      <w:r w:rsidRPr="007F530F">
        <w:t xml:space="preserve">Warner, Kate, Julia Davis, Maggie Walter, Rebecca Bradfield and Rachel Vermey, </w:t>
      </w:r>
      <w:r w:rsidRPr="00D62402">
        <w:rPr>
          <w:rStyle w:val="Emphasis"/>
        </w:rPr>
        <w:t xml:space="preserve">Public Judgement on Sentencing: Final Results from the Tasmanian Jury Sentencing </w:t>
      </w:r>
      <w:r w:rsidRPr="007F530F">
        <w:t>Study, Trends &amp; Issues in Crime and Criminal Justice no. 407 (Australian Institute of Criminology, 2011).</w:t>
      </w:r>
    </w:p>
    <w:p w14:paraId="40EA6722" w14:textId="77777777" w:rsidR="00EF5C25" w:rsidRPr="007F530F" w:rsidRDefault="00EF5C25" w:rsidP="002C6923">
      <w:r w:rsidRPr="007F530F">
        <w:t xml:space="preserve">Warner, Kate, Julia Davis, Caroline Spiranovic, Helen Cockburn and Arie Freiberg, ‘Measuring Jurors’ Views on Sentencing: Results from the Second Australian Jury Sentencing Study’ (2017) 19(2) </w:t>
      </w:r>
      <w:r w:rsidRPr="00D62402">
        <w:rPr>
          <w:rStyle w:val="Emphasis"/>
        </w:rPr>
        <w:t xml:space="preserve">Punishment &amp; Society </w:t>
      </w:r>
      <w:r w:rsidRPr="007F530F">
        <w:t>180.</w:t>
      </w:r>
    </w:p>
    <w:p w14:paraId="7B8351A6" w14:textId="77777777" w:rsidR="00EF5C25" w:rsidRPr="007F530F" w:rsidRDefault="00EF5C25" w:rsidP="002C6923">
      <w:r w:rsidRPr="007F530F">
        <w:t xml:space="preserve">Warner, Kate and Julia Davis, ‘Using Jurors to Explore Public Attitudes to Sentencing’ (2012) 52(1) </w:t>
      </w:r>
      <w:r w:rsidRPr="00D62402">
        <w:rPr>
          <w:rStyle w:val="Emphasis"/>
        </w:rPr>
        <w:t xml:space="preserve">British Journal of Criminology </w:t>
      </w:r>
      <w:r w:rsidRPr="007F530F">
        <w:t>93.</w:t>
      </w:r>
    </w:p>
    <w:p w14:paraId="77E04663" w14:textId="77777777" w:rsidR="00EF5C25" w:rsidRPr="007F530F" w:rsidRDefault="00EF5C25" w:rsidP="006633AA">
      <w:pPr>
        <w:pStyle w:val="Heading2"/>
      </w:pPr>
      <w:r w:rsidRPr="007F530F">
        <w:t xml:space="preserve">Case law </w:t>
      </w:r>
    </w:p>
    <w:p w14:paraId="71F9322F" w14:textId="77777777" w:rsidR="00EF5C25" w:rsidRPr="007F530F" w:rsidRDefault="00EF5C25" w:rsidP="002C6923">
      <w:r w:rsidRPr="00D62402">
        <w:rPr>
          <w:rStyle w:val="Emphasis"/>
        </w:rPr>
        <w:t xml:space="preserve">Best v The Queen </w:t>
      </w:r>
      <w:r w:rsidRPr="007F530F">
        <w:t>[2019] VSCA 124 (7 June 2019)</w:t>
      </w:r>
    </w:p>
    <w:p w14:paraId="00071669" w14:textId="77777777" w:rsidR="00EF5C25" w:rsidRPr="007F530F" w:rsidRDefault="00EF5C25" w:rsidP="002C6923">
      <w:r w:rsidRPr="00D62402">
        <w:rPr>
          <w:rStyle w:val="Emphasis"/>
        </w:rPr>
        <w:t>Boulton &amp; Ors v The Queen</w:t>
      </w:r>
      <w:r w:rsidRPr="007F530F">
        <w:t xml:space="preserve"> [2014] VSCA 342 (22 December 2014)</w:t>
      </w:r>
    </w:p>
    <w:p w14:paraId="2AF36BD3" w14:textId="77777777" w:rsidR="00EF5C25" w:rsidRPr="007F530F" w:rsidRDefault="00EF5C25" w:rsidP="002C6923">
      <w:r w:rsidRPr="00D62402">
        <w:rPr>
          <w:rStyle w:val="Emphasis"/>
        </w:rPr>
        <w:t xml:space="preserve">Bromley v The Queen </w:t>
      </w:r>
      <w:r w:rsidRPr="007F530F">
        <w:t>[2018] VSCA 329 (6 December 2018)</w:t>
      </w:r>
    </w:p>
    <w:p w14:paraId="577C418A" w14:textId="77777777" w:rsidR="00EF5C25" w:rsidRPr="007F530F" w:rsidRDefault="00EF5C25" w:rsidP="002C6923">
      <w:r w:rsidRPr="00D62402">
        <w:rPr>
          <w:rStyle w:val="Emphasis"/>
        </w:rPr>
        <w:t xml:space="preserve">Brown v The Queen </w:t>
      </w:r>
      <w:r w:rsidRPr="007F530F">
        <w:t>[2019] VSCA 286 (10 December 2019)</w:t>
      </w:r>
    </w:p>
    <w:p w14:paraId="54EB21F9" w14:textId="77777777" w:rsidR="00EF5C25" w:rsidRPr="007F530F" w:rsidRDefault="00EF5C25" w:rsidP="002C6923">
      <w:r w:rsidRPr="00D62402">
        <w:rPr>
          <w:rStyle w:val="Emphasis"/>
        </w:rPr>
        <w:t xml:space="preserve">Carter (A Pseudonym) v The Queen </w:t>
      </w:r>
      <w:r w:rsidRPr="007F530F">
        <w:t>[2018] VSCA 88 (11 April 2018)</w:t>
      </w:r>
    </w:p>
    <w:p w14:paraId="5B833B4D" w14:textId="77777777" w:rsidR="00EF5C25" w:rsidRPr="007F530F" w:rsidRDefault="00EF5C25" w:rsidP="002C6923">
      <w:r w:rsidRPr="00D62402">
        <w:rPr>
          <w:rStyle w:val="Emphasis"/>
        </w:rPr>
        <w:t xml:space="preserve">Clarkson &amp; Anor v The Queen </w:t>
      </w:r>
      <w:r w:rsidRPr="007F530F">
        <w:t>[2011] VSCA 157 (3 June 2011)</w:t>
      </w:r>
    </w:p>
    <w:p w14:paraId="5486DDC0" w14:textId="77777777" w:rsidR="00EF5C25" w:rsidRPr="007F530F" w:rsidRDefault="00EF5C25" w:rsidP="002C6923">
      <w:r w:rsidRPr="00D62402">
        <w:rPr>
          <w:rStyle w:val="Emphasis"/>
        </w:rPr>
        <w:t xml:space="preserve">Crawford (A Pseudonym) v The Queen </w:t>
      </w:r>
      <w:r w:rsidRPr="007F530F">
        <w:t>[2018] VSCA 113 (9 May 2018)</w:t>
      </w:r>
    </w:p>
    <w:p w14:paraId="54F5F45A" w14:textId="77777777" w:rsidR="00EF5C25" w:rsidRPr="007F530F" w:rsidRDefault="00EF5C25" w:rsidP="002C6923">
      <w:r w:rsidRPr="00D62402">
        <w:rPr>
          <w:rStyle w:val="Emphasis"/>
        </w:rPr>
        <w:t xml:space="preserve">Crouch (A Pseudonym) v The Queen </w:t>
      </w:r>
      <w:r w:rsidRPr="007F530F">
        <w:t>[2019] VSCA 30 (22 February 2019)</w:t>
      </w:r>
    </w:p>
    <w:p w14:paraId="7AAC0638" w14:textId="77777777" w:rsidR="00EF5C25" w:rsidRPr="007F530F" w:rsidRDefault="00EF5C25" w:rsidP="002C6923">
      <w:r w:rsidRPr="00D62402">
        <w:rPr>
          <w:rStyle w:val="Emphasis"/>
        </w:rPr>
        <w:lastRenderedPageBreak/>
        <w:t xml:space="preserve">DPP v Abdi </w:t>
      </w:r>
      <w:r w:rsidRPr="007F530F">
        <w:t>[2020] VCC 1668 (15 October 2020)</w:t>
      </w:r>
    </w:p>
    <w:p w14:paraId="34779745" w14:textId="77777777" w:rsidR="00EF5C25" w:rsidRPr="007F530F" w:rsidRDefault="00EF5C25" w:rsidP="002C6923">
      <w:r w:rsidRPr="00D62402">
        <w:rPr>
          <w:rStyle w:val="Emphasis"/>
        </w:rPr>
        <w:t xml:space="preserve">DPP v Aleksi (A Pseudonym) </w:t>
      </w:r>
      <w:r w:rsidRPr="007F530F">
        <w:t>[2019] VCC 2101 (18 November 2019)</w:t>
      </w:r>
    </w:p>
    <w:p w14:paraId="6AF2EE88" w14:textId="77777777" w:rsidR="00EF5C25" w:rsidRPr="007F530F" w:rsidRDefault="00EF5C25" w:rsidP="002C6923">
      <w:r w:rsidRPr="00D62402">
        <w:rPr>
          <w:rStyle w:val="Emphasis"/>
        </w:rPr>
        <w:t xml:space="preserve">DPP v Amin </w:t>
      </w:r>
      <w:r w:rsidRPr="007F530F">
        <w:t>[2019] VCC 1756 (28 October 2019)</w:t>
      </w:r>
    </w:p>
    <w:p w14:paraId="04B5C7A7" w14:textId="77777777" w:rsidR="00EF5C25" w:rsidRPr="007F530F" w:rsidRDefault="00EF5C25" w:rsidP="002C6923">
      <w:r w:rsidRPr="00D62402">
        <w:rPr>
          <w:rStyle w:val="Emphasis"/>
        </w:rPr>
        <w:t xml:space="preserve">DPP v Beck </w:t>
      </w:r>
      <w:r w:rsidRPr="007F530F">
        <w:t>[2020] VCC 1590 (1 October 2020)</w:t>
      </w:r>
    </w:p>
    <w:p w14:paraId="4CB9090A" w14:textId="77777777" w:rsidR="00EF5C25" w:rsidRPr="007F530F" w:rsidRDefault="00EF5C25" w:rsidP="002C6923">
      <w:r w:rsidRPr="00D62402">
        <w:rPr>
          <w:rStyle w:val="Emphasis"/>
        </w:rPr>
        <w:t xml:space="preserve">DPP v Beck </w:t>
      </w:r>
      <w:r w:rsidRPr="007F530F">
        <w:t>[2021] VSCA 88 (7 April 2021)</w:t>
      </w:r>
    </w:p>
    <w:p w14:paraId="719CA763" w14:textId="77777777" w:rsidR="00EF5C25" w:rsidRPr="007F530F" w:rsidRDefault="00EF5C25" w:rsidP="002C6923">
      <w:r w:rsidRPr="00D62402">
        <w:rPr>
          <w:rStyle w:val="Emphasis"/>
        </w:rPr>
        <w:t xml:space="preserve">DPP v Becker (A Pseudonym) </w:t>
      </w:r>
      <w:r w:rsidRPr="007F530F">
        <w:t>[2020] VCC 795 (5 June 2020)</w:t>
      </w:r>
    </w:p>
    <w:p w14:paraId="21CE6A3E" w14:textId="77777777" w:rsidR="00EF5C25" w:rsidRPr="007F530F" w:rsidRDefault="00EF5C25" w:rsidP="002C6923">
      <w:r w:rsidRPr="00D62402">
        <w:rPr>
          <w:rStyle w:val="Emphasis"/>
        </w:rPr>
        <w:t xml:space="preserve">DPP v BGJ </w:t>
      </w:r>
      <w:r w:rsidRPr="007F530F">
        <w:t>[2007] VSCA 64 (17 April 2007)</w:t>
      </w:r>
    </w:p>
    <w:p w14:paraId="06CE87F2" w14:textId="77777777" w:rsidR="00EF5C25" w:rsidRPr="007F530F" w:rsidRDefault="00EF5C25" w:rsidP="002C6923">
      <w:r w:rsidRPr="00D62402">
        <w:rPr>
          <w:rStyle w:val="Emphasis"/>
        </w:rPr>
        <w:t xml:space="preserve">DPP v Bolton </w:t>
      </w:r>
      <w:r w:rsidRPr="007F530F">
        <w:t>[2018] VCC 385 (22 March 2018)</w:t>
      </w:r>
    </w:p>
    <w:p w14:paraId="3C4203F7" w14:textId="77777777" w:rsidR="00EF5C25" w:rsidRPr="007F530F" w:rsidRDefault="00EF5C25" w:rsidP="002C6923">
      <w:r w:rsidRPr="00D62402">
        <w:rPr>
          <w:rStyle w:val="Emphasis"/>
        </w:rPr>
        <w:t xml:space="preserve">DPP v Bouris </w:t>
      </w:r>
      <w:r w:rsidRPr="007F530F">
        <w:t>[2020] VCC 1486 (17 September 2020)</w:t>
      </w:r>
    </w:p>
    <w:p w14:paraId="4B9EE549" w14:textId="77777777" w:rsidR="00EF5C25" w:rsidRPr="007F530F" w:rsidRDefault="00EF5C25" w:rsidP="002C6923">
      <w:r w:rsidRPr="00D62402">
        <w:rPr>
          <w:rStyle w:val="Emphasis"/>
        </w:rPr>
        <w:t xml:space="preserve">DPP v Briggs </w:t>
      </w:r>
      <w:r w:rsidRPr="007F530F">
        <w:t>[2014] VCC 1579 (19 September 2014)</w:t>
      </w:r>
    </w:p>
    <w:p w14:paraId="29CEF118" w14:textId="77777777" w:rsidR="00EF5C25" w:rsidRPr="007F530F" w:rsidRDefault="00EF5C25" w:rsidP="002C6923">
      <w:r w:rsidRPr="00D62402">
        <w:rPr>
          <w:rStyle w:val="Emphasis"/>
        </w:rPr>
        <w:t xml:space="preserve">DPP v Burton (A Pseudonym) </w:t>
      </w:r>
      <w:r w:rsidRPr="007F530F">
        <w:t>[2015] VCC 641 (11 May 2015).</w:t>
      </w:r>
    </w:p>
    <w:p w14:paraId="0303FBD1" w14:textId="77777777" w:rsidR="00EF5C25" w:rsidRPr="007F530F" w:rsidRDefault="00EF5C25" w:rsidP="002C6923">
      <w:r w:rsidRPr="00D62402">
        <w:rPr>
          <w:rStyle w:val="Emphasis"/>
        </w:rPr>
        <w:t xml:space="preserve">DPP v Calladine (A Pseudonym) </w:t>
      </w:r>
      <w:r w:rsidRPr="007F530F">
        <w:t>[2020] VCC 2014 (14 December 2020)</w:t>
      </w:r>
    </w:p>
    <w:p w14:paraId="4AE02916" w14:textId="77777777" w:rsidR="00EF5C25" w:rsidRPr="007F530F" w:rsidRDefault="00EF5C25" w:rsidP="002C6923">
      <w:r w:rsidRPr="00D62402">
        <w:rPr>
          <w:rStyle w:val="Emphasis"/>
        </w:rPr>
        <w:t xml:space="preserve">DPP v Carr (A Pseudonym) </w:t>
      </w:r>
      <w:r w:rsidRPr="007F530F">
        <w:t>[2019] VCC 1750 (24 October 2019)</w:t>
      </w:r>
    </w:p>
    <w:p w14:paraId="149518A0" w14:textId="77777777" w:rsidR="00EF5C25" w:rsidRPr="007F530F" w:rsidRDefault="00EF5C25" w:rsidP="002C6923">
      <w:r w:rsidRPr="00D62402">
        <w:rPr>
          <w:rStyle w:val="Emphasis"/>
        </w:rPr>
        <w:t xml:space="preserve">DPP v Clifton (A Pseudonym) </w:t>
      </w:r>
      <w:r w:rsidRPr="007F530F">
        <w:t>[2019] VCC 1219 (6 August 2019)</w:t>
      </w:r>
    </w:p>
    <w:p w14:paraId="36DE5E42" w14:textId="77777777" w:rsidR="00EF5C25" w:rsidRPr="007F530F" w:rsidRDefault="00EF5C25" w:rsidP="002C6923">
      <w:r w:rsidRPr="00D62402">
        <w:rPr>
          <w:rStyle w:val="Emphasis"/>
        </w:rPr>
        <w:t xml:space="preserve">DPP v CPD </w:t>
      </w:r>
      <w:r w:rsidRPr="007F530F">
        <w:t>[2009] VSCA 114 (28 May 2009)</w:t>
      </w:r>
    </w:p>
    <w:p w14:paraId="0BD2E34B" w14:textId="77777777" w:rsidR="00EF5C25" w:rsidRPr="007F530F" w:rsidRDefault="00EF5C25" w:rsidP="002C6923">
      <w:r w:rsidRPr="00D62402">
        <w:rPr>
          <w:rStyle w:val="Emphasis"/>
        </w:rPr>
        <w:t xml:space="preserve">DPP v Dalgliesh (A Pseudonym) </w:t>
      </w:r>
      <w:r w:rsidRPr="007F530F">
        <w:t>[2016] VSCA 148 (29 June 2016)</w:t>
      </w:r>
    </w:p>
    <w:p w14:paraId="34667B81" w14:textId="77777777" w:rsidR="00EF5C25" w:rsidRPr="007F530F" w:rsidRDefault="00EF5C25" w:rsidP="002C6923">
      <w:r w:rsidRPr="00D62402">
        <w:rPr>
          <w:rStyle w:val="Emphasis"/>
        </w:rPr>
        <w:t xml:space="preserve">DPP v Dalgliesh (A Pseudonym) </w:t>
      </w:r>
      <w:r w:rsidRPr="007F530F">
        <w:t>[2017] HCA 41 (11 October 2017)</w:t>
      </w:r>
    </w:p>
    <w:p w14:paraId="5A9CD3BC" w14:textId="77777777" w:rsidR="00EF5C25" w:rsidRPr="007F530F" w:rsidRDefault="00EF5C25" w:rsidP="002C6923">
      <w:r w:rsidRPr="00D62402">
        <w:rPr>
          <w:rStyle w:val="Emphasis"/>
        </w:rPr>
        <w:t xml:space="preserve">DPP v Dalgliesh (A Pseudonym) </w:t>
      </w:r>
      <w:r w:rsidRPr="007F530F">
        <w:t>[2017] VSCA 360 (7 December 2017)</w:t>
      </w:r>
    </w:p>
    <w:p w14:paraId="4D73C543" w14:textId="77777777" w:rsidR="00EF5C25" w:rsidRPr="007F530F" w:rsidRDefault="00EF5C25" w:rsidP="002C6923">
      <w:r w:rsidRPr="00D62402">
        <w:rPr>
          <w:rStyle w:val="Emphasis"/>
        </w:rPr>
        <w:t xml:space="preserve">DPP v Dat (A Pseudonym) </w:t>
      </w:r>
      <w:r w:rsidRPr="007F530F">
        <w:t>[2020] VCC 344 (25 March 2020)</w:t>
      </w:r>
    </w:p>
    <w:p w14:paraId="6D637FBE" w14:textId="77777777" w:rsidR="00EF5C25" w:rsidRPr="007F530F" w:rsidRDefault="00EF5C25" w:rsidP="002C6923">
      <w:r w:rsidRPr="00D62402">
        <w:rPr>
          <w:rStyle w:val="Emphasis"/>
        </w:rPr>
        <w:t xml:space="preserve">DPP v Dawson (A Pseudonym) </w:t>
      </w:r>
      <w:r w:rsidRPr="007F530F">
        <w:t>[2017] VCC 580 (12 May 2017)</w:t>
      </w:r>
    </w:p>
    <w:p w14:paraId="1D288526" w14:textId="77777777" w:rsidR="00EF5C25" w:rsidRPr="007F530F" w:rsidRDefault="00EF5C25" w:rsidP="002C6923">
      <w:r w:rsidRPr="00D62402">
        <w:rPr>
          <w:rStyle w:val="Emphasis"/>
        </w:rPr>
        <w:t xml:space="preserve">DPP v DDJ </w:t>
      </w:r>
      <w:r w:rsidRPr="007F530F">
        <w:t>[2009] VSCA 115 (28 May 2009)</w:t>
      </w:r>
    </w:p>
    <w:p w14:paraId="3688D6A6" w14:textId="77777777" w:rsidR="00EF5C25" w:rsidRPr="007F530F" w:rsidRDefault="00EF5C25" w:rsidP="002C6923">
      <w:r w:rsidRPr="00D62402">
        <w:rPr>
          <w:rStyle w:val="Emphasis"/>
        </w:rPr>
        <w:t xml:space="preserve">DPP v Drake </w:t>
      </w:r>
      <w:r w:rsidRPr="007F530F">
        <w:t>[2019] VSCA 293 (10 December 2019)</w:t>
      </w:r>
    </w:p>
    <w:p w14:paraId="3A9F81F6" w14:textId="77777777" w:rsidR="00EF5C25" w:rsidRPr="007F530F" w:rsidRDefault="00EF5C25" w:rsidP="002C6923">
      <w:r w:rsidRPr="00D62402">
        <w:rPr>
          <w:rStyle w:val="Emphasis"/>
        </w:rPr>
        <w:lastRenderedPageBreak/>
        <w:t xml:space="preserve">DPP v Eden (A Pseudonym) </w:t>
      </w:r>
      <w:r w:rsidRPr="007F530F">
        <w:t>[2019] VCC 459 (4 April 2019)</w:t>
      </w:r>
    </w:p>
    <w:p w14:paraId="1449842D" w14:textId="77777777" w:rsidR="00EF5C25" w:rsidRPr="007F530F" w:rsidRDefault="00EF5C25" w:rsidP="002C6923">
      <w:r w:rsidRPr="00D62402">
        <w:rPr>
          <w:rStyle w:val="Emphasis"/>
        </w:rPr>
        <w:t xml:space="preserve">DPP v Edmonds (A Pseudonym) </w:t>
      </w:r>
      <w:r w:rsidRPr="007F530F">
        <w:t>[2019] VCC 1320 (21 August 2019)</w:t>
      </w:r>
    </w:p>
    <w:p w14:paraId="6360629A" w14:textId="77777777" w:rsidR="00EF5C25" w:rsidRPr="007F530F" w:rsidRDefault="00EF5C25" w:rsidP="002C6923">
      <w:r w:rsidRPr="00D62402">
        <w:rPr>
          <w:rStyle w:val="Emphasis"/>
        </w:rPr>
        <w:t xml:space="preserve">DPP v Elwood (A Pseudonym) and Anor </w:t>
      </w:r>
      <w:r w:rsidRPr="007F530F">
        <w:t>[2019] VCC 128 (1 February 2019)</w:t>
      </w:r>
    </w:p>
    <w:p w14:paraId="03B386E4" w14:textId="77777777" w:rsidR="00EF5C25" w:rsidRPr="007F530F" w:rsidRDefault="00EF5C25" w:rsidP="002C6923">
      <w:r w:rsidRPr="00D62402">
        <w:rPr>
          <w:rStyle w:val="Emphasis"/>
        </w:rPr>
        <w:t xml:space="preserve">DPP v Ferreira (A Pseudonym) </w:t>
      </w:r>
      <w:r w:rsidRPr="007F530F">
        <w:t>[2019] VCC 1212 (8 August 2012)</w:t>
      </w:r>
    </w:p>
    <w:p w14:paraId="194A7D3F" w14:textId="77777777" w:rsidR="00EF5C25" w:rsidRPr="007F530F" w:rsidRDefault="00EF5C25" w:rsidP="002C6923">
      <w:r w:rsidRPr="00D62402">
        <w:rPr>
          <w:rStyle w:val="Emphasis"/>
        </w:rPr>
        <w:t xml:space="preserve">DPP v Fisken (A Pseudonym) </w:t>
      </w:r>
      <w:r w:rsidRPr="007F530F">
        <w:t>[2019] VCC 1572 (20 September 2019)</w:t>
      </w:r>
    </w:p>
    <w:p w14:paraId="59B39800" w14:textId="77777777" w:rsidR="00EF5C25" w:rsidRPr="007F530F" w:rsidRDefault="00EF5C25" w:rsidP="002C6923">
      <w:r w:rsidRPr="00D62402">
        <w:rPr>
          <w:rStyle w:val="Emphasis"/>
        </w:rPr>
        <w:t xml:space="preserve">DPP v G </w:t>
      </w:r>
      <w:r w:rsidRPr="007F530F">
        <w:t>[2002] VSCA 6 (7 February 2002)</w:t>
      </w:r>
    </w:p>
    <w:p w14:paraId="59DB2817" w14:textId="77777777" w:rsidR="00EF5C25" w:rsidRPr="007F530F" w:rsidRDefault="00EF5C25" w:rsidP="002C6923">
      <w:r w:rsidRPr="00D62402">
        <w:rPr>
          <w:rStyle w:val="Emphasis"/>
        </w:rPr>
        <w:t xml:space="preserve">DPP v Garratt </w:t>
      </w:r>
      <w:r w:rsidRPr="007F530F">
        <w:t>[2020] VCC 1721 (26 October 2020)</w:t>
      </w:r>
    </w:p>
    <w:p w14:paraId="479DF05E" w14:textId="77777777" w:rsidR="00EF5C25" w:rsidRPr="007F530F" w:rsidRDefault="00EF5C25" w:rsidP="002C6923">
      <w:r w:rsidRPr="00D62402">
        <w:rPr>
          <w:rStyle w:val="Emphasis"/>
        </w:rPr>
        <w:t xml:space="preserve">DPP v Gay </w:t>
      </w:r>
      <w:r w:rsidRPr="007F530F">
        <w:t>[2020] VCC 548 (1 May 2020)</w:t>
      </w:r>
    </w:p>
    <w:p w14:paraId="111B2336" w14:textId="77777777" w:rsidR="00EF5C25" w:rsidRPr="007F530F" w:rsidRDefault="00EF5C25" w:rsidP="002C6923">
      <w:r w:rsidRPr="00D62402">
        <w:rPr>
          <w:rStyle w:val="Emphasis"/>
        </w:rPr>
        <w:t xml:space="preserve">DPP v Giuseppe (A Pseudonym) </w:t>
      </w:r>
      <w:r w:rsidRPr="007F530F">
        <w:t>[2020] VCC 786 (5 June 2020)</w:t>
      </w:r>
    </w:p>
    <w:p w14:paraId="59229905" w14:textId="77777777" w:rsidR="00EF5C25" w:rsidRPr="007F530F" w:rsidRDefault="00EF5C25" w:rsidP="002C6923">
      <w:r w:rsidRPr="00D62402">
        <w:rPr>
          <w:rStyle w:val="Emphasis"/>
        </w:rPr>
        <w:t xml:space="preserve">DPP v Greene (A Pseudonym) </w:t>
      </w:r>
      <w:r w:rsidRPr="007F530F">
        <w:t>[2019] VCC 438 (3 April 2019)</w:t>
      </w:r>
    </w:p>
    <w:p w14:paraId="1F553CD2" w14:textId="77777777" w:rsidR="00EF5C25" w:rsidRPr="007F530F" w:rsidRDefault="00EF5C25" w:rsidP="002C6923">
      <w:r w:rsidRPr="00D62402">
        <w:rPr>
          <w:rStyle w:val="Emphasis"/>
        </w:rPr>
        <w:t xml:space="preserve">DPP v Herrmann </w:t>
      </w:r>
      <w:r w:rsidRPr="007F530F">
        <w:t>[2019] VSC 694 (29 October 2019)</w:t>
      </w:r>
    </w:p>
    <w:p w14:paraId="240AFC43" w14:textId="77777777" w:rsidR="00EF5C25" w:rsidRPr="007F530F" w:rsidRDefault="00EF5C25" w:rsidP="002C6923">
      <w:r w:rsidRPr="00D62402">
        <w:rPr>
          <w:rStyle w:val="Emphasis"/>
        </w:rPr>
        <w:t xml:space="preserve">DPP v Hijazin </w:t>
      </w:r>
      <w:r w:rsidRPr="007F530F">
        <w:t>[2015] VCC 1078 (10 July 2015)</w:t>
      </w:r>
    </w:p>
    <w:p w14:paraId="547C641D" w14:textId="77777777" w:rsidR="00EF5C25" w:rsidRPr="007F530F" w:rsidRDefault="00EF5C25" w:rsidP="002C6923">
      <w:r w:rsidRPr="00D62402">
        <w:rPr>
          <w:rStyle w:val="Emphasis"/>
        </w:rPr>
        <w:t xml:space="preserve">DPP v Hinch (A Pseudonym) </w:t>
      </w:r>
      <w:r w:rsidRPr="007F530F">
        <w:t>[2020] VCC 403 (8 April 2020)</w:t>
      </w:r>
    </w:p>
    <w:p w14:paraId="43199B34" w14:textId="77777777" w:rsidR="00EF5C25" w:rsidRPr="007F530F" w:rsidRDefault="00EF5C25" w:rsidP="002C6923">
      <w:r w:rsidRPr="00D62402">
        <w:rPr>
          <w:rStyle w:val="Emphasis"/>
        </w:rPr>
        <w:t xml:space="preserve">DPP v Hooper </w:t>
      </w:r>
      <w:r w:rsidRPr="007F530F">
        <w:t>[2020] VCC 1065 (17 July 2020)</w:t>
      </w:r>
    </w:p>
    <w:p w14:paraId="4863FE98" w14:textId="77777777" w:rsidR="00EF5C25" w:rsidRPr="007F530F" w:rsidRDefault="00EF5C25" w:rsidP="002C6923">
      <w:r w:rsidRPr="00D62402">
        <w:rPr>
          <w:rStyle w:val="Emphasis"/>
        </w:rPr>
        <w:t xml:space="preserve">DPP v Howell (A Pseudonym) </w:t>
      </w:r>
      <w:r w:rsidRPr="007F530F">
        <w:t>[2020] VCC 1328 (25 August 2020)</w:t>
      </w:r>
    </w:p>
    <w:p w14:paraId="3F2AEBDB" w14:textId="77777777" w:rsidR="00EF5C25" w:rsidRPr="007F530F" w:rsidRDefault="00EF5C25" w:rsidP="002C6923">
      <w:r w:rsidRPr="00D62402">
        <w:rPr>
          <w:rStyle w:val="Emphasis"/>
        </w:rPr>
        <w:t xml:space="preserve">DPP v Hyde </w:t>
      </w:r>
      <w:r w:rsidRPr="007F530F">
        <w:t>[2019] VCC 712 (21 May 2019)</w:t>
      </w:r>
    </w:p>
    <w:p w14:paraId="6CA6F3D8" w14:textId="77777777" w:rsidR="00EF5C25" w:rsidRPr="007F530F" w:rsidRDefault="00EF5C25" w:rsidP="002C6923">
      <w:r w:rsidRPr="00D62402">
        <w:rPr>
          <w:rStyle w:val="Emphasis"/>
        </w:rPr>
        <w:t xml:space="preserve">DPP v Iudice </w:t>
      </w:r>
      <w:r w:rsidRPr="007F530F">
        <w:t>[2020] VCC 316 (23 March 2020)</w:t>
      </w:r>
    </w:p>
    <w:p w14:paraId="5BE583A7" w14:textId="77777777" w:rsidR="00EF5C25" w:rsidRPr="007F530F" w:rsidRDefault="00EF5C25" w:rsidP="002C6923">
      <w:r w:rsidRPr="00D62402">
        <w:rPr>
          <w:rStyle w:val="Emphasis"/>
        </w:rPr>
        <w:t xml:space="preserve">DPP v Jarvis (A Pseudonym) </w:t>
      </w:r>
      <w:r w:rsidRPr="007F530F">
        <w:t>[2019] VCC 1943 (20 November 2019)</w:t>
      </w:r>
    </w:p>
    <w:p w14:paraId="0EF883F3" w14:textId="77777777" w:rsidR="00EF5C25" w:rsidRPr="007F530F" w:rsidRDefault="00EF5C25" w:rsidP="002C6923">
      <w:r w:rsidRPr="00D62402">
        <w:rPr>
          <w:rStyle w:val="Emphasis"/>
        </w:rPr>
        <w:t xml:space="preserve">DPP v Jenkins </w:t>
      </w:r>
      <w:r w:rsidRPr="007F530F">
        <w:t>[2019] VCC 1504 (17 September 2019)</w:t>
      </w:r>
    </w:p>
    <w:p w14:paraId="6EEAB26E" w14:textId="77777777" w:rsidR="00EF5C25" w:rsidRPr="007F530F" w:rsidRDefault="00EF5C25" w:rsidP="002C6923">
      <w:r w:rsidRPr="00D62402">
        <w:rPr>
          <w:rStyle w:val="Emphasis"/>
        </w:rPr>
        <w:t xml:space="preserve">DPP v Jones </w:t>
      </w:r>
      <w:r w:rsidRPr="007F530F">
        <w:t>[2013] VSCA 330 (21 November 2013)</w:t>
      </w:r>
    </w:p>
    <w:p w14:paraId="3CCC05CB" w14:textId="77777777" w:rsidR="00EF5C25" w:rsidRPr="007F530F" w:rsidRDefault="00EF5C25" w:rsidP="002C6923">
      <w:r w:rsidRPr="00D62402">
        <w:rPr>
          <w:rStyle w:val="Emphasis"/>
        </w:rPr>
        <w:t xml:space="preserve">DPP v Jordan (A Pseudonym) </w:t>
      </w:r>
      <w:r w:rsidRPr="007F530F">
        <w:t>[2015] VCC 1239 (3 September 2015)</w:t>
      </w:r>
    </w:p>
    <w:p w14:paraId="7A0722DF" w14:textId="77777777" w:rsidR="00EF5C25" w:rsidRPr="007F530F" w:rsidRDefault="00EF5C25" w:rsidP="002C6923">
      <w:r w:rsidRPr="00D62402">
        <w:rPr>
          <w:rStyle w:val="Emphasis"/>
        </w:rPr>
        <w:t xml:space="preserve">DPP v Kane </w:t>
      </w:r>
      <w:r w:rsidRPr="007F530F">
        <w:t>[2020] VCC 612 (12 June 2020)</w:t>
      </w:r>
    </w:p>
    <w:p w14:paraId="7ED1B4F3" w14:textId="77777777" w:rsidR="00EF5C25" w:rsidRPr="007F530F" w:rsidRDefault="00EF5C25" w:rsidP="002C6923">
      <w:r w:rsidRPr="00D62402">
        <w:rPr>
          <w:rStyle w:val="Emphasis"/>
        </w:rPr>
        <w:lastRenderedPageBreak/>
        <w:t xml:space="preserve">DPP v Kestler </w:t>
      </w:r>
      <w:r w:rsidRPr="007F530F">
        <w:t>[2017] VCC 2027 (22 December 2017)</w:t>
      </w:r>
    </w:p>
    <w:p w14:paraId="4E17DCDE" w14:textId="77777777" w:rsidR="00EF5C25" w:rsidRPr="007F530F" w:rsidRDefault="00EF5C25" w:rsidP="002C6923">
      <w:r w:rsidRPr="00D62402">
        <w:rPr>
          <w:rStyle w:val="Emphasis"/>
        </w:rPr>
        <w:t xml:space="preserve">DPP v Kirkland (A Pseudonym) </w:t>
      </w:r>
      <w:r w:rsidRPr="007F530F">
        <w:t>[2020] VCC 1344 (27 August 2020)</w:t>
      </w:r>
    </w:p>
    <w:p w14:paraId="0480FD9B" w14:textId="77777777" w:rsidR="00EF5C25" w:rsidRPr="007F530F" w:rsidRDefault="00EF5C25" w:rsidP="002C6923">
      <w:r w:rsidRPr="00D62402">
        <w:rPr>
          <w:rStyle w:val="Emphasis"/>
        </w:rPr>
        <w:t xml:space="preserve">DPP v Leitch (A Pseudonym) </w:t>
      </w:r>
      <w:r w:rsidRPr="007F530F">
        <w:t>[2019] VCC 1952 (25 November 2019)</w:t>
      </w:r>
    </w:p>
    <w:p w14:paraId="638DC553" w14:textId="77777777" w:rsidR="00EF5C25" w:rsidRPr="007F530F" w:rsidRDefault="00EF5C25" w:rsidP="002C6923">
      <w:r w:rsidRPr="00D62402">
        <w:rPr>
          <w:rStyle w:val="Emphasis"/>
        </w:rPr>
        <w:t xml:space="preserve">DPP v Lim </w:t>
      </w:r>
      <w:r w:rsidRPr="007F530F">
        <w:t>[2018] VCC 2166 (18 December 2018)</w:t>
      </w:r>
    </w:p>
    <w:p w14:paraId="50D7ECD3" w14:textId="77777777" w:rsidR="00EF5C25" w:rsidRPr="007F530F" w:rsidRDefault="00EF5C25" w:rsidP="002C6923">
      <w:r w:rsidRPr="00D62402">
        <w:rPr>
          <w:rStyle w:val="Emphasis"/>
        </w:rPr>
        <w:t xml:space="preserve">DPP v Long (A Pseudonym) </w:t>
      </w:r>
      <w:r w:rsidRPr="007F530F">
        <w:t>[2015] VCC 1296 (17 September 2015)</w:t>
      </w:r>
    </w:p>
    <w:p w14:paraId="06A5352B" w14:textId="77777777" w:rsidR="00EF5C25" w:rsidRPr="007F530F" w:rsidRDefault="00EF5C25" w:rsidP="002C6923">
      <w:r w:rsidRPr="00D62402">
        <w:rPr>
          <w:rStyle w:val="Emphasis"/>
        </w:rPr>
        <w:t xml:space="preserve">DPP v Macarthur </w:t>
      </w:r>
      <w:r w:rsidRPr="007F530F">
        <w:t>[2019] VSCA 71 (8 April 2019)</w:t>
      </w:r>
    </w:p>
    <w:p w14:paraId="0AF57649" w14:textId="77777777" w:rsidR="00EF5C25" w:rsidRPr="007F530F" w:rsidRDefault="00EF5C25" w:rsidP="002C6923">
      <w:r w:rsidRPr="00D62402">
        <w:rPr>
          <w:rStyle w:val="Emphasis"/>
        </w:rPr>
        <w:t xml:space="preserve">DPP v Mackintosh </w:t>
      </w:r>
      <w:r w:rsidRPr="007F530F">
        <w:t>[2018] VCC 1458 (7 September 2018)</w:t>
      </w:r>
    </w:p>
    <w:p w14:paraId="05C782D3" w14:textId="77777777" w:rsidR="00EF5C25" w:rsidRPr="007F530F" w:rsidRDefault="00EF5C25" w:rsidP="002C6923">
      <w:r w:rsidRPr="00D62402">
        <w:rPr>
          <w:rStyle w:val="Emphasis"/>
        </w:rPr>
        <w:t>DPP v Maudsley (A Pseudonym)</w:t>
      </w:r>
      <w:r w:rsidRPr="007F530F">
        <w:t xml:space="preserve"> [2019] VCC 1824 (8 November 2019)</w:t>
      </w:r>
    </w:p>
    <w:p w14:paraId="51F283E3" w14:textId="77777777" w:rsidR="00EF5C25" w:rsidRPr="007F530F" w:rsidRDefault="00EF5C25" w:rsidP="002C6923">
      <w:r w:rsidRPr="00D62402">
        <w:rPr>
          <w:rStyle w:val="Emphasis"/>
        </w:rPr>
        <w:t xml:space="preserve">DPP v Maxfield </w:t>
      </w:r>
      <w:r w:rsidRPr="007F530F">
        <w:t>[2014] VCC 911 (18 June 2014)</w:t>
      </w:r>
    </w:p>
    <w:p w14:paraId="5FBA6DE2" w14:textId="77777777" w:rsidR="00EF5C25" w:rsidRPr="007F530F" w:rsidRDefault="00EF5C25" w:rsidP="002C6923">
      <w:r w:rsidRPr="00D62402">
        <w:rPr>
          <w:rStyle w:val="Emphasis"/>
        </w:rPr>
        <w:t xml:space="preserve">DPP v Maxfield </w:t>
      </w:r>
      <w:r w:rsidRPr="007F530F">
        <w:t>[2015] VSCA 95 (12 May 2015)</w:t>
      </w:r>
    </w:p>
    <w:p w14:paraId="0E166FD0" w14:textId="77777777" w:rsidR="00EF5C25" w:rsidRPr="007F530F" w:rsidRDefault="00EF5C25" w:rsidP="002C6923">
      <w:r w:rsidRPr="00D62402">
        <w:rPr>
          <w:rStyle w:val="Emphasis"/>
        </w:rPr>
        <w:t xml:space="preserve">DPP v McInnes (A Pseudonym) </w:t>
      </w:r>
      <w:r w:rsidRPr="007F530F">
        <w:t>[2020] VCC 729 (28 May 2020)</w:t>
      </w:r>
    </w:p>
    <w:p w14:paraId="0DCC49F2" w14:textId="77777777" w:rsidR="00EF5C25" w:rsidRPr="007F530F" w:rsidRDefault="00EF5C25" w:rsidP="002C6923">
      <w:r w:rsidRPr="00D62402">
        <w:rPr>
          <w:rStyle w:val="Emphasis"/>
        </w:rPr>
        <w:t xml:space="preserve">DPP v Mitchell </w:t>
      </w:r>
      <w:r w:rsidRPr="007F530F">
        <w:t>[2019] VCC 305 (13 March 2019)</w:t>
      </w:r>
    </w:p>
    <w:p w14:paraId="713D720C" w14:textId="77777777" w:rsidR="00EF5C25" w:rsidRPr="007F530F" w:rsidRDefault="00EF5C25" w:rsidP="002C6923">
      <w:r w:rsidRPr="00D62402">
        <w:rPr>
          <w:rStyle w:val="Emphasis"/>
        </w:rPr>
        <w:t xml:space="preserve">DPP v Mokhtari </w:t>
      </w:r>
      <w:r w:rsidRPr="007F530F">
        <w:t>[2020] VSCA 161 (18 June 2020)</w:t>
      </w:r>
    </w:p>
    <w:p w14:paraId="5D4D2BD8" w14:textId="77777777" w:rsidR="00EF5C25" w:rsidRPr="007F530F" w:rsidRDefault="00EF5C25" w:rsidP="002C6923">
      <w:r w:rsidRPr="00D62402">
        <w:rPr>
          <w:rStyle w:val="Emphasis"/>
        </w:rPr>
        <w:t xml:space="preserve">DPP v Mollison </w:t>
      </w:r>
      <w:r w:rsidRPr="007F530F">
        <w:t>[2016] VCC 413 (7 April 2016)</w:t>
      </w:r>
    </w:p>
    <w:p w14:paraId="7497F67A" w14:textId="77777777" w:rsidR="00EF5C25" w:rsidRPr="007F530F" w:rsidRDefault="00EF5C25" w:rsidP="002C6923">
      <w:r w:rsidRPr="00D62402">
        <w:rPr>
          <w:rStyle w:val="Emphasis"/>
        </w:rPr>
        <w:t xml:space="preserve">DPP v Molyneux (A Pseudonym) and Anor </w:t>
      </w:r>
      <w:r w:rsidRPr="007F530F">
        <w:t>[2018] VCC 2225 (21 December 2018)</w:t>
      </w:r>
    </w:p>
    <w:p w14:paraId="04D78D93" w14:textId="77777777" w:rsidR="00EF5C25" w:rsidRPr="007F530F" w:rsidRDefault="00EF5C25" w:rsidP="002C6923">
      <w:r w:rsidRPr="00D62402">
        <w:rPr>
          <w:rStyle w:val="Emphasis"/>
        </w:rPr>
        <w:t xml:space="preserve">DPP v Morey (A Pseudonym) </w:t>
      </w:r>
      <w:r w:rsidRPr="007F530F">
        <w:t>[2020] VCC 320 (30 March 2020)</w:t>
      </w:r>
    </w:p>
    <w:p w14:paraId="5C5EFF91" w14:textId="77777777" w:rsidR="00EF5C25" w:rsidRPr="007F530F" w:rsidRDefault="00EF5C25" w:rsidP="002C6923">
      <w:r w:rsidRPr="00D62402">
        <w:rPr>
          <w:rStyle w:val="Emphasis"/>
        </w:rPr>
        <w:t xml:space="preserve">DPP v Morgan (A Pseudonym) </w:t>
      </w:r>
      <w:r w:rsidRPr="007F530F">
        <w:t>[2015] VCC 1668 (20 November 2015)</w:t>
      </w:r>
    </w:p>
    <w:p w14:paraId="437F3C3C" w14:textId="77777777" w:rsidR="00EF5C25" w:rsidRPr="007F530F" w:rsidRDefault="00EF5C25" w:rsidP="002C6923">
      <w:r w:rsidRPr="00D62402">
        <w:rPr>
          <w:rStyle w:val="Emphasis"/>
        </w:rPr>
        <w:t xml:space="preserve">DPP v Moulden (A Pseudonym) </w:t>
      </w:r>
      <w:r w:rsidRPr="007F530F">
        <w:t>[2019] VCC 386 (28 March 2019)</w:t>
      </w:r>
    </w:p>
    <w:p w14:paraId="0336AC7B" w14:textId="77777777" w:rsidR="00EF5C25" w:rsidRPr="007F530F" w:rsidRDefault="00EF5C25" w:rsidP="002C6923">
      <w:r w:rsidRPr="00D62402">
        <w:rPr>
          <w:rStyle w:val="Emphasis"/>
        </w:rPr>
        <w:t xml:space="preserve">DPP v Munn </w:t>
      </w:r>
      <w:r w:rsidRPr="007F530F">
        <w:t>[2020] VSC 251 (5 May 2020)</w:t>
      </w:r>
    </w:p>
    <w:p w14:paraId="6383A6A0" w14:textId="77777777" w:rsidR="00EF5C25" w:rsidRPr="007F530F" w:rsidRDefault="00EF5C25" w:rsidP="002C6923">
      <w:r w:rsidRPr="00D62402">
        <w:rPr>
          <w:rStyle w:val="Emphasis"/>
        </w:rPr>
        <w:t xml:space="preserve">DPP v Murray (A Pseudonym) </w:t>
      </w:r>
      <w:r w:rsidRPr="007F530F">
        <w:t>[2020] VCC 1475 (16 September 2020)</w:t>
      </w:r>
    </w:p>
    <w:p w14:paraId="4C9C2DF4" w14:textId="77777777" w:rsidR="00EF5C25" w:rsidRPr="007F530F" w:rsidRDefault="00EF5C25" w:rsidP="002C6923">
      <w:r w:rsidRPr="00D62402">
        <w:rPr>
          <w:rStyle w:val="Emphasis"/>
        </w:rPr>
        <w:t xml:space="preserve">DPP v Nafady </w:t>
      </w:r>
      <w:r w:rsidRPr="007F530F">
        <w:t>[2018] VCC 721 (25 May 2018)</w:t>
      </w:r>
    </w:p>
    <w:p w14:paraId="1E9BD4B7" w14:textId="77777777" w:rsidR="00EF5C25" w:rsidRPr="007F530F" w:rsidRDefault="00EF5C25" w:rsidP="002C6923">
      <w:r w:rsidRPr="00D62402">
        <w:rPr>
          <w:rStyle w:val="Emphasis"/>
        </w:rPr>
        <w:t xml:space="preserve">DPP v Nenna (A Pseudonym) </w:t>
      </w:r>
      <w:r w:rsidRPr="007F530F">
        <w:t>[2019] VCC 1512 (19 September 2019)</w:t>
      </w:r>
    </w:p>
    <w:p w14:paraId="5B3C399C" w14:textId="77777777" w:rsidR="00EF5C25" w:rsidRPr="007F530F" w:rsidRDefault="00EF5C25" w:rsidP="002C6923">
      <w:r w:rsidRPr="00D62402">
        <w:rPr>
          <w:rStyle w:val="Emphasis"/>
        </w:rPr>
        <w:lastRenderedPageBreak/>
        <w:t xml:space="preserve">DPP v Nguyen </w:t>
      </w:r>
      <w:r w:rsidRPr="007F530F">
        <w:t>[2020] VCC 348 (26 March 2020)</w:t>
      </w:r>
    </w:p>
    <w:p w14:paraId="307AFA4D" w14:textId="77777777" w:rsidR="00EF5C25" w:rsidRPr="007F530F" w:rsidRDefault="00EF5C25" w:rsidP="002C6923">
      <w:r w:rsidRPr="00D62402">
        <w:rPr>
          <w:rStyle w:val="Emphasis"/>
        </w:rPr>
        <w:t xml:space="preserve">DPP v Parker (A Pseudonym) </w:t>
      </w:r>
      <w:r w:rsidRPr="007F530F">
        <w:t>[2015] VCC 1903 (17 December 2015)</w:t>
      </w:r>
    </w:p>
    <w:p w14:paraId="78E133A3" w14:textId="77777777" w:rsidR="00EF5C25" w:rsidRPr="007F530F" w:rsidRDefault="00EF5C25" w:rsidP="002C6923">
      <w:r w:rsidRPr="00D62402">
        <w:rPr>
          <w:rStyle w:val="Emphasis"/>
        </w:rPr>
        <w:t xml:space="preserve">DPP v Parker (A Pseudonym) </w:t>
      </w:r>
      <w:r w:rsidRPr="007F530F">
        <w:t>[2019] VCC 918 (31 May 2019)</w:t>
      </w:r>
    </w:p>
    <w:p w14:paraId="7286E1FB" w14:textId="77777777" w:rsidR="00EF5C25" w:rsidRPr="007F530F" w:rsidRDefault="00EF5C25" w:rsidP="002C6923">
      <w:r w:rsidRPr="00D62402">
        <w:rPr>
          <w:rStyle w:val="Emphasis"/>
        </w:rPr>
        <w:t xml:space="preserve">DPP v Parra (A Pseudonym) </w:t>
      </w:r>
      <w:r w:rsidRPr="007F530F">
        <w:t>[2020] VCC 829 (11 June 2020)</w:t>
      </w:r>
    </w:p>
    <w:p w14:paraId="3B985E6F" w14:textId="77777777" w:rsidR="00EF5C25" w:rsidRPr="007F530F" w:rsidRDefault="00EF5C25" w:rsidP="002C6923">
      <w:r w:rsidRPr="00D62402">
        <w:rPr>
          <w:rStyle w:val="Emphasis"/>
        </w:rPr>
        <w:t>DPP v Penning (A Pseudonym)</w:t>
      </w:r>
      <w:r w:rsidRPr="007F530F">
        <w:t xml:space="preserve"> [2021] VCC 62 (2 February 2021)</w:t>
      </w:r>
    </w:p>
    <w:p w14:paraId="5F6B92BA" w14:textId="77777777" w:rsidR="00EF5C25" w:rsidRPr="007F530F" w:rsidRDefault="00EF5C25" w:rsidP="002C6923">
      <w:r w:rsidRPr="00D62402">
        <w:rPr>
          <w:rStyle w:val="Emphasis"/>
        </w:rPr>
        <w:t xml:space="preserve">DPP v Pennington (A Pseudonym) </w:t>
      </w:r>
      <w:r w:rsidRPr="007F530F">
        <w:t>[2019] VCC 1700 (18 October 2019)</w:t>
      </w:r>
    </w:p>
    <w:p w14:paraId="3CE8D192" w14:textId="77777777" w:rsidR="00EF5C25" w:rsidRPr="007F530F" w:rsidRDefault="00EF5C25" w:rsidP="002C6923">
      <w:r w:rsidRPr="00D62402">
        <w:rPr>
          <w:rStyle w:val="Emphasis"/>
        </w:rPr>
        <w:t xml:space="preserve">DPP v Polat (A Pseudonym) </w:t>
      </w:r>
      <w:r w:rsidRPr="007F530F">
        <w:t>[2020] VCC 174 (25 June 2020)</w:t>
      </w:r>
    </w:p>
    <w:p w14:paraId="4ABCAC60" w14:textId="77777777" w:rsidR="00EF5C25" w:rsidRPr="007F530F" w:rsidRDefault="00EF5C25" w:rsidP="002C6923">
      <w:r w:rsidRPr="00D62402">
        <w:rPr>
          <w:rStyle w:val="Emphasis"/>
        </w:rPr>
        <w:t xml:space="preserve">DPP v Poole (A Pseudonym) </w:t>
      </w:r>
      <w:r w:rsidRPr="007F530F">
        <w:t>[2020] VCC 340 (25 March 2020)</w:t>
      </w:r>
    </w:p>
    <w:p w14:paraId="432DACA7" w14:textId="77777777" w:rsidR="00EF5C25" w:rsidRPr="007F530F" w:rsidRDefault="00EF5C25" w:rsidP="002C6923">
      <w:r w:rsidRPr="00D62402">
        <w:rPr>
          <w:rStyle w:val="Emphasis"/>
        </w:rPr>
        <w:t xml:space="preserve">DPP v Prior (A Pseudonym) </w:t>
      </w:r>
      <w:r w:rsidRPr="007F530F">
        <w:t>[2019] VCC 1672 (14 October 2019)</w:t>
      </w:r>
    </w:p>
    <w:p w14:paraId="4A454AF9" w14:textId="77777777" w:rsidR="00EF5C25" w:rsidRPr="007F530F" w:rsidRDefault="00EF5C25" w:rsidP="002C6923">
      <w:r w:rsidRPr="00D62402">
        <w:rPr>
          <w:rStyle w:val="Emphasis"/>
        </w:rPr>
        <w:t xml:space="preserve">DPP v Prodanovich </w:t>
      </w:r>
      <w:r w:rsidRPr="007F530F">
        <w:t>[2019] VCC 1730 (24 October 2019)</w:t>
      </w:r>
    </w:p>
    <w:p w14:paraId="5F5A1729" w14:textId="77777777" w:rsidR="00EF5C25" w:rsidRPr="007F530F" w:rsidRDefault="00EF5C25" w:rsidP="002C6923">
      <w:r w:rsidRPr="00D62402">
        <w:rPr>
          <w:rStyle w:val="Emphasis"/>
        </w:rPr>
        <w:t xml:space="preserve">DPP v Purcell (A Pseudonym) </w:t>
      </w:r>
      <w:r w:rsidRPr="007F530F">
        <w:t>[2020] VCC 757 (10 July 2020)</w:t>
      </w:r>
    </w:p>
    <w:p w14:paraId="1E375E88" w14:textId="77777777" w:rsidR="00EF5C25" w:rsidRPr="007F530F" w:rsidRDefault="00EF5C25" w:rsidP="002C6923">
      <w:r w:rsidRPr="00D62402">
        <w:rPr>
          <w:rStyle w:val="Emphasis"/>
        </w:rPr>
        <w:t xml:space="preserve">DPP v Reid </w:t>
      </w:r>
      <w:r w:rsidRPr="007F530F">
        <w:t>[2019] VCC 1362 (29 August 2019)</w:t>
      </w:r>
    </w:p>
    <w:p w14:paraId="4D324AB1" w14:textId="77777777" w:rsidR="00EF5C25" w:rsidRPr="007F530F" w:rsidRDefault="00EF5C25" w:rsidP="002C6923">
      <w:r w:rsidRPr="00D62402">
        <w:rPr>
          <w:rStyle w:val="Emphasis"/>
        </w:rPr>
        <w:t xml:space="preserve">DPP v Robards (A Pseudonym) </w:t>
      </w:r>
      <w:r w:rsidRPr="007F530F">
        <w:t>[2020] VCC 1665 (16 October 2020)</w:t>
      </w:r>
    </w:p>
    <w:p w14:paraId="1D68467D" w14:textId="77777777" w:rsidR="00EF5C25" w:rsidRPr="007F530F" w:rsidRDefault="00EF5C25" w:rsidP="002C6923">
      <w:r w:rsidRPr="00D62402">
        <w:rPr>
          <w:rStyle w:val="Emphasis"/>
        </w:rPr>
        <w:t xml:space="preserve">DPP v Rohan </w:t>
      </w:r>
      <w:r w:rsidRPr="007F530F">
        <w:t>[2020] VCC 814 (9 June 2020)</w:t>
      </w:r>
    </w:p>
    <w:p w14:paraId="4464E940" w14:textId="77777777" w:rsidR="00EF5C25" w:rsidRPr="007F530F" w:rsidRDefault="00EF5C25" w:rsidP="002C6923">
      <w:r w:rsidRPr="00D62402">
        <w:rPr>
          <w:rStyle w:val="Emphasis"/>
        </w:rPr>
        <w:t xml:space="preserve">DPP v Saab </w:t>
      </w:r>
      <w:r w:rsidRPr="007F530F">
        <w:t>[2020] VCC 1468 (14 September 2020)</w:t>
      </w:r>
    </w:p>
    <w:p w14:paraId="6E550CCC" w14:textId="77777777" w:rsidR="00EF5C25" w:rsidRPr="007F530F" w:rsidRDefault="00EF5C25" w:rsidP="002C6923">
      <w:r w:rsidRPr="00D62402">
        <w:rPr>
          <w:rStyle w:val="Emphasis"/>
        </w:rPr>
        <w:t xml:space="preserve">DPP v Serin </w:t>
      </w:r>
      <w:r w:rsidRPr="007F530F">
        <w:t>[2020] VCC 1190 (5 August 2020)</w:t>
      </w:r>
    </w:p>
    <w:p w14:paraId="4FD8D210" w14:textId="77777777" w:rsidR="00EF5C25" w:rsidRPr="007F530F" w:rsidRDefault="00EF5C25" w:rsidP="002C6923">
      <w:r w:rsidRPr="00D62402">
        <w:rPr>
          <w:rStyle w:val="Emphasis"/>
        </w:rPr>
        <w:t xml:space="preserve">DPP v Shearer (A Pseudonym) </w:t>
      </w:r>
      <w:r w:rsidRPr="007F530F">
        <w:t>[2019] VSCA 47 (12 March 2019)</w:t>
      </w:r>
    </w:p>
    <w:p w14:paraId="4BFF95A4" w14:textId="77777777" w:rsidR="00EF5C25" w:rsidRPr="007F530F" w:rsidRDefault="00EF5C25" w:rsidP="002C6923">
      <w:r w:rsidRPr="00D62402">
        <w:rPr>
          <w:rStyle w:val="Emphasis"/>
        </w:rPr>
        <w:t xml:space="preserve">DPP v Shelton (A Pseudonym) </w:t>
      </w:r>
      <w:r w:rsidRPr="007F530F">
        <w:t>[2020] VCC 1073 (21 July 2020)</w:t>
      </w:r>
    </w:p>
    <w:p w14:paraId="271C88A6" w14:textId="77777777" w:rsidR="00EF5C25" w:rsidRPr="007F530F" w:rsidRDefault="00EF5C25" w:rsidP="002C6923">
      <w:r w:rsidRPr="00D62402">
        <w:rPr>
          <w:rStyle w:val="Emphasis"/>
        </w:rPr>
        <w:t xml:space="preserve">DPP v Singh </w:t>
      </w:r>
      <w:r w:rsidRPr="007F530F">
        <w:t>[2019] VCC 1484 (11 September 2019)</w:t>
      </w:r>
    </w:p>
    <w:p w14:paraId="0CB31A81" w14:textId="77777777" w:rsidR="00EF5C25" w:rsidRPr="007F530F" w:rsidRDefault="00EF5C25" w:rsidP="002C6923">
      <w:r w:rsidRPr="00D62402">
        <w:rPr>
          <w:rStyle w:val="Emphasis"/>
        </w:rPr>
        <w:t xml:space="preserve">DPP v Singh </w:t>
      </w:r>
      <w:r w:rsidRPr="007F530F">
        <w:t>[2020] VCC 1102 (22 July 2020)</w:t>
      </w:r>
    </w:p>
    <w:p w14:paraId="4E0C844E" w14:textId="77777777" w:rsidR="00EF5C25" w:rsidRPr="007F530F" w:rsidRDefault="00EF5C25" w:rsidP="002C6923">
      <w:r w:rsidRPr="00D62402">
        <w:rPr>
          <w:rStyle w:val="Emphasis"/>
        </w:rPr>
        <w:t xml:space="preserve">DPP v Snow (A Pseudonym) </w:t>
      </w:r>
      <w:r w:rsidRPr="007F530F">
        <w:t>[2020] VCC 146 (25 February 2020)</w:t>
      </w:r>
    </w:p>
    <w:p w14:paraId="513C7C14" w14:textId="77777777" w:rsidR="00EF5C25" w:rsidRPr="007F530F" w:rsidRDefault="00EF5C25" w:rsidP="002C6923">
      <w:r w:rsidRPr="00D62402">
        <w:rPr>
          <w:rStyle w:val="Emphasis"/>
        </w:rPr>
        <w:t xml:space="preserve">DPP v Solomon-Davidson </w:t>
      </w:r>
      <w:r w:rsidRPr="007F530F">
        <w:t>[2017] VCC 107 (16 February 2017)</w:t>
      </w:r>
    </w:p>
    <w:p w14:paraId="1870D9A5" w14:textId="77777777" w:rsidR="00EF5C25" w:rsidRPr="007F530F" w:rsidRDefault="00EF5C25" w:rsidP="002C6923">
      <w:r w:rsidRPr="00D62402">
        <w:rPr>
          <w:rStyle w:val="Emphasis"/>
        </w:rPr>
        <w:lastRenderedPageBreak/>
        <w:t xml:space="preserve">DPP v Stafford (A Pseudonym) </w:t>
      </w:r>
      <w:r w:rsidRPr="007F530F">
        <w:t>[2018] VCC 877 (8 June 2018)</w:t>
      </w:r>
    </w:p>
    <w:p w14:paraId="3C5A4245" w14:textId="77777777" w:rsidR="00EF5C25" w:rsidRPr="007F530F" w:rsidRDefault="00EF5C25" w:rsidP="002C6923">
      <w:r w:rsidRPr="00D62402">
        <w:rPr>
          <w:rStyle w:val="Emphasis"/>
        </w:rPr>
        <w:t xml:space="preserve">DPP v Tewksbury (A Pseudonym) </w:t>
      </w:r>
      <w:r w:rsidRPr="007F530F">
        <w:t>[2018] VSCA 38 (27 February 2018)</w:t>
      </w:r>
    </w:p>
    <w:p w14:paraId="6DAD14CD" w14:textId="77777777" w:rsidR="00EF5C25" w:rsidRPr="007F530F" w:rsidRDefault="00EF5C25" w:rsidP="002C6923">
      <w:r w:rsidRPr="00D62402">
        <w:rPr>
          <w:rStyle w:val="Emphasis"/>
        </w:rPr>
        <w:t xml:space="preserve">DPP v Thornton (A Pseudonym) </w:t>
      </w:r>
      <w:r w:rsidRPr="007F530F">
        <w:t>[2016] VCC 946 (6 July 2016)</w:t>
      </w:r>
    </w:p>
    <w:p w14:paraId="2403DE1B" w14:textId="77777777" w:rsidR="00EF5C25" w:rsidRPr="007F530F" w:rsidRDefault="00EF5C25" w:rsidP="002C6923">
      <w:r w:rsidRPr="00D62402">
        <w:rPr>
          <w:rStyle w:val="Emphasis"/>
        </w:rPr>
        <w:t xml:space="preserve">DPP v Todd </w:t>
      </w:r>
      <w:r w:rsidRPr="007F530F">
        <w:t>[2019] VSC 585 (2 September 2019)</w:t>
      </w:r>
    </w:p>
    <w:p w14:paraId="436C7F5C" w14:textId="77777777" w:rsidR="00EF5C25" w:rsidRPr="007F530F" w:rsidRDefault="00EF5C25" w:rsidP="002C6923">
      <w:r w:rsidRPr="00D62402">
        <w:rPr>
          <w:rStyle w:val="Emphasis"/>
        </w:rPr>
        <w:t>DPP v Torres (A Pseudonym)</w:t>
      </w:r>
      <w:r w:rsidRPr="007F530F">
        <w:t xml:space="preserve"> [2019] VCC 1182 (1 August 2019)</w:t>
      </w:r>
    </w:p>
    <w:p w14:paraId="345EC630" w14:textId="77777777" w:rsidR="00EF5C25" w:rsidRPr="007F530F" w:rsidRDefault="00EF5C25" w:rsidP="002C6923">
      <w:r w:rsidRPr="00D62402">
        <w:rPr>
          <w:rStyle w:val="Emphasis"/>
        </w:rPr>
        <w:t xml:space="preserve">DPP v Vacek (A Pseudonym) </w:t>
      </w:r>
      <w:r w:rsidRPr="007F530F">
        <w:t>[2015] VCC 484 (24 April 2015)</w:t>
      </w:r>
    </w:p>
    <w:p w14:paraId="32E5EA24" w14:textId="77777777" w:rsidR="00EF5C25" w:rsidRPr="007F530F" w:rsidRDefault="00EF5C25" w:rsidP="002C6923">
      <w:r w:rsidRPr="00D62402">
        <w:rPr>
          <w:rStyle w:val="Emphasis"/>
        </w:rPr>
        <w:t>DPP v Walters (A Pseudonym)</w:t>
      </w:r>
      <w:r w:rsidRPr="007F530F">
        <w:t xml:space="preserve"> [2015] VSCA 303 (17 November 2015)</w:t>
      </w:r>
    </w:p>
    <w:p w14:paraId="39544497" w14:textId="77777777" w:rsidR="00EF5C25" w:rsidRPr="007F530F" w:rsidRDefault="00EF5C25" w:rsidP="002C6923">
      <w:r w:rsidRPr="00D62402">
        <w:rPr>
          <w:rStyle w:val="Emphasis"/>
        </w:rPr>
        <w:t xml:space="preserve">DPP v Walsh (A Pseudonym) </w:t>
      </w:r>
      <w:r w:rsidRPr="007F530F">
        <w:t>[2018] VSCA 172 (17 July 2018)</w:t>
      </w:r>
    </w:p>
    <w:p w14:paraId="70D822B4" w14:textId="77777777" w:rsidR="00EF5C25" w:rsidRPr="007F530F" w:rsidRDefault="00EF5C25" w:rsidP="002C6923">
      <w:r w:rsidRPr="00D62402">
        <w:rPr>
          <w:rStyle w:val="Emphasis"/>
        </w:rPr>
        <w:t xml:space="preserve">DPP v Werry </w:t>
      </w:r>
      <w:r w:rsidRPr="007F530F">
        <w:t>[2012] VSCA 208 (5 September 2012)</w:t>
      </w:r>
    </w:p>
    <w:p w14:paraId="2EB84908" w14:textId="77777777" w:rsidR="00EF5C25" w:rsidRPr="007F530F" w:rsidRDefault="00EF5C25" w:rsidP="002C6923">
      <w:r w:rsidRPr="00D62402">
        <w:rPr>
          <w:rStyle w:val="Emphasis"/>
        </w:rPr>
        <w:t xml:space="preserve">DPP v Wilkinson </w:t>
      </w:r>
      <w:r w:rsidRPr="007F530F">
        <w:t>[2017] VCC 1560 (27 October 2017)</w:t>
      </w:r>
    </w:p>
    <w:p w14:paraId="6ED67246" w14:textId="77777777" w:rsidR="00EF5C25" w:rsidRPr="007F530F" w:rsidRDefault="00EF5C25" w:rsidP="002C6923">
      <w:r w:rsidRPr="00D62402">
        <w:rPr>
          <w:rStyle w:val="Emphasis"/>
        </w:rPr>
        <w:t xml:space="preserve">DPP v Williams (A Pseudonym) </w:t>
      </w:r>
      <w:r w:rsidRPr="007F530F">
        <w:t>[2020] VCC 2065 (17 December 2020)</w:t>
      </w:r>
    </w:p>
    <w:p w14:paraId="33EAD460" w14:textId="77777777" w:rsidR="00EF5C25" w:rsidRPr="007F530F" w:rsidRDefault="00EF5C25" w:rsidP="002C6923">
      <w:r w:rsidRPr="00D62402">
        <w:rPr>
          <w:rStyle w:val="Emphasis"/>
        </w:rPr>
        <w:t xml:space="preserve">DPP v Wilson (A Pseudonym) </w:t>
      </w:r>
      <w:r w:rsidRPr="007F530F">
        <w:t>[2018] VSCA 263 (17 October 2018)</w:t>
      </w:r>
    </w:p>
    <w:p w14:paraId="52E244E9" w14:textId="77777777" w:rsidR="00EF5C25" w:rsidRPr="007F530F" w:rsidRDefault="00EF5C25" w:rsidP="002C6923">
      <w:r w:rsidRPr="00D62402">
        <w:rPr>
          <w:rStyle w:val="Emphasis"/>
        </w:rPr>
        <w:t>DPP v Wolfe (A Pseudonym)</w:t>
      </w:r>
      <w:r w:rsidRPr="007F530F">
        <w:t xml:space="preserve"> [2019] VCC 507 (11 April 2019)</w:t>
      </w:r>
    </w:p>
    <w:p w14:paraId="4D7A76E9" w14:textId="77777777" w:rsidR="00EF5C25" w:rsidRPr="007F530F" w:rsidRDefault="00EF5C25" w:rsidP="002C6923">
      <w:r w:rsidRPr="00D62402">
        <w:rPr>
          <w:rStyle w:val="Emphasis"/>
        </w:rPr>
        <w:t xml:space="preserve">DPP v Wright </w:t>
      </w:r>
      <w:r w:rsidRPr="007F530F">
        <w:t>[2020] VCC 837 (12 June 2020)</w:t>
      </w:r>
    </w:p>
    <w:p w14:paraId="6E30A16F" w14:textId="77777777" w:rsidR="00EF5C25" w:rsidRPr="007F530F" w:rsidRDefault="00EF5C25" w:rsidP="002C6923">
      <w:r w:rsidRPr="00D62402">
        <w:rPr>
          <w:rStyle w:val="Emphasis"/>
        </w:rPr>
        <w:t xml:space="preserve">DPP v Wylie (A Pseudonym) </w:t>
      </w:r>
      <w:r w:rsidRPr="007F530F">
        <w:t>[2017] VCC 1086 (9 August 2017)</w:t>
      </w:r>
    </w:p>
    <w:p w14:paraId="5AAE0287" w14:textId="77777777" w:rsidR="00EF5C25" w:rsidRPr="007F530F" w:rsidRDefault="00EF5C25" w:rsidP="002C6923">
      <w:r w:rsidRPr="00D62402">
        <w:rPr>
          <w:rStyle w:val="Emphasis"/>
        </w:rPr>
        <w:t xml:space="preserve">DPP v Yuen </w:t>
      </w:r>
      <w:r w:rsidRPr="007F530F">
        <w:t>[2020] VCC 1527 (24 September 2020)</w:t>
      </w:r>
    </w:p>
    <w:p w14:paraId="60A3E1C3" w14:textId="77777777" w:rsidR="00EF5C25" w:rsidRPr="007F530F" w:rsidRDefault="00EF5C25" w:rsidP="002C6923">
      <w:r w:rsidRPr="00D62402">
        <w:rPr>
          <w:rStyle w:val="Emphasis"/>
        </w:rPr>
        <w:t xml:space="preserve">DPP v Za Lian &amp; Anor </w:t>
      </w:r>
      <w:r w:rsidRPr="007F530F">
        <w:t>[2019] VSCA 75 (8 April 2019)</w:t>
      </w:r>
    </w:p>
    <w:p w14:paraId="0A18E530" w14:textId="77777777" w:rsidR="00EF5C25" w:rsidRPr="007F530F" w:rsidRDefault="00EF5C25" w:rsidP="002C6923">
      <w:r w:rsidRPr="00D62402">
        <w:rPr>
          <w:rStyle w:val="Emphasis"/>
        </w:rPr>
        <w:t xml:space="preserve">Fichtner v The Queen </w:t>
      </w:r>
      <w:r w:rsidRPr="007F530F">
        <w:t>[2019] VSCA 297 (12 December 2019)</w:t>
      </w:r>
    </w:p>
    <w:p w14:paraId="781D12C3" w14:textId="77777777" w:rsidR="00EF5C25" w:rsidRPr="007F530F" w:rsidRDefault="00EF5C25" w:rsidP="002C6923">
      <w:r w:rsidRPr="00D62402">
        <w:rPr>
          <w:rStyle w:val="Emphasis"/>
        </w:rPr>
        <w:t xml:space="preserve">Freedman (A Pseudonym) v The Queen </w:t>
      </w:r>
      <w:r w:rsidRPr="007F530F">
        <w:t>[2020] VSCA 287 (18 November 2020)</w:t>
      </w:r>
    </w:p>
    <w:p w14:paraId="0E65C91D" w14:textId="77777777" w:rsidR="00EF5C25" w:rsidRPr="007F530F" w:rsidRDefault="00EF5C25" w:rsidP="002C6923">
      <w:r w:rsidRPr="00D62402">
        <w:rPr>
          <w:rStyle w:val="Emphasis"/>
        </w:rPr>
        <w:t xml:space="preserve">GEM v The Queen </w:t>
      </w:r>
      <w:r w:rsidRPr="007F530F">
        <w:t>[2010] VSCA 168 (1 July 2010)</w:t>
      </w:r>
    </w:p>
    <w:p w14:paraId="71E12431" w14:textId="77777777" w:rsidR="00EF5C25" w:rsidRPr="007F530F" w:rsidRDefault="00EF5C25" w:rsidP="002C6923">
      <w:r w:rsidRPr="00D62402">
        <w:rPr>
          <w:rStyle w:val="Emphasis"/>
        </w:rPr>
        <w:t xml:space="preserve">Grantley (A Pseudonym) v The Queen </w:t>
      </w:r>
      <w:r w:rsidRPr="007F530F">
        <w:t>[2018] VSCA 112 (9 May 2018)</w:t>
      </w:r>
    </w:p>
    <w:p w14:paraId="653650A7" w14:textId="77777777" w:rsidR="00EF5C25" w:rsidRPr="007F530F" w:rsidRDefault="00EF5C25" w:rsidP="002C6923">
      <w:r w:rsidRPr="00D62402">
        <w:rPr>
          <w:rStyle w:val="Emphasis"/>
        </w:rPr>
        <w:lastRenderedPageBreak/>
        <w:t xml:space="preserve">Harlow (A Pseudonym) v The Queen </w:t>
      </w:r>
      <w:r w:rsidRPr="007F530F">
        <w:t>[2018] VSCA 234 (14 September 2018)</w:t>
      </w:r>
    </w:p>
    <w:p w14:paraId="6FC10363" w14:textId="77777777" w:rsidR="00EF5C25" w:rsidRPr="007F530F" w:rsidRDefault="00EF5C25" w:rsidP="002C6923">
      <w:r w:rsidRPr="00D62402">
        <w:rPr>
          <w:rStyle w:val="Emphasis"/>
        </w:rPr>
        <w:t xml:space="preserve">Hogarth v The Queen </w:t>
      </w:r>
      <w:r w:rsidRPr="007F530F">
        <w:t>[2012] VSCA 302 (18 December 2012)</w:t>
      </w:r>
    </w:p>
    <w:p w14:paraId="5AABDC4F" w14:textId="77777777" w:rsidR="00EF5C25" w:rsidRPr="007F530F" w:rsidRDefault="00EF5C25" w:rsidP="002C6923">
      <w:r w:rsidRPr="00D62402">
        <w:rPr>
          <w:rStyle w:val="Emphasis"/>
        </w:rPr>
        <w:t xml:space="preserve">Jurj and Miftode v The Queen </w:t>
      </w:r>
      <w:r w:rsidRPr="007F530F">
        <w:t>[2016] VSCA 57 (4 April 2016)</w:t>
      </w:r>
    </w:p>
    <w:p w14:paraId="0E2F998B" w14:textId="77777777" w:rsidR="00EF5C25" w:rsidRPr="007F530F" w:rsidRDefault="00EF5C25" w:rsidP="002C6923">
      <w:r w:rsidRPr="00D62402">
        <w:rPr>
          <w:rStyle w:val="Emphasis"/>
        </w:rPr>
        <w:t xml:space="preserve">Lockyer (A Pseudonym) v The Queen </w:t>
      </w:r>
      <w:r w:rsidRPr="007F530F">
        <w:t>[2020] VSCA 321 (9 December 2020)</w:t>
      </w:r>
    </w:p>
    <w:p w14:paraId="532230FA" w14:textId="77777777" w:rsidR="00EF5C25" w:rsidRPr="007F530F" w:rsidRDefault="00EF5C25" w:rsidP="002C6923">
      <w:r w:rsidRPr="00D62402">
        <w:rPr>
          <w:rStyle w:val="Emphasis"/>
        </w:rPr>
        <w:t xml:space="preserve">Lucciano (A Pseudonym) v The Queen </w:t>
      </w:r>
      <w:r w:rsidRPr="007F530F">
        <w:t>[2021] VSCA 12 (9 February 2021)</w:t>
      </w:r>
    </w:p>
    <w:p w14:paraId="61BDCB99" w14:textId="77777777" w:rsidR="00EF5C25" w:rsidRPr="007F530F" w:rsidRDefault="00EF5C25" w:rsidP="002C6923">
      <w:r w:rsidRPr="00D62402">
        <w:rPr>
          <w:rStyle w:val="Emphasis"/>
        </w:rPr>
        <w:t xml:space="preserve">Lugo (A Pseudonym) v The Queen </w:t>
      </w:r>
      <w:r w:rsidRPr="007F530F">
        <w:t>[2020] VSCA 75 (30 March 2020)</w:t>
      </w:r>
    </w:p>
    <w:p w14:paraId="4938922F" w14:textId="77777777" w:rsidR="00EF5C25" w:rsidRPr="007F530F" w:rsidRDefault="00EF5C25" w:rsidP="002C6923">
      <w:r w:rsidRPr="00D62402">
        <w:rPr>
          <w:rStyle w:val="Emphasis"/>
        </w:rPr>
        <w:t xml:space="preserve">McCray (A Pseudonym) v The Queen </w:t>
      </w:r>
      <w:r w:rsidRPr="007F530F">
        <w:t>[2017] VSCA 340 (22 November 2017)</w:t>
      </w:r>
    </w:p>
    <w:p w14:paraId="1A4CFA9B" w14:textId="77777777" w:rsidR="00EF5C25" w:rsidRPr="007F530F" w:rsidRDefault="00EF5C25" w:rsidP="002C6923">
      <w:r w:rsidRPr="00D62402">
        <w:rPr>
          <w:rStyle w:val="Emphasis"/>
        </w:rPr>
        <w:t xml:space="preserve">McPherson v The Queen </w:t>
      </w:r>
      <w:r w:rsidRPr="007F530F">
        <w:t>[2021] VSCA 53 (12 March 2021)</w:t>
      </w:r>
    </w:p>
    <w:p w14:paraId="1636C482" w14:textId="77777777" w:rsidR="00EF5C25" w:rsidRPr="007F530F" w:rsidRDefault="00EF5C25" w:rsidP="002C6923">
      <w:r w:rsidRPr="00D62402">
        <w:rPr>
          <w:rStyle w:val="Emphasis"/>
        </w:rPr>
        <w:t xml:space="preserve">Mush v The Queen </w:t>
      </w:r>
      <w:r w:rsidRPr="007F530F">
        <w:t>[2019] VSCA 307 (18 December 2019)</w:t>
      </w:r>
    </w:p>
    <w:p w14:paraId="4E1D6B8B" w14:textId="77777777" w:rsidR="00EF5C25" w:rsidRPr="007F530F" w:rsidRDefault="00EF5C25" w:rsidP="002C6923">
      <w:r w:rsidRPr="00D62402">
        <w:rPr>
          <w:rStyle w:val="Emphasis"/>
        </w:rPr>
        <w:t xml:space="preserve">Patil (A Pseudonym) v The Queen </w:t>
      </w:r>
      <w:r w:rsidRPr="007F530F">
        <w:t>[2020] VSCA 337 (23 December 2020)</w:t>
      </w:r>
    </w:p>
    <w:p w14:paraId="59B395CD" w14:textId="77777777" w:rsidR="00EF5C25" w:rsidRPr="007F530F" w:rsidRDefault="00EF5C25" w:rsidP="002C6923">
      <w:r w:rsidRPr="00D62402">
        <w:rPr>
          <w:rStyle w:val="Emphasis"/>
        </w:rPr>
        <w:t xml:space="preserve">Phillips (A Pseudonym) v The Queen </w:t>
      </w:r>
      <w:r w:rsidRPr="007F530F">
        <w:t>[2018] VSCA 114 (9 May 2018)</w:t>
      </w:r>
    </w:p>
    <w:p w14:paraId="5986BF4D" w14:textId="77777777" w:rsidR="00EF5C25" w:rsidRPr="007F530F" w:rsidRDefault="00EF5C25" w:rsidP="002C6923">
      <w:r w:rsidRPr="00D62402">
        <w:rPr>
          <w:rStyle w:val="Emphasis"/>
        </w:rPr>
        <w:t xml:space="preserve">Pickford (A Pseudonym) v The Queen </w:t>
      </w:r>
      <w:r w:rsidRPr="007F530F">
        <w:t>[2019] VSCA 195 (11 September 2019)</w:t>
      </w:r>
    </w:p>
    <w:p w14:paraId="2165C10B" w14:textId="77777777" w:rsidR="00EF5C25" w:rsidRPr="007F530F" w:rsidRDefault="00EF5C25" w:rsidP="002C6923">
      <w:r w:rsidRPr="00D62402">
        <w:rPr>
          <w:rStyle w:val="Emphasis"/>
        </w:rPr>
        <w:t xml:space="preserve">Pitt (A Pseudonym) v The Queen </w:t>
      </w:r>
      <w:r w:rsidRPr="007F530F">
        <w:t>[2020] VSCA 73 (27 March 2020)</w:t>
      </w:r>
    </w:p>
    <w:p w14:paraId="57AB9531" w14:textId="77777777" w:rsidR="00EF5C25" w:rsidRPr="007F530F" w:rsidRDefault="00EF5C25" w:rsidP="002C6923">
      <w:r w:rsidRPr="00D62402">
        <w:rPr>
          <w:rStyle w:val="Emphasis"/>
        </w:rPr>
        <w:t xml:space="preserve">Poursanidis v The Queen </w:t>
      </w:r>
      <w:r w:rsidRPr="007F530F">
        <w:t>[2016] VSCA 164 (11 July 2016)</w:t>
      </w:r>
    </w:p>
    <w:p w14:paraId="6C875C9A" w14:textId="77777777" w:rsidR="00EF5C25" w:rsidRPr="007F530F" w:rsidRDefault="00EF5C25" w:rsidP="002C6923">
      <w:r w:rsidRPr="00D62402">
        <w:rPr>
          <w:rStyle w:val="Emphasis"/>
        </w:rPr>
        <w:t xml:space="preserve">R v Doo </w:t>
      </w:r>
      <w:r w:rsidRPr="007F530F">
        <w:t>[2010] VSC 325 (18 June 2010)</w:t>
      </w:r>
    </w:p>
    <w:p w14:paraId="1FF87E0D" w14:textId="77777777" w:rsidR="00EF5C25" w:rsidRPr="007F530F" w:rsidRDefault="00EF5C25" w:rsidP="002C6923">
      <w:r w:rsidRPr="00D62402">
        <w:rPr>
          <w:rStyle w:val="Emphasis"/>
        </w:rPr>
        <w:t xml:space="preserve">R v Bayley </w:t>
      </w:r>
      <w:r w:rsidRPr="007F530F">
        <w:t>[2013] VSC 313 (19 June 2013)</w:t>
      </w:r>
    </w:p>
    <w:p w14:paraId="1B08872D" w14:textId="77777777" w:rsidR="00EF5C25" w:rsidRPr="007F530F" w:rsidRDefault="00EF5C25" w:rsidP="002C6923">
      <w:r w:rsidRPr="00D62402">
        <w:rPr>
          <w:rStyle w:val="Emphasis"/>
        </w:rPr>
        <w:t xml:space="preserve">R v Brown </w:t>
      </w:r>
      <w:r w:rsidRPr="007F530F">
        <w:t>[2018] VSC 742 (29 November 2018)</w:t>
      </w:r>
    </w:p>
    <w:p w14:paraId="313683A5" w14:textId="77777777" w:rsidR="00EF5C25" w:rsidRPr="007F530F" w:rsidRDefault="00EF5C25" w:rsidP="002C6923">
      <w:r w:rsidRPr="00D62402">
        <w:rPr>
          <w:rStyle w:val="Emphasis"/>
        </w:rPr>
        <w:t xml:space="preserve">R v MAN </w:t>
      </w:r>
      <w:r w:rsidRPr="007F530F">
        <w:t>[2005] QCA 413 (11 November 2005)</w:t>
      </w:r>
    </w:p>
    <w:p w14:paraId="1365108F" w14:textId="77777777" w:rsidR="00EF5C25" w:rsidRPr="007F530F" w:rsidRDefault="00EF5C25" w:rsidP="002C6923">
      <w:r w:rsidRPr="00D62402">
        <w:rPr>
          <w:rStyle w:val="Emphasis"/>
        </w:rPr>
        <w:t xml:space="preserve">R v McNamara </w:t>
      </w:r>
      <w:r w:rsidRPr="007F530F">
        <w:t>[2020] VSC 705 (22 October 2000)</w:t>
      </w:r>
    </w:p>
    <w:p w14:paraId="2738F998" w14:textId="77777777" w:rsidR="00EF5C25" w:rsidRPr="007F530F" w:rsidRDefault="00EF5C25" w:rsidP="002C6923">
      <w:r w:rsidRPr="00D62402">
        <w:rPr>
          <w:rStyle w:val="Emphasis"/>
        </w:rPr>
        <w:t xml:space="preserve">R v Ware </w:t>
      </w:r>
      <w:r w:rsidRPr="007F530F">
        <w:t>[1997] 1 VR 647</w:t>
      </w:r>
    </w:p>
    <w:p w14:paraId="4FCC062C" w14:textId="77777777" w:rsidR="00EF5C25" w:rsidRPr="007F530F" w:rsidRDefault="00EF5C25" w:rsidP="002C6923">
      <w:r w:rsidRPr="00D62402">
        <w:rPr>
          <w:rStyle w:val="Emphasis"/>
        </w:rPr>
        <w:lastRenderedPageBreak/>
        <w:t xml:space="preserve">Shawcross (A Pseudonym) v The Queen </w:t>
      </w:r>
      <w:r w:rsidRPr="007F530F">
        <w:t>[2018] VSCA 295 (14 November 2018)</w:t>
      </w:r>
    </w:p>
    <w:p w14:paraId="6115AA89" w14:textId="77777777" w:rsidR="00EF5C25" w:rsidRPr="007F530F" w:rsidRDefault="00EF5C25" w:rsidP="002C6923">
      <w:r w:rsidRPr="00D62402">
        <w:rPr>
          <w:rStyle w:val="Emphasis"/>
        </w:rPr>
        <w:t xml:space="preserve">Shrestha v The Queen </w:t>
      </w:r>
      <w:r w:rsidRPr="007F530F">
        <w:t>[2017] VSCA 364 (11 December 2017)</w:t>
      </w:r>
    </w:p>
    <w:p w14:paraId="173C40D5" w14:textId="77777777" w:rsidR="00EF5C25" w:rsidRPr="007F530F" w:rsidRDefault="00EF5C25" w:rsidP="002C6923">
      <w:r w:rsidRPr="00D62402">
        <w:rPr>
          <w:rStyle w:val="Emphasis"/>
        </w:rPr>
        <w:t xml:space="preserve">SLJ v The Queen </w:t>
      </w:r>
      <w:r w:rsidRPr="007F530F">
        <w:t>[2013] VSCA 193 (31 July 2013)</w:t>
      </w:r>
    </w:p>
    <w:p w14:paraId="7D8FF6E7" w14:textId="77777777" w:rsidR="00EF5C25" w:rsidRPr="007F530F" w:rsidRDefault="00EF5C25" w:rsidP="002C6923">
      <w:r w:rsidRPr="00D62402">
        <w:rPr>
          <w:rStyle w:val="Emphasis"/>
        </w:rPr>
        <w:t xml:space="preserve">Stalio v The Queen </w:t>
      </w:r>
      <w:r w:rsidRPr="007F530F">
        <w:t>[2012] VSCA 120 (12 June 2012)</w:t>
      </w:r>
    </w:p>
    <w:p w14:paraId="16FFFFB8" w14:textId="77777777" w:rsidR="00EF5C25" w:rsidRPr="007F530F" w:rsidRDefault="00EF5C25" w:rsidP="006633AA">
      <w:pPr>
        <w:pStyle w:val="Heading2"/>
      </w:pPr>
      <w:r w:rsidRPr="007F530F">
        <w:t xml:space="preserve">Legislation </w:t>
      </w:r>
    </w:p>
    <w:p w14:paraId="7601FCCC" w14:textId="77777777" w:rsidR="00EF5C25" w:rsidRPr="007F530F" w:rsidRDefault="00EF5C25" w:rsidP="002C6923">
      <w:r w:rsidRPr="00D62402">
        <w:rPr>
          <w:rStyle w:val="Emphasis"/>
        </w:rPr>
        <w:t>Crimes Act 1957</w:t>
      </w:r>
      <w:r w:rsidRPr="007F530F">
        <w:t xml:space="preserve"> (Vic)</w:t>
      </w:r>
    </w:p>
    <w:p w14:paraId="454C1ED6" w14:textId="77777777" w:rsidR="00EF5C25" w:rsidRPr="007F530F" w:rsidRDefault="00EF5C25" w:rsidP="002C6923">
      <w:r w:rsidRPr="00D62402">
        <w:rPr>
          <w:rStyle w:val="Emphasis"/>
        </w:rPr>
        <w:t xml:space="preserve">Crimes Act 1958 </w:t>
      </w:r>
      <w:r w:rsidRPr="007F530F">
        <w:t>(Vic)</w:t>
      </w:r>
    </w:p>
    <w:p w14:paraId="1447D3FB" w14:textId="77777777" w:rsidR="00EF5C25" w:rsidRPr="007F530F" w:rsidRDefault="00EF5C25" w:rsidP="002C6923">
      <w:r w:rsidRPr="00D62402">
        <w:rPr>
          <w:rStyle w:val="Emphasis"/>
        </w:rPr>
        <w:t xml:space="preserve">Crimes Amendment (Manslaughter and Related Offences) Act 2020 </w:t>
      </w:r>
      <w:r w:rsidRPr="007F530F">
        <w:t>(Vic)</w:t>
      </w:r>
    </w:p>
    <w:p w14:paraId="229C0EAA" w14:textId="77777777" w:rsidR="00EF5C25" w:rsidRPr="007F530F" w:rsidRDefault="00EF5C25" w:rsidP="002C6923">
      <w:r w:rsidRPr="00D62402">
        <w:rPr>
          <w:rStyle w:val="Emphasis"/>
        </w:rPr>
        <w:t xml:space="preserve">Crimes Amendment (Rape) Act 2007 </w:t>
      </w:r>
      <w:r w:rsidRPr="007F530F">
        <w:t>(Vic)</w:t>
      </w:r>
    </w:p>
    <w:p w14:paraId="57EB585D" w14:textId="77777777" w:rsidR="00EF5C25" w:rsidRPr="007F530F" w:rsidRDefault="00EF5C25" w:rsidP="002C6923">
      <w:r w:rsidRPr="00D62402">
        <w:rPr>
          <w:rStyle w:val="Emphasis"/>
        </w:rPr>
        <w:t xml:space="preserve">Crimes Amendment (Sexual Offences) Act 2016 </w:t>
      </w:r>
      <w:r w:rsidRPr="007F530F">
        <w:t>(Vic)</w:t>
      </w:r>
    </w:p>
    <w:p w14:paraId="7AA9C1FF" w14:textId="77777777" w:rsidR="00EF5C25" w:rsidRPr="007F530F" w:rsidRDefault="00EF5C25" w:rsidP="002C6923">
      <w:r w:rsidRPr="00D62402">
        <w:rPr>
          <w:rStyle w:val="Emphasis"/>
        </w:rPr>
        <w:t xml:space="preserve">Crimes Amendment (Sexual Offences and Other Matters) Act 2014 </w:t>
      </w:r>
      <w:r w:rsidRPr="007F530F">
        <w:t>(Vic)</w:t>
      </w:r>
    </w:p>
    <w:p w14:paraId="5D844826" w14:textId="77777777" w:rsidR="00EF5C25" w:rsidRPr="007F530F" w:rsidRDefault="00EF5C25" w:rsidP="002C6923">
      <w:r w:rsidRPr="00D62402">
        <w:rPr>
          <w:rStyle w:val="Emphasis"/>
        </w:rPr>
        <w:t xml:space="preserve">Crimes Legislation Amendment Act 2010 </w:t>
      </w:r>
      <w:r w:rsidRPr="007F530F">
        <w:t>(Vic)</w:t>
      </w:r>
    </w:p>
    <w:p w14:paraId="36D0C507" w14:textId="77777777" w:rsidR="00EF5C25" w:rsidRPr="007F530F" w:rsidRDefault="00EF5C25" w:rsidP="002C6923">
      <w:r w:rsidRPr="00D62402">
        <w:rPr>
          <w:rStyle w:val="Emphasis"/>
        </w:rPr>
        <w:t xml:space="preserve">Crimes (Amendment) Act 1997 </w:t>
      </w:r>
      <w:r w:rsidRPr="007F530F">
        <w:t>(Vic)</w:t>
      </w:r>
    </w:p>
    <w:p w14:paraId="0223749D" w14:textId="77777777" w:rsidR="00EF5C25" w:rsidRPr="007F530F" w:rsidRDefault="00EF5C25" w:rsidP="002C6923">
      <w:r w:rsidRPr="00D62402">
        <w:rPr>
          <w:rStyle w:val="Emphasis"/>
        </w:rPr>
        <w:t xml:space="preserve">Crimes (Rape) Act 1991 </w:t>
      </w:r>
      <w:r w:rsidRPr="007F530F">
        <w:t>(Vic)</w:t>
      </w:r>
    </w:p>
    <w:p w14:paraId="253D610F" w14:textId="77777777" w:rsidR="00EF5C25" w:rsidRPr="007F530F" w:rsidRDefault="00EF5C25" w:rsidP="002C6923">
      <w:r w:rsidRPr="00D62402">
        <w:rPr>
          <w:rStyle w:val="Emphasis"/>
        </w:rPr>
        <w:t xml:space="preserve">Crimes (Sexual Offences) Act 1980 </w:t>
      </w:r>
      <w:r w:rsidRPr="007F530F">
        <w:t>(Vic)</w:t>
      </w:r>
    </w:p>
    <w:p w14:paraId="3EC154DE" w14:textId="77777777" w:rsidR="00EF5C25" w:rsidRPr="007F530F" w:rsidRDefault="00EF5C25" w:rsidP="002C6923">
      <w:r w:rsidRPr="00D62402">
        <w:rPr>
          <w:rStyle w:val="Emphasis"/>
        </w:rPr>
        <w:t xml:space="preserve">Crimes (Sexual Offences) Act 1991 </w:t>
      </w:r>
      <w:r w:rsidRPr="007F530F">
        <w:t>(Vic)</w:t>
      </w:r>
    </w:p>
    <w:p w14:paraId="19E1A004" w14:textId="77777777" w:rsidR="00EF5C25" w:rsidRPr="007F530F" w:rsidRDefault="00EF5C25" w:rsidP="002C6923">
      <w:r w:rsidRPr="00D62402">
        <w:rPr>
          <w:rStyle w:val="Emphasis"/>
        </w:rPr>
        <w:t xml:space="preserve">Crimes (Sexual Offences) Act 2006 </w:t>
      </w:r>
      <w:r w:rsidRPr="007F530F">
        <w:t>(Vic)</w:t>
      </w:r>
    </w:p>
    <w:p w14:paraId="7FC48B59" w14:textId="77777777" w:rsidR="00EF5C25" w:rsidRPr="007F530F" w:rsidRDefault="00EF5C25" w:rsidP="002C6923">
      <w:r w:rsidRPr="00D62402">
        <w:rPr>
          <w:rStyle w:val="Emphasis"/>
        </w:rPr>
        <w:t xml:space="preserve">Criminal Procedure Act 2009 </w:t>
      </w:r>
      <w:r w:rsidRPr="007F530F">
        <w:t>(Vic)</w:t>
      </w:r>
    </w:p>
    <w:p w14:paraId="3222C3A1" w14:textId="77777777" w:rsidR="00EF5C25" w:rsidRPr="007F530F" w:rsidRDefault="00EF5C25" w:rsidP="002C6923">
      <w:r w:rsidRPr="00D62402">
        <w:rPr>
          <w:rStyle w:val="Emphasis"/>
        </w:rPr>
        <w:t xml:space="preserve">Drugs, Poisons and Controlled Substances Act 1981 </w:t>
      </w:r>
      <w:r w:rsidRPr="007F530F">
        <w:t>(Vic)</w:t>
      </w:r>
    </w:p>
    <w:p w14:paraId="7AB7B959" w14:textId="77777777" w:rsidR="00EF5C25" w:rsidRPr="007F530F" w:rsidRDefault="00EF5C25" w:rsidP="002C6923">
      <w:r w:rsidRPr="00D62402">
        <w:rPr>
          <w:rStyle w:val="Emphasis"/>
        </w:rPr>
        <w:t xml:space="preserve">Justice Legislation Miscellaneous Amendment Act 2018 </w:t>
      </w:r>
      <w:r w:rsidRPr="007F530F">
        <w:t>(Vic)</w:t>
      </w:r>
    </w:p>
    <w:p w14:paraId="754E7E92" w14:textId="77777777" w:rsidR="00EF5C25" w:rsidRPr="007F530F" w:rsidRDefault="00EF5C25" w:rsidP="002C6923">
      <w:r w:rsidRPr="00D62402">
        <w:rPr>
          <w:rStyle w:val="Emphasis"/>
        </w:rPr>
        <w:t xml:space="preserve">Legislation Miscellaneous Amendment Act 2018 </w:t>
      </w:r>
      <w:r w:rsidRPr="007F530F">
        <w:t>(Vic)</w:t>
      </w:r>
    </w:p>
    <w:p w14:paraId="5F5A8EF7" w14:textId="77777777" w:rsidR="00EF5C25" w:rsidRPr="007F530F" w:rsidRDefault="00EF5C25" w:rsidP="002C6923">
      <w:r w:rsidRPr="00D62402">
        <w:rPr>
          <w:rStyle w:val="Emphasis"/>
        </w:rPr>
        <w:t xml:space="preserve">Sentencing Act 1991 </w:t>
      </w:r>
      <w:r w:rsidRPr="007F530F">
        <w:t>(Vic)</w:t>
      </w:r>
    </w:p>
    <w:p w14:paraId="302B712C" w14:textId="77777777" w:rsidR="00EF5C25" w:rsidRPr="007F530F" w:rsidRDefault="00EF5C25" w:rsidP="002C6923">
      <w:r w:rsidRPr="00D62402">
        <w:rPr>
          <w:rStyle w:val="Emphasis"/>
        </w:rPr>
        <w:lastRenderedPageBreak/>
        <w:t>Sentencing Amendment Act 2010</w:t>
      </w:r>
      <w:r w:rsidRPr="007F530F">
        <w:t> (Vic)</w:t>
      </w:r>
    </w:p>
    <w:p w14:paraId="0DA17DDA" w14:textId="77777777" w:rsidR="00EF5C25" w:rsidRPr="007F530F" w:rsidRDefault="00EF5C25" w:rsidP="002C6923">
      <w:r w:rsidRPr="00D62402">
        <w:rPr>
          <w:rStyle w:val="Emphasis"/>
        </w:rPr>
        <w:t>Sentencing Amendment (Abolition of Suspended Sentences &amp; Other Matters) Act 2013</w:t>
      </w:r>
      <w:r w:rsidRPr="007F530F">
        <w:t> (Vic)</w:t>
      </w:r>
    </w:p>
    <w:p w14:paraId="0765D802" w14:textId="77777777" w:rsidR="00EF5C25" w:rsidRPr="007F530F" w:rsidRDefault="00EF5C25" w:rsidP="002C6923">
      <w:r w:rsidRPr="00D62402">
        <w:rPr>
          <w:rStyle w:val="Emphasis"/>
        </w:rPr>
        <w:t xml:space="preserve">Sentencing Amendment (Baseline Sentences) Act 2014 </w:t>
      </w:r>
      <w:r w:rsidRPr="007F530F">
        <w:t>(Vic)</w:t>
      </w:r>
    </w:p>
    <w:p w14:paraId="691C86F6" w14:textId="77777777" w:rsidR="00EF5C25" w:rsidRPr="007F530F" w:rsidRDefault="00EF5C25" w:rsidP="002C6923">
      <w:r w:rsidRPr="00D62402">
        <w:rPr>
          <w:rStyle w:val="Emphasis"/>
        </w:rPr>
        <w:t xml:space="preserve">Sentencing (Community Correction Order) and Other Acts Amendment Act 2016 </w:t>
      </w:r>
      <w:r w:rsidRPr="007F530F">
        <w:t>(Vic)</w:t>
      </w:r>
    </w:p>
    <w:p w14:paraId="06727B17" w14:textId="77777777" w:rsidR="00EF5C25" w:rsidRPr="007F530F" w:rsidRDefault="00EF5C25" w:rsidP="002C6923">
      <w:r w:rsidRPr="00D62402">
        <w:rPr>
          <w:rStyle w:val="Emphasis"/>
        </w:rPr>
        <w:t xml:space="preserve">Sentencing Amendment (Community Correction Reform) Act 2011 </w:t>
      </w:r>
      <w:r w:rsidRPr="007F530F">
        <w:t>(Vic)</w:t>
      </w:r>
    </w:p>
    <w:p w14:paraId="70E8CE29" w14:textId="77777777" w:rsidR="00EF5C25" w:rsidRPr="007F530F" w:rsidRDefault="00EF5C25" w:rsidP="002C6923">
      <w:r w:rsidRPr="00D62402">
        <w:rPr>
          <w:rStyle w:val="Emphasis"/>
        </w:rPr>
        <w:t xml:space="preserve">Sentencing Amendment (Sentencing Standards) Act 2017 </w:t>
      </w:r>
      <w:r w:rsidRPr="007F530F">
        <w:t>(Vic)</w:t>
      </w:r>
    </w:p>
    <w:p w14:paraId="2E39EC90" w14:textId="77777777" w:rsidR="00EF5C25" w:rsidRPr="007F530F" w:rsidRDefault="00EF5C25" w:rsidP="002C6923">
      <w:r w:rsidRPr="00D62402">
        <w:rPr>
          <w:rStyle w:val="Emphasis"/>
        </w:rPr>
        <w:t xml:space="preserve">Sentencing and Other Acts (Amendment) Act 1997 </w:t>
      </w:r>
      <w:r w:rsidRPr="007F530F">
        <w:t>(Vic)</w:t>
      </w:r>
    </w:p>
    <w:p w14:paraId="7F3518EA" w14:textId="77777777" w:rsidR="00EF5C25" w:rsidRPr="007F530F" w:rsidRDefault="00EF5C25" w:rsidP="002C6923">
      <w:r w:rsidRPr="00D62402">
        <w:rPr>
          <w:rStyle w:val="Emphasis"/>
        </w:rPr>
        <w:t xml:space="preserve">Sentencing (Amendment) Act 1993 </w:t>
      </w:r>
      <w:r w:rsidRPr="007F530F">
        <w:t>(Vic)</w:t>
      </w:r>
    </w:p>
    <w:p w14:paraId="3309C996" w14:textId="77777777" w:rsidR="00EF5C25" w:rsidRPr="007F530F" w:rsidRDefault="00EF5C25" w:rsidP="002C6923">
      <w:r w:rsidRPr="00D62402">
        <w:rPr>
          <w:rStyle w:val="Emphasis"/>
        </w:rPr>
        <w:t xml:space="preserve">Sentencing (Community Correction Order) and Other Acts Amendment Act 2016 </w:t>
      </w:r>
      <w:r w:rsidRPr="007F530F">
        <w:t>(Vic)</w:t>
      </w:r>
    </w:p>
    <w:p w14:paraId="19874DA5" w14:textId="77777777" w:rsidR="00EF5C25" w:rsidRPr="007F530F" w:rsidRDefault="00EF5C25" w:rsidP="002C6923">
      <w:r w:rsidRPr="00D62402">
        <w:rPr>
          <w:rStyle w:val="Emphasis"/>
        </w:rPr>
        <w:t xml:space="preserve">Sentencing (Suspended Sentences) Act 2006 </w:t>
      </w:r>
      <w:r w:rsidRPr="007F530F">
        <w:t>(Vic)</w:t>
      </w:r>
    </w:p>
    <w:p w14:paraId="76BA77B9" w14:textId="77777777" w:rsidR="00EF5C25" w:rsidRPr="007F530F" w:rsidRDefault="00EF5C25" w:rsidP="006633AA">
      <w:pPr>
        <w:pStyle w:val="Heading2"/>
      </w:pPr>
      <w:r w:rsidRPr="007F530F">
        <w:t>Quasi-legislative materials</w:t>
      </w:r>
    </w:p>
    <w:p w14:paraId="6A8FEAAB" w14:textId="77777777" w:rsidR="00EF5C25" w:rsidRPr="007F530F" w:rsidRDefault="00EF5C25" w:rsidP="002C6923">
      <w:r w:rsidRPr="007F530F">
        <w:t>Explanatory Memorandum, Sentencing Amendment (Sentencing Standards) Bill 2017 (Vic)</w:t>
      </w:r>
    </w:p>
    <w:p w14:paraId="2E2A82B4" w14:textId="77777777" w:rsidR="00EF5C25" w:rsidRPr="007F530F" w:rsidRDefault="00EF5C25" w:rsidP="002C6923">
      <w:r w:rsidRPr="007F530F">
        <w:t xml:space="preserve">Victoria, </w:t>
      </w:r>
      <w:r w:rsidRPr="00D62402">
        <w:rPr>
          <w:rStyle w:val="Emphasis"/>
        </w:rPr>
        <w:t>Parliamentary Debates</w:t>
      </w:r>
      <w:r w:rsidRPr="007F530F">
        <w:t>, Legislative Assembly, 13 October 2016 (Martin Pakula, Attorney-General).</w:t>
      </w:r>
    </w:p>
    <w:p w14:paraId="2FE51267" w14:textId="77777777" w:rsidR="00EF5C25" w:rsidRPr="007F530F" w:rsidRDefault="00EF5C25" w:rsidP="002C6923">
      <w:r w:rsidRPr="007F530F">
        <w:t xml:space="preserve">Victoria, </w:t>
      </w:r>
      <w:r w:rsidRPr="00D62402">
        <w:rPr>
          <w:rStyle w:val="Emphasis"/>
        </w:rPr>
        <w:t>Parliamentary Debates</w:t>
      </w:r>
      <w:r w:rsidRPr="007F530F">
        <w:t>, Legislative Assembly, 27 October 2016 (Martin Pakula, Attorney-General).</w:t>
      </w:r>
    </w:p>
    <w:p w14:paraId="01FFB930" w14:textId="77777777" w:rsidR="00EF5C25" w:rsidRPr="007F530F" w:rsidRDefault="00EF5C25" w:rsidP="002C6923">
      <w:r w:rsidRPr="007F530F">
        <w:t xml:space="preserve">Victoria, </w:t>
      </w:r>
      <w:r w:rsidRPr="00D62402">
        <w:rPr>
          <w:rStyle w:val="Emphasis"/>
        </w:rPr>
        <w:t xml:space="preserve">Parliamentary Debates, </w:t>
      </w:r>
      <w:r w:rsidRPr="007F530F">
        <w:t>Legislative Assembly, 25 May 2017 (Martin Pakula, Attorney-General).</w:t>
      </w:r>
    </w:p>
    <w:p w14:paraId="4A7009A7" w14:textId="77777777" w:rsidR="00EF5C25" w:rsidRPr="007F530F" w:rsidRDefault="00EF5C25" w:rsidP="002C6923">
      <w:r w:rsidRPr="007F530F">
        <w:t xml:space="preserve">Victoria, </w:t>
      </w:r>
      <w:r w:rsidRPr="00D62402">
        <w:rPr>
          <w:rStyle w:val="Emphasis"/>
        </w:rPr>
        <w:t>Parliamentary Debates</w:t>
      </w:r>
      <w:r w:rsidRPr="007F530F">
        <w:t>, Legislative Assembly, 3 April 2014 (Robert Clark, Attorney-General).</w:t>
      </w:r>
    </w:p>
    <w:p w14:paraId="472F33BF" w14:textId="77777777" w:rsidR="00EF5C25" w:rsidRPr="007F530F" w:rsidRDefault="00EF5C25" w:rsidP="002C6923">
      <w:r w:rsidRPr="007F530F">
        <w:lastRenderedPageBreak/>
        <w:t xml:space="preserve">Victoria, </w:t>
      </w:r>
      <w:r w:rsidRPr="00D62402">
        <w:rPr>
          <w:rStyle w:val="Emphasis"/>
        </w:rPr>
        <w:t xml:space="preserve">Parliamentary Debates, </w:t>
      </w:r>
      <w:r w:rsidRPr="007F530F">
        <w:t>Legislative Assembly,</w:t>
      </w:r>
      <w:r w:rsidRPr="00D62402">
        <w:rPr>
          <w:rStyle w:val="Emphasis"/>
        </w:rPr>
        <w:t xml:space="preserve"> </w:t>
      </w:r>
      <w:r w:rsidRPr="007F530F">
        <w:t>24 April 1997 (Jan Wade, Attorney-General).</w:t>
      </w:r>
    </w:p>
    <w:p w14:paraId="78E0FC54" w14:textId="77777777" w:rsidR="00EF5C25" w:rsidRPr="007F530F" w:rsidRDefault="00EF5C25" w:rsidP="002C6923">
      <w:r w:rsidRPr="007F530F">
        <w:t xml:space="preserve">Victoria, </w:t>
      </w:r>
      <w:r w:rsidRPr="00D62402">
        <w:rPr>
          <w:rStyle w:val="Emphasis"/>
        </w:rPr>
        <w:t xml:space="preserve">Parliamentary Debates, </w:t>
      </w:r>
      <w:r w:rsidRPr="007F530F">
        <w:t>Legislative Assembly, 10 December 2009 (Rob Hulls, Attorney-General).</w:t>
      </w:r>
    </w:p>
    <w:p w14:paraId="01083685" w14:textId="77777777" w:rsidR="00717D99" w:rsidRPr="007F530F" w:rsidRDefault="00717D99" w:rsidP="00BA1DF4">
      <w:pPr>
        <w:pageBreakBefore/>
      </w:pPr>
      <w:r w:rsidRPr="007F530F">
        <w:lastRenderedPageBreak/>
        <w:t>Published by the Sentencing Advisory Council</w:t>
      </w:r>
      <w:r w:rsidRPr="007F530F">
        <w:br/>
        <w:t>Melbourne, Victoria, Australia</w:t>
      </w:r>
    </w:p>
    <w:p w14:paraId="33203F7E" w14:textId="77777777" w:rsidR="00717D99" w:rsidRPr="007F530F" w:rsidRDefault="00717D99" w:rsidP="00D62402">
      <w:r w:rsidRPr="007F530F">
        <w:t>© Copyright State of Victoria, Sentencing Advisory Council, 2021</w:t>
      </w:r>
    </w:p>
    <w:p w14:paraId="7730A0EF" w14:textId="77777777" w:rsidR="00717D99" w:rsidRPr="007F530F" w:rsidRDefault="00717D99" w:rsidP="00D62402">
      <w:r w:rsidRPr="007F530F">
        <w:t>This publication is protected by the laws of copyright. No part may be</w:t>
      </w:r>
      <w:r w:rsidRPr="007F530F">
        <w:br/>
        <w:t>reproduced by any process except in accordance with the provisions of</w:t>
      </w:r>
      <w:r w:rsidRPr="007F530F">
        <w:br/>
        <w:t xml:space="preserve">the </w:t>
      </w:r>
      <w:r w:rsidRPr="00D62402">
        <w:rPr>
          <w:rStyle w:val="Emphasis"/>
        </w:rPr>
        <w:t>Copyright Act 1968</w:t>
      </w:r>
      <w:r w:rsidRPr="007F530F">
        <w:t xml:space="preserve"> (Cth).</w:t>
      </w:r>
    </w:p>
    <w:p w14:paraId="1F9AE634" w14:textId="77777777" w:rsidR="00717D99" w:rsidRPr="007F530F" w:rsidRDefault="00717D99" w:rsidP="00D62402">
      <w:r w:rsidRPr="007F530F">
        <w:t>ISBN</w:t>
      </w:r>
      <w:r w:rsidRPr="007F530F">
        <w:tab/>
        <w:t>978-1-925071-60-3 (Online)</w:t>
      </w:r>
    </w:p>
    <w:p w14:paraId="147E0E05" w14:textId="77777777" w:rsidR="00717D99" w:rsidRPr="007F530F" w:rsidRDefault="00717D99" w:rsidP="00D62402">
      <w:r w:rsidRPr="007F530F">
        <w:t>Authorised by the Sentencing Advisory Council,</w:t>
      </w:r>
      <w:r w:rsidRPr="007F530F">
        <w:br/>
        <w:t>Level 3, 333 Queen Street, Melbourne VIC 3000</w:t>
      </w:r>
    </w:p>
    <w:p w14:paraId="42EC80FA" w14:textId="77777777" w:rsidR="00717D99" w:rsidRPr="007F530F" w:rsidRDefault="00717D99" w:rsidP="00D62402">
      <w:r w:rsidRPr="007F530F">
        <w:t>Publications of the Sentencing Advisory Council follow the Melbourne University</w:t>
      </w:r>
      <w:r w:rsidRPr="007F530F">
        <w:br/>
        <w:t xml:space="preserve">Law Review Association Inc </w:t>
      </w:r>
      <w:r w:rsidRPr="00D62402">
        <w:rPr>
          <w:rStyle w:val="Emphasis"/>
        </w:rPr>
        <w:t xml:space="preserve">Australian Guide to Legal Citation </w:t>
      </w:r>
      <w:r w:rsidRPr="007F530F">
        <w:t>(3rd ed., 2010).</w:t>
      </w:r>
    </w:p>
    <w:p w14:paraId="061CC247" w14:textId="77777777" w:rsidR="00717D99" w:rsidRPr="007F530F" w:rsidRDefault="00717D99" w:rsidP="00D62402">
      <w:r w:rsidRPr="007F530F">
        <w:t>This report reflects the law as at 30 April 2021.</w:t>
      </w:r>
    </w:p>
    <w:sectPr w:rsidR="00717D99" w:rsidRPr="007F530F" w:rsidSect="00D6349A">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0858" w14:textId="77777777" w:rsidR="000C01CB" w:rsidRDefault="000C01CB">
      <w:pPr>
        <w:spacing w:after="0" w:line="240" w:lineRule="auto"/>
      </w:pPr>
      <w:r>
        <w:separator/>
      </w:r>
    </w:p>
  </w:endnote>
  <w:endnote w:type="continuationSeparator" w:id="0">
    <w:p w14:paraId="7FA462C7" w14:textId="77777777" w:rsidR="000C01CB" w:rsidRDefault="000C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AF2" w14:textId="77777777" w:rsidR="00553AA8" w:rsidRDefault="00553AA8"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010A" w14:textId="77777777" w:rsidR="000C01CB" w:rsidRDefault="000C01CB">
      <w:pPr>
        <w:spacing w:after="0" w:line="240" w:lineRule="auto"/>
      </w:pPr>
      <w:r>
        <w:separator/>
      </w:r>
    </w:p>
  </w:footnote>
  <w:footnote w:type="continuationSeparator" w:id="0">
    <w:p w14:paraId="2FC1CA31" w14:textId="77777777" w:rsidR="000C01CB" w:rsidRDefault="000C01CB">
      <w:pPr>
        <w:spacing w:after="0" w:line="240" w:lineRule="auto"/>
      </w:pPr>
      <w:r>
        <w:continuationSeparator/>
      </w:r>
    </w:p>
  </w:footnote>
  <w:footnote w:id="1">
    <w:p w14:paraId="42A10A40" w14:textId="28ED191F" w:rsidR="00EF5C25" w:rsidRPr="003C1ACC" w:rsidRDefault="00EF5C25" w:rsidP="008366F6">
      <w:pPr>
        <w:pStyle w:val="Footnote"/>
      </w:pPr>
      <w:r w:rsidRPr="003C1ACC">
        <w:rPr>
          <w:vertAlign w:val="superscript"/>
        </w:rPr>
        <w:footnoteRef/>
      </w:r>
      <w:r w:rsidRPr="003C1ACC">
        <w:t>.</w:t>
      </w:r>
      <w:r w:rsidRPr="003C1ACC">
        <w:tab/>
        <w:t xml:space="preserve">The third edition of the Australian and New Zealand Standard Offence Classification (ANZSOC) classifies contact sex offences as assaultive sex offences in category 031: Australian Bureau of Statistics, cat no. 1234.0, </w:t>
      </w:r>
      <w:r w:rsidRPr="003C1ACC">
        <w:rPr>
          <w:rStyle w:val="LightItalic"/>
          <w:rFonts w:ascii="Verdana" w:hAnsi="Verdana"/>
        </w:rPr>
        <w:t>Australian and New Zealand Standard Offence Classification (ANZSOC)</w:t>
      </w:r>
      <w:r w:rsidRPr="003C1ACC">
        <w:t xml:space="preserve"> (2011). ANZSOC aims ‘to provide a uniform national statistical framework for classifying criminal behaviour in the production and analysis of crime and justice statistics’: ibid.</w:t>
      </w:r>
    </w:p>
  </w:footnote>
  <w:footnote w:id="2">
    <w:p w14:paraId="6F3DE8A4" w14:textId="2AE9803F" w:rsidR="00EF5C25" w:rsidRPr="003C1ACC" w:rsidRDefault="00EF5C25" w:rsidP="008366F6">
      <w:pPr>
        <w:pStyle w:val="Footnote"/>
      </w:pPr>
      <w:r w:rsidRPr="003C1ACC">
        <w:rPr>
          <w:vertAlign w:val="superscript"/>
        </w:rPr>
        <w:footnoteRef/>
      </w:r>
      <w:r w:rsidRPr="003C1ACC">
        <w:t>.</w:t>
      </w:r>
      <w:r w:rsidRPr="003C1ACC">
        <w:tab/>
        <w:t xml:space="preserve">Hayley Boxall and Georgina Fuller, </w:t>
      </w:r>
      <w:r w:rsidRPr="003C1ACC">
        <w:rPr>
          <w:rStyle w:val="LightItalic"/>
          <w:rFonts w:ascii="Verdana" w:hAnsi="Verdana"/>
        </w:rPr>
        <w:t xml:space="preserve">Brief Review of Contemporary Sexual Offences and Child Sexual Abuse Legislation in Australia: 2015 Update </w:t>
      </w:r>
      <w:r w:rsidRPr="003C1ACC">
        <w:t>(2016) 3. It also includes instances where the offender caused physical contact with the victim and a third person.</w:t>
      </w:r>
    </w:p>
  </w:footnote>
  <w:footnote w:id="3">
    <w:p w14:paraId="2D27D49E" w14:textId="0D2FC335" w:rsidR="00EF5C25" w:rsidRPr="003C1ACC" w:rsidRDefault="00EF5C25" w:rsidP="002A5198">
      <w:pPr>
        <w:pStyle w:val="Footnote"/>
      </w:pPr>
      <w:r w:rsidRPr="003C1ACC">
        <w:rPr>
          <w:vertAlign w:val="superscript"/>
        </w:rPr>
        <w:footnoteRef/>
      </w:r>
      <w:r w:rsidRPr="003C1ACC">
        <w:t>.</w:t>
      </w:r>
      <w:r w:rsidRPr="003C1ACC">
        <w:tab/>
        <w:t xml:space="preserve">Sex offence legislation in Victoria has changed many times since the enactment of the </w:t>
      </w:r>
      <w:r w:rsidRPr="003C1ACC">
        <w:rPr>
          <w:rStyle w:val="LightItalic"/>
          <w:rFonts w:ascii="Verdana" w:hAnsi="Verdana"/>
        </w:rPr>
        <w:t xml:space="preserve">Crimes Act 1958 </w:t>
      </w:r>
      <w:r w:rsidRPr="003C1ACC">
        <w:t xml:space="preserve">(Vic), sometimes in minor ways, </w:t>
      </w:r>
      <w:r w:rsidRPr="003C1ACC">
        <w:rPr>
          <w:spacing w:val="-1"/>
        </w:rPr>
        <w:t xml:space="preserve">other times more comprehensively. See, for example, two legislative instruments passed in 1991 following recommendations by the then </w:t>
      </w:r>
      <w:r w:rsidRPr="003C1ACC">
        <w:t xml:space="preserve">Law Reform Commission of Victoria: </w:t>
      </w:r>
      <w:r w:rsidRPr="003C1ACC">
        <w:rPr>
          <w:rStyle w:val="LightItalic"/>
          <w:rFonts w:ascii="Verdana" w:hAnsi="Verdana"/>
        </w:rPr>
        <w:t xml:space="preserve">Crimes (Sexual Offences) Act 1991 </w:t>
      </w:r>
      <w:r w:rsidRPr="003C1ACC">
        <w:t xml:space="preserve">(Vic); </w:t>
      </w:r>
      <w:r w:rsidRPr="003C1ACC">
        <w:rPr>
          <w:rStyle w:val="LightItalic"/>
          <w:rFonts w:ascii="Verdana" w:hAnsi="Verdana"/>
        </w:rPr>
        <w:t xml:space="preserve">Crimes (Rape) Act 1991 </w:t>
      </w:r>
      <w:r w:rsidRPr="003C1ACC">
        <w:t xml:space="preserve">(Vic); Law Reform Commission of </w:t>
      </w:r>
      <w:r w:rsidRPr="003C1ACC">
        <w:rPr>
          <w:spacing w:val="-1"/>
        </w:rPr>
        <w:t xml:space="preserve">Victoria, </w:t>
      </w:r>
      <w:r w:rsidRPr="003C1ACC">
        <w:rPr>
          <w:rStyle w:val="LightItalic"/>
          <w:rFonts w:ascii="Verdana" w:hAnsi="Verdana"/>
          <w:spacing w:val="-1"/>
        </w:rPr>
        <w:t>Rape and Allied Offences: Substantive Aspects</w:t>
      </w:r>
      <w:r w:rsidRPr="003C1ACC">
        <w:rPr>
          <w:spacing w:val="-1"/>
        </w:rPr>
        <w:t xml:space="preserve">, Report no. 7 (1987); Law Reform Commission of Victoria, </w:t>
      </w:r>
      <w:r w:rsidRPr="003C1ACC">
        <w:rPr>
          <w:rStyle w:val="LightItalic"/>
          <w:rFonts w:ascii="Verdana" w:hAnsi="Verdana"/>
          <w:spacing w:val="-1"/>
        </w:rPr>
        <w:t xml:space="preserve">Sexual Offences Against </w:t>
      </w:r>
      <w:r w:rsidRPr="003C1ACC">
        <w:rPr>
          <w:rStyle w:val="LightItalic"/>
          <w:rFonts w:ascii="Verdana" w:hAnsi="Verdana"/>
        </w:rPr>
        <w:t>People with Impaired Mental Functioning</w:t>
      </w:r>
      <w:r w:rsidRPr="003C1ACC">
        <w:t xml:space="preserve">, Report no. 15 (1988); Law Reform Commission of Victoria, </w:t>
      </w:r>
      <w:r w:rsidRPr="003C1ACC">
        <w:rPr>
          <w:rStyle w:val="LightItalic"/>
          <w:rFonts w:ascii="Verdana" w:hAnsi="Verdana"/>
        </w:rPr>
        <w:t>Sexual Offences Against Children</w:t>
      </w:r>
      <w:r w:rsidRPr="003C1ACC">
        <w:t xml:space="preserve">, Report no. 18 (1988); Law Reform Commission of Victoria, </w:t>
      </w:r>
      <w:r w:rsidRPr="003C1ACC">
        <w:rPr>
          <w:rStyle w:val="LightItalic"/>
          <w:rFonts w:ascii="Verdana" w:hAnsi="Verdana"/>
        </w:rPr>
        <w:t>Rape: Reform of Law and Procedure, Interim Report</w:t>
      </w:r>
      <w:r w:rsidRPr="003C1ACC">
        <w:t>, Report no. 42 (1991).</w:t>
      </w:r>
    </w:p>
  </w:footnote>
  <w:footnote w:id="4">
    <w:p w14:paraId="6931ABB8" w14:textId="7C608564" w:rsidR="00EF5C25" w:rsidRPr="003C1ACC" w:rsidRDefault="00EF5C25" w:rsidP="002A5198">
      <w:pPr>
        <w:pStyle w:val="Footnote"/>
      </w:pPr>
      <w:r w:rsidRPr="003C1ACC">
        <w:rPr>
          <w:vertAlign w:val="superscript"/>
        </w:rPr>
        <w:footnoteRef/>
      </w:r>
      <w:r w:rsidRPr="003C1ACC">
        <w:t>.</w:t>
      </w:r>
      <w:r w:rsidRPr="003C1ACC">
        <w:tab/>
        <w:t>Inchoate offences are preliminary offences such as attempt, conspiracy or incitement. These are excluded because relatively few of these offences were sentenced and their maximum penalties are different from their substantive counterparts.</w:t>
      </w:r>
    </w:p>
  </w:footnote>
  <w:footnote w:id="5">
    <w:p w14:paraId="56E207C6" w14:textId="1DEA55ED" w:rsidR="00EF5C25" w:rsidRPr="003C1ACC" w:rsidRDefault="00EF5C25" w:rsidP="002A5198">
      <w:pPr>
        <w:pStyle w:val="Footnote"/>
      </w:pPr>
      <w:r w:rsidRPr="003C1ACC">
        <w:rPr>
          <w:vertAlign w:val="superscript"/>
        </w:rPr>
        <w:footnoteRef/>
      </w:r>
      <w:r w:rsidRPr="003C1ACC">
        <w:t>.</w:t>
      </w:r>
      <w:r w:rsidRPr="003C1ACC">
        <w:tab/>
        <w:t xml:space="preserve">See, for example, Sentencing Advisory Council, </w:t>
      </w:r>
      <w:r w:rsidRPr="003C1ACC">
        <w:rPr>
          <w:rStyle w:val="LightItalic"/>
          <w:rFonts w:ascii="Verdana" w:hAnsi="Verdana"/>
        </w:rPr>
        <w:t xml:space="preserve">Sentencing for Sexual Penetration Offences: A Statistical Report </w:t>
      </w:r>
      <w:r w:rsidRPr="003C1ACC">
        <w:t>(2009) 3 (finding that just over 1% of actual sexual offending and 8% of reported sexual offending were successfully prosecuted); Melanie Millsteed and Cleave McDonald, </w:t>
      </w:r>
      <w:r w:rsidRPr="003C1ACC">
        <w:rPr>
          <w:rStyle w:val="LightItalic"/>
          <w:rFonts w:ascii="Verdana" w:hAnsi="Verdana"/>
        </w:rPr>
        <w:t>Attrition of Sexual Offence Incidents Across the Victorian Criminal Justice System </w:t>
      </w:r>
      <w:r w:rsidRPr="003C1ACC">
        <w:t>(2017) 9 (finding that between 9% and 17% of recorded sex offences in 2009 and 2010 were successfully prosecuted); Judith Cashmore et al., ‘Fourteen-Year Trends in the Criminal Justice Response to Child Sexual Abuse Reports in New South Wales’ (2020) 25(1) </w:t>
      </w:r>
      <w:r w:rsidRPr="003C1ACC">
        <w:rPr>
          <w:rStyle w:val="LightItalic"/>
          <w:rFonts w:ascii="Verdana" w:hAnsi="Verdana"/>
        </w:rPr>
        <w:t>Child Maltreatment </w:t>
      </w:r>
      <w:r w:rsidRPr="003C1ACC">
        <w:t>85, 85 (finding that 12% of child sex offences reported to police resulted in a conviction); Jacqueline Fitzgerald, </w:t>
      </w:r>
      <w:r w:rsidRPr="003C1ACC">
        <w:rPr>
          <w:rStyle w:val="LightItalic"/>
          <w:rFonts w:ascii="Verdana" w:hAnsi="Verdana"/>
        </w:rPr>
        <w:t>The Attrition of Sexual Offences from the New South Wales Criminal Justice System</w:t>
      </w:r>
      <w:r w:rsidRPr="003C1ACC">
        <w:t xml:space="preserve">, Crime and Justice Bulletin no. 92 (2006) 1 (suggesting that about 10% of reported sex offences are successfully prosecuted). </w:t>
      </w:r>
    </w:p>
  </w:footnote>
  <w:footnote w:id="6">
    <w:p w14:paraId="17AFB63E" w14:textId="6246DB9A" w:rsidR="00EF5C25" w:rsidRPr="003C1ACC" w:rsidRDefault="00EF5C25" w:rsidP="00355B8C">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37B, as inserted by </w:t>
      </w:r>
      <w:r w:rsidRPr="003C1ACC">
        <w:rPr>
          <w:rStyle w:val="LightItalic"/>
          <w:rFonts w:ascii="Verdana" w:hAnsi="Verdana"/>
        </w:rPr>
        <w:t xml:space="preserve">Crimes (Sexual Offences) Act 2006 </w:t>
      </w:r>
      <w:r w:rsidRPr="003C1ACC">
        <w:t>(Vic) s 5.</w:t>
      </w:r>
    </w:p>
  </w:footnote>
  <w:footnote w:id="7">
    <w:p w14:paraId="54A71FED" w14:textId="536398CF" w:rsidR="00EF5C25" w:rsidRPr="003C1ACC" w:rsidRDefault="00EF5C25" w:rsidP="00355B8C">
      <w:pPr>
        <w:pStyle w:val="Footnote"/>
      </w:pPr>
      <w:r w:rsidRPr="003C1ACC">
        <w:rPr>
          <w:vertAlign w:val="superscript"/>
        </w:rPr>
        <w:footnoteRef/>
      </w:r>
      <w:r w:rsidRPr="003C1ACC">
        <w:t>.</w:t>
      </w:r>
      <w:r w:rsidRPr="003C1ACC">
        <w:tab/>
        <w:t>In addition to these categories, Appendix 4 presents data on offences against persons with cognitive impairments. However, due to the low number of sentenced charges of offences against persons with cognitive impairments, and given that none of the mentioned reforms directly affected those offences, they are not the subject of substantive analysis.</w:t>
      </w:r>
    </w:p>
  </w:footnote>
  <w:footnote w:id="8">
    <w:p w14:paraId="2548D63D" w14:textId="2EEA0C53" w:rsidR="00EF5C25" w:rsidRPr="003C1ACC" w:rsidRDefault="00EF5C25" w:rsidP="00355B8C">
      <w:pPr>
        <w:pStyle w:val="Footnote"/>
      </w:pPr>
      <w:r w:rsidRPr="003C1ACC">
        <w:rPr>
          <w:vertAlign w:val="superscript"/>
        </w:rPr>
        <w:footnoteRef/>
      </w:r>
      <w:r w:rsidRPr="003C1ACC">
        <w:t>.</w:t>
      </w:r>
      <w:r w:rsidRPr="003C1ACC">
        <w:tab/>
        <w:t xml:space="preserve">While sentenced rape offences predominantly involve adult victims, this is not always the case: see, for example, Sentencing Advisory Council, </w:t>
      </w:r>
      <w:r w:rsidRPr="003C1ACC">
        <w:rPr>
          <w:rStyle w:val="LightItalic"/>
          <w:rFonts w:ascii="Verdana" w:hAnsi="Verdana"/>
        </w:rPr>
        <w:t xml:space="preserve">Sentencing of Offenders: Sexual Penetration with a Child Under 12 </w:t>
      </w:r>
      <w:r w:rsidRPr="003C1ACC">
        <w:t xml:space="preserve">(2016) 61–62; </w:t>
      </w:r>
      <w:r w:rsidRPr="003C1ACC">
        <w:rPr>
          <w:rStyle w:val="LightItalic"/>
          <w:rFonts w:ascii="Verdana" w:hAnsi="Verdana"/>
        </w:rPr>
        <w:t xml:space="preserve">R v Doo </w:t>
      </w:r>
      <w:r w:rsidRPr="003C1ACC">
        <w:t>[2010] VSC 325 (18 June 2010).</w:t>
      </w:r>
    </w:p>
  </w:footnote>
  <w:footnote w:id="9">
    <w:p w14:paraId="6928FD7C" w14:textId="63E79ECC" w:rsidR="00EF5C25" w:rsidRPr="003C1ACC" w:rsidRDefault="00EF5C25" w:rsidP="00355B8C">
      <w:pPr>
        <w:pStyle w:val="Footnote"/>
      </w:pPr>
      <w:r w:rsidRPr="003C1ACC">
        <w:rPr>
          <w:vertAlign w:val="superscript"/>
        </w:rPr>
        <w:footnoteRef/>
      </w:r>
      <w:r w:rsidRPr="003C1ACC">
        <w:t>.</w:t>
      </w:r>
      <w:r w:rsidRPr="003C1ACC">
        <w:tab/>
        <w:t xml:space="preserve">While sexual assault offences predominantly involve adult victims, this is not always the case as they can also involve children aged 16 or 17 who are not captured by child sexual assault offences: see, for example, </w:t>
      </w:r>
      <w:r w:rsidRPr="003C1ACC">
        <w:rPr>
          <w:rStyle w:val="LightItalic"/>
          <w:rFonts w:ascii="Verdana" w:hAnsi="Verdana"/>
        </w:rPr>
        <w:t xml:space="preserve">DPP v Parker (A Pseudonym) </w:t>
      </w:r>
      <w:r w:rsidRPr="003C1ACC">
        <w:t xml:space="preserve">[2015] VCC 1903 (17 December 2015); </w:t>
      </w:r>
      <w:r w:rsidRPr="003C1ACC">
        <w:rPr>
          <w:rStyle w:val="LightItalic"/>
          <w:rFonts w:ascii="Verdana" w:hAnsi="Verdana"/>
        </w:rPr>
        <w:t xml:space="preserve">DPP v Jordan (A Pseudonym) </w:t>
      </w:r>
      <w:r w:rsidRPr="003C1ACC">
        <w:t>[2015] VCC 1239 (3 September 2015).</w:t>
      </w:r>
    </w:p>
  </w:footnote>
  <w:footnote w:id="10">
    <w:p w14:paraId="3946D5B8" w14:textId="47C3DF5C" w:rsidR="00EF5C25" w:rsidRPr="003C1ACC" w:rsidRDefault="00EF5C25" w:rsidP="00355B8C">
      <w:pPr>
        <w:pStyle w:val="Footnote"/>
      </w:pPr>
      <w:r w:rsidRPr="003C1ACC">
        <w:rPr>
          <w:vertAlign w:val="superscript"/>
        </w:rPr>
        <w:footnoteRef/>
      </w:r>
      <w:r w:rsidRPr="003C1ACC">
        <w:t>.</w:t>
      </w:r>
      <w:r w:rsidRPr="003C1ACC">
        <w:tab/>
        <w:t xml:space="preserve">Sentencing Advisory Council, </w:t>
      </w:r>
      <w:r w:rsidRPr="003C1ACC">
        <w:rPr>
          <w:rStyle w:val="LightItalic"/>
          <w:rFonts w:ascii="Verdana" w:hAnsi="Verdana"/>
        </w:rPr>
        <w:t xml:space="preserve">Maximum Penalties for Sexual Penetration with a Child Under 16: Consultation Paper </w:t>
      </w:r>
      <w:r w:rsidRPr="003C1ACC">
        <w:t xml:space="preserve">(2009); Sentencing Advisory Council (2009), above n 5; Sentencing Advisory Council, </w:t>
      </w:r>
      <w:r w:rsidRPr="003C1ACC">
        <w:rPr>
          <w:rStyle w:val="LightItalic"/>
          <w:rFonts w:ascii="Verdana" w:hAnsi="Verdana"/>
        </w:rPr>
        <w:t xml:space="preserve">Maximum Penalties for Sexual Penetration with a Child Under 16: Report </w:t>
      </w:r>
      <w:r w:rsidRPr="003C1ACC">
        <w:t>(2009).</w:t>
      </w:r>
    </w:p>
  </w:footnote>
  <w:footnote w:id="11">
    <w:p w14:paraId="28F8B606" w14:textId="4CA84E47" w:rsidR="00EF5C25" w:rsidRPr="003C1ACC" w:rsidRDefault="00EF5C25" w:rsidP="008E4810">
      <w:pPr>
        <w:pStyle w:val="Footnote"/>
      </w:pPr>
      <w:r w:rsidRPr="003C1ACC">
        <w:rPr>
          <w:vertAlign w:val="superscript"/>
        </w:rPr>
        <w:footnoteRef/>
      </w:r>
      <w:r w:rsidRPr="003C1ACC">
        <w:t>.</w:t>
      </w:r>
      <w:r w:rsidRPr="003C1ACC">
        <w:tab/>
        <w:t>Sentencing Advisory Council (2009), above n 10, xii, 68–69. To date, there has been just one guideline judgment in Victoria since the provisions came into effect in July 2004. It related to the appropriate use of community correction orders:</w:t>
      </w:r>
      <w:r w:rsidRPr="003C1ACC">
        <w:rPr>
          <w:rStyle w:val="LightItalic"/>
          <w:rFonts w:ascii="Verdana" w:hAnsi="Verdana"/>
        </w:rPr>
        <w:t xml:space="preserve"> Boulton &amp; Ors v The Queen </w:t>
      </w:r>
      <w:r w:rsidRPr="003C1ACC">
        <w:t>[2014] VSCA 342 (22 December 2014).</w:t>
      </w:r>
    </w:p>
  </w:footnote>
  <w:footnote w:id="12">
    <w:p w14:paraId="086E6E53" w14:textId="6FCFEA42" w:rsidR="00EF5C25" w:rsidRPr="003C1ACC" w:rsidRDefault="00EF5C25" w:rsidP="008E4810">
      <w:pPr>
        <w:pStyle w:val="Footnote"/>
      </w:pPr>
      <w:r w:rsidRPr="003C1ACC">
        <w:rPr>
          <w:vertAlign w:val="superscript"/>
        </w:rPr>
        <w:footnoteRef/>
      </w:r>
      <w:r w:rsidRPr="003C1ACC">
        <w:t>.</w:t>
      </w:r>
      <w:r w:rsidRPr="003C1ACC">
        <w:tab/>
        <w:t xml:space="preserve">Sentencing Advisory Council, </w:t>
      </w:r>
      <w:r w:rsidRPr="003C1ACC">
        <w:rPr>
          <w:rStyle w:val="LightItalic"/>
          <w:rFonts w:ascii="Verdana" w:hAnsi="Verdana"/>
        </w:rPr>
        <w:t xml:space="preserve">Community Attitudes to Offence Seriousness </w:t>
      </w:r>
      <w:r w:rsidRPr="003C1ACC">
        <w:t>(2012) v, 30, 32, 41, 46, 49, 69.</w:t>
      </w:r>
    </w:p>
  </w:footnote>
  <w:footnote w:id="13">
    <w:p w14:paraId="6976A3B9" w14:textId="165AD878" w:rsidR="00EF5C25" w:rsidRPr="003C1ACC" w:rsidRDefault="00EF5C25" w:rsidP="008E4810">
      <w:pPr>
        <w:pStyle w:val="Footnote"/>
      </w:pPr>
      <w:r w:rsidRPr="003C1ACC">
        <w:rPr>
          <w:vertAlign w:val="superscript"/>
        </w:rPr>
        <w:footnoteRef/>
      </w:r>
      <w:r w:rsidRPr="003C1ACC">
        <w:t>.</w:t>
      </w:r>
      <w:r w:rsidRPr="003C1ACC">
        <w:tab/>
        <w:t>Sentencing Advisory Council (2016), above n 8.</w:t>
      </w:r>
    </w:p>
  </w:footnote>
  <w:footnote w:id="14">
    <w:p w14:paraId="034B5B4F" w14:textId="362F3C0D" w:rsidR="00EF5C25" w:rsidRPr="003C1ACC" w:rsidRDefault="00EF5C25" w:rsidP="008E4810">
      <w:pPr>
        <w:pStyle w:val="Footnote"/>
      </w:pPr>
      <w:r w:rsidRPr="003C1ACC">
        <w:rPr>
          <w:vertAlign w:val="superscript"/>
        </w:rPr>
        <w:footnoteRef/>
      </w:r>
      <w:r w:rsidRPr="003C1ACC">
        <w:t>.</w:t>
      </w:r>
      <w:r w:rsidRPr="003C1ACC">
        <w:tab/>
        <w:t>Ibid xiv, 63–64.</w:t>
      </w:r>
    </w:p>
  </w:footnote>
  <w:footnote w:id="15">
    <w:p w14:paraId="31D6876C" w14:textId="4D1F8B00" w:rsidR="00EF5C25" w:rsidRPr="003C1ACC" w:rsidRDefault="00EF5C25" w:rsidP="008E4810">
      <w:pPr>
        <w:pStyle w:val="Footnote"/>
      </w:pPr>
      <w:r w:rsidRPr="003C1ACC">
        <w:rPr>
          <w:vertAlign w:val="superscript"/>
        </w:rPr>
        <w:footnoteRef/>
      </w:r>
      <w:r w:rsidRPr="003C1ACC">
        <w:t>.</w:t>
      </w:r>
      <w:r w:rsidRPr="003C1ACC">
        <w:tab/>
        <w:t>Those offences include incest, indecent act with a child aged under 16 (and the newer offences of sexual assault of a child aged under 16 and sexual activity in the presence of a child aged under 16), rape, sexual penetration with a child aged under 12, sexual penetration with a child aged 12 to 15, sexual assault, and persistent sexual abuse of a child aged under 16.</w:t>
      </w:r>
    </w:p>
  </w:footnote>
  <w:footnote w:id="16">
    <w:p w14:paraId="00FE63B7" w14:textId="74B8D686" w:rsidR="00EF5C25" w:rsidRPr="003C1ACC" w:rsidRDefault="00EF5C25" w:rsidP="00FA76D7">
      <w:pPr>
        <w:pStyle w:val="Footnote"/>
      </w:pPr>
      <w:r w:rsidRPr="003C1ACC">
        <w:rPr>
          <w:vertAlign w:val="superscript"/>
        </w:rPr>
        <w:footnoteRef/>
      </w:r>
      <w:r w:rsidRPr="003C1ACC">
        <w:t>.</w:t>
      </w:r>
      <w:r w:rsidRPr="003C1ACC">
        <w:tab/>
        <w:t xml:space="preserve">Tasmanian Sentencing Advisory Council, </w:t>
      </w:r>
      <w:r w:rsidRPr="003C1ACC">
        <w:rPr>
          <w:rStyle w:val="LightItalic"/>
          <w:rFonts w:ascii="Verdana" w:hAnsi="Verdana"/>
        </w:rPr>
        <w:t xml:space="preserve">Sex Offences Sentencing: Final Report </w:t>
      </w:r>
      <w:r w:rsidRPr="003C1ACC">
        <w:t>(2015) xi, 80, 83–85.</w:t>
      </w:r>
    </w:p>
  </w:footnote>
  <w:footnote w:id="17">
    <w:p w14:paraId="60FDC901" w14:textId="720ADA13" w:rsidR="00EF5C25" w:rsidRPr="003C1ACC" w:rsidRDefault="00EF5C25" w:rsidP="00FA76D7">
      <w:pPr>
        <w:pStyle w:val="Footnote"/>
      </w:pPr>
      <w:r w:rsidRPr="003C1ACC">
        <w:rPr>
          <w:vertAlign w:val="superscript"/>
        </w:rPr>
        <w:footnoteRef/>
      </w:r>
      <w:r w:rsidRPr="003C1ACC">
        <w:t>.</w:t>
      </w:r>
      <w:r w:rsidRPr="003C1ACC">
        <w:tab/>
        <w:t xml:space="preserve">Tasmanian Sentencing Advisory Council, </w:t>
      </w:r>
      <w:r w:rsidRPr="003C1ACC">
        <w:rPr>
          <w:rStyle w:val="LightItalic"/>
          <w:rFonts w:ascii="Verdana" w:hAnsi="Verdana"/>
        </w:rPr>
        <w:t>Sentencing for Serious Sex Offences Against Children: Research Paper 3</w:t>
      </w:r>
      <w:r w:rsidRPr="003C1ACC">
        <w:t xml:space="preserve"> (2018) v, 37–38.</w:t>
      </w:r>
    </w:p>
  </w:footnote>
  <w:footnote w:id="18">
    <w:p w14:paraId="59BA3EF3" w14:textId="255CED6F" w:rsidR="00EF5C25" w:rsidRPr="003C1ACC" w:rsidRDefault="00EF5C25" w:rsidP="00FA76D7">
      <w:pPr>
        <w:pStyle w:val="Footnote"/>
      </w:pPr>
      <w:r w:rsidRPr="003C1ACC">
        <w:rPr>
          <w:vertAlign w:val="superscript"/>
        </w:rPr>
        <w:footnoteRef/>
      </w:r>
      <w:r w:rsidRPr="003C1ACC">
        <w:t>.</w:t>
      </w:r>
      <w:r w:rsidRPr="003C1ACC">
        <w:tab/>
        <w:t xml:space="preserve">For a summary of this research, see Sentencing Advisory Council, </w:t>
      </w:r>
      <w:r w:rsidRPr="003C1ACC">
        <w:rPr>
          <w:rStyle w:val="LightItalic"/>
          <w:rFonts w:ascii="Verdana" w:hAnsi="Verdana"/>
        </w:rPr>
        <w:t xml:space="preserve">Public Opinion About Sentencing: A Research Overview </w:t>
      </w:r>
      <w:r w:rsidRPr="003C1ACC">
        <w:t xml:space="preserve">(2018); Sentencing Advisory Council, </w:t>
      </w:r>
      <w:r w:rsidRPr="003C1ACC">
        <w:rPr>
          <w:rStyle w:val="LightItalic"/>
          <w:rFonts w:ascii="Verdana" w:hAnsi="Verdana"/>
        </w:rPr>
        <w:t xml:space="preserve">Is Sentencing in Victoria Lenient? Key Findings of the Victorian Jury Sentencing Study </w:t>
      </w:r>
      <w:r w:rsidRPr="003C1ACC">
        <w:t>(2018).</w:t>
      </w:r>
    </w:p>
  </w:footnote>
  <w:footnote w:id="19">
    <w:p w14:paraId="00327389" w14:textId="790D8FC4" w:rsidR="00EF5C25" w:rsidRPr="003C1ACC" w:rsidRDefault="00EF5C25" w:rsidP="00FA76D7">
      <w:pPr>
        <w:pStyle w:val="Footnote"/>
      </w:pPr>
      <w:r w:rsidRPr="003C1ACC">
        <w:rPr>
          <w:vertAlign w:val="superscript"/>
        </w:rPr>
        <w:footnoteRef/>
      </w:r>
      <w:r w:rsidRPr="003C1ACC">
        <w:t>.</w:t>
      </w:r>
      <w:r w:rsidRPr="003C1ACC">
        <w:tab/>
        <w:t xml:space="preserve">Kate Warner et al., </w:t>
      </w:r>
      <w:r w:rsidRPr="003C1ACC">
        <w:rPr>
          <w:rStyle w:val="LightItalic"/>
          <w:rFonts w:ascii="Verdana" w:hAnsi="Verdana"/>
        </w:rPr>
        <w:t>Public Judgement on Sentencing: Final Results from the Tasmanian Jury Sentencing Study</w:t>
      </w:r>
      <w:r w:rsidRPr="003C1ACC">
        <w:t xml:space="preserve">, Trends &amp; Issues in Crime and Criminal Justice no. 407 (2011) 4; Kate Warner et al., </w:t>
      </w:r>
      <w:r w:rsidRPr="003C1ACC">
        <w:rPr>
          <w:rStyle w:val="LightItalic"/>
          <w:rFonts w:ascii="Verdana" w:hAnsi="Verdana"/>
        </w:rPr>
        <w:t>Jury Sentencing Survey</w:t>
      </w:r>
      <w:r w:rsidRPr="003C1ACC">
        <w:t>, Report to the Criminology Research Council (2010) 49.</w:t>
      </w:r>
    </w:p>
  </w:footnote>
  <w:footnote w:id="20">
    <w:p w14:paraId="18907B03" w14:textId="1851473E" w:rsidR="00EF5C25" w:rsidRPr="003C1ACC" w:rsidRDefault="00EF5C25" w:rsidP="00FA76D7">
      <w:pPr>
        <w:pStyle w:val="Footnote"/>
      </w:pPr>
      <w:r w:rsidRPr="003C1ACC">
        <w:rPr>
          <w:vertAlign w:val="superscript"/>
        </w:rPr>
        <w:footnoteRef/>
      </w:r>
      <w:r w:rsidRPr="003C1ACC">
        <w:t>.</w:t>
      </w:r>
      <w:r w:rsidRPr="003C1ACC">
        <w:tab/>
        <w:t xml:space="preserve">Kate Warner et al., ‘Measuring Jurors’ Views on Sentencing: Results from the Second Australian Jury Sentencing Study’ (2017) 19(2) </w:t>
      </w:r>
      <w:r w:rsidRPr="003C1ACC">
        <w:rPr>
          <w:rStyle w:val="LightItalic"/>
          <w:rFonts w:ascii="Verdana" w:hAnsi="Verdana"/>
        </w:rPr>
        <w:t xml:space="preserve">Punishment &amp; Society </w:t>
      </w:r>
      <w:r w:rsidRPr="003C1ACC">
        <w:t>180, 194.</w:t>
      </w:r>
    </w:p>
  </w:footnote>
  <w:footnote w:id="21">
    <w:p w14:paraId="1C3A2870" w14:textId="0126E4E0" w:rsidR="00EF5C25" w:rsidRPr="003C1ACC" w:rsidRDefault="00EF5C25" w:rsidP="00FA76D7">
      <w:pPr>
        <w:pStyle w:val="Footnote"/>
      </w:pPr>
      <w:r w:rsidRPr="003C1ACC">
        <w:rPr>
          <w:vertAlign w:val="superscript"/>
        </w:rPr>
        <w:footnoteRef/>
      </w:r>
      <w:r w:rsidRPr="003C1ACC">
        <w:t>.</w:t>
      </w:r>
      <w:r w:rsidRPr="003C1ACC">
        <w:tab/>
        <w:t xml:space="preserve">Kate Warner and Julia Davis, ‘Using Jurors to Explore Public Attitudes to Sentencing’ (2012) 52(1) </w:t>
      </w:r>
      <w:r w:rsidRPr="003C1ACC">
        <w:rPr>
          <w:rStyle w:val="LightItalic"/>
          <w:rFonts w:ascii="Verdana" w:hAnsi="Verdana"/>
        </w:rPr>
        <w:t xml:space="preserve">British Journal of Criminology </w:t>
      </w:r>
      <w:r w:rsidRPr="003C1ACC">
        <w:t xml:space="preserve">93, 100; Warner et al. (2010), above n 19, 63, 78; Warner et al. (2017), above n 20, 195. The results of the related National Jury Sex Offence Sentencing Study are yet to be released: Kate Warner, ‘Are Courts Soft on Crime? Lessons from the Victorian Jury Sentencing Study’ (Law Oration 2018, Victorian Law Foundation, Supreme Court of Victoria, 22 August 2018) 1; Kate Warner, ‘The Australian National Jury Sex Offence Sentencing Study’ (2014) 11(4) </w:t>
      </w:r>
      <w:r w:rsidRPr="003C1ACC">
        <w:rPr>
          <w:rStyle w:val="LightItalic"/>
          <w:rFonts w:ascii="Verdana" w:hAnsi="Verdana"/>
        </w:rPr>
        <w:t xml:space="preserve">The Judicial Review: Selected Conference Papers: Journal of the Judicial Commission of New South Wales </w:t>
      </w:r>
      <w:r w:rsidRPr="003C1ACC">
        <w:t>459; Lorana Bartels et al., ‘National Research with Jurors on Sentences for Sexual Offenders’</w:t>
      </w:r>
      <w:r w:rsidRPr="003C1ACC">
        <w:rPr>
          <w:rStyle w:val="LightItalic"/>
          <w:rFonts w:ascii="Verdana" w:hAnsi="Verdana"/>
        </w:rPr>
        <w:t xml:space="preserve"> </w:t>
      </w:r>
      <w:r w:rsidRPr="003C1ACC">
        <w:t xml:space="preserve">(2014) 26(2) </w:t>
      </w:r>
      <w:r w:rsidRPr="003C1ACC">
        <w:rPr>
          <w:rStyle w:val="LightItalic"/>
          <w:rFonts w:ascii="Verdana" w:hAnsi="Verdana"/>
        </w:rPr>
        <w:t xml:space="preserve">Judicial Officers’ Bulletin </w:t>
      </w:r>
      <w:r w:rsidRPr="003C1ACC">
        <w:t>9.</w:t>
      </w:r>
    </w:p>
  </w:footnote>
  <w:footnote w:id="22">
    <w:p w14:paraId="45D89723" w14:textId="05E8FBA8" w:rsidR="00EF5C25" w:rsidRPr="003C1ACC" w:rsidRDefault="00EF5C25" w:rsidP="00274011">
      <w:pPr>
        <w:pStyle w:val="Footnote"/>
      </w:pPr>
      <w:r w:rsidRPr="003C1ACC">
        <w:rPr>
          <w:vertAlign w:val="superscript"/>
        </w:rPr>
        <w:footnoteRef/>
      </w:r>
      <w:r w:rsidRPr="003C1ACC">
        <w:t>.</w:t>
      </w:r>
      <w:r w:rsidRPr="003C1ACC">
        <w:tab/>
        <w:t xml:space="preserve">This is consistent with Australia-wide data: Australian Institute of Health and Welfare, </w:t>
      </w:r>
      <w:r w:rsidRPr="003C1ACC">
        <w:rPr>
          <w:rStyle w:val="LightItalic"/>
          <w:rFonts w:ascii="Verdana" w:hAnsi="Verdana"/>
        </w:rPr>
        <w:t xml:space="preserve">Sexual Assault in Australia </w:t>
      </w:r>
      <w:r w:rsidRPr="003C1ACC">
        <w:t>(2020) 1, 8: ‘During 2018–19, nearly all (97%) of sexual assault offenders recorded by police were male’.</w:t>
      </w:r>
    </w:p>
  </w:footnote>
  <w:footnote w:id="23">
    <w:p w14:paraId="08A8D66F" w14:textId="560B12F4" w:rsidR="00EF5C25" w:rsidRPr="003C1ACC" w:rsidRDefault="00EF5C25" w:rsidP="00274011">
      <w:pPr>
        <w:pStyle w:val="Footnote"/>
      </w:pPr>
      <w:r w:rsidRPr="003C1ACC">
        <w:rPr>
          <w:vertAlign w:val="superscript"/>
        </w:rPr>
        <w:footnoteRef/>
      </w:r>
      <w:r w:rsidRPr="003C1ACC">
        <w:t>.</w:t>
      </w:r>
      <w:r w:rsidRPr="003C1ACC">
        <w:tab/>
        <w:t xml:space="preserve">It was not until 1991 that the </w:t>
      </w:r>
      <w:r w:rsidRPr="003C1ACC">
        <w:rPr>
          <w:rStyle w:val="LightItalic"/>
          <w:rFonts w:ascii="Verdana" w:hAnsi="Verdana"/>
        </w:rPr>
        <w:t xml:space="preserve">Crimes (Sexual Offences) Act 1991 </w:t>
      </w:r>
      <w:r w:rsidRPr="003C1ACC">
        <w:t>(Vic) separately criminalised indecent acts with children aged under 16 years from indecent assaults of anyone aged 16 years and over.</w:t>
      </w:r>
    </w:p>
  </w:footnote>
  <w:footnote w:id="24">
    <w:p w14:paraId="6AFCBCC8" w14:textId="01E2F9F4" w:rsidR="00EF5C25" w:rsidRPr="003C1ACC" w:rsidRDefault="00EF5C25" w:rsidP="00274011">
      <w:pPr>
        <w:pStyle w:val="Footnote"/>
      </w:pPr>
      <w:r w:rsidRPr="003C1ACC">
        <w:rPr>
          <w:vertAlign w:val="superscript"/>
        </w:rPr>
        <w:footnoteRef/>
      </w:r>
      <w:r w:rsidRPr="003C1ACC">
        <w:t>.</w:t>
      </w:r>
      <w:r w:rsidRPr="003C1ACC">
        <w:tab/>
        <w:t>Figure 1 does not include the 49 sex offences against persons with cognitive impairments. For an overview of those offences, see Appendices 3 and 4.</w:t>
      </w:r>
    </w:p>
  </w:footnote>
  <w:footnote w:id="25">
    <w:p w14:paraId="33DB946E" w14:textId="7B9BBAE9" w:rsidR="00EF5C25" w:rsidRPr="003C1ACC" w:rsidRDefault="00EF5C25" w:rsidP="00274011">
      <w:pPr>
        <w:pStyle w:val="Footnote"/>
      </w:pPr>
      <w:r w:rsidRPr="003C1ACC">
        <w:rPr>
          <w:vertAlign w:val="superscript"/>
        </w:rPr>
        <w:footnoteRef/>
      </w:r>
      <w:r w:rsidRPr="003C1ACC">
        <w:t>.</w:t>
      </w:r>
      <w:r w:rsidRPr="003C1ACC">
        <w:tab/>
        <w:t xml:space="preserve">In this report, </w:t>
      </w:r>
      <w:r w:rsidRPr="003C1ACC">
        <w:rPr>
          <w:rStyle w:val="LightItalic"/>
          <w:rFonts w:ascii="Verdana" w:hAnsi="Verdana"/>
        </w:rPr>
        <w:t>immediate custodial sentences</w:t>
      </w:r>
      <w:r w:rsidRPr="003C1ACC">
        <w:t xml:space="preserve"> include any disposition with an actual custodial component: imprisonment, youth detention, combined orders of imprisonment and a community correction order, and partially suspended sentences (see glossary).</w:t>
      </w:r>
    </w:p>
  </w:footnote>
  <w:footnote w:id="26">
    <w:p w14:paraId="0F8F99FA" w14:textId="78731D33" w:rsidR="00EF5C25" w:rsidRPr="003C1ACC" w:rsidRDefault="00EF5C25" w:rsidP="006A7E13">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[2017] HCA 41 (11 October 2017).</w:t>
      </w:r>
    </w:p>
  </w:footnote>
  <w:footnote w:id="27">
    <w:p w14:paraId="4F7B6CB7" w14:textId="7334379E" w:rsidR="00EF5C25" w:rsidRPr="003C1ACC" w:rsidRDefault="00EF5C25" w:rsidP="006A7E13">
      <w:pPr>
        <w:pStyle w:val="Footnote"/>
      </w:pPr>
      <w:r w:rsidRPr="003C1ACC">
        <w:rPr>
          <w:vertAlign w:val="superscript"/>
        </w:rPr>
        <w:footnoteRef/>
      </w:r>
      <w:r w:rsidRPr="003C1ACC">
        <w:t>.</w:t>
      </w:r>
      <w:r w:rsidRPr="003C1ACC">
        <w:tab/>
        <w:t xml:space="preserve">This does not include combined orders of imprisonment and a community correction order: </w:t>
      </w:r>
      <w:r w:rsidRPr="003C1ACC">
        <w:rPr>
          <w:rStyle w:val="LightItalic"/>
          <w:rFonts w:ascii="Verdana" w:hAnsi="Verdana"/>
        </w:rPr>
        <w:t xml:space="preserve">Sentencing Act 1991 </w:t>
      </w:r>
      <w:r w:rsidRPr="003C1ACC">
        <w:t>(Vic) ss 5(2G), 44. However, in theory if there are multiple charges in a case there is nothing prohibiting a court from imposing imprisonment on one charge and a community correction order on another.</w:t>
      </w:r>
    </w:p>
  </w:footnote>
  <w:footnote w:id="28">
    <w:p w14:paraId="0D88D80D" w14:textId="35469F9C" w:rsidR="00EF5C25" w:rsidRPr="003C1ACC" w:rsidRDefault="00EF5C25" w:rsidP="006A7E13">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ss 5(2G)–(2GA); for </w:t>
      </w:r>
      <w:r w:rsidRPr="003C1ACC">
        <w:rPr>
          <w:rStyle w:val="LightItalic"/>
          <w:rFonts w:ascii="Verdana" w:hAnsi="Verdana"/>
        </w:rPr>
        <w:t>special reasons</w:t>
      </w:r>
      <w:r w:rsidRPr="003C1ACC">
        <w:t>, see section 10A.</w:t>
      </w:r>
    </w:p>
  </w:footnote>
  <w:footnote w:id="29">
    <w:p w14:paraId="6CBD9325" w14:textId="7165FD35" w:rsidR="00EF5C25" w:rsidRPr="003C1ACC" w:rsidRDefault="00EF5C25" w:rsidP="006A7E13">
      <w:pPr>
        <w:pStyle w:val="Footnote"/>
      </w:pPr>
      <w:r w:rsidRPr="003C1ACC">
        <w:rPr>
          <w:vertAlign w:val="superscript"/>
        </w:rPr>
        <w:footnoteRef/>
      </w:r>
      <w:r w:rsidRPr="003C1ACC">
        <w:t>.</w:t>
      </w:r>
      <w:r w:rsidRPr="003C1ACC">
        <w:tab/>
        <w:t xml:space="preserve">The exception to the requirement to impose a custodial sentence if special reasons exist only applies to certain injury and risk offences involving emergency workers, custodial officers and youth justice custodial workers: </w:t>
      </w:r>
      <w:r w:rsidRPr="003C1ACC">
        <w:rPr>
          <w:rStyle w:val="LightItalic"/>
          <w:rFonts w:ascii="Verdana" w:hAnsi="Verdana"/>
        </w:rPr>
        <w:t xml:space="preserve">Sentencing Act 1991 </w:t>
      </w:r>
      <w:r w:rsidRPr="003C1ACC">
        <w:t xml:space="preserve">(Vic) ss 3(ca), (cb), (cc), (ic), (id) (definition of </w:t>
      </w:r>
      <w:r w:rsidRPr="003C1ACC">
        <w:rPr>
          <w:rStyle w:val="LightItalic"/>
          <w:rFonts w:ascii="Verdana" w:hAnsi="Verdana"/>
        </w:rPr>
        <w:t>Category 1 offence</w:t>
      </w:r>
      <w:r w:rsidRPr="003C1ACC">
        <w:t>), 5(2GA).</w:t>
      </w:r>
    </w:p>
  </w:footnote>
  <w:footnote w:id="30">
    <w:p w14:paraId="31D598DE" w14:textId="67B232B9" w:rsidR="00EF5C25" w:rsidRPr="003C1ACC" w:rsidRDefault="00EF5C25" w:rsidP="00CB77E5">
      <w:pPr>
        <w:pStyle w:val="Footnote"/>
      </w:pPr>
      <w:r w:rsidRPr="003C1ACC">
        <w:rPr>
          <w:vertAlign w:val="superscript"/>
        </w:rPr>
        <w:footnoteRef/>
      </w:r>
      <w:r w:rsidRPr="003C1ACC">
        <w:t>.</w:t>
      </w:r>
      <w:r w:rsidRPr="003C1ACC">
        <w:tab/>
        <w:t xml:space="preserve">See, for example, the Statement of Compatibility accompanying the Bill introducing this reform, which appears to envisage the possibility of time served sentences: ‘Although the bill prohibits non-custodial sentences for a “category 1 offence”, the sentencing court has discretion to impose any custodial sentence without prescribing the duration of that sentence. </w:t>
      </w:r>
      <w:r w:rsidRPr="003C1ACC">
        <w:rPr>
          <w:rStyle w:val="LightItalic"/>
          <w:rFonts w:ascii="Verdana" w:hAnsi="Verdana"/>
        </w:rPr>
        <w:t>In addition, a court may release the offender into the community if it does not consider that additional time in custody is required, for example, where an offender demonstrates strong factors in mitigation beyond that already spent on remand</w:t>
      </w:r>
      <w:r w:rsidRPr="003C1ACC">
        <w:t xml:space="preserve">’ (emphasis added): Victoria, ‘Sentencing (Community Correction Order) and Other Acts Amendment Bill 2016’, </w:t>
      </w:r>
      <w:r w:rsidRPr="003C1ACC">
        <w:rPr>
          <w:rStyle w:val="LightItalic"/>
          <w:rFonts w:ascii="Verdana" w:hAnsi="Verdana"/>
        </w:rPr>
        <w:t>Parliamentary Debates</w:t>
      </w:r>
      <w:r w:rsidRPr="003C1ACC">
        <w:t xml:space="preserve">, Legislative Assembly, 13 October 2016, 3860 (Martin Pakula, Attorney-General). On time served prison sentences generally, see Sentencing Advisory Council, </w:t>
      </w:r>
      <w:r w:rsidRPr="003C1ACC">
        <w:rPr>
          <w:rStyle w:val="LightItalic"/>
          <w:rFonts w:ascii="Verdana" w:hAnsi="Verdana"/>
        </w:rPr>
        <w:t xml:space="preserve">Time Served Prison Sentences in Victoria </w:t>
      </w:r>
      <w:r w:rsidRPr="003C1ACC">
        <w:t>(2020).</w:t>
      </w:r>
    </w:p>
  </w:footnote>
  <w:footnote w:id="31">
    <w:p w14:paraId="09BD1391" w14:textId="3A50D938" w:rsidR="00EF5C25" w:rsidRPr="003C1ACC" w:rsidRDefault="00EF5C25" w:rsidP="00CB77E5">
      <w:pPr>
        <w:pStyle w:val="Footnote"/>
      </w:pPr>
      <w:r w:rsidRPr="003C1ACC">
        <w:rPr>
          <w:vertAlign w:val="superscript"/>
        </w:rPr>
        <w:footnoteRef/>
      </w:r>
      <w:r w:rsidRPr="003C1ACC">
        <w:t>.</w:t>
      </w:r>
      <w:r w:rsidRPr="003C1ACC">
        <w:tab/>
      </w:r>
      <w:r w:rsidRPr="003C1ACC">
        <w:rPr>
          <w:rStyle w:val="LightItalic"/>
          <w:rFonts w:ascii="Verdana" w:hAnsi="Verdana"/>
        </w:rPr>
        <w:t>Boulton &amp; Ors v The Queen</w:t>
      </w:r>
      <w:r w:rsidRPr="003C1ACC">
        <w:t xml:space="preserve"> [2014] VSCA 342 (22 December 2014).</w:t>
      </w:r>
    </w:p>
  </w:footnote>
  <w:footnote w:id="32">
    <w:p w14:paraId="7A278493" w14:textId="4AAA1668" w:rsidR="00EF5C25" w:rsidRPr="00CB77E5" w:rsidRDefault="00EF5C25" w:rsidP="00CB77E5">
      <w:pPr>
        <w:pStyle w:val="Footnote"/>
        <w:rPr>
          <w:spacing w:val="-1"/>
        </w:rPr>
      </w:pPr>
      <w:r w:rsidRPr="003C1ACC">
        <w:rPr>
          <w:vertAlign w:val="superscript"/>
        </w:rPr>
        <w:footnoteRef/>
      </w:r>
      <w:r w:rsidRPr="003C1ACC">
        <w:t>.</w:t>
      </w:r>
      <w:r w:rsidRPr="003C1ACC">
        <w:tab/>
      </w:r>
      <w:r w:rsidRPr="003C1ACC">
        <w:rPr>
          <w:spacing w:val="-1"/>
        </w:rPr>
        <w:t xml:space="preserve">Sentencing Advisory Council, </w:t>
      </w:r>
      <w:r w:rsidRPr="003C1ACC">
        <w:rPr>
          <w:rStyle w:val="LightItalic"/>
          <w:rFonts w:ascii="Verdana" w:hAnsi="Verdana"/>
          <w:spacing w:val="-1"/>
        </w:rPr>
        <w:t>Community Correction Orders: Third Monitoring Report (Post-Guideline Judgment)</w:t>
      </w:r>
      <w:r w:rsidRPr="003C1ACC">
        <w:rPr>
          <w:spacing w:val="-1"/>
        </w:rPr>
        <w:t xml:space="preserve"> (2015) x, xii, 29–30, 35–36. </w:t>
      </w:r>
    </w:p>
  </w:footnote>
  <w:footnote w:id="33">
    <w:p w14:paraId="37BC0529" w14:textId="7A2A5E2F" w:rsidR="00EF5C25" w:rsidRPr="003C1ACC" w:rsidRDefault="00EF5C25" w:rsidP="00CB77E5">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Vacek (A Pseudonym) </w:t>
      </w:r>
      <w:r w:rsidRPr="003C1ACC">
        <w:t xml:space="preserve">[2015] VCC 484 (24 April 2015) [44] (‘before </w:t>
      </w:r>
      <w:r w:rsidRPr="003C1ACC">
        <w:rPr>
          <w:rStyle w:val="LightItalic"/>
          <w:rFonts w:ascii="Verdana" w:hAnsi="Verdana"/>
        </w:rPr>
        <w:t>Boulton</w:t>
      </w:r>
      <w:r w:rsidRPr="003C1ACC">
        <w:t xml:space="preserve"> sentencing practice would almost certainly have meant that you were going to gaol’); </w:t>
      </w:r>
      <w:r w:rsidRPr="003C1ACC">
        <w:rPr>
          <w:rStyle w:val="LightItalic"/>
          <w:rFonts w:ascii="Verdana" w:hAnsi="Verdana"/>
        </w:rPr>
        <w:t xml:space="preserve">DPP v Mollison </w:t>
      </w:r>
      <w:r w:rsidRPr="003C1ACC">
        <w:t>[2016] VCC 413 (7 April 2016) [22] (‘</w:t>
      </w:r>
      <w:r w:rsidRPr="003C1ACC">
        <w:rPr>
          <w:rStyle w:val="LightItalic"/>
          <w:rFonts w:ascii="Verdana" w:hAnsi="Verdana"/>
        </w:rPr>
        <w:t xml:space="preserve">Boulton </w:t>
      </w:r>
      <w:r w:rsidRPr="003C1ACC">
        <w:t xml:space="preserve">[says] that the existence of CCOs allows what would have normally been automatic gaol effectively to be reconsidered’). The Court of Appeal in </w:t>
      </w:r>
      <w:r w:rsidRPr="003C1ACC">
        <w:rPr>
          <w:rStyle w:val="LightItalic"/>
          <w:rFonts w:ascii="Verdana" w:hAnsi="Verdana"/>
        </w:rPr>
        <w:t xml:space="preserve">Boulton </w:t>
      </w:r>
      <w:r w:rsidRPr="003C1ACC">
        <w:t xml:space="preserve">said that for ‘relatively serious offences which might previously have attracted a medium term of imprisonment (such as, for example … some kinds of rape … [t]he sentencing judge may find that, in view of the objective gravity of the conduct and the personal circumstances of the offender, a properly-conditioned CCO of lengthy duration is capable of satisfying the requirements of proportionality, parsimony and just punishment, while affording the best prospects for rehabilitation’: </w:t>
      </w:r>
      <w:r w:rsidRPr="003C1ACC">
        <w:rPr>
          <w:rStyle w:val="LightItalic"/>
          <w:rFonts w:ascii="Verdana" w:hAnsi="Verdana"/>
        </w:rPr>
        <w:t xml:space="preserve">Boulton &amp; Ors v The Queen </w:t>
      </w:r>
      <w:r w:rsidRPr="003C1ACC">
        <w:t>[2014] VSCA 342 (22 December 2014) [131].</w:t>
      </w:r>
    </w:p>
  </w:footnote>
  <w:footnote w:id="34">
    <w:p w14:paraId="11983F83" w14:textId="466C1913" w:rsidR="00EF5C25" w:rsidRPr="003C1ACC" w:rsidRDefault="00EF5C25" w:rsidP="00CB77E5">
      <w:pPr>
        <w:pStyle w:val="Footnote"/>
      </w:pPr>
      <w:r w:rsidRPr="003C1ACC">
        <w:rPr>
          <w:vertAlign w:val="superscript"/>
        </w:rPr>
        <w:footnoteRef/>
      </w:r>
      <w:r w:rsidRPr="003C1ACC">
        <w:t>.</w:t>
      </w:r>
      <w:r w:rsidRPr="003C1ACC">
        <w:tab/>
        <w:t xml:space="preserve">Victoria, ‘Sentencing (Community Correction Order) and Other Acts Amendment Bill 2016’, </w:t>
      </w:r>
      <w:r w:rsidRPr="003C1ACC">
        <w:rPr>
          <w:rStyle w:val="LightItalic"/>
          <w:rFonts w:ascii="Verdana" w:hAnsi="Verdana"/>
        </w:rPr>
        <w:t>Parliamentary Debates</w:t>
      </w:r>
      <w:r w:rsidRPr="003C1ACC">
        <w:t xml:space="preserve">, Legislative Assembly, 13 October 2016, 3860 (Martin Pakula, Attorney-General); Victoria, ‘Sentencing (Community Correction Order) and Other Acts Amendment Bill 2016’, </w:t>
      </w:r>
      <w:r w:rsidRPr="003C1ACC">
        <w:rPr>
          <w:rStyle w:val="LightItalic"/>
          <w:rFonts w:ascii="Verdana" w:hAnsi="Verdana"/>
        </w:rPr>
        <w:t>Parliamentary Debates</w:t>
      </w:r>
      <w:r w:rsidRPr="003C1ACC">
        <w:t>, Legislative Assembly, 27 October 2016, 4149–4176.</w:t>
      </w:r>
    </w:p>
  </w:footnote>
  <w:footnote w:id="35">
    <w:p w14:paraId="7D4475A4" w14:textId="3C0ACC3D" w:rsidR="00EF5C25" w:rsidRPr="003C1ACC" w:rsidRDefault="00EF5C25" w:rsidP="00CB77E5">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(Community Correction Order) and Other Acts Amendment Act 2016 </w:t>
      </w:r>
      <w:r w:rsidRPr="003C1ACC">
        <w:t>(Vic).</w:t>
      </w:r>
    </w:p>
  </w:footnote>
  <w:footnote w:id="36">
    <w:p w14:paraId="3D259E92" w14:textId="054A0DF1" w:rsidR="00EF5C25" w:rsidRPr="003C1ACC" w:rsidRDefault="00EF5C25" w:rsidP="00CB77E5">
      <w:pPr>
        <w:pStyle w:val="Footnote"/>
      </w:pPr>
      <w:r w:rsidRPr="003C1ACC">
        <w:rPr>
          <w:vertAlign w:val="superscript"/>
        </w:rPr>
        <w:footnoteRef/>
      </w:r>
      <w:r w:rsidRPr="003C1ACC">
        <w:t>.</w:t>
      </w:r>
      <w:r w:rsidRPr="003C1ACC">
        <w:tab/>
        <w:t xml:space="preserve">As is discussed at various points in this report, substantial changes to sex offences took effect in July 2017. While previous versions of certain sex offences – in particular, incest, sexual penetration with a child aged under 12, and persistent sexual abuse of a child aged under 16  – were Category 1 offences between 20 March 2017 and 30 June 2017, the repealed versions of these offences were not classified as such between 1 July 2017 and 27 October 2018: </w:t>
      </w:r>
      <w:r w:rsidRPr="003C1ACC">
        <w:rPr>
          <w:rStyle w:val="LightItalic"/>
          <w:rFonts w:ascii="Verdana" w:hAnsi="Verdana"/>
        </w:rPr>
        <w:t xml:space="preserve">Justice Legislation Miscellaneous Amendment Act 2018 </w:t>
      </w:r>
      <w:r w:rsidRPr="003C1ACC">
        <w:t>(Vic). Instead, during those 16 months, only the newer versions of these offences were Category 1 offences.</w:t>
      </w:r>
    </w:p>
  </w:footnote>
  <w:footnote w:id="37">
    <w:p w14:paraId="4963403A" w14:textId="0505787F" w:rsidR="00EF5C25" w:rsidRPr="003C1ACC" w:rsidRDefault="00EF5C25" w:rsidP="00CB77E5">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3 (definitions of </w:t>
      </w:r>
      <w:r w:rsidRPr="003C1ACC">
        <w:rPr>
          <w:rStyle w:val="LightItalic"/>
          <w:rFonts w:ascii="Verdana" w:hAnsi="Verdana"/>
        </w:rPr>
        <w:t xml:space="preserve">Category 1 offence </w:t>
      </w:r>
      <w:r w:rsidRPr="003C1ACC">
        <w:t xml:space="preserve">and </w:t>
      </w:r>
      <w:r w:rsidRPr="003C1ACC">
        <w:rPr>
          <w:rStyle w:val="LightItalic"/>
          <w:rFonts w:ascii="Verdana" w:hAnsi="Verdana"/>
        </w:rPr>
        <w:t>Category 2 offence</w:t>
      </w:r>
      <w:r w:rsidRPr="003C1ACC">
        <w:t xml:space="preserve">). </w:t>
      </w:r>
    </w:p>
  </w:footnote>
  <w:footnote w:id="38">
    <w:p w14:paraId="4BBFE664" w14:textId="45FBAC70" w:rsidR="00EF5C25" w:rsidRPr="003C1ACC" w:rsidRDefault="00EF5C25" w:rsidP="00271BB6">
      <w:pPr>
        <w:pStyle w:val="Footnote"/>
      </w:pPr>
      <w:r w:rsidRPr="003C1ACC">
        <w:rPr>
          <w:vertAlign w:val="superscript"/>
        </w:rPr>
        <w:footnoteRef/>
      </w:r>
      <w:r w:rsidRPr="003C1ACC">
        <w:t>.</w:t>
      </w:r>
      <w:r w:rsidRPr="003C1ACC">
        <w:tab/>
        <w:t>The first two offences in this list (sections 38 and 39) were in force between 20 March 2017 and 31 December 2019 and therefore were classified as Category 1 offences if committed and sentenced after 20 March 2017. The next four offences in this list (sections 49A, 49J, 50C and 50D) were in effect from 1 July 2017 and therefore were classified as Category 1 offences if they were committed and sentenced after 1 July 2017. The final four offences in the list (sections 44(1), 44(2), 45(1)–(2)(a) and 47A) are more complicated in their categorisation. The offences were in effect from 20 March 2017 to 30 June 2017 and therefore apply to offences committed between those dates. But while they were originally classified as Category 1 offences during that period, amendments to sentencing legislation meant they were not categorised as such for 16 months between 1 July 2017 and 27 October 2018 (after the new offences came into force). As such, these repealed offences were only Category 1 offences if they sentenced either between 20 March 2017 and 30 June 2017 or between 28 October 2018 and 31 December 2019 – in addition to being committed between 20 March 2017 and 30 June 2017.</w:t>
      </w:r>
    </w:p>
  </w:footnote>
  <w:footnote w:id="39">
    <w:p w14:paraId="571A0F88" w14:textId="63131E13"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[2016] VSCA 148 (29 June 2016).</w:t>
      </w:r>
    </w:p>
  </w:footnote>
  <w:footnote w:id="40">
    <w:p w14:paraId="3992949B" w14:textId="6F75B37D"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DPP v Dalgliesh (A Pseudonym)</w:t>
      </w:r>
      <w:r w:rsidRPr="003C1ACC">
        <w:t xml:space="preserve"> [2016] VSCA 148 (29 June 2016) [62]. </w:t>
      </w:r>
    </w:p>
  </w:footnote>
  <w:footnote w:id="41">
    <w:p w14:paraId="2A37F334" w14:textId="1173B487"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[2016] VSCA 148 (29 June 2016) [64], [131]. </w:t>
      </w:r>
    </w:p>
  </w:footnote>
  <w:footnote w:id="42">
    <w:p w14:paraId="3E3C3152" w14:textId="1EE16B19"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[2016] VSCA 148 (29 June 2016) [132]; </w:t>
      </w:r>
      <w:r w:rsidRPr="003C1ACC">
        <w:rPr>
          <w:rStyle w:val="LightItalic"/>
          <w:rFonts w:ascii="Verdana" w:hAnsi="Verdana"/>
        </w:rPr>
        <w:t xml:space="preserve">Sentencing Act 1991 </w:t>
      </w:r>
      <w:r w:rsidRPr="003C1ACC">
        <w:t xml:space="preserve">(Vic) s 5(2)(b). </w:t>
      </w:r>
    </w:p>
  </w:footnote>
  <w:footnote w:id="43">
    <w:p w14:paraId="0983B233" w14:textId="48D65F92"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[2017] HCA 41 (11 October 2017) [37]. </w:t>
      </w:r>
    </w:p>
  </w:footnote>
  <w:footnote w:id="44">
    <w:p w14:paraId="7917DD99" w14:textId="631D346F"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[2017] HCA 41 (11 October 2017) [53]. </w:t>
      </w:r>
    </w:p>
  </w:footnote>
  <w:footnote w:id="45">
    <w:p w14:paraId="61628DBB" w14:textId="727182B4" w:rsidR="00EF5C25" w:rsidRPr="003C1ACC" w:rsidRDefault="00EF5C25" w:rsidP="00271BB6">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[2017] HCA 41 (11 October 2017) [62]–[63]. </w:t>
      </w:r>
    </w:p>
  </w:footnote>
  <w:footnote w:id="46">
    <w:p w14:paraId="77604109" w14:textId="0C7FE0A2" w:rsidR="00EF5C25" w:rsidRPr="003C1ACC" w:rsidRDefault="00EF5C25" w:rsidP="002D430A">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 xml:space="preserve">[2017] HCA 41 (11 October 2017) [68]. See also </w:t>
      </w:r>
      <w:r w:rsidRPr="003C1ACC">
        <w:rPr>
          <w:rStyle w:val="LightItalic"/>
          <w:rFonts w:ascii="Verdana" w:hAnsi="Verdana"/>
        </w:rPr>
        <w:t xml:space="preserve">Mush v The Queen </w:t>
      </w:r>
      <w:r w:rsidRPr="003C1ACC">
        <w:t xml:space="preserve">[2019] VSCA 307 (18 December 2019) [63], [110]; </w:t>
      </w:r>
      <w:r w:rsidRPr="003C1ACC">
        <w:rPr>
          <w:rStyle w:val="LightItalic"/>
          <w:rFonts w:ascii="Verdana" w:hAnsi="Verdana"/>
        </w:rPr>
        <w:t xml:space="preserve">Fichtner v The Queen </w:t>
      </w:r>
      <w:r w:rsidRPr="003C1ACC">
        <w:t>[2019] VSCA 297 (12 December 2019) [99]–[100].</w:t>
      </w:r>
    </w:p>
  </w:footnote>
  <w:footnote w:id="47">
    <w:p w14:paraId="599437B5" w14:textId="20D95DDA" w:rsidR="00EF5C25" w:rsidRPr="003C1ACC" w:rsidRDefault="00EF5C25" w:rsidP="002D430A">
      <w:pPr>
        <w:pStyle w:val="Footnote"/>
      </w:pPr>
      <w:r w:rsidRPr="003C1ACC">
        <w:rPr>
          <w:vertAlign w:val="superscript"/>
        </w:rPr>
        <w:footnoteRef/>
      </w:r>
      <w:r w:rsidRPr="003C1ACC">
        <w:t>.</w:t>
      </w:r>
      <w:r w:rsidRPr="003C1ACC">
        <w:tab/>
      </w:r>
      <w:r w:rsidRPr="003C1ACC">
        <w:rPr>
          <w:rStyle w:val="LightItalic"/>
          <w:rFonts w:ascii="Verdana" w:hAnsi="Verdana"/>
        </w:rPr>
        <w:t xml:space="preserve">Carter (A Pseudonym) v The Queen </w:t>
      </w:r>
      <w:r w:rsidRPr="003C1ACC">
        <w:t>[2018] VSCA 88 (11 April 2018) [80].</w:t>
      </w:r>
    </w:p>
  </w:footnote>
  <w:footnote w:id="48">
    <w:p w14:paraId="32CFDA6F" w14:textId="4DF2341C" w:rsidR="00EF5C25" w:rsidRPr="003C1ACC" w:rsidRDefault="00EF5C25" w:rsidP="002D430A">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[2017] VSCA 360 (7 December 2017).</w:t>
      </w:r>
    </w:p>
  </w:footnote>
  <w:footnote w:id="49">
    <w:p w14:paraId="5407B66C" w14:textId="5FC5EDB0" w:rsidR="00EF5C25" w:rsidRPr="003C1ACC" w:rsidRDefault="00EF5C25" w:rsidP="002D430A">
      <w:pPr>
        <w:pStyle w:val="Footnote"/>
      </w:pPr>
      <w:r w:rsidRPr="003C1ACC">
        <w:rPr>
          <w:vertAlign w:val="superscript"/>
        </w:rPr>
        <w:footnoteRef/>
      </w:r>
      <w:r w:rsidRPr="003C1ACC">
        <w:t>.</w:t>
      </w:r>
      <w:r w:rsidRPr="003C1ACC">
        <w:tab/>
      </w:r>
      <w:r w:rsidRPr="003C1ACC">
        <w:rPr>
          <w:rStyle w:val="LightItalic"/>
          <w:rFonts w:ascii="Verdana" w:hAnsi="Verdana"/>
        </w:rPr>
        <w:t xml:space="preserve">Shawcross (A Pseudonym) v The Queen </w:t>
      </w:r>
      <w:r w:rsidRPr="003C1ACC">
        <w:t xml:space="preserve">[2018] VSCA 295 (14 November 2018) [55]. See also </w:t>
      </w:r>
      <w:r w:rsidRPr="003C1ACC">
        <w:rPr>
          <w:rStyle w:val="LightItalic"/>
          <w:rFonts w:ascii="Verdana" w:hAnsi="Verdana"/>
        </w:rPr>
        <w:t xml:space="preserve">Lugo (A Pseudonym) v The Queen </w:t>
      </w:r>
      <w:r w:rsidRPr="003C1ACC">
        <w:t xml:space="preserve">[2020] VSCA 75 (30 March 2020) (this case involved a man who sexually assaulted his biological daughter appealing his sentence, with no reference to the various </w:t>
      </w:r>
      <w:r w:rsidRPr="003C1ACC">
        <w:rPr>
          <w:rStyle w:val="LightItalic"/>
          <w:rFonts w:ascii="Verdana" w:hAnsi="Verdana"/>
        </w:rPr>
        <w:t xml:space="preserve">Dalgliesh </w:t>
      </w:r>
      <w:r w:rsidRPr="003C1ACC">
        <w:t>decisions).</w:t>
      </w:r>
    </w:p>
  </w:footnote>
  <w:footnote w:id="50">
    <w:p w14:paraId="38BCDCD1" w14:textId="473C58C5" w:rsidR="00EF5C25" w:rsidRPr="003C1ACC" w:rsidRDefault="00EF5C25" w:rsidP="002D430A">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Za Lian &amp; Anor </w:t>
      </w:r>
      <w:r w:rsidRPr="003C1ACC">
        <w:t>[2019] VSCA 75 (8 April 2019) [100] (in which the Director of Public Prosecutions indicated that they were not seeking an uplift in current sentencing practices for rape).</w:t>
      </w:r>
    </w:p>
  </w:footnote>
  <w:footnote w:id="51">
    <w:p w14:paraId="27524B9E" w14:textId="77184701" w:rsidR="00EF5C25" w:rsidRPr="003C1ACC" w:rsidRDefault="00EF5C25" w:rsidP="00F00A68">
      <w:pPr>
        <w:pStyle w:val="Footnote"/>
      </w:pPr>
      <w:r w:rsidRPr="003C1ACC">
        <w:rPr>
          <w:vertAlign w:val="superscript"/>
        </w:rPr>
        <w:footnoteRef/>
      </w:r>
      <w:r w:rsidRPr="003C1ACC">
        <w:t>.</w:t>
      </w:r>
      <w:r w:rsidRPr="003C1ACC">
        <w:tab/>
      </w:r>
      <w:r w:rsidRPr="003C1ACC">
        <w:rPr>
          <w:rStyle w:val="LightItalic"/>
          <w:rFonts w:ascii="Verdana" w:hAnsi="Verdana"/>
        </w:rPr>
        <w:t xml:space="preserve">Shrestha v The Queen </w:t>
      </w:r>
      <w:r w:rsidRPr="003C1ACC">
        <w:t xml:space="preserve">[2017] VSCA 364 (11 December 2017) [30]–[31], as applied in </w:t>
      </w:r>
      <w:r w:rsidRPr="003C1ACC">
        <w:rPr>
          <w:rStyle w:val="LightItalic"/>
          <w:rFonts w:ascii="Verdana" w:hAnsi="Verdana"/>
        </w:rPr>
        <w:t xml:space="preserve">DPP v Macarthur </w:t>
      </w:r>
      <w:r w:rsidRPr="003C1ACC">
        <w:t xml:space="preserve">[2019] VSCA 71 (8 April 2019) and </w:t>
      </w:r>
      <w:r w:rsidRPr="003C1ACC">
        <w:rPr>
          <w:rStyle w:val="LightItalic"/>
          <w:rFonts w:ascii="Verdana" w:hAnsi="Verdana"/>
        </w:rPr>
        <w:t xml:space="preserve">DPP v Nafady </w:t>
      </w:r>
      <w:r w:rsidRPr="003C1ACC">
        <w:t xml:space="preserve">[2018] VCC 721 (25 May 2018) [83]. </w:t>
      </w:r>
    </w:p>
  </w:footnote>
  <w:footnote w:id="52">
    <w:p w14:paraId="781372D5" w14:textId="7968F83B" w:rsidR="00EF5C25" w:rsidRPr="003C1ACC" w:rsidRDefault="00EF5C25" w:rsidP="00F00A68">
      <w:pPr>
        <w:pStyle w:val="Footnote"/>
      </w:pPr>
      <w:r w:rsidRPr="003C1ACC">
        <w:rPr>
          <w:vertAlign w:val="superscript"/>
        </w:rPr>
        <w:footnoteRef/>
      </w:r>
      <w:r w:rsidRPr="003C1ACC">
        <w:t>.</w:t>
      </w:r>
      <w:r w:rsidRPr="003C1ACC">
        <w:tab/>
      </w:r>
      <w:r w:rsidRPr="003C1ACC">
        <w:rPr>
          <w:rStyle w:val="LightItalic"/>
          <w:rFonts w:ascii="Verdana" w:hAnsi="Verdana"/>
        </w:rPr>
        <w:t xml:space="preserve">DPP v DDJ </w:t>
      </w:r>
      <w:r w:rsidRPr="003C1ACC">
        <w:t xml:space="preserve">[2009] VSCA 115 (28 May 2009) [72] (discussing the offence of maintaining a sexual relationship with a child aged under 16); </w:t>
      </w:r>
      <w:r w:rsidRPr="003C1ACC">
        <w:rPr>
          <w:rStyle w:val="LightItalic"/>
          <w:rFonts w:ascii="Verdana" w:hAnsi="Verdana"/>
        </w:rPr>
        <w:t xml:space="preserve">DPP v CPD </w:t>
      </w:r>
      <w:r w:rsidRPr="003C1ACC">
        <w:t>[2009] VSCA 114 (28 May 2009) [68] (discussing the offence of sexual penetration with a child aged under 10).</w:t>
      </w:r>
    </w:p>
  </w:footnote>
  <w:footnote w:id="53">
    <w:p w14:paraId="529A6B58" w14:textId="4B07EDD6" w:rsidR="00EF5C25" w:rsidRPr="003C1ACC" w:rsidRDefault="00EF5C25" w:rsidP="00F00A68">
      <w:pPr>
        <w:pStyle w:val="Footnote"/>
      </w:pPr>
      <w:r w:rsidRPr="003C1ACC">
        <w:rPr>
          <w:vertAlign w:val="superscript"/>
        </w:rPr>
        <w:footnoteRef/>
      </w:r>
      <w:r w:rsidRPr="003C1ACC">
        <w:t>.</w:t>
      </w:r>
      <w:r w:rsidRPr="003C1ACC">
        <w:tab/>
        <w:t xml:space="preserve">Roundtable 1 (30 March 2021); see, for example, </w:t>
      </w:r>
      <w:r w:rsidRPr="003C1ACC">
        <w:rPr>
          <w:rStyle w:val="LightItalic"/>
          <w:rFonts w:ascii="Verdana" w:hAnsi="Verdana"/>
        </w:rPr>
        <w:t>DPP v Maudsley (A Pseudonym)</w:t>
      </w:r>
      <w:r w:rsidRPr="003C1ACC">
        <w:t xml:space="preserve"> [2019] VCC 1824 (8 November 2019) [64]–[65] (sexual penetration with a child aged under 12), </w:t>
      </w:r>
      <w:r w:rsidRPr="003C1ACC">
        <w:rPr>
          <w:rStyle w:val="LightItalic"/>
          <w:rFonts w:ascii="Verdana" w:hAnsi="Verdana"/>
        </w:rPr>
        <w:t xml:space="preserve">DPP v Stafford (A Pseudonym) </w:t>
      </w:r>
      <w:r w:rsidRPr="003C1ACC">
        <w:t>[2018] VCC 877 (8 June 2018) [96] (indecent act with a child aged under 16).</w:t>
      </w:r>
    </w:p>
  </w:footnote>
  <w:footnote w:id="54">
    <w:p w14:paraId="04DD603A" w14:textId="0A3C1512" w:rsidR="00EF5C25" w:rsidRPr="003C1ACC" w:rsidRDefault="00EF5C25" w:rsidP="00F00A68">
      <w:pPr>
        <w:pStyle w:val="Footnote"/>
      </w:pPr>
      <w:r w:rsidRPr="003C1ACC">
        <w:rPr>
          <w:vertAlign w:val="superscript"/>
        </w:rPr>
        <w:footnoteRef/>
      </w:r>
      <w:r w:rsidRPr="003C1ACC">
        <w:t>.</w:t>
      </w:r>
      <w:r w:rsidRPr="003C1ACC">
        <w:tab/>
      </w:r>
      <w:r w:rsidRPr="003C1ACC">
        <w:rPr>
          <w:rStyle w:val="LightItalic"/>
          <w:rFonts w:ascii="Verdana" w:hAnsi="Verdana"/>
        </w:rPr>
        <w:t>DPP v Walters (A Pseudonym)</w:t>
      </w:r>
      <w:r w:rsidRPr="003C1ACC">
        <w:t xml:space="preserve"> [2015] VSCA 303 (17 November 2015); Victoria, ‘Sentencing Amendment (Sentencing Standards) Bill 2017’, </w:t>
      </w:r>
      <w:r w:rsidRPr="003C1ACC">
        <w:rPr>
          <w:rStyle w:val="LightItalic"/>
          <w:rFonts w:ascii="Verdana" w:hAnsi="Verdana"/>
        </w:rPr>
        <w:t xml:space="preserve">Parliamentary Debates, </w:t>
      </w:r>
      <w:r w:rsidRPr="003C1ACC">
        <w:t xml:space="preserve">Legislative Assembly, 25 May 2017, 1507–1510 (Martin Pakula, Attorney-General). See further, Sentencing Advisory Council, </w:t>
      </w:r>
      <w:r w:rsidRPr="003C1ACC">
        <w:rPr>
          <w:rStyle w:val="LightItalic"/>
          <w:rFonts w:ascii="Verdana" w:hAnsi="Verdana"/>
        </w:rPr>
        <w:t xml:space="preserve">Baseline Sentencing: Report </w:t>
      </w:r>
      <w:r w:rsidRPr="003C1ACC">
        <w:t xml:space="preserve">(2012); </w:t>
      </w:r>
      <w:r w:rsidRPr="003C1ACC">
        <w:rPr>
          <w:rStyle w:val="LightItalic"/>
          <w:rFonts w:ascii="Verdana" w:hAnsi="Verdana"/>
        </w:rPr>
        <w:t xml:space="preserve">Sentencing Amendment (Baseline Sentences) Act 2014 </w:t>
      </w:r>
      <w:r w:rsidRPr="003C1ACC">
        <w:t>(Vic).</w:t>
      </w:r>
    </w:p>
  </w:footnote>
  <w:footnote w:id="55">
    <w:p w14:paraId="7DBABFB2" w14:textId="29AFF9A1"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Amendment (Sentencing Standards) Act 2017 </w:t>
      </w:r>
      <w:r w:rsidRPr="003C1ACC">
        <w:t>(Vic) pt 3.</w:t>
      </w:r>
    </w:p>
  </w:footnote>
  <w:footnote w:id="56">
    <w:p w14:paraId="730D7177" w14:textId="6A82742E"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(Vic) ss 165A(1)–(2).</w:t>
      </w:r>
    </w:p>
  </w:footnote>
  <w:footnote w:id="57">
    <w:p w14:paraId="18824C8D" w14:textId="6E3E63AA"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(Vic) ss 5A(1)(b), (3).</w:t>
      </w:r>
    </w:p>
  </w:footnote>
  <w:footnote w:id="58">
    <w:p w14:paraId="21FFA16F" w14:textId="16A71366"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(Vic) s 5B(2)(b).</w:t>
      </w:r>
    </w:p>
  </w:footnote>
  <w:footnote w:id="59">
    <w:p w14:paraId="59E9F54F" w14:textId="529AC5E7"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11A. The minimums may be disregarded if the court considers it in the interests of justice to set a lower non-parole period. </w:t>
      </w:r>
    </w:p>
  </w:footnote>
  <w:footnote w:id="60">
    <w:p w14:paraId="3A89AFC8" w14:textId="53CBF59F"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(Vic) s 9(1A)(ab).</w:t>
      </w:r>
    </w:p>
  </w:footnote>
  <w:footnote w:id="61">
    <w:p w14:paraId="7F0E2E80" w14:textId="3D78867B"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(Vic) ss 5B(1)(a)–(b) (‘This section applies in relation to sentencing an offender for a standard sentence offence unless – (a) the offender was aged under 18 at the time of the commission of the offence; or (b) the offence is heard and determined summarily’).</w:t>
      </w:r>
    </w:p>
  </w:footnote>
  <w:footnote w:id="62">
    <w:p w14:paraId="46ADF731" w14:textId="229FF9C9" w:rsidR="00EF5C25" w:rsidRPr="003C1ACC" w:rsidRDefault="00EF5C25" w:rsidP="00F5201D">
      <w:pPr>
        <w:pStyle w:val="Footnote"/>
      </w:pPr>
      <w:r w:rsidRPr="003C1ACC">
        <w:rPr>
          <w:vertAlign w:val="superscript"/>
        </w:rPr>
        <w:footnoteRef/>
      </w:r>
      <w:r w:rsidRPr="003C1ACC">
        <w:t>.</w:t>
      </w:r>
      <w:r w:rsidRPr="003C1ACC">
        <w:tab/>
      </w:r>
      <w:r w:rsidRPr="003C1ACC">
        <w:rPr>
          <w:rStyle w:val="LightItalic"/>
          <w:rFonts w:ascii="Verdana" w:hAnsi="Verdana"/>
        </w:rPr>
        <w:t>Crimes Act 1958</w:t>
      </w:r>
      <w:r w:rsidRPr="003C1ACC">
        <w:t xml:space="preserve"> (Vic) pt 1; see also Sentencing Advisory Council, </w:t>
      </w:r>
      <w:r w:rsidRPr="003C1ACC">
        <w:rPr>
          <w:rStyle w:val="LightItalic"/>
          <w:rFonts w:ascii="Verdana" w:hAnsi="Verdana"/>
        </w:rPr>
        <w:t>Guide to Sentencing Schemes in Victoria</w:t>
      </w:r>
      <w:r w:rsidRPr="003C1ACC">
        <w:t xml:space="preserve"> (2021). This accords with the recommendation of the Sentencing Advisory Council in its 2016 advice to the then Attorney-General: Sentencing Advisory Council, </w:t>
      </w:r>
      <w:r w:rsidRPr="003C1ACC">
        <w:rPr>
          <w:rStyle w:val="LightItalic"/>
          <w:rFonts w:ascii="Verdana" w:hAnsi="Verdana"/>
        </w:rPr>
        <w:t xml:space="preserve">Sentencing Guidance in Victoria: Report </w:t>
      </w:r>
      <w:r w:rsidRPr="003C1ACC">
        <w:t>(2016) 186–189.</w:t>
      </w:r>
    </w:p>
  </w:footnote>
  <w:footnote w:id="63">
    <w:p w14:paraId="2890774B" w14:textId="729D29A6" w:rsidR="00EF5C25" w:rsidRPr="003C1ACC" w:rsidRDefault="00EF5C25" w:rsidP="001C6C6D">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5B, as introduced by </w:t>
      </w:r>
      <w:r w:rsidRPr="003C1ACC">
        <w:rPr>
          <w:rStyle w:val="LightItalic"/>
          <w:rFonts w:ascii="Verdana" w:hAnsi="Verdana"/>
        </w:rPr>
        <w:t xml:space="preserve">Crimes Amendment (Manslaughter and Related Offences) Act 2020 </w:t>
      </w:r>
      <w:r w:rsidRPr="003C1ACC">
        <w:t>(Vic). The standard sentence for this offence is 13 years, 52% of the 25-year maximum penalty.</w:t>
      </w:r>
    </w:p>
  </w:footnote>
  <w:footnote w:id="64">
    <w:p w14:paraId="4EE21A6A" w14:textId="1253C7C2" w:rsidR="00EF5C25" w:rsidRPr="003C1ACC" w:rsidRDefault="00EF5C25" w:rsidP="001C6C6D">
      <w:pPr>
        <w:pStyle w:val="Footnote"/>
      </w:pPr>
      <w:r w:rsidRPr="003C1ACC">
        <w:rPr>
          <w:vertAlign w:val="superscript"/>
        </w:rPr>
        <w:footnoteRef/>
      </w:r>
      <w:r w:rsidRPr="003C1ACC">
        <w:t>.</w:t>
      </w:r>
      <w:r w:rsidRPr="003C1ACC">
        <w:tab/>
        <w:t xml:space="preserve">The standard sentence for murder is 25 years’ imprisonment, or 30 years if the victim was an emergency worker or custodial officer on duty, and the standard sentence for trafficking in a large commercial quantity of drugs is 16 years’ imprisonment: </w:t>
      </w:r>
      <w:r w:rsidRPr="003C1ACC">
        <w:rPr>
          <w:rStyle w:val="LightItalic"/>
          <w:rFonts w:ascii="Verdana" w:hAnsi="Verdana"/>
        </w:rPr>
        <w:t xml:space="preserve">Crimes Act 1958 </w:t>
      </w:r>
      <w:r w:rsidRPr="003C1ACC">
        <w:t xml:space="preserve">(Vic) s 3(2); </w:t>
      </w:r>
      <w:r w:rsidRPr="003C1ACC">
        <w:rPr>
          <w:rStyle w:val="LightItalic"/>
          <w:rFonts w:ascii="Verdana" w:hAnsi="Verdana"/>
        </w:rPr>
        <w:t xml:space="preserve">Drugs, Poisons and Controlled Substances Act 1981 </w:t>
      </w:r>
      <w:r w:rsidRPr="003C1ACC">
        <w:t>(Vic) s 71(2).</w:t>
      </w:r>
    </w:p>
  </w:footnote>
  <w:footnote w:id="65">
    <w:p w14:paraId="7E6998A0" w14:textId="33231A18" w:rsidR="00EF5C25" w:rsidRPr="003C1ACC" w:rsidRDefault="00EF5C25" w:rsidP="001C6C6D">
      <w:pPr>
        <w:pStyle w:val="Footnote"/>
      </w:pPr>
      <w:r w:rsidRPr="003C1ACC">
        <w:rPr>
          <w:vertAlign w:val="superscript"/>
        </w:rPr>
        <w:footnoteRef/>
      </w:r>
      <w:r w:rsidRPr="003C1ACC">
        <w:t>.</w:t>
      </w:r>
      <w:r w:rsidRPr="003C1ACC">
        <w:tab/>
        <w:t xml:space="preserve">Victoria, ‘Sentencing Amendment (Sentencing Standards) Bill 2017’, </w:t>
      </w:r>
      <w:r w:rsidRPr="003C1ACC">
        <w:rPr>
          <w:rStyle w:val="LightItalic"/>
          <w:rFonts w:ascii="Verdana" w:hAnsi="Verdana"/>
        </w:rPr>
        <w:t xml:space="preserve">Parliamentary Debates, </w:t>
      </w:r>
      <w:r w:rsidRPr="003C1ACC">
        <w:t xml:space="preserve">Legislative Assembly, 25 May 2017, 1507–1510 (Martin Pakula, Attorney-General); see also, Victoria, ‘Sentencing Amendment (Baseline Sentences) Bill 2014’, </w:t>
      </w:r>
      <w:r w:rsidRPr="003C1ACC">
        <w:rPr>
          <w:rStyle w:val="LightItalic"/>
          <w:rFonts w:ascii="Verdana" w:hAnsi="Verdana"/>
        </w:rPr>
        <w:t>Parliamentary Debates</w:t>
      </w:r>
      <w:r w:rsidRPr="003C1ACC">
        <w:t>, Legislative Assembly, 3 April 2014, 1275–1277 (Robert Clark, Attorney-General).</w:t>
      </w:r>
    </w:p>
  </w:footnote>
  <w:footnote w:id="66">
    <w:p w14:paraId="12713617" w14:textId="4D47E126" w:rsidR="00EF5C25" w:rsidRPr="003C1ACC" w:rsidRDefault="00EF5C25" w:rsidP="006B27A6">
      <w:pPr>
        <w:pStyle w:val="Footnote"/>
      </w:pPr>
      <w:r w:rsidRPr="003C1ACC">
        <w:rPr>
          <w:vertAlign w:val="superscript"/>
        </w:rPr>
        <w:footnoteRef/>
      </w:r>
      <w:r w:rsidRPr="003C1ACC">
        <w:t>.</w:t>
      </w:r>
      <w:r w:rsidRPr="003C1ACC">
        <w:tab/>
        <w:t xml:space="preserve">Victoria, ‘Sentencing Amendment (Baseline Sentences) Bill 2014’, </w:t>
      </w:r>
      <w:r w:rsidRPr="003C1ACC">
        <w:rPr>
          <w:rStyle w:val="LightItalic"/>
          <w:rFonts w:ascii="Verdana" w:hAnsi="Verdana"/>
        </w:rPr>
        <w:t>Parliamentary Debates</w:t>
      </w:r>
      <w:r w:rsidRPr="003C1ACC">
        <w:t>, Legislative Assembly, 3 April 2014, 1276 (Robert Clark, Attorney-General) (‘The baseline sentence is the figure that Parliament expects will become the median sentence for that offence. This requires sentencing practices to change so that, over time, for sentences to which baseline sentencing applies, half the sentences imposed for the offence should be less than this figure, and half should be greater’).</w:t>
      </w:r>
    </w:p>
  </w:footnote>
  <w:footnote w:id="67">
    <w:p w14:paraId="31F89525" w14:textId="59954712" w:rsidR="00EF5C25" w:rsidRPr="003C1ACC" w:rsidRDefault="00EF5C25" w:rsidP="006B27A6">
      <w:pPr>
        <w:pStyle w:val="Footnote"/>
      </w:pPr>
      <w:r w:rsidRPr="003C1ACC">
        <w:rPr>
          <w:vertAlign w:val="superscript"/>
        </w:rPr>
        <w:footnoteRef/>
      </w:r>
      <w:r w:rsidRPr="003C1ACC">
        <w:t>.</w:t>
      </w:r>
      <w:r w:rsidRPr="003C1ACC">
        <w:tab/>
        <w:t>Sentencing Advisory Council (2016), above n 62, 189.</w:t>
      </w:r>
    </w:p>
  </w:footnote>
  <w:footnote w:id="68">
    <w:p w14:paraId="15015739" w14:textId="4ED45654"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DPP v Amin </w:t>
      </w:r>
      <w:r w:rsidRPr="003C1ACC">
        <w:t>[2019] VCC 1756 (28 October 2019) [43].</w:t>
      </w:r>
    </w:p>
  </w:footnote>
  <w:footnote w:id="69">
    <w:p w14:paraId="014423D7" w14:textId="4300B7B9"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R v Brown </w:t>
      </w:r>
      <w:r w:rsidRPr="003C1ACC">
        <w:t xml:space="preserve">[2018] VSC 742 (29 November 2018) [68], approved on appeal in </w:t>
      </w:r>
      <w:r w:rsidRPr="003C1ACC">
        <w:rPr>
          <w:rStyle w:val="LightItalic"/>
          <w:rFonts w:ascii="Verdana" w:hAnsi="Verdana"/>
        </w:rPr>
        <w:t xml:space="preserve">Brown v The Queen </w:t>
      </w:r>
      <w:r w:rsidRPr="003C1ACC">
        <w:t xml:space="preserve">[2019] VSCA 286 (10 December 2019). The Court of Appeal further clarified that the standard sentence is to be treated as a legislative guidepost, having the same function as the maximum penalty, and that it does not affect the instinctive synthesis approach to sentencing, does not require or permit two-stage sentencing and does not otherwise affect the matters that a court may, or must, take into account during sentencing: </w:t>
      </w:r>
      <w:r w:rsidRPr="003C1ACC">
        <w:rPr>
          <w:rStyle w:val="LightItalic"/>
          <w:rFonts w:ascii="Verdana" w:hAnsi="Verdana"/>
        </w:rPr>
        <w:t xml:space="preserve">Brown v The Queen </w:t>
      </w:r>
      <w:r w:rsidRPr="003C1ACC">
        <w:t>[2019] VSCA 286 (10 December 2019) [4].</w:t>
      </w:r>
    </w:p>
  </w:footnote>
  <w:footnote w:id="70">
    <w:p w14:paraId="0DD84960" w14:textId="0D94FA91"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DPP v Herrmann </w:t>
      </w:r>
      <w:r w:rsidRPr="003C1ACC">
        <w:t xml:space="preserve">[2019] VSC 694 (29 October 2019) [104]. See further </w:t>
      </w:r>
      <w:r w:rsidRPr="003C1ACC">
        <w:rPr>
          <w:rStyle w:val="LightItalic"/>
          <w:rFonts w:ascii="Verdana" w:hAnsi="Verdana"/>
        </w:rPr>
        <w:t xml:space="preserve">McPherson v The Queen </w:t>
      </w:r>
      <w:r w:rsidRPr="003C1ACC">
        <w:t>[2021] VSCA 53 (12 March 2021) [31] (‘Before concluding we should mention the difficult task with which sentencing judges are confronted when considering the standard sentence for this type of offending … This is not to say the phrase is meaningless — it must be given its place in the sentencing calculus — but it is an intangible concept, and judges ought to be wary of affording it too much weight in the sentencing exercise.’)</w:t>
      </w:r>
    </w:p>
  </w:footnote>
  <w:footnote w:id="71">
    <w:p w14:paraId="7E48DDA7" w14:textId="275D55A8"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R v Brown </w:t>
      </w:r>
      <w:r w:rsidRPr="003C1ACC">
        <w:t>[2018] VSC 742 (29 November 2018).</w:t>
      </w:r>
    </w:p>
  </w:footnote>
  <w:footnote w:id="72">
    <w:p w14:paraId="6F023535" w14:textId="42ABE4B9"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DPP v Lim </w:t>
      </w:r>
      <w:r w:rsidRPr="003C1ACC">
        <w:t>[2018] VCC 2166 (18 December 2018).</w:t>
      </w:r>
    </w:p>
  </w:footnote>
  <w:footnote w:id="73">
    <w:p w14:paraId="5EE44C49" w14:textId="57726D1D" w:rsidR="00EF5C25" w:rsidRPr="003C1ACC" w:rsidRDefault="00EF5C25" w:rsidP="006B27A6">
      <w:pPr>
        <w:pStyle w:val="Footnote"/>
      </w:pPr>
      <w:r w:rsidRPr="003C1ACC">
        <w:rPr>
          <w:vertAlign w:val="superscript"/>
        </w:rPr>
        <w:footnoteRef/>
      </w:r>
      <w:r w:rsidRPr="003C1ACC">
        <w:t>.</w:t>
      </w:r>
      <w:r w:rsidRPr="003C1ACC">
        <w:tab/>
      </w:r>
      <w:r w:rsidRPr="003C1ACC">
        <w:rPr>
          <w:rStyle w:val="LightItalic"/>
          <w:rFonts w:ascii="Verdana" w:hAnsi="Verdana"/>
        </w:rPr>
        <w:t xml:space="preserve">DPP v Elwood (A Pseudonym) and Anor </w:t>
      </w:r>
      <w:r w:rsidRPr="003C1ACC">
        <w:t>[2019] VCC 128 (1 February 2019).</w:t>
      </w:r>
    </w:p>
  </w:footnote>
  <w:footnote w:id="74">
    <w:p w14:paraId="3F38A503" w14:textId="0B9D139E" w:rsidR="00EF5C25" w:rsidRPr="003C1ACC" w:rsidRDefault="00EF5C25" w:rsidP="0067334B">
      <w:pPr>
        <w:pStyle w:val="Footnote"/>
      </w:pPr>
      <w:r w:rsidRPr="003C1ACC">
        <w:rPr>
          <w:vertAlign w:val="superscript"/>
        </w:rPr>
        <w:footnoteRef/>
      </w:r>
      <w:r w:rsidRPr="003C1ACC">
        <w:t>.</w:t>
      </w:r>
      <w:r w:rsidRPr="003C1ACC">
        <w:tab/>
        <w:t>Martin Pakula, ‘State Election 2018: Statement from Attorney-General Martin Pakula’ (liv.asn.au, 2018) &lt;https://www.liv.asn.au/Staying-Informed/LIJ/LIJ/November-2018/Statement-from-Attorney-General-Martin-Pakula&gt; at 26 April 2021 (‘We have strengthened sentencing laws … by introducing a standard sentencing scheme that increases sentences for 12 of the most serious crimes’).</w:t>
      </w:r>
    </w:p>
  </w:footnote>
  <w:footnote w:id="75">
    <w:p w14:paraId="78B463D6" w14:textId="24065058" w:rsidR="00EF5C25" w:rsidRPr="003C1ACC" w:rsidRDefault="00EF5C25" w:rsidP="0067334B">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5B(2)(b). See also </w:t>
      </w:r>
      <w:r w:rsidRPr="003C1ACC">
        <w:rPr>
          <w:rStyle w:val="LightItalic"/>
          <w:rFonts w:ascii="Verdana" w:hAnsi="Verdana"/>
        </w:rPr>
        <w:t xml:space="preserve">DPP v Nguyen </w:t>
      </w:r>
      <w:r w:rsidRPr="003C1ACC">
        <w:t xml:space="preserve">[2020] VCC 348 (26 March 2020) [40] (‘No doubt that [the standard sentence] scheme has been brought in to increase sentencing practices into the future’). </w:t>
      </w:r>
    </w:p>
  </w:footnote>
  <w:footnote w:id="76">
    <w:p w14:paraId="7A508359" w14:textId="2144FF6F" w:rsidR="00EF5C25" w:rsidRPr="003C1ACC" w:rsidRDefault="00EF5C25" w:rsidP="0067334B">
      <w:pPr>
        <w:pStyle w:val="Footnote"/>
      </w:pPr>
      <w:r w:rsidRPr="003C1ACC">
        <w:rPr>
          <w:vertAlign w:val="superscript"/>
        </w:rPr>
        <w:footnoteRef/>
      </w:r>
      <w:r w:rsidRPr="003C1ACC">
        <w:t>.</w:t>
      </w:r>
      <w:r w:rsidRPr="003C1ACC">
        <w:tab/>
        <w:t xml:space="preserve">Explanatory Memorandum, Sentencing Amendment (Sentencing Standards) Bill 2017 (Vic) 16: ‘a court is not prevented from taking into account the effect on current sentencing practices of the commencement of [the standard sentence scheme] in sentencing an offender for an offence committed before [the scheme commenced]. While offences committed before the commencement of [the scheme] will continue to be sentenced in accordance with “old” (pre-standard sentence scheme) law, the requirement to consider current sentencing practices under section 5(2)(b) of the </w:t>
      </w:r>
      <w:r w:rsidRPr="003C1ACC">
        <w:rPr>
          <w:rStyle w:val="LightItalic"/>
          <w:rFonts w:ascii="Verdana" w:hAnsi="Verdana"/>
        </w:rPr>
        <w:t xml:space="preserve">Sentencing Act 1991 </w:t>
      </w:r>
      <w:r w:rsidRPr="003C1ACC">
        <w:t>will mean that sentencing for these “old” offences may still be indirectly impacted by the standard sentence scheme … While [the scheme] will prevent a court from having regard to the standard sentence when sentencing an offender for an “old” offence, standard sentencing may indirectly influence the sentencing outcome through consideration of current sentencing practices.’ See further at n 145.</w:t>
      </w:r>
    </w:p>
  </w:footnote>
  <w:footnote w:id="77">
    <w:p w14:paraId="12CC1973" w14:textId="72F9897D" w:rsidR="00EF5C25" w:rsidRPr="003C1ACC" w:rsidRDefault="00EF5C25" w:rsidP="00BE086D">
      <w:pPr>
        <w:pStyle w:val="Footnote"/>
      </w:pPr>
      <w:r w:rsidRPr="003C1ACC">
        <w:rPr>
          <w:vertAlign w:val="superscript"/>
        </w:rPr>
        <w:footnoteRef/>
      </w:r>
      <w:r w:rsidRPr="003C1ACC">
        <w:t>.</w:t>
      </w:r>
      <w:r w:rsidRPr="003C1ACC">
        <w:tab/>
        <w:t>The term ‘rape offences’ refers to the offences listed in Table 2 (see also glossary).</w:t>
      </w:r>
    </w:p>
  </w:footnote>
  <w:footnote w:id="78">
    <w:p w14:paraId="7E6A002E" w14:textId="6A1C7419" w:rsidR="00EF5C25" w:rsidRPr="003C1ACC" w:rsidRDefault="00EF5C25" w:rsidP="00BE086D">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1980 </w:t>
      </w:r>
      <w:r w:rsidRPr="003C1ACC">
        <w:t xml:space="preserve">(Vic) s 4, amending </w:t>
      </w:r>
      <w:r w:rsidRPr="003C1ACC">
        <w:rPr>
          <w:rStyle w:val="LightItalic"/>
          <w:rFonts w:ascii="Verdana" w:hAnsi="Verdana"/>
        </w:rPr>
        <w:t xml:space="preserve">Crimes Act 1958 </w:t>
      </w:r>
      <w:r w:rsidRPr="003C1ACC">
        <w:t xml:space="preserve">(Vic) s 2A (definition of </w:t>
      </w:r>
      <w:r w:rsidRPr="003C1ACC">
        <w:rPr>
          <w:rStyle w:val="LightItalic"/>
          <w:rFonts w:ascii="Verdana" w:hAnsi="Verdana"/>
        </w:rPr>
        <w:t>rape</w:t>
      </w:r>
      <w:r w:rsidRPr="003C1ACC">
        <w:t xml:space="preserve">) (as in effect from 1 March 1981 to 4 August 1991). Prior to this, there was no legislative definition of rape; it was defined at common law. The definition of </w:t>
      </w:r>
      <w:r w:rsidRPr="003C1ACC">
        <w:rPr>
          <w:rStyle w:val="LightItalic"/>
          <w:rFonts w:ascii="Verdana" w:hAnsi="Verdana"/>
        </w:rPr>
        <w:t xml:space="preserve">sexual penetration </w:t>
      </w:r>
      <w:r w:rsidRPr="003C1ACC">
        <w:t xml:space="preserve">was then amended to account for digital rape in </w:t>
      </w:r>
      <w:r w:rsidRPr="003C1ACC">
        <w:rPr>
          <w:rStyle w:val="LightItalic"/>
          <w:rFonts w:ascii="Verdana" w:hAnsi="Verdana"/>
        </w:rPr>
        <w:t xml:space="preserve">Crimes (Sexual Offences) Act 1991 </w:t>
      </w:r>
      <w:r w:rsidRPr="003C1ACC">
        <w:t xml:space="preserve">(Vic) s 3, inserting </w:t>
      </w:r>
      <w:r w:rsidRPr="003C1ACC">
        <w:rPr>
          <w:rStyle w:val="LightItalic"/>
          <w:rFonts w:ascii="Verdana" w:hAnsi="Verdana"/>
        </w:rPr>
        <w:t xml:space="preserve">Crimes Act 1958 </w:t>
      </w:r>
      <w:r w:rsidRPr="003C1ACC">
        <w:t xml:space="preserve">(Vic) s 37 (as in effect from 5 August 1991 to 31 December 1991). It was then replaced with a near-identical definition: </w:t>
      </w:r>
      <w:r w:rsidRPr="003C1ACC">
        <w:rPr>
          <w:rStyle w:val="LightItalic"/>
          <w:rFonts w:ascii="Verdana" w:hAnsi="Verdana"/>
        </w:rPr>
        <w:t xml:space="preserve">Crimes (Rape) Act 1991 </w:t>
      </w:r>
      <w:r w:rsidRPr="003C1ACC">
        <w:t xml:space="preserve">(Vic) s 3, inserting </w:t>
      </w:r>
      <w:r w:rsidRPr="003C1ACC">
        <w:rPr>
          <w:rStyle w:val="LightItalic"/>
          <w:rFonts w:ascii="Verdana" w:hAnsi="Verdana"/>
        </w:rPr>
        <w:t xml:space="preserve">Crimes Act 1958 </w:t>
      </w:r>
      <w:r w:rsidRPr="003C1ACC">
        <w:t xml:space="preserve">(Vic) s 35 (as in effect from 1 January 1992 to 30 June 2017.) For the current definition of </w:t>
      </w:r>
      <w:r w:rsidRPr="003C1ACC">
        <w:rPr>
          <w:rStyle w:val="LightItalic"/>
          <w:rFonts w:ascii="Verdana" w:hAnsi="Verdana"/>
        </w:rPr>
        <w:t>sexual penetration</w:t>
      </w:r>
      <w:r w:rsidRPr="003C1ACC">
        <w:t xml:space="preserve">, see </w:t>
      </w:r>
      <w:r w:rsidRPr="003C1ACC">
        <w:rPr>
          <w:rStyle w:val="LightItalic"/>
          <w:rFonts w:ascii="Verdana" w:hAnsi="Verdana"/>
        </w:rPr>
        <w:t xml:space="preserve">Crimes Act 1958 </w:t>
      </w:r>
      <w:r w:rsidRPr="003C1ACC">
        <w:t xml:space="preserve">(Vic) s 35A, as inserted by </w:t>
      </w:r>
      <w:r w:rsidRPr="003C1ACC">
        <w:rPr>
          <w:rStyle w:val="LightItalic"/>
          <w:rFonts w:ascii="Verdana" w:hAnsi="Verdana"/>
        </w:rPr>
        <w:t xml:space="preserve">Crimes Amendment (Sexual Offences) Act 2016 </w:t>
      </w:r>
      <w:r w:rsidRPr="003C1ACC">
        <w:t>(Vic) s 5.</w:t>
      </w:r>
    </w:p>
  </w:footnote>
  <w:footnote w:id="79">
    <w:p w14:paraId="65179DCF" w14:textId="609ECE4E" w:rsidR="00EF5C25" w:rsidRPr="003C1ACC" w:rsidRDefault="00EF5C25" w:rsidP="00BE086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3 (definition of </w:t>
      </w:r>
      <w:r w:rsidRPr="003C1ACC">
        <w:rPr>
          <w:rStyle w:val="LightItalic"/>
          <w:rFonts w:ascii="Verdana" w:hAnsi="Verdana"/>
        </w:rPr>
        <w:t>serious sexual offender</w:t>
      </w:r>
      <w:r w:rsidRPr="003C1ACC">
        <w:t xml:space="preserve">), pt 2A, as inserted by </w:t>
      </w:r>
      <w:r w:rsidRPr="003C1ACC">
        <w:rPr>
          <w:rStyle w:val="LightItalic"/>
          <w:rFonts w:ascii="Verdana" w:hAnsi="Verdana"/>
        </w:rPr>
        <w:t xml:space="preserve">Sentencing (Amendment) Act 1993 </w:t>
      </w:r>
      <w:r w:rsidRPr="003C1ACC">
        <w:t>(Vic) ss 4–5.</w:t>
      </w:r>
    </w:p>
  </w:footnote>
  <w:footnote w:id="80">
    <w:p w14:paraId="720F50D3" w14:textId="475D5D67" w:rsidR="00EF5C25" w:rsidRPr="003C1ACC" w:rsidRDefault="00EF5C25" w:rsidP="00BE086D">
      <w:pPr>
        <w:pStyle w:val="Footnote"/>
      </w:pPr>
      <w:r w:rsidRPr="003C1ACC">
        <w:rPr>
          <w:vertAlign w:val="superscript"/>
        </w:rPr>
        <w:footnoteRef/>
      </w:r>
      <w:r w:rsidRPr="003C1ACC">
        <w:t>.</w:t>
      </w:r>
      <w:r w:rsidRPr="003C1ACC">
        <w:tab/>
        <w:t xml:space="preserve">In 2008 and 2015, the offences of rape and rape by compelling sexual penetration were amended to, respectively, account for offenders who either did not give any thought to whether the other person was consenting or did not reasonably believe the other person was consenting. See </w:t>
      </w:r>
      <w:r w:rsidRPr="003C1ACC">
        <w:rPr>
          <w:rStyle w:val="LightItalic"/>
          <w:rFonts w:ascii="Verdana" w:hAnsi="Verdana"/>
        </w:rPr>
        <w:t xml:space="preserve">Crimes Amendment (Rape) Act 2007 </w:t>
      </w:r>
      <w:r w:rsidRPr="003C1ACC">
        <w:t xml:space="preserve">(Vic) s 5, amending </w:t>
      </w:r>
      <w:r w:rsidRPr="003C1ACC">
        <w:rPr>
          <w:rStyle w:val="LightItalic"/>
          <w:rFonts w:ascii="Verdana" w:hAnsi="Verdana"/>
        </w:rPr>
        <w:t xml:space="preserve">Crimes Act 1958 </w:t>
      </w:r>
      <w:r w:rsidRPr="003C1ACC">
        <w:t xml:space="preserve">(Vic) ss 38(2)(a) and 38(4)(b) (as in effect from 1 January 2008 to 30 June 2015); </w:t>
      </w:r>
      <w:r w:rsidRPr="003C1ACC">
        <w:rPr>
          <w:rStyle w:val="LightItalic"/>
          <w:rFonts w:ascii="Verdana" w:hAnsi="Verdana"/>
        </w:rPr>
        <w:t xml:space="preserve">Crimes Amendment (Sexual Offences and Other Matters) Act 2014 </w:t>
      </w:r>
      <w:r w:rsidRPr="003C1ACC">
        <w:t xml:space="preserve">(Vic) s 4, amending </w:t>
      </w:r>
      <w:r w:rsidRPr="003C1ACC">
        <w:rPr>
          <w:rStyle w:val="LightItalic"/>
          <w:rFonts w:ascii="Verdana" w:hAnsi="Verdana"/>
        </w:rPr>
        <w:t xml:space="preserve">Crimes Act 1958 </w:t>
      </w:r>
      <w:r w:rsidRPr="003C1ACC">
        <w:t>(Vic) s 38 (as in effect since 1 July 2015).</w:t>
      </w:r>
    </w:p>
  </w:footnote>
  <w:footnote w:id="81">
    <w:p w14:paraId="2246A36A" w14:textId="63D514CD" w:rsidR="00EF5C25" w:rsidRPr="003C1ACC" w:rsidRDefault="00EF5C25" w:rsidP="00BE086D">
      <w:pPr>
        <w:pStyle w:val="Footnote"/>
      </w:pPr>
      <w:r w:rsidRPr="003C1ACC">
        <w:rPr>
          <w:vertAlign w:val="superscript"/>
        </w:rPr>
        <w:footnoteRef/>
      </w:r>
      <w:r w:rsidRPr="003C1ACC">
        <w:t>.</w:t>
      </w:r>
      <w:r w:rsidRPr="003C1ACC">
        <w:tab/>
      </w:r>
      <w:r w:rsidRPr="003C1ACC">
        <w:rPr>
          <w:rStyle w:val="LightItalic"/>
          <w:rFonts w:ascii="Verdana" w:hAnsi="Verdana"/>
        </w:rPr>
        <w:t xml:space="preserve">Crimes Amendment (Sexual Offences and Other Matters) Act 2014 </w:t>
      </w:r>
      <w:r w:rsidRPr="003C1ACC">
        <w:t xml:space="preserve">(Vic) s 13, amending </w:t>
      </w:r>
      <w:r w:rsidRPr="003C1ACC">
        <w:rPr>
          <w:rStyle w:val="LightItalic"/>
          <w:rFonts w:ascii="Verdana" w:hAnsi="Verdana"/>
        </w:rPr>
        <w:t xml:space="preserve">Criminal Procedure Act 2009 </w:t>
      </w:r>
      <w:r w:rsidRPr="003C1ACC">
        <w:t xml:space="preserve">(Vic) sch 1 cl 4A, especially sub-cl (9). </w:t>
      </w:r>
    </w:p>
  </w:footnote>
  <w:footnote w:id="82">
    <w:p w14:paraId="6103BFC2" w14:textId="008BFB41" w:rsidR="00EF5C25" w:rsidRPr="00BE086D" w:rsidRDefault="00EF5C25" w:rsidP="00BE086D">
      <w:pPr>
        <w:pStyle w:val="Footnote"/>
        <w:rPr>
          <w:i/>
          <w:iCs/>
          <w:lang w:val="en-AU"/>
        </w:rPr>
      </w:pPr>
      <w:r w:rsidRPr="003C1ACC">
        <w:rPr>
          <w:vertAlign w:val="superscript"/>
        </w:rPr>
        <w:footnoteRef/>
      </w:r>
      <w:r w:rsidRPr="003C1ACC">
        <w:t>.</w:t>
      </w:r>
      <w:r w:rsidRPr="003C1ACC">
        <w:tab/>
      </w:r>
      <w:r w:rsidRPr="003C1ACC">
        <w:rPr>
          <w:rStyle w:val="LightItalic"/>
          <w:rFonts w:ascii="Verdana" w:hAnsi="Verdana"/>
        </w:rPr>
        <w:t xml:space="preserve">Jurj and Miftode v The Queen </w:t>
      </w:r>
      <w:r w:rsidRPr="003C1ACC">
        <w:t xml:space="preserve">[2016] VSCA 57 (4 April 2016) [80]; see also </w:t>
      </w:r>
      <w:r w:rsidRPr="003C1ACC">
        <w:rPr>
          <w:rStyle w:val="LightItalic"/>
          <w:rFonts w:ascii="Verdana" w:hAnsi="Verdana"/>
        </w:rPr>
        <w:t xml:space="preserve">DPP v Mokhtari </w:t>
      </w:r>
      <w:r w:rsidRPr="003C1ACC">
        <w:t xml:space="preserve">[2020] VSCA 161 (18 June 2020). Further, in </w:t>
      </w:r>
      <w:r w:rsidRPr="003C1ACC">
        <w:rPr>
          <w:rStyle w:val="LightItalic"/>
          <w:rFonts w:ascii="Verdana" w:hAnsi="Verdana"/>
        </w:rPr>
        <w:t xml:space="preserve">Patil (A Pseudonym) v The Queen </w:t>
      </w:r>
      <w:r w:rsidRPr="003C1ACC">
        <w:t>[2020] VSCA 337 (23 December 2020) [55]–[56] the Court of Appeal recognised ‘breach of trust’ as relevant to the sentencing rape offences in the context of spouses</w:t>
      </w:r>
      <w:r w:rsidRPr="003C1ACC">
        <w:rPr>
          <w:rStyle w:val="LightItalic"/>
          <w:rFonts w:ascii="Verdana" w:hAnsi="Verdana"/>
        </w:rPr>
        <w:t>.</w:t>
      </w:r>
    </w:p>
  </w:footnote>
  <w:footnote w:id="83">
    <w:p w14:paraId="261B67E6" w14:textId="34E88891" w:rsidR="00EF5C25" w:rsidRPr="003C1ACC" w:rsidRDefault="00EF5C25" w:rsidP="00BE086D">
      <w:pPr>
        <w:pStyle w:val="Footnote"/>
      </w:pPr>
      <w:r w:rsidRPr="003C1ACC">
        <w:rPr>
          <w:vertAlign w:val="superscript"/>
        </w:rPr>
        <w:footnoteRef/>
      </w:r>
      <w:r w:rsidRPr="003C1ACC">
        <w:t>.</w:t>
      </w:r>
      <w:r w:rsidRPr="003C1ACC">
        <w:tab/>
        <w:t>One woman was sentenced to a 4-year community correction order for a single charge of rape, and another was sentenced to a 3-year community correction order for 3 charges of rape, 2 charges of false imprisonment and 2 charges of theft. That is, not one woman was sent to prison for a rape offence in the 10-year reference period.</w:t>
      </w:r>
    </w:p>
  </w:footnote>
  <w:footnote w:id="84">
    <w:p w14:paraId="7C8312AB" w14:textId="3164C9AB" w:rsidR="00EF5C25" w:rsidRPr="003C1ACC" w:rsidRDefault="00EF5C25" w:rsidP="00AA41E2">
      <w:pPr>
        <w:pStyle w:val="Footnote"/>
      </w:pPr>
      <w:r w:rsidRPr="003C1ACC">
        <w:rPr>
          <w:vertAlign w:val="superscript"/>
        </w:rPr>
        <w:footnoteRef/>
      </w:r>
      <w:r w:rsidRPr="003C1ACC">
        <w:t>.</w:t>
      </w:r>
      <w:r w:rsidRPr="003C1ACC">
        <w:tab/>
        <w:t xml:space="preserve">In Table 3, </w:t>
      </w:r>
      <w:r w:rsidRPr="003C1ACC">
        <w:rPr>
          <w:rStyle w:val="LightItalic"/>
          <w:rFonts w:ascii="Verdana" w:hAnsi="Verdana"/>
        </w:rPr>
        <w:t>immediate custodial sentences</w:t>
      </w:r>
      <w:r w:rsidRPr="003C1ACC">
        <w:t xml:space="preserve"> include 947 prison sentences (including combined orders), 3 aggregate sentences of imprisonment (including combined orders), 5 partially suspended sentences, and 5 youth justice centre orders or youth training centre orders. </w:t>
      </w:r>
      <w:r w:rsidRPr="003C1ACC">
        <w:rPr>
          <w:rStyle w:val="LightItalic"/>
          <w:rFonts w:ascii="Verdana" w:hAnsi="Verdana"/>
        </w:rPr>
        <w:t xml:space="preserve">Community orders </w:t>
      </w:r>
      <w:r w:rsidRPr="003C1ACC">
        <w:t xml:space="preserve">include 19 community correction order, 2 community-based orders and 1 intensive correction order. </w:t>
      </w:r>
      <w:r w:rsidRPr="003C1ACC">
        <w:rPr>
          <w:rStyle w:val="LightItalic"/>
          <w:rFonts w:ascii="Verdana" w:hAnsi="Verdana"/>
        </w:rPr>
        <w:t>Other orders</w:t>
      </w:r>
      <w:r w:rsidRPr="003C1ACC">
        <w:t xml:space="preserve"> include 13 wholly suspended sentences and 4 residential treatment orders. </w:t>
      </w:r>
    </w:p>
  </w:footnote>
  <w:footnote w:id="85">
    <w:p w14:paraId="27C9F2B3" w14:textId="0299834F" w:rsidR="00EF5C25" w:rsidRPr="003C1ACC" w:rsidRDefault="00EF5C25" w:rsidP="00AA41E2">
      <w:pPr>
        <w:pStyle w:val="Footnote"/>
      </w:pPr>
      <w:r w:rsidRPr="003C1ACC">
        <w:rPr>
          <w:vertAlign w:val="superscript"/>
        </w:rPr>
        <w:footnoteRef/>
      </w:r>
      <w:r w:rsidRPr="003C1ACC">
        <w:t>.</w:t>
      </w:r>
      <w:r w:rsidRPr="003C1ACC">
        <w:tab/>
        <w:t>Further, while no minimum period of imprisonment is required for rape offences, the shortest periods of imprisonment imposed for the 45 rape offences classified as Category 1 offences were 2 years (2 charges) and 3 years (2 charges).</w:t>
      </w:r>
    </w:p>
  </w:footnote>
  <w:footnote w:id="86">
    <w:p w14:paraId="3B8FDFE7" w14:textId="0B5FDB67" w:rsidR="00EF5C25" w:rsidRPr="003C1ACC" w:rsidRDefault="00EF5C25" w:rsidP="00D05364">
      <w:pPr>
        <w:pStyle w:val="Footnote"/>
      </w:pPr>
      <w:r w:rsidRPr="003C1ACC">
        <w:rPr>
          <w:vertAlign w:val="superscript"/>
        </w:rPr>
        <w:footnoteRef/>
      </w:r>
      <w:r w:rsidRPr="003C1ACC">
        <w:t>.</w:t>
      </w:r>
      <w:r w:rsidRPr="003C1ACC">
        <w:tab/>
        <w:t xml:space="preserve">They received 17 community correction orders, 10 wholly suspended sentences, 4 residential treatment orders, 1 community-based order and 1 intensive correction order. See, for example, </w:t>
      </w:r>
      <w:r w:rsidRPr="003C1ACC">
        <w:rPr>
          <w:rStyle w:val="LightItalic"/>
          <w:rFonts w:ascii="Verdana" w:hAnsi="Verdana"/>
        </w:rPr>
        <w:t xml:space="preserve">DPP v Maxfield </w:t>
      </w:r>
      <w:r w:rsidRPr="003C1ACC">
        <w:t xml:space="preserve">[2014] VCC 911 (18 June 2014) (in which a community correction order was imposed but increased in duration following a successful prosecution appeal in </w:t>
      </w:r>
      <w:r w:rsidRPr="003C1ACC">
        <w:rPr>
          <w:rStyle w:val="LightItalic"/>
          <w:rFonts w:ascii="Verdana" w:hAnsi="Verdana"/>
        </w:rPr>
        <w:t xml:space="preserve">DPP v Maxfield </w:t>
      </w:r>
      <w:r w:rsidRPr="003C1ACC">
        <w:t xml:space="preserve">[2015] VSCA 95 (12 May 2015); </w:t>
      </w:r>
      <w:r w:rsidRPr="003C1ACC">
        <w:rPr>
          <w:rStyle w:val="LightItalic"/>
          <w:rFonts w:ascii="Verdana" w:hAnsi="Verdana"/>
        </w:rPr>
        <w:t xml:space="preserve">DPP v Vacek (A Pseudonym) </w:t>
      </w:r>
      <w:r w:rsidRPr="003C1ACC">
        <w:t xml:space="preserve">[2015] VCC 484 (24 April 2015); </w:t>
      </w:r>
      <w:r w:rsidRPr="003C1ACC">
        <w:rPr>
          <w:rStyle w:val="LightItalic"/>
          <w:rFonts w:ascii="Verdana" w:hAnsi="Verdana"/>
        </w:rPr>
        <w:t xml:space="preserve">DPP v Long (A Pseudonym) </w:t>
      </w:r>
      <w:r w:rsidRPr="003C1ACC">
        <w:t xml:space="preserve">[2015] VCC 1296 (17 September 2015) [42] (‘exceptional circumstances … include your young age, lack of prior criminal history and non-relevant subsequent offending … your rehabilitation prospects and the prosecution concession that a [CCO] would be within the range of appropriate dispositions’); </w:t>
      </w:r>
      <w:r w:rsidRPr="003C1ACC">
        <w:rPr>
          <w:rStyle w:val="LightItalic"/>
          <w:rFonts w:ascii="Verdana" w:hAnsi="Verdana"/>
        </w:rPr>
        <w:t xml:space="preserve">DPP v Mollison </w:t>
      </w:r>
      <w:r w:rsidRPr="003C1ACC">
        <w:t>[2016] VCC 413 (7 April 2016).</w:t>
      </w:r>
    </w:p>
  </w:footnote>
  <w:footnote w:id="87">
    <w:p w14:paraId="64C2099A" w14:textId="7B551DA9" w:rsidR="00EF5C25" w:rsidRPr="003C1ACC" w:rsidRDefault="00EF5C25" w:rsidP="00D05364">
      <w:pPr>
        <w:pStyle w:val="Footnote"/>
      </w:pPr>
      <w:r w:rsidRPr="003C1ACC">
        <w:rPr>
          <w:vertAlign w:val="superscript"/>
        </w:rPr>
        <w:footnoteRef/>
      </w:r>
      <w:r w:rsidRPr="003C1ACC">
        <w:t>.</w:t>
      </w:r>
      <w:r w:rsidRPr="003C1ACC">
        <w:tab/>
      </w:r>
      <w:r w:rsidRPr="003C1ACC">
        <w:rPr>
          <w:rStyle w:val="LightItalic"/>
          <w:rFonts w:ascii="Verdana" w:hAnsi="Verdana"/>
        </w:rPr>
        <w:t xml:space="preserve">Boulton &amp; Ors v The Queen </w:t>
      </w:r>
      <w:r w:rsidRPr="003C1ACC">
        <w:t>[2014] VSCA 342 (22 December 2014).</w:t>
      </w:r>
    </w:p>
  </w:footnote>
  <w:footnote w:id="88">
    <w:p w14:paraId="63A8950E" w14:textId="7770AD65" w:rsidR="00EF5C25" w:rsidRPr="003C1ACC" w:rsidRDefault="00EF5C25" w:rsidP="00D05364">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27(2B) (repealed), as inserted by </w:t>
      </w:r>
      <w:r w:rsidRPr="003C1ACC">
        <w:rPr>
          <w:rStyle w:val="LightItalic"/>
          <w:rFonts w:ascii="Verdana" w:hAnsi="Verdana"/>
        </w:rPr>
        <w:t xml:space="preserve">Sentencing (Suspended Sentences) Act 2006 </w:t>
      </w:r>
      <w:r w:rsidRPr="003C1ACC">
        <w:t xml:space="preserve">(Vic) s 4, as recommended in Sentencing Advisory Council, </w:t>
      </w:r>
      <w:r w:rsidRPr="003C1ACC">
        <w:rPr>
          <w:rStyle w:val="LightItalic"/>
          <w:rFonts w:ascii="Verdana" w:hAnsi="Verdana"/>
        </w:rPr>
        <w:t xml:space="preserve">Suspended Sentences: Final Report Part 1 </w:t>
      </w:r>
      <w:r w:rsidRPr="003C1ACC">
        <w:t xml:space="preserve">(2006) xxv, 71–72. </w:t>
      </w:r>
    </w:p>
  </w:footnote>
  <w:footnote w:id="89">
    <w:p w14:paraId="0C18838A" w14:textId="5F28C02E" w:rsidR="00EF5C25" w:rsidRPr="003C1ACC" w:rsidRDefault="00EF5C25" w:rsidP="00BD6711">
      <w:pPr>
        <w:pStyle w:val="Footnote"/>
      </w:pPr>
      <w:r w:rsidRPr="003C1ACC">
        <w:rPr>
          <w:vertAlign w:val="superscript"/>
        </w:rPr>
        <w:footnoteRef/>
      </w:r>
      <w:r w:rsidRPr="003C1ACC">
        <w:t>.</w:t>
      </w:r>
      <w:r w:rsidRPr="003C1ACC">
        <w:tab/>
        <w:t xml:space="preserve">Unpublished sentencing remarks provided to the Council. </w:t>
      </w:r>
    </w:p>
  </w:footnote>
  <w:footnote w:id="90">
    <w:p w14:paraId="3DCE9F4C" w14:textId="394D2247" w:rsidR="00EF5C25" w:rsidRPr="003C1ACC" w:rsidRDefault="00EF5C25" w:rsidP="00BD6711">
      <w:pPr>
        <w:pStyle w:val="Footnote"/>
      </w:pPr>
      <w:r w:rsidRPr="003C1ACC">
        <w:rPr>
          <w:vertAlign w:val="superscript"/>
        </w:rPr>
        <w:footnoteRef/>
      </w:r>
      <w:r w:rsidRPr="003C1ACC">
        <w:t>.</w:t>
      </w:r>
      <w:r w:rsidRPr="003C1ACC">
        <w:tab/>
      </w:r>
      <w:r w:rsidRPr="003C1ACC">
        <w:rPr>
          <w:rStyle w:val="LightItalic"/>
          <w:rFonts w:ascii="Verdana" w:hAnsi="Verdana"/>
        </w:rPr>
        <w:t xml:space="preserve">DPP v Briggs </w:t>
      </w:r>
      <w:r w:rsidRPr="003C1ACC">
        <w:t xml:space="preserve">[2014] VCC 1579 (19 September 2014). </w:t>
      </w:r>
    </w:p>
  </w:footnote>
  <w:footnote w:id="91">
    <w:p w14:paraId="3C1735CD" w14:textId="412B5B19" w:rsidR="00EF5C25" w:rsidRPr="003C1ACC" w:rsidRDefault="00EF5C25" w:rsidP="00FC40F9">
      <w:pPr>
        <w:pStyle w:val="Footnote"/>
      </w:pPr>
      <w:r w:rsidRPr="003C1ACC">
        <w:rPr>
          <w:vertAlign w:val="superscript"/>
        </w:rPr>
        <w:footnoteRef/>
      </w:r>
      <w:r w:rsidRPr="003C1ACC">
        <w:t>.</w:t>
      </w:r>
      <w:r w:rsidRPr="003C1ACC">
        <w:tab/>
        <w:t>This analysis is limited to section 38 rape offences and excludes charges of that offence that received youth detention centre orders (9), partially suspended sentences (5) or aggregate sentences of imprisonment (2). The charge-level prison sentences for other rape offences are outlined in Appendix 3.</w:t>
      </w:r>
    </w:p>
  </w:footnote>
  <w:footnote w:id="92">
    <w:p w14:paraId="4A185695" w14:textId="353FD1A5" w:rsidR="00EF5C25" w:rsidRPr="003C1ACC" w:rsidRDefault="00EF5C25" w:rsidP="00FC40F9">
      <w:pPr>
        <w:pStyle w:val="Footnote"/>
      </w:pPr>
      <w:r w:rsidRPr="003C1ACC">
        <w:rPr>
          <w:vertAlign w:val="superscript"/>
        </w:rPr>
        <w:footnoteRef/>
      </w:r>
      <w:r w:rsidRPr="003C1ACC">
        <w:t>.</w:t>
      </w:r>
      <w:r w:rsidRPr="003C1ACC">
        <w:tab/>
        <w:t xml:space="preserve">This was part of a combined order imposed on a 73-year-old offender in 2019 for offending that occurred in 2007. </w:t>
      </w:r>
    </w:p>
  </w:footnote>
  <w:footnote w:id="93">
    <w:p w14:paraId="7FD348A8" w14:textId="17F1E08A" w:rsidR="00EF5C25" w:rsidRPr="003C1ACC" w:rsidRDefault="00EF5C25" w:rsidP="00FC40F9">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R v Bayley </w:t>
      </w:r>
      <w:r w:rsidRPr="003C1ACC">
        <w:t>[2013] VSC 313 (19 June 2013). The rape offence in this case was co-sentenced with a proven murder charge, as were all 6 of the longest prison sentences imposed for individual charges of rape: 15 years, 14 years, 13 years (2) and 12 years (2).</w:t>
      </w:r>
    </w:p>
  </w:footnote>
  <w:footnote w:id="94">
    <w:p w14:paraId="3362F3E8" w14:textId="34540FE0" w:rsidR="00EF5C25" w:rsidRPr="003C1ACC" w:rsidRDefault="00EF5C25" w:rsidP="00FC40F9">
      <w:pPr>
        <w:pStyle w:val="Footnote"/>
      </w:pPr>
      <w:r w:rsidRPr="003C1ACC">
        <w:rPr>
          <w:vertAlign w:val="superscript"/>
        </w:rPr>
        <w:footnoteRef/>
      </w:r>
      <w:r w:rsidRPr="003C1ACC">
        <w:t>.</w:t>
      </w:r>
      <w:r w:rsidRPr="003C1ACC">
        <w:tab/>
        <w:t>From 2010 to 2019, the average term increased by 20%, from 4 years and 11 months to 5 years and 11 months. There was evidence for a statistically significant trend (Pearson’s correlation coefficient = 0.804, p = 0.005).</w:t>
      </w:r>
    </w:p>
  </w:footnote>
  <w:footnote w:id="95">
    <w:p w14:paraId="3FB30A64" w14:textId="4EA53E4E" w:rsidR="00EF5C25" w:rsidRPr="003C1ACC" w:rsidRDefault="00EF5C25" w:rsidP="00FC40F9">
      <w:pPr>
        <w:pStyle w:val="Footnote"/>
      </w:pPr>
      <w:r w:rsidRPr="003C1ACC">
        <w:rPr>
          <w:vertAlign w:val="superscript"/>
        </w:rPr>
        <w:footnoteRef/>
      </w:r>
      <w:r w:rsidRPr="003C1ACC">
        <w:t>.</w:t>
      </w:r>
      <w:r w:rsidRPr="003C1ACC">
        <w:tab/>
      </w:r>
      <w:r w:rsidRPr="003C1ACC">
        <w:rPr>
          <w:rStyle w:val="LightItalic"/>
          <w:rFonts w:ascii="Verdana" w:hAnsi="Verdana"/>
        </w:rPr>
        <w:t xml:space="preserve">DPP v Za Lian </w:t>
      </w:r>
      <w:r w:rsidRPr="003C1ACC">
        <w:t>[2019] VSCA 75 (8 April 2019) [60].</w:t>
      </w:r>
    </w:p>
  </w:footnote>
  <w:footnote w:id="96">
    <w:p w14:paraId="3E16D939" w14:textId="7709D109" w:rsidR="00EF5C25" w:rsidRPr="003C1ACC" w:rsidRDefault="00EF5C25" w:rsidP="00FC40F9">
      <w:pPr>
        <w:pStyle w:val="Footnote"/>
      </w:pPr>
      <w:r w:rsidRPr="003C1ACC">
        <w:rPr>
          <w:vertAlign w:val="superscript"/>
        </w:rPr>
        <w:footnoteRef/>
      </w:r>
      <w:r w:rsidRPr="003C1ACC">
        <w:t>.</w:t>
      </w:r>
      <w:r w:rsidRPr="003C1ACC">
        <w:tab/>
      </w:r>
      <w:r w:rsidRPr="003C1ACC">
        <w:rPr>
          <w:rStyle w:val="LightItalic"/>
          <w:rFonts w:ascii="Verdana" w:hAnsi="Verdana"/>
        </w:rPr>
        <w:t xml:space="preserve">DPP v Za Lian </w:t>
      </w:r>
      <w:r w:rsidRPr="003C1ACC">
        <w:t>[2019] VSCA 75 (8 April 2019) [100].</w:t>
      </w:r>
    </w:p>
  </w:footnote>
  <w:footnote w:id="97">
    <w:p w14:paraId="25712FB0" w14:textId="37529ACF" w:rsidR="00EF5C25" w:rsidRPr="003C1ACC" w:rsidRDefault="00EF5C25" w:rsidP="00FC40F9">
      <w:pPr>
        <w:pStyle w:val="Footnote"/>
      </w:pPr>
      <w:r w:rsidRPr="003C1ACC">
        <w:rPr>
          <w:vertAlign w:val="superscript"/>
        </w:rPr>
        <w:footnoteRef/>
      </w:r>
      <w:r w:rsidRPr="003C1ACC">
        <w:t>.</w:t>
      </w:r>
      <w:r w:rsidRPr="003C1ACC">
        <w:tab/>
        <w:t xml:space="preserve">The 5-year average sentence for rape is largely consistent with the average in the 10 years prior to the reference period: Sentencing Advisory Council, </w:t>
      </w:r>
      <w:r w:rsidRPr="003C1ACC">
        <w:rPr>
          <w:rStyle w:val="LightItalic"/>
          <w:rFonts w:ascii="Verdana" w:hAnsi="Verdana"/>
        </w:rPr>
        <w:t>Sentencing Trends for Rape in the Higher Courts of Victoria, 2005–06 to 2009–10</w:t>
      </w:r>
      <w:r w:rsidRPr="003C1ACC">
        <w:t>, Sentencing Snapshot no. 117</w:t>
      </w:r>
      <w:r w:rsidRPr="003C1ACC">
        <w:rPr>
          <w:rStyle w:val="LightItalic"/>
          <w:rFonts w:ascii="Verdana" w:hAnsi="Verdana"/>
        </w:rPr>
        <w:t xml:space="preserve"> </w:t>
      </w:r>
      <w:r w:rsidRPr="003C1ACC">
        <w:t xml:space="preserve">(2011) 5; Sentencing Advisory Council, </w:t>
      </w:r>
      <w:r w:rsidRPr="003C1ACC">
        <w:rPr>
          <w:rStyle w:val="LightItalic"/>
          <w:rFonts w:ascii="Verdana" w:hAnsi="Verdana"/>
        </w:rPr>
        <w:t>Sentencing Trends for Rape in the Higher Courts of Victoria, 2001–02 to 2005–6</w:t>
      </w:r>
      <w:r w:rsidRPr="003C1ACC">
        <w:t>, Sentencing Snapshot no. 26 (2007) 3.</w:t>
      </w:r>
    </w:p>
  </w:footnote>
  <w:footnote w:id="98">
    <w:p w14:paraId="4CA2F751" w14:textId="7D4E8217" w:rsidR="00EF5C25" w:rsidRPr="003C1ACC" w:rsidRDefault="00EF5C25" w:rsidP="00387144">
      <w:pPr>
        <w:pStyle w:val="Footnote"/>
      </w:pPr>
      <w:r w:rsidRPr="003C1ACC">
        <w:rPr>
          <w:vertAlign w:val="superscript"/>
        </w:rPr>
        <w:footnoteRef/>
      </w:r>
      <w:r w:rsidRPr="003C1ACC">
        <w:t>.</w:t>
      </w:r>
      <w:r w:rsidRPr="003C1ACC">
        <w:tab/>
      </w:r>
      <w:r w:rsidRPr="003C1ACC">
        <w:rPr>
          <w:rStyle w:val="LightItalic"/>
          <w:rFonts w:ascii="Verdana" w:hAnsi="Verdana"/>
        </w:rPr>
        <w:t xml:space="preserve">Shrestha v The Queen </w:t>
      </w:r>
      <w:r w:rsidRPr="003C1ACC">
        <w:t>[2017] VSCA 364 (11 December 2017). In this report, rape offences were not coded to identify the type of rape in each case.</w:t>
      </w:r>
    </w:p>
  </w:footnote>
  <w:footnote w:id="99">
    <w:p w14:paraId="6DD433B4" w14:textId="47E1B925" w:rsidR="00EF5C25" w:rsidRPr="003C1ACC" w:rsidRDefault="00EF5C25" w:rsidP="00387144">
      <w:pPr>
        <w:pStyle w:val="Footnote"/>
      </w:pPr>
      <w:r w:rsidRPr="003C1ACC">
        <w:rPr>
          <w:vertAlign w:val="superscript"/>
        </w:rPr>
        <w:footnoteRef/>
      </w:r>
      <w:r w:rsidRPr="003C1ACC">
        <w:t>.</w:t>
      </w:r>
      <w:r w:rsidRPr="003C1ACC">
        <w:tab/>
        <w:t xml:space="preserve">While in 2012 the Director of Public Prosecutions sought to challenge the adequacy of current sentencing practices for rape, the Court of Appeal did not consider that case an appropriate vehicle to examine the issue: </w:t>
      </w:r>
      <w:r w:rsidRPr="003C1ACC">
        <w:rPr>
          <w:rStyle w:val="LightItalic"/>
          <w:rFonts w:ascii="Verdana" w:hAnsi="Verdana"/>
        </w:rPr>
        <w:t xml:space="preserve">DPP v Werry </w:t>
      </w:r>
      <w:r w:rsidRPr="003C1ACC">
        <w:t>[2012] VSCA 208 (5 September 2012). The Director has since (in 2019) disavowed a further attempt to challenge current sentencing practices for rape:</w:t>
      </w:r>
      <w:r w:rsidRPr="003C1ACC">
        <w:rPr>
          <w:rStyle w:val="LightItalic"/>
          <w:rFonts w:ascii="Verdana" w:hAnsi="Verdana"/>
        </w:rPr>
        <w:t xml:space="preserve"> DPP v Za Lian </w:t>
      </w:r>
      <w:r w:rsidRPr="003C1ACC">
        <w:t>[2019] VSCA 75 (8 April 2019) [100].</w:t>
      </w:r>
    </w:p>
  </w:footnote>
  <w:footnote w:id="100">
    <w:p w14:paraId="58134DDC" w14:textId="3988A5F8" w:rsidR="00EF5C25" w:rsidRPr="003C1ACC" w:rsidRDefault="00EF5C25" w:rsidP="00387144">
      <w:pPr>
        <w:pStyle w:val="Footnote"/>
      </w:pPr>
      <w:r w:rsidRPr="003C1ACC">
        <w:rPr>
          <w:vertAlign w:val="superscript"/>
        </w:rPr>
        <w:footnoteRef/>
      </w:r>
      <w:r w:rsidRPr="003C1ACC">
        <w:t>.</w:t>
      </w:r>
      <w:r w:rsidRPr="003C1ACC">
        <w:tab/>
        <w:t xml:space="preserve">There were 16 cases in which an offender received a total effective sentence of 15 years or longer for the principal proven offence of rape. The longest sentence was 25 years and 6 months. In that case, the offender pleaded guilty to 39 separate sex offences against children committed over a 12-year period: </w:t>
      </w:r>
      <w:r w:rsidRPr="003C1ACC">
        <w:rPr>
          <w:rStyle w:val="LightItalic"/>
          <w:rFonts w:ascii="Verdana" w:hAnsi="Verdana"/>
        </w:rPr>
        <w:t xml:space="preserve">R v Doo </w:t>
      </w:r>
      <w:r w:rsidRPr="003C1ACC">
        <w:t>[2010] VSC 325 (18 June 2010).</w:t>
      </w:r>
    </w:p>
  </w:footnote>
  <w:footnote w:id="101">
    <w:p w14:paraId="258CED2C" w14:textId="4A53F9A7" w:rsidR="00EF5C25" w:rsidRPr="003C1ACC" w:rsidRDefault="00EF5C25" w:rsidP="00387144">
      <w:pPr>
        <w:pStyle w:val="Footnote"/>
      </w:pPr>
      <w:r w:rsidRPr="003C1ACC">
        <w:rPr>
          <w:vertAlign w:val="superscript"/>
        </w:rPr>
        <w:footnoteRef/>
      </w:r>
      <w:r w:rsidRPr="003C1ACC">
        <w:t>.</w:t>
      </w:r>
      <w:r w:rsidRPr="003C1ACC">
        <w:tab/>
        <w:t>From 2010 to 2019, the average total effective sentence increased by 9%, from 7 years and 1 month to 7 years and 9 months. There was no evidence for a statistically significant trend (Pearson’s correlation coefficient = 0.415, p &gt; 0.1).</w:t>
      </w:r>
    </w:p>
  </w:footnote>
  <w:footnote w:id="102">
    <w:p w14:paraId="292F458A" w14:textId="747C0489" w:rsidR="00EF5C25" w:rsidRPr="003C1ACC" w:rsidRDefault="00EF5C25" w:rsidP="009F0A6C">
      <w:pPr>
        <w:pStyle w:val="Footnote"/>
      </w:pPr>
      <w:r w:rsidRPr="003C1ACC">
        <w:rPr>
          <w:vertAlign w:val="superscript"/>
        </w:rPr>
        <w:footnoteRef/>
      </w:r>
      <w:r w:rsidRPr="003C1ACC">
        <w:t>.</w:t>
      </w:r>
      <w:r w:rsidRPr="003C1ACC">
        <w:tab/>
      </w:r>
      <w:r w:rsidRPr="003C1ACC">
        <w:rPr>
          <w:rStyle w:val="LightItalic"/>
          <w:rFonts w:ascii="Verdana" w:hAnsi="Verdana"/>
        </w:rPr>
        <w:t xml:space="preserve">DPP v Elwood (A Pseudonym) &amp; Anor </w:t>
      </w:r>
      <w:r w:rsidRPr="003C1ACC">
        <w:t>[2019] VCC 128 (1 February 2019).</w:t>
      </w:r>
    </w:p>
  </w:footnote>
  <w:footnote w:id="103">
    <w:p w14:paraId="24C0B96D" w14:textId="54C6F7DA" w:rsidR="00EF5C25" w:rsidRPr="003C1ACC" w:rsidRDefault="00EF5C25" w:rsidP="009F0A6C">
      <w:pPr>
        <w:pStyle w:val="Footnote"/>
      </w:pPr>
      <w:r w:rsidRPr="003C1ACC">
        <w:rPr>
          <w:vertAlign w:val="superscript"/>
        </w:rPr>
        <w:footnoteRef/>
      </w:r>
      <w:r w:rsidRPr="003C1ACC">
        <w:t>.</w:t>
      </w:r>
      <w:r w:rsidRPr="003C1ACC">
        <w:tab/>
        <w:t xml:space="preserve">The sentence for 15 charges fell below the standard sentence (4 years, 5 years (2), 5 years and 3 months (3), 5 years and 6 months (2), 6 years (6) and 8 years) while the other 4 charges received sentences above the standard sentence (11 years and 12 years (2)). All 6 charges of rape as a standard sentence offence receiving 6 years’ imprisonment were sentenced in the same case, and on appeal these sentences were found to be lenient but within range: </w:t>
      </w:r>
      <w:r w:rsidRPr="003C1ACC">
        <w:rPr>
          <w:rStyle w:val="LightItalic"/>
          <w:rFonts w:ascii="Verdana" w:hAnsi="Verdana"/>
        </w:rPr>
        <w:t xml:space="preserve">DPP v Drake </w:t>
      </w:r>
      <w:r w:rsidRPr="003C1ACC">
        <w:t>[2019] VSCA 293 (10 December 2019). There were also 2 proven rape charges sentenced as standard sentence offences that received youth justice centre orders (of 15 months and 42 months). These are excluded from this analysis of prison sentence lengths.</w:t>
      </w:r>
    </w:p>
  </w:footnote>
  <w:footnote w:id="104">
    <w:p w14:paraId="7480EF64" w14:textId="4CB2197B" w:rsidR="00EF5C25" w:rsidRPr="003C1ACC" w:rsidRDefault="00EF5C25" w:rsidP="00B53E01">
      <w:pPr>
        <w:pStyle w:val="Footnote"/>
      </w:pPr>
      <w:r w:rsidRPr="003C1ACC">
        <w:rPr>
          <w:vertAlign w:val="superscript"/>
        </w:rPr>
        <w:footnoteRef/>
      </w:r>
      <w:r w:rsidRPr="003C1ACC">
        <w:t>.</w:t>
      </w:r>
      <w:r w:rsidRPr="003C1ACC">
        <w:tab/>
      </w:r>
      <w:r w:rsidRPr="003C1ACC">
        <w:rPr>
          <w:rStyle w:val="LightItalic"/>
          <w:rFonts w:ascii="Verdana" w:hAnsi="Verdana"/>
        </w:rPr>
        <w:t xml:space="preserve">Lockyer (A Pseudonym) v The Queen </w:t>
      </w:r>
      <w:r w:rsidRPr="003C1ACC">
        <w:t>[2020] VSCA 321 (9 December 2020) [30].</w:t>
      </w:r>
    </w:p>
  </w:footnote>
  <w:footnote w:id="105">
    <w:p w14:paraId="1582303E" w14:textId="4766C576" w:rsidR="00EF5C25" w:rsidRPr="00B53E01" w:rsidRDefault="00EF5C25" w:rsidP="00B53E01">
      <w:pPr>
        <w:pStyle w:val="Footnote"/>
        <w:rPr>
          <w:spacing w:val="-1"/>
        </w:rPr>
      </w:pPr>
      <w:r w:rsidRPr="003C1ACC">
        <w:rPr>
          <w:vertAlign w:val="superscript"/>
        </w:rPr>
        <w:footnoteRef/>
      </w:r>
      <w:r w:rsidRPr="003C1ACC">
        <w:t>.</w:t>
      </w:r>
      <w:r w:rsidRPr="003C1ACC">
        <w:tab/>
      </w:r>
      <w:r w:rsidRPr="003C1ACC">
        <w:rPr>
          <w:rStyle w:val="LightItalic"/>
          <w:rFonts w:ascii="Verdana" w:hAnsi="Verdana"/>
          <w:spacing w:val="-1"/>
        </w:rPr>
        <w:t xml:space="preserve">Brown v The Queen </w:t>
      </w:r>
      <w:r w:rsidRPr="003C1ACC">
        <w:rPr>
          <w:spacing w:val="-1"/>
        </w:rPr>
        <w:t xml:space="preserve">[2019] VSCA 286 (10 December 2019) [6]–[7]. See also </w:t>
      </w:r>
      <w:r w:rsidRPr="003C1ACC">
        <w:rPr>
          <w:rStyle w:val="LightItalic"/>
          <w:rFonts w:ascii="Verdana" w:hAnsi="Verdana"/>
          <w:spacing w:val="-1"/>
        </w:rPr>
        <w:t xml:space="preserve">DPP v Todd </w:t>
      </w:r>
      <w:r w:rsidRPr="003C1ACC">
        <w:rPr>
          <w:spacing w:val="-1"/>
        </w:rPr>
        <w:t xml:space="preserve">[2019] VSC 585 (2 September 2019) [60]–[61]. </w:t>
      </w:r>
    </w:p>
  </w:footnote>
  <w:footnote w:id="106">
    <w:p w14:paraId="098D8356" w14:textId="4593851F" w:rsidR="00EF5C25" w:rsidRPr="003C1ACC" w:rsidRDefault="00EF5C25" w:rsidP="00B53E01">
      <w:pPr>
        <w:pStyle w:val="Footnote"/>
      </w:pPr>
      <w:r w:rsidRPr="003C1ACC">
        <w:rPr>
          <w:vertAlign w:val="superscript"/>
        </w:rPr>
        <w:footnoteRef/>
      </w:r>
      <w:r w:rsidRPr="003C1ACC">
        <w:t>.</w:t>
      </w:r>
      <w:r w:rsidRPr="003C1ACC">
        <w:tab/>
      </w:r>
      <w:r w:rsidRPr="003C1ACC">
        <w:rPr>
          <w:rStyle w:val="LightItalic"/>
          <w:rFonts w:ascii="Verdana" w:hAnsi="Verdana"/>
        </w:rPr>
        <w:t xml:space="preserve">Lockyer (A Pseudonym) v The Queen </w:t>
      </w:r>
      <w:r w:rsidRPr="003C1ACC">
        <w:t>[2020] VSCA 321 (9 December 2020) [67]–[68].</w:t>
      </w:r>
    </w:p>
  </w:footnote>
  <w:footnote w:id="107">
    <w:p w14:paraId="75686A93" w14:textId="678866D0" w:rsidR="00EF5C25" w:rsidRPr="003C1ACC" w:rsidRDefault="00EF5C25" w:rsidP="00B53E01">
      <w:pPr>
        <w:pStyle w:val="Footnote"/>
      </w:pPr>
      <w:r w:rsidRPr="003C1ACC">
        <w:rPr>
          <w:vertAlign w:val="superscript"/>
        </w:rPr>
        <w:footnoteRef/>
      </w:r>
      <w:r w:rsidRPr="003C1ACC">
        <w:t>.</w:t>
      </w:r>
      <w:r w:rsidRPr="003C1ACC">
        <w:tab/>
      </w:r>
      <w:r w:rsidRPr="003C1ACC">
        <w:rPr>
          <w:rStyle w:val="LightItalic"/>
          <w:rFonts w:ascii="Verdana" w:hAnsi="Verdana"/>
        </w:rPr>
        <w:t xml:space="preserve">Brown v The Queen </w:t>
      </w:r>
      <w:r w:rsidRPr="003C1ACC">
        <w:t>[2019] VCA 286 (10 December 2019) [41]–[43].</w:t>
      </w:r>
    </w:p>
  </w:footnote>
  <w:footnote w:id="108">
    <w:p w14:paraId="04363BB8" w14:textId="0A2755A7" w:rsidR="00EF5C25" w:rsidRPr="003C1ACC" w:rsidRDefault="00EF5C25" w:rsidP="008E651E">
      <w:pPr>
        <w:pStyle w:val="Footnote"/>
      </w:pPr>
      <w:r w:rsidRPr="003C1ACC">
        <w:rPr>
          <w:vertAlign w:val="superscript"/>
        </w:rPr>
        <w:footnoteRef/>
      </w:r>
      <w:r w:rsidRPr="003C1ACC">
        <w:t>.</w:t>
      </w:r>
      <w:r w:rsidRPr="003C1ACC">
        <w:tab/>
      </w:r>
      <w:r w:rsidRPr="003C1ACC">
        <w:rPr>
          <w:rStyle w:val="LightItalic"/>
          <w:rFonts w:ascii="Verdana" w:hAnsi="Verdana"/>
        </w:rPr>
        <w:t xml:space="preserve">DPP v Hyde </w:t>
      </w:r>
      <w:r w:rsidRPr="003C1ACC">
        <w:t xml:space="preserve">[2019] VCC 712 (21 May 2019) [23]. For similar comments in cases involving charges of a standard sentence offence of rape, see </w:t>
      </w:r>
      <w:r w:rsidRPr="003C1ACC">
        <w:rPr>
          <w:rStyle w:val="LightItalic"/>
          <w:rFonts w:ascii="Verdana" w:hAnsi="Verdana"/>
        </w:rPr>
        <w:t xml:space="preserve">DPP v Singh </w:t>
      </w:r>
      <w:r w:rsidRPr="003C1ACC">
        <w:t xml:space="preserve">[2019] VCC 1484 (11 September 2019) [50]; </w:t>
      </w:r>
      <w:r w:rsidRPr="003C1ACC">
        <w:rPr>
          <w:rStyle w:val="LightItalic"/>
          <w:rFonts w:ascii="Verdana" w:hAnsi="Verdana"/>
        </w:rPr>
        <w:t xml:space="preserve">DPP v Dat (A Pseudonym) </w:t>
      </w:r>
      <w:r w:rsidRPr="003C1ACC">
        <w:t xml:space="preserve">[2020] VCC 344 (25 March 2020) [60]; </w:t>
      </w:r>
      <w:r w:rsidRPr="003C1ACC">
        <w:rPr>
          <w:rStyle w:val="LightItalic"/>
          <w:rFonts w:ascii="Verdana" w:hAnsi="Verdana"/>
        </w:rPr>
        <w:t xml:space="preserve">DPP v Poole (A Pseudonym) </w:t>
      </w:r>
      <w:r w:rsidRPr="003C1ACC">
        <w:t xml:space="preserve">[2020] VCC 340 (25 March 2020) [111]; </w:t>
      </w:r>
      <w:r w:rsidRPr="003C1ACC">
        <w:rPr>
          <w:rStyle w:val="LightItalic"/>
          <w:rFonts w:ascii="Verdana" w:hAnsi="Verdana"/>
        </w:rPr>
        <w:t xml:space="preserve">DPP v Serin </w:t>
      </w:r>
      <w:r w:rsidRPr="003C1ACC">
        <w:t xml:space="preserve">[2020] VCC 1190 (5 August 2020) [128]; </w:t>
      </w:r>
      <w:r w:rsidRPr="003C1ACC">
        <w:rPr>
          <w:rStyle w:val="LightItalic"/>
          <w:rFonts w:ascii="Verdana" w:hAnsi="Verdana"/>
        </w:rPr>
        <w:t xml:space="preserve">DPP v Singh </w:t>
      </w:r>
      <w:r w:rsidRPr="003C1ACC">
        <w:t xml:space="preserve">[2020] VCC 1102 (22 July 2020) [111]; </w:t>
      </w:r>
      <w:r w:rsidRPr="003C1ACC">
        <w:rPr>
          <w:rStyle w:val="LightItalic"/>
          <w:rFonts w:ascii="Verdana" w:hAnsi="Verdana"/>
        </w:rPr>
        <w:t xml:space="preserve">DPP v Saab </w:t>
      </w:r>
      <w:r w:rsidRPr="003C1ACC">
        <w:t>[2020] VCC 1468 (14 September 2020)</w:t>
      </w:r>
      <w:r w:rsidRPr="003C1ACC">
        <w:rPr>
          <w:rStyle w:val="LightItalic"/>
          <w:rFonts w:ascii="Verdana" w:hAnsi="Verdana"/>
        </w:rPr>
        <w:t xml:space="preserve"> </w:t>
      </w:r>
      <w:r w:rsidRPr="003C1ACC">
        <w:t>[45].</w:t>
      </w:r>
    </w:p>
  </w:footnote>
  <w:footnote w:id="109">
    <w:p w14:paraId="4FB502CC" w14:textId="0CC1AF71" w:rsidR="00EF5C25" w:rsidRPr="003C1ACC" w:rsidRDefault="00EF5C25" w:rsidP="008E651E">
      <w:pPr>
        <w:pStyle w:val="Footnote"/>
      </w:pPr>
      <w:r w:rsidRPr="003C1ACC">
        <w:rPr>
          <w:vertAlign w:val="superscript"/>
        </w:rPr>
        <w:footnoteRef/>
      </w:r>
      <w:r w:rsidRPr="003C1ACC">
        <w:t>.</w:t>
      </w:r>
      <w:r w:rsidRPr="003C1ACC">
        <w:tab/>
      </w:r>
      <w:r w:rsidRPr="003C1ACC">
        <w:rPr>
          <w:rStyle w:val="LightItalic"/>
          <w:rFonts w:ascii="Verdana" w:hAnsi="Verdana"/>
        </w:rPr>
        <w:t xml:space="preserve">DPP v Mitchell </w:t>
      </w:r>
      <w:r w:rsidRPr="003C1ACC">
        <w:t xml:space="preserve">[2019] VCC 305 (13 March 2019) [71]. See also </w:t>
      </w:r>
      <w:r w:rsidRPr="003C1ACC">
        <w:rPr>
          <w:rStyle w:val="LightItalic"/>
          <w:rFonts w:ascii="Verdana" w:hAnsi="Verdana"/>
        </w:rPr>
        <w:t xml:space="preserve">DPP v Herrmann </w:t>
      </w:r>
      <w:r w:rsidRPr="003C1ACC">
        <w:t xml:space="preserve">[2019] VSC 694 (29 October 2019); </w:t>
      </w:r>
      <w:r w:rsidRPr="003C1ACC">
        <w:rPr>
          <w:rStyle w:val="LightItalic"/>
          <w:rFonts w:ascii="Verdana" w:hAnsi="Verdana"/>
        </w:rPr>
        <w:t xml:space="preserve">DPP v Todd </w:t>
      </w:r>
      <w:r w:rsidRPr="003C1ACC">
        <w:t>[2019] VSC 585 (2 September 2019) [65] (‘Taken together, all of those factors, objectively, place the rape that you committed above the middle range of seriousness for such an offence’.) Note that this charge was wholly concurrent with the sentence for murder and is consistent with previous sentence lengths for rape offences co-sentenced with a charge of murder.</w:t>
      </w:r>
    </w:p>
  </w:footnote>
  <w:footnote w:id="110">
    <w:p w14:paraId="22E47C45" w14:textId="4C58FBD3" w:rsidR="00EF5C25" w:rsidRPr="003C1ACC" w:rsidRDefault="00EF5C25" w:rsidP="008E651E">
      <w:pPr>
        <w:pStyle w:val="Footnote"/>
      </w:pPr>
      <w:r w:rsidRPr="003C1ACC">
        <w:rPr>
          <w:vertAlign w:val="superscript"/>
        </w:rPr>
        <w:footnoteRef/>
      </w:r>
      <w:r w:rsidRPr="003C1ACC">
        <w:t>.</w:t>
      </w:r>
      <w:r w:rsidRPr="003C1ACC">
        <w:tab/>
      </w:r>
      <w:r w:rsidRPr="003C1ACC">
        <w:rPr>
          <w:rStyle w:val="LightItalic"/>
          <w:rFonts w:ascii="Verdana" w:hAnsi="Verdana"/>
        </w:rPr>
        <w:t xml:space="preserve">DPP v Jarvis (A Pseudonym) </w:t>
      </w:r>
      <w:r w:rsidRPr="003C1ACC">
        <w:t xml:space="preserve">[2019] VCC 1943 (20 November 2019) [49]. More recently, see </w:t>
      </w:r>
      <w:r w:rsidRPr="003C1ACC">
        <w:rPr>
          <w:rStyle w:val="LightItalic"/>
          <w:rFonts w:ascii="Verdana" w:hAnsi="Verdana"/>
        </w:rPr>
        <w:t xml:space="preserve">DPP v Beck </w:t>
      </w:r>
      <w:r w:rsidRPr="003C1ACC">
        <w:t>[2021] VSCA 88 (7 April 2021) (in this case the Court of Appeal increased the charge-level prison sentence for 2 charges of a standard sentence offence of rape  from 6 years to 8 years due to manifest inadequacy, and increased the cumulation between them to produce a total effective sentence that was 2.5 years longer).</w:t>
      </w:r>
    </w:p>
  </w:footnote>
  <w:footnote w:id="111">
    <w:p w14:paraId="77B11B5F" w14:textId="01E86AE1" w:rsidR="00EF5C25" w:rsidRPr="003C1ACC" w:rsidRDefault="00EF5C25" w:rsidP="008E651E">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Abdi </w:t>
      </w:r>
      <w:r w:rsidRPr="003C1ACC">
        <w:t xml:space="preserve">[2020] VCC 1668 (15 October 2020); </w:t>
      </w:r>
      <w:r w:rsidRPr="003C1ACC">
        <w:rPr>
          <w:rStyle w:val="LightItalic"/>
          <w:rFonts w:ascii="Verdana" w:hAnsi="Verdana"/>
        </w:rPr>
        <w:t xml:space="preserve">DPP v Wright </w:t>
      </w:r>
      <w:r w:rsidRPr="003C1ACC">
        <w:t xml:space="preserve">[2020] VCC 837 (12 June 2020); </w:t>
      </w:r>
      <w:r w:rsidRPr="003C1ACC">
        <w:rPr>
          <w:rStyle w:val="LightItalic"/>
          <w:rFonts w:ascii="Verdana" w:hAnsi="Verdana"/>
        </w:rPr>
        <w:t xml:space="preserve">DPP v Parra (A Pseudonym) </w:t>
      </w:r>
      <w:r w:rsidRPr="003C1ACC">
        <w:t xml:space="preserve">[2020] VCC 829 (11 June 2020); </w:t>
      </w:r>
      <w:r w:rsidRPr="003C1ACC">
        <w:rPr>
          <w:rStyle w:val="LightItalic"/>
          <w:rFonts w:ascii="Verdana" w:hAnsi="Verdana"/>
        </w:rPr>
        <w:t xml:space="preserve">DPP v McInnes (A Pseudonym) </w:t>
      </w:r>
      <w:r w:rsidRPr="003C1ACC">
        <w:t xml:space="preserve">[2020] VCC 729 (28 May 2020); </w:t>
      </w:r>
      <w:r w:rsidRPr="003C1ACC">
        <w:rPr>
          <w:rStyle w:val="LightItalic"/>
          <w:rFonts w:ascii="Verdana" w:hAnsi="Verdana"/>
        </w:rPr>
        <w:t xml:space="preserve">DPP v Iudice </w:t>
      </w:r>
      <w:r w:rsidRPr="003C1ACC">
        <w:t xml:space="preserve">[2020] VCC 316 (23 March 2020); </w:t>
      </w:r>
      <w:r w:rsidRPr="003C1ACC">
        <w:rPr>
          <w:rStyle w:val="LightItalic"/>
          <w:rFonts w:ascii="Verdana" w:hAnsi="Verdana"/>
        </w:rPr>
        <w:t xml:space="preserve">DPP v Prodanovich </w:t>
      </w:r>
      <w:r w:rsidRPr="003C1ACC">
        <w:t>[2019] VCC 1730 (24 October 2019).</w:t>
      </w:r>
    </w:p>
  </w:footnote>
  <w:footnote w:id="112">
    <w:p w14:paraId="5D20922D" w14:textId="220DAE67" w:rsidR="00EF5C25" w:rsidRPr="003C1ACC" w:rsidRDefault="00EF5C25" w:rsidP="008E651E">
      <w:pPr>
        <w:pStyle w:val="Footnote"/>
      </w:pPr>
      <w:r w:rsidRPr="003C1ACC">
        <w:rPr>
          <w:vertAlign w:val="superscript"/>
        </w:rPr>
        <w:footnoteRef/>
      </w:r>
      <w:r w:rsidRPr="003C1ACC">
        <w:t>.</w:t>
      </w:r>
      <w:r w:rsidRPr="003C1ACC">
        <w:tab/>
      </w:r>
      <w:r w:rsidRPr="003C1ACC">
        <w:rPr>
          <w:rStyle w:val="LightItalic"/>
          <w:rFonts w:ascii="Verdana" w:hAnsi="Verdana"/>
        </w:rPr>
        <w:t xml:space="preserve">DPP v Drake </w:t>
      </w:r>
      <w:r w:rsidRPr="003C1ACC">
        <w:t>[2019] VSCA 293 (10 December 2019) [17].</w:t>
      </w:r>
    </w:p>
  </w:footnote>
  <w:footnote w:id="113">
    <w:p w14:paraId="75691737" w14:textId="5EB1E075" w:rsidR="00EF5C25" w:rsidRPr="003C1ACC" w:rsidRDefault="00EF5C25" w:rsidP="007C0EBE">
      <w:pPr>
        <w:pStyle w:val="Footnote"/>
      </w:pPr>
      <w:r w:rsidRPr="003C1ACC">
        <w:rPr>
          <w:vertAlign w:val="superscript"/>
        </w:rPr>
        <w:footnoteRef/>
      </w:r>
      <w:r w:rsidRPr="003C1ACC">
        <w:t>.</w:t>
      </w:r>
      <w:r w:rsidRPr="003C1ACC">
        <w:tab/>
        <w:t>The term ‘sexual assault offences’ refers to the offences listed in Table 4 (see also glossary).</w:t>
      </w:r>
    </w:p>
  </w:footnote>
  <w:footnote w:id="114">
    <w:p w14:paraId="04B1B21A" w14:textId="0B6FE506" w:rsidR="00EF5C25" w:rsidRPr="003C1ACC" w:rsidRDefault="00EF5C25" w:rsidP="007C0EBE">
      <w:pPr>
        <w:pStyle w:val="Footnote"/>
      </w:pPr>
      <w:r w:rsidRPr="003C1ACC">
        <w:rPr>
          <w:vertAlign w:val="superscript"/>
        </w:rPr>
        <w:footnoteRef/>
      </w:r>
      <w:r w:rsidRPr="003C1ACC">
        <w:t>.</w:t>
      </w:r>
      <w:r w:rsidRPr="003C1ACC">
        <w:tab/>
      </w:r>
      <w:r w:rsidRPr="003C1ACC">
        <w:rPr>
          <w:rStyle w:val="LightItalic"/>
          <w:rFonts w:ascii="Verdana" w:hAnsi="Verdana"/>
        </w:rPr>
        <w:t xml:space="preserve">Crimes Amendment (Sexual Offences and Other Matters) Act 2014 </w:t>
      </w:r>
      <w:r w:rsidRPr="003C1ACC">
        <w:t xml:space="preserve">(Vic) s 4, inserting </w:t>
      </w:r>
      <w:r w:rsidRPr="003C1ACC">
        <w:rPr>
          <w:rStyle w:val="LightItalic"/>
          <w:rFonts w:ascii="Verdana" w:hAnsi="Verdana"/>
        </w:rPr>
        <w:t xml:space="preserve">Crimes Act 1958 </w:t>
      </w:r>
      <w:r w:rsidRPr="003C1ACC">
        <w:t>(Vic) ss 40–42 (as in effect since 1 July 2015). The maximum penalties are 10 years’ imprisonment (sexual assault and sexual assault by compelling sexual touching) and 15 years’ imprisonment (assault with intent to commit a sexual offence).</w:t>
      </w:r>
    </w:p>
  </w:footnote>
  <w:footnote w:id="115">
    <w:p w14:paraId="1548C2D0" w14:textId="3E66DE6E" w:rsidR="00EF5C25" w:rsidRPr="003C1ACC" w:rsidRDefault="00EF5C25" w:rsidP="007C0EBE">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42 (repealed), as inserted by </w:t>
      </w:r>
      <w:r w:rsidRPr="003C1ACC">
        <w:rPr>
          <w:rStyle w:val="LightItalic"/>
          <w:rFonts w:ascii="Verdana" w:hAnsi="Verdana"/>
        </w:rPr>
        <w:t xml:space="preserve">Crimes (Sexual Offences) Act 1991 </w:t>
      </w:r>
      <w:r w:rsidRPr="003C1ACC">
        <w:t xml:space="preserve">(Vic) s 3.  Aggravated indecent assault was a separate offence for a brief period in 1991 (August to December): </w:t>
      </w:r>
      <w:r w:rsidRPr="003C1ACC">
        <w:rPr>
          <w:rStyle w:val="LightItalic"/>
          <w:rFonts w:ascii="Verdana" w:hAnsi="Verdana"/>
        </w:rPr>
        <w:t xml:space="preserve">Crimes Act 1958 </w:t>
      </w:r>
      <w:r w:rsidRPr="003C1ACC">
        <w:t xml:space="preserve">(Vic) s 43 (repealed), as inserted by </w:t>
      </w:r>
      <w:r w:rsidRPr="003C1ACC">
        <w:rPr>
          <w:rStyle w:val="LightItalic"/>
          <w:rFonts w:ascii="Verdana" w:hAnsi="Verdana"/>
        </w:rPr>
        <w:t xml:space="preserve">Crimes (Sexual Offences) Act 1991 </w:t>
      </w:r>
      <w:r w:rsidRPr="003C1ACC">
        <w:t xml:space="preserve">(Vic) s 3. However, that offence was repealed in January 1992 and instead the maximum penalty for indecent assault was increased from 5 to 10 years’ imprisonment: </w:t>
      </w:r>
      <w:r w:rsidRPr="003C1ACC">
        <w:rPr>
          <w:rStyle w:val="LightItalic"/>
          <w:rFonts w:ascii="Verdana" w:hAnsi="Verdana"/>
        </w:rPr>
        <w:t xml:space="preserve">Crimes (Rape) Act 1991 </w:t>
      </w:r>
      <w:r w:rsidRPr="003C1ACC">
        <w:t xml:space="preserve">(Vic) s 3, inserting </w:t>
      </w:r>
      <w:r w:rsidRPr="003C1ACC">
        <w:rPr>
          <w:rStyle w:val="LightItalic"/>
          <w:rFonts w:ascii="Verdana" w:hAnsi="Verdana"/>
        </w:rPr>
        <w:t xml:space="preserve">Crimes Act 1958 </w:t>
      </w:r>
      <w:r w:rsidRPr="003C1ACC">
        <w:t>(Vic) s 39 (in effect from 1 January 1992 to 30 June 2015).</w:t>
      </w:r>
    </w:p>
  </w:footnote>
  <w:footnote w:id="116">
    <w:p w14:paraId="2B60E48D" w14:textId="3FE1397A" w:rsidR="00EF5C25" w:rsidRPr="003C1ACC" w:rsidRDefault="00EF5C25" w:rsidP="007C0EBE">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40 (repealed), as inserted by </w:t>
      </w:r>
      <w:r w:rsidRPr="003C1ACC">
        <w:rPr>
          <w:rStyle w:val="LightItalic"/>
          <w:rFonts w:ascii="Verdana" w:hAnsi="Verdana"/>
        </w:rPr>
        <w:t xml:space="preserve">Sentencing (Amendment) Act 1993 </w:t>
      </w:r>
      <w:r w:rsidRPr="003C1ACC">
        <w:t>(Vic) s 20.</w:t>
      </w:r>
    </w:p>
  </w:footnote>
  <w:footnote w:id="117">
    <w:p w14:paraId="34C88DB8" w14:textId="48D21E4D" w:rsidR="00EF5C25" w:rsidRPr="003C1ACC" w:rsidRDefault="00EF5C25" w:rsidP="007C0EBE">
      <w:pPr>
        <w:pStyle w:val="Footnote"/>
      </w:pPr>
      <w:r w:rsidRPr="003C1ACC">
        <w:rPr>
          <w:vertAlign w:val="superscript"/>
        </w:rPr>
        <w:footnoteRef/>
      </w:r>
      <w:r w:rsidRPr="003C1ACC">
        <w:t>.</w:t>
      </w:r>
      <w:r w:rsidRPr="003C1ACC">
        <w:tab/>
        <w:t>Prior to August 1991, sexual assault offences did not distinguish between adult and child victims, and so these have been excluded from the analysis of sentencing outcomes and durations in this report.</w:t>
      </w:r>
    </w:p>
  </w:footnote>
  <w:footnote w:id="118">
    <w:p w14:paraId="2B8DF1D8" w14:textId="72DA3463" w:rsidR="00EF5C25" w:rsidRPr="003C1ACC" w:rsidRDefault="00EF5C25" w:rsidP="000137EB">
      <w:pPr>
        <w:pStyle w:val="Footnote"/>
      </w:pPr>
      <w:r w:rsidRPr="003C1ACC">
        <w:rPr>
          <w:vertAlign w:val="superscript"/>
        </w:rPr>
        <w:footnoteRef/>
      </w:r>
      <w:r w:rsidRPr="003C1ACC">
        <w:t>.</w:t>
      </w:r>
      <w:r w:rsidRPr="003C1ACC">
        <w:tab/>
        <w:t xml:space="preserve">In 2008, the mental element was amended to capture offenders wilfully unaware of whether the victim was not, or might not be, consenting: </w:t>
      </w:r>
      <w:r w:rsidRPr="003C1ACC">
        <w:rPr>
          <w:rStyle w:val="LightItalic"/>
          <w:rFonts w:ascii="Verdana" w:hAnsi="Verdana"/>
        </w:rPr>
        <w:t xml:space="preserve">Crimes Amendment (Rape) Act 2007 </w:t>
      </w:r>
      <w:r w:rsidRPr="003C1ACC">
        <w:t xml:space="preserve">(Vic) s 7, amending </w:t>
      </w:r>
      <w:r w:rsidRPr="003C1ACC">
        <w:rPr>
          <w:rStyle w:val="LightItalic"/>
          <w:rFonts w:ascii="Verdana" w:hAnsi="Verdana"/>
        </w:rPr>
        <w:t xml:space="preserve">Crimes Act 1958 </w:t>
      </w:r>
      <w:r w:rsidRPr="003C1ACC">
        <w:t xml:space="preserve">(Vic) s 39(2) (as in effect from 1 January 2008 to 30 June 2015). In 2015, it was amended to also capture offenders who did not ‘reasonably believe’ the victim had consented, therefore capturing reckless ignorance about consent: </w:t>
      </w:r>
      <w:r w:rsidRPr="003C1ACC">
        <w:rPr>
          <w:rStyle w:val="LightItalic"/>
          <w:rFonts w:ascii="Verdana" w:hAnsi="Verdana"/>
        </w:rPr>
        <w:t xml:space="preserve">Crimes Amendment (Sexual Offences and Other Matters) Act 2014 </w:t>
      </w:r>
      <w:r w:rsidRPr="003C1ACC">
        <w:t xml:space="preserve">(Vic) s 4, inserting </w:t>
      </w:r>
      <w:r w:rsidRPr="003C1ACC">
        <w:rPr>
          <w:rStyle w:val="LightItalic"/>
          <w:rFonts w:ascii="Verdana" w:hAnsi="Verdana"/>
        </w:rPr>
        <w:t xml:space="preserve">Crimes Act 1958 </w:t>
      </w:r>
      <w:r w:rsidRPr="003C1ACC">
        <w:t xml:space="preserve">(Vic) s 40(1)(b) (as in effect since 1 July 2015); Department of Justice (Vic), </w:t>
      </w:r>
      <w:r w:rsidRPr="003C1ACC">
        <w:rPr>
          <w:rStyle w:val="LightItalic"/>
          <w:rFonts w:ascii="Verdana" w:hAnsi="Verdana"/>
        </w:rPr>
        <w:t xml:space="preserve">Review of Sexual Offences: Consultation Paper </w:t>
      </w:r>
      <w:r w:rsidRPr="003C1ACC">
        <w:t>(2013) 57.</w:t>
      </w:r>
    </w:p>
  </w:footnote>
  <w:footnote w:id="119">
    <w:p w14:paraId="7CCADE27" w14:textId="3818A5CA" w:rsidR="00EF5C25" w:rsidRPr="003C1ACC" w:rsidRDefault="00EF5C25" w:rsidP="000137EB">
      <w:pPr>
        <w:pStyle w:val="Footnote"/>
      </w:pPr>
      <w:r w:rsidRPr="003C1ACC">
        <w:rPr>
          <w:vertAlign w:val="superscript"/>
        </w:rPr>
        <w:footnoteRef/>
      </w:r>
      <w:r w:rsidRPr="003C1ACC">
        <w:t>.</w:t>
      </w:r>
      <w:r w:rsidRPr="003C1ACC">
        <w:tab/>
        <w:t xml:space="preserve">Sexual assault and its predecessor offence of indecent assault are, though, ‘serious offences’ in certain circumstances, a classification that has consequences for how they are sentenced: </w:t>
      </w:r>
      <w:r w:rsidRPr="003C1ACC">
        <w:rPr>
          <w:rStyle w:val="LightItalic"/>
          <w:rFonts w:ascii="Verdana" w:hAnsi="Verdana"/>
        </w:rPr>
        <w:t xml:space="preserve">Sentencing (Amendment) Act 1993 </w:t>
      </w:r>
      <w:r w:rsidRPr="003C1ACC">
        <w:t xml:space="preserve">(Vic) s 4, amending </w:t>
      </w:r>
      <w:r w:rsidRPr="003C1ACC">
        <w:rPr>
          <w:rStyle w:val="LightItalic"/>
          <w:rFonts w:ascii="Verdana" w:hAnsi="Verdana"/>
        </w:rPr>
        <w:t xml:space="preserve">Sentencing Act 1991 </w:t>
      </w:r>
      <w:r w:rsidRPr="003C1ACC">
        <w:t xml:space="preserve">(Vic) s 3 (definitions of </w:t>
      </w:r>
      <w:r w:rsidRPr="003C1ACC">
        <w:rPr>
          <w:rStyle w:val="LightItalic"/>
          <w:rFonts w:ascii="Verdana" w:hAnsi="Verdana"/>
        </w:rPr>
        <w:t xml:space="preserve">serious sexual offender </w:t>
      </w:r>
      <w:r w:rsidRPr="003C1ACC">
        <w:t xml:space="preserve">and </w:t>
      </w:r>
      <w:r w:rsidRPr="003C1ACC">
        <w:rPr>
          <w:rStyle w:val="LightItalic"/>
          <w:rFonts w:ascii="Verdana" w:hAnsi="Verdana"/>
        </w:rPr>
        <w:t>sexual offence</w:t>
      </w:r>
      <w:r w:rsidRPr="003C1ACC">
        <w:t xml:space="preserve">, as in effect from 15 August 1993 to 1 September 1997). Indecent assault and sexual assault have been included in the serious offender sentencing scheme since then, albeit in amended forms over the years. See Schedule 1 of the </w:t>
      </w:r>
      <w:r w:rsidRPr="003C1ACC">
        <w:rPr>
          <w:rStyle w:val="LightItalic"/>
          <w:rFonts w:ascii="Verdana" w:hAnsi="Verdana"/>
        </w:rPr>
        <w:t xml:space="preserve">Sentencing Act 1991 </w:t>
      </w:r>
      <w:r w:rsidRPr="003C1ACC">
        <w:t>(Vic).</w:t>
      </w:r>
    </w:p>
  </w:footnote>
  <w:footnote w:id="120">
    <w:p w14:paraId="1FFE1697" w14:textId="10F4CC65" w:rsidR="00EF5C25" w:rsidRPr="003C1ACC" w:rsidRDefault="00EF5C25" w:rsidP="00166323">
      <w:pPr>
        <w:pStyle w:val="Footnote"/>
      </w:pPr>
      <w:r w:rsidRPr="003C1ACC">
        <w:rPr>
          <w:vertAlign w:val="superscript"/>
        </w:rPr>
        <w:footnoteRef/>
      </w:r>
      <w:r w:rsidRPr="003C1ACC">
        <w:t>.</w:t>
      </w:r>
      <w:r w:rsidRPr="003C1ACC">
        <w:tab/>
        <w:t>The anomalous spike in charges in 2010 was due to an exceptional number of high-volume cases. In 2010, 10 cases had 8 or more charges of sexual assault offences (with 1 case containing 33 charges). In comparison, just nine cases had 8 or more charges in all other years combined.</w:t>
      </w:r>
    </w:p>
  </w:footnote>
  <w:footnote w:id="121">
    <w:p w14:paraId="54BCB1B2" w14:textId="2FB3C304" w:rsidR="00EF5C25" w:rsidRPr="003C1ACC" w:rsidRDefault="00EF5C25" w:rsidP="002019A3">
      <w:pPr>
        <w:pStyle w:val="Footnote"/>
      </w:pPr>
      <w:r w:rsidRPr="003C1ACC">
        <w:rPr>
          <w:vertAlign w:val="superscript"/>
        </w:rPr>
        <w:footnoteRef/>
      </w:r>
      <w:r w:rsidRPr="003C1ACC">
        <w:t>.</w:t>
      </w:r>
      <w:r w:rsidRPr="003C1ACC">
        <w:tab/>
        <w:t xml:space="preserve">In Table 5, </w:t>
      </w:r>
      <w:r w:rsidRPr="003C1ACC">
        <w:rPr>
          <w:rStyle w:val="LightItalic"/>
          <w:rFonts w:ascii="Verdana" w:hAnsi="Verdana"/>
        </w:rPr>
        <w:t>immediate custodial sentences</w:t>
      </w:r>
      <w:r w:rsidRPr="003C1ACC">
        <w:t xml:space="preserve"> include 1,006 prison sentences (including combined orders), 355 aggregate sentences of imprisonment (including combined orders), 62 partially suspended sentences, and 9 youth justice centre orders or youth training centre orders. </w:t>
      </w:r>
      <w:r w:rsidRPr="003C1ACC">
        <w:rPr>
          <w:rStyle w:val="LightItalic"/>
          <w:rFonts w:ascii="Verdana" w:hAnsi="Verdana"/>
        </w:rPr>
        <w:t xml:space="preserve">Community orders </w:t>
      </w:r>
      <w:r w:rsidRPr="003C1ACC">
        <w:t xml:space="preserve">include 872 community correction orders, 133 community-based orders and 16 intensive correction orders. </w:t>
      </w:r>
      <w:r w:rsidRPr="003C1ACC">
        <w:rPr>
          <w:rStyle w:val="LightItalic"/>
          <w:rFonts w:ascii="Verdana" w:hAnsi="Verdana"/>
        </w:rPr>
        <w:t xml:space="preserve">Other </w:t>
      </w:r>
      <w:r w:rsidRPr="003C1ACC">
        <w:t>orders include 213 wholly suspended sentences, 4 residential treatment orders, 137 diversions, 6 court secure treatment orders and 17 discharges with conviction.</w:t>
      </w:r>
    </w:p>
  </w:footnote>
  <w:footnote w:id="122">
    <w:p w14:paraId="3DE8B9E1" w14:textId="1E4D3384" w:rsidR="00EF5C25" w:rsidRPr="003C1ACC" w:rsidRDefault="00EF5C25" w:rsidP="002019A3">
      <w:pPr>
        <w:pStyle w:val="Footnote"/>
      </w:pPr>
      <w:r w:rsidRPr="003C1ACC">
        <w:rPr>
          <w:vertAlign w:val="superscript"/>
        </w:rPr>
        <w:footnoteRef/>
      </w:r>
      <w:r w:rsidRPr="003C1ACC">
        <w:t>.</w:t>
      </w:r>
      <w:r w:rsidRPr="003C1ACC">
        <w:tab/>
      </w:r>
      <w:r w:rsidRPr="003C1ACC">
        <w:rPr>
          <w:rStyle w:val="LightItalic"/>
          <w:rFonts w:ascii="Verdana" w:hAnsi="Verdana"/>
        </w:rPr>
        <w:t>Sentencing Amendment Act 2010</w:t>
      </w:r>
      <w:r w:rsidRPr="003C1ACC">
        <w:t xml:space="preserve"> (Vic); </w:t>
      </w:r>
      <w:r w:rsidRPr="003C1ACC">
        <w:rPr>
          <w:rStyle w:val="LightItalic"/>
          <w:rFonts w:ascii="Verdana" w:hAnsi="Verdana"/>
        </w:rPr>
        <w:t>Sentencing Amendment (Abolition of Suspended Sentences &amp; Other Matters) Act 2013</w:t>
      </w:r>
      <w:r w:rsidRPr="003C1ACC">
        <w:t> (Vic).</w:t>
      </w:r>
    </w:p>
  </w:footnote>
  <w:footnote w:id="123">
    <w:p w14:paraId="55EDC3F0" w14:textId="12BE183C" w:rsidR="00EF5C25" w:rsidRPr="003C1ACC" w:rsidRDefault="00EF5C25" w:rsidP="002019A3">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Amendment (Community Correction Reform) Act 2011 </w:t>
      </w:r>
      <w:r w:rsidRPr="003C1ACC">
        <w:t xml:space="preserve">(Vic). </w:t>
      </w:r>
    </w:p>
  </w:footnote>
  <w:footnote w:id="124">
    <w:p w14:paraId="3C5D3936" w14:textId="21B48200" w:rsidR="00EF5C25" w:rsidRPr="003C1ACC" w:rsidRDefault="00EF5C25" w:rsidP="002019A3">
      <w:pPr>
        <w:pStyle w:val="Footnote"/>
      </w:pPr>
      <w:r w:rsidRPr="003C1ACC">
        <w:rPr>
          <w:vertAlign w:val="superscript"/>
        </w:rPr>
        <w:footnoteRef/>
      </w:r>
      <w:r w:rsidRPr="003C1ACC">
        <w:t>.</w:t>
      </w:r>
      <w:r w:rsidRPr="003C1ACC">
        <w:tab/>
      </w:r>
      <w:r w:rsidRPr="003C1ACC">
        <w:rPr>
          <w:rStyle w:val="LightItalic"/>
          <w:rFonts w:ascii="Verdana" w:hAnsi="Verdana"/>
        </w:rPr>
        <w:t>Boulton &amp; Ors v The Queen</w:t>
      </w:r>
      <w:r w:rsidRPr="003C1ACC">
        <w:t xml:space="preserve"> [2014] VSCA 342 (22 December 2014).</w:t>
      </w:r>
    </w:p>
  </w:footnote>
  <w:footnote w:id="125">
    <w:p w14:paraId="4A82024D" w14:textId="30F37F1F" w:rsidR="00EF5C25" w:rsidRPr="003C1ACC" w:rsidRDefault="00EF5C25" w:rsidP="00112EB2">
      <w:pPr>
        <w:pStyle w:val="Footnote"/>
      </w:pPr>
      <w:r w:rsidRPr="003C1ACC">
        <w:rPr>
          <w:vertAlign w:val="superscript"/>
        </w:rPr>
        <w:footnoteRef/>
      </w:r>
      <w:r w:rsidRPr="003C1ACC">
        <w:t>.</w:t>
      </w:r>
      <w:r w:rsidRPr="003C1ACC">
        <w:tab/>
        <w:t xml:space="preserve">These offences are analysed together as they involve substantially the same offence and have the same maximum penalty. Non-aggregate sentences of imprisonment imposed for the other sexual assault offences are outlined in Appendix 3. The section 42 </w:t>
      </w:r>
      <w:r w:rsidRPr="003C1ACC">
        <w:rPr>
          <w:rStyle w:val="LightItalic"/>
          <w:rFonts w:ascii="Verdana" w:hAnsi="Verdana"/>
        </w:rPr>
        <w:t xml:space="preserve">indecent assault </w:t>
      </w:r>
      <w:r w:rsidRPr="003C1ACC">
        <w:t>offence</w:t>
      </w:r>
      <w:r w:rsidRPr="003C1ACC">
        <w:rPr>
          <w:rStyle w:val="LightItalic"/>
          <w:rFonts w:ascii="Verdana" w:hAnsi="Verdana"/>
        </w:rPr>
        <w:t xml:space="preserve"> </w:t>
      </w:r>
      <w:r w:rsidRPr="003C1ACC">
        <w:t>is not included here because the maximum penalty was just 5 years (compared to 10 years since 1 January 1992). This analysis excludes charges that received aggregate sentences of imprisonment on multiple charges (345 charges) or received partially suspended sentences (62 charges) or youth justice centre orders (8 charges).</w:t>
      </w:r>
    </w:p>
  </w:footnote>
  <w:footnote w:id="126">
    <w:p w14:paraId="097B9AEE" w14:textId="086099F0" w:rsidR="00EF5C25" w:rsidRPr="003C1ACC" w:rsidRDefault="00EF5C25" w:rsidP="00112EB2">
      <w:pPr>
        <w:pStyle w:val="Footnote"/>
      </w:pPr>
      <w:r w:rsidRPr="003C1ACC">
        <w:rPr>
          <w:vertAlign w:val="superscript"/>
        </w:rPr>
        <w:footnoteRef/>
      </w:r>
      <w:r w:rsidRPr="003C1ACC">
        <w:t>.</w:t>
      </w:r>
      <w:r w:rsidRPr="003C1ACC">
        <w:tab/>
        <w:t>From 2010 to 2019, the average prison sentence increased by 27% in the higher courts (from 1 year and 2 months to 1 year and 5 months) and decreased by 14% in the Magistrates’ Court (from 7 months to 6 months). There was no evidence for a statistically significant trend in either court (Pearson’s correlation coefficient = 0.467 (HC); -0.217 (MC), p &gt; 0.1)</w:t>
      </w:r>
    </w:p>
  </w:footnote>
  <w:footnote w:id="127">
    <w:p w14:paraId="4356EFF6" w14:textId="7CFE3F36" w:rsidR="00EF5C25" w:rsidRPr="003C1ACC" w:rsidRDefault="00EF5C25" w:rsidP="00112EB2">
      <w:pPr>
        <w:pStyle w:val="Footnote"/>
      </w:pPr>
      <w:r w:rsidRPr="003C1ACC">
        <w:rPr>
          <w:vertAlign w:val="superscript"/>
        </w:rPr>
        <w:footnoteRef/>
      </w:r>
      <w:r w:rsidRPr="003C1ACC">
        <w:t>.</w:t>
      </w:r>
      <w:r w:rsidRPr="003C1ACC">
        <w:tab/>
        <w:t>From 2010 to 2019, the average total effective sentence decreased by 63% in the higher courts (from 3 years and 9 months to 1 year and 5 months) and decreased by 39% in the Magistrates’ Court (from 11 months to 7 months). There was no evidence for a statistically significant trend in the higher court (Pearson’s correlation coefficient = 0.344, p &gt; 0.1), while the trend was nearing significance in the Magistrates’ Court (Pearson’s correlation coefficient = 0.604, p = 0.065).</w:t>
      </w:r>
    </w:p>
  </w:footnote>
  <w:footnote w:id="128">
    <w:p w14:paraId="3C9E1DF1" w14:textId="2B2C5E3B" w:rsidR="00EF5C25" w:rsidRPr="003C1ACC" w:rsidRDefault="00EF5C25" w:rsidP="00230A88">
      <w:pPr>
        <w:pStyle w:val="Footnote"/>
      </w:pPr>
      <w:r w:rsidRPr="003C1ACC">
        <w:rPr>
          <w:vertAlign w:val="superscript"/>
        </w:rPr>
        <w:footnoteRef/>
      </w:r>
      <w:r w:rsidRPr="003C1ACC">
        <w:t>.</w:t>
      </w:r>
      <w:r w:rsidRPr="003C1ACC">
        <w:tab/>
        <w:t>The term ‘incest offences’ refers to the offences listed in Table 6 (see also glossary).</w:t>
      </w:r>
    </w:p>
  </w:footnote>
  <w:footnote w:id="129">
    <w:p w14:paraId="38314196" w14:textId="6027BCE5" w:rsidR="00EF5C25" w:rsidRPr="003C1ACC" w:rsidRDefault="00EF5C25" w:rsidP="00230A88">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ss 52–53 (repealed). The one exception was the offence of a female aged 18 years or over consenting to and permitting a male lineal ancestor to have carnal knowledge. The offences included actual or attempted carnal knowledge of a person’s daughter, stepdaughter or female lineal descendant (20-year and 10-year maximum penalties, respectively) and actual or attempted carnal knowledge of a person’s mother or sister (7-year and 5-year maximum penalties, respectively).</w:t>
      </w:r>
    </w:p>
  </w:footnote>
  <w:footnote w:id="130">
    <w:p w14:paraId="2E32F105" w14:textId="6F86979F" w:rsidR="00EF5C25" w:rsidRPr="003C1ACC" w:rsidRDefault="00EF5C25" w:rsidP="00230A88">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1980 </w:t>
      </w:r>
      <w:r w:rsidRPr="003C1ACC">
        <w:t xml:space="preserve">(Vic) s 3, amending </w:t>
      </w:r>
      <w:r w:rsidRPr="003C1ACC">
        <w:rPr>
          <w:rStyle w:val="LightItalic"/>
          <w:rFonts w:ascii="Verdana" w:hAnsi="Verdana"/>
        </w:rPr>
        <w:t xml:space="preserve">Crimes Act 1958 </w:t>
      </w:r>
      <w:r w:rsidRPr="003C1ACC">
        <w:t>(Vic) ss 52–53 (repealed).</w:t>
      </w:r>
    </w:p>
  </w:footnote>
  <w:footnote w:id="131">
    <w:p w14:paraId="23B0589A" w14:textId="1973A753" w:rsidR="00EF5C25" w:rsidRPr="003C1ACC" w:rsidRDefault="00EF5C25" w:rsidP="00230A88">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1991 </w:t>
      </w:r>
      <w:r w:rsidRPr="003C1ACC">
        <w:t xml:space="preserve">(Vic) s 3, inserting </w:t>
      </w:r>
      <w:r w:rsidRPr="003C1ACC">
        <w:rPr>
          <w:rStyle w:val="LightItalic"/>
          <w:rFonts w:ascii="Verdana" w:hAnsi="Verdana"/>
        </w:rPr>
        <w:t xml:space="preserve">Crimes Act 1958 </w:t>
      </w:r>
      <w:r w:rsidRPr="003C1ACC">
        <w:t>(Vic) s 44 (repealed).</w:t>
      </w:r>
    </w:p>
  </w:footnote>
  <w:footnote w:id="132">
    <w:p w14:paraId="2A1B29F8" w14:textId="04E6D8AC" w:rsidR="00EF5C25" w:rsidRPr="003C1ACC" w:rsidRDefault="00EF5C25" w:rsidP="00230A88">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and Other Acts (Amendment) Act 1997 </w:t>
      </w:r>
      <w:r w:rsidRPr="003C1ACC">
        <w:t>(Vic) s 60(1), sch 1 item 21.</w:t>
      </w:r>
    </w:p>
  </w:footnote>
  <w:footnote w:id="133">
    <w:p w14:paraId="1B9CB38D" w14:textId="1D117175" w:rsidR="00EF5C25" w:rsidRPr="003C1ACC" w:rsidRDefault="00EF5C25" w:rsidP="003F737F">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3 (definition of </w:t>
      </w:r>
      <w:r w:rsidRPr="003C1ACC">
        <w:rPr>
          <w:rStyle w:val="LightItalic"/>
          <w:rFonts w:ascii="Verdana" w:hAnsi="Verdana"/>
        </w:rPr>
        <w:t>Category 1 offence</w:t>
      </w:r>
      <w:r w:rsidRPr="003C1ACC">
        <w:t xml:space="preserve">), as inserted by </w:t>
      </w:r>
      <w:r w:rsidRPr="003C1ACC">
        <w:rPr>
          <w:rStyle w:val="LightItalic"/>
          <w:rFonts w:ascii="Verdana" w:hAnsi="Verdana"/>
        </w:rPr>
        <w:t xml:space="preserve">Sentencing (Community Correction Order) and Other Acts Amendment Act 2016 </w:t>
      </w:r>
      <w:r w:rsidRPr="003C1ACC">
        <w:t xml:space="preserve">(Vic) s 3. </w:t>
      </w:r>
    </w:p>
  </w:footnote>
  <w:footnote w:id="134">
    <w:p w14:paraId="6A049212" w14:textId="413A6275" w:rsidR="00EF5C25" w:rsidRPr="003C1ACC" w:rsidRDefault="00EF5C25" w:rsidP="003F737F">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3 (definition of </w:t>
      </w:r>
      <w:r w:rsidRPr="003C1ACC">
        <w:rPr>
          <w:rStyle w:val="LightItalic"/>
          <w:rFonts w:ascii="Verdana" w:hAnsi="Verdana"/>
        </w:rPr>
        <w:t>Category 1 offence</w:t>
      </w:r>
      <w:r w:rsidRPr="003C1ACC">
        <w:t>), as amended by</w:t>
      </w:r>
      <w:r w:rsidRPr="003C1ACC">
        <w:rPr>
          <w:rStyle w:val="LightItalic"/>
          <w:rFonts w:ascii="Verdana" w:hAnsi="Verdana"/>
        </w:rPr>
        <w:t xml:space="preserve"> Sentencing (Community Correction Order) and Other Acts Amendment Act 2016 </w:t>
      </w:r>
      <w:r w:rsidRPr="003C1ACC">
        <w:t xml:space="preserve">(Vic) s 23. Between 1 July 2017 and 27 October 2018, the repealed versions of those incest offences were removed from the definition of </w:t>
      </w:r>
      <w:r w:rsidRPr="003C1ACC">
        <w:rPr>
          <w:rStyle w:val="LightItalic"/>
          <w:rFonts w:ascii="Verdana" w:hAnsi="Verdana"/>
        </w:rPr>
        <w:t>Category 1 offence</w:t>
      </w:r>
      <w:r w:rsidRPr="003C1ACC">
        <w:t xml:space="preserve"> and the new versions of those offences were added (meaning that imprisonment was not mandatory for that 19-month period if the repealed offences were committed on or after 20 March 2017 and sentenced between 1 July 2017 and 27 October 2018). This was likely an oversight as those repealed offences were then reintroduced to the definition of </w:t>
      </w:r>
      <w:r w:rsidRPr="003C1ACC">
        <w:rPr>
          <w:rStyle w:val="LightItalic"/>
          <w:rFonts w:ascii="Verdana" w:hAnsi="Verdana"/>
        </w:rPr>
        <w:t>Category 1 offence</w:t>
      </w:r>
      <w:r w:rsidRPr="003C1ACC">
        <w:t xml:space="preserve">: </w:t>
      </w:r>
      <w:r w:rsidRPr="003C1ACC">
        <w:rPr>
          <w:rStyle w:val="LightItalic"/>
          <w:rFonts w:ascii="Verdana" w:hAnsi="Verdana"/>
        </w:rPr>
        <w:t xml:space="preserve">Legislation Miscellaneous Amendment Act 2018 </w:t>
      </w:r>
      <w:r w:rsidRPr="003C1ACC">
        <w:t xml:space="preserve">(Vic) s 73. This brief period during which the repealed offences were not classified as </w:t>
      </w:r>
      <w:r w:rsidRPr="003C1ACC">
        <w:rPr>
          <w:rStyle w:val="LightItalic"/>
          <w:rFonts w:ascii="Verdana" w:hAnsi="Verdana"/>
        </w:rPr>
        <w:t xml:space="preserve">Category 1 offences </w:t>
      </w:r>
      <w:r w:rsidRPr="003C1ACC">
        <w:t>did not affect any cases; there were no cases in which those offences received a sentence other than imprisonment during that 19-month period.</w:t>
      </w:r>
    </w:p>
  </w:footnote>
  <w:footnote w:id="135">
    <w:p w14:paraId="4FFFD2D1" w14:textId="77DFEAE2" w:rsidR="00EF5C25" w:rsidRPr="003C1ACC" w:rsidRDefault="00EF5C25" w:rsidP="003F737F">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ss</w:t>
      </w:r>
      <w:r w:rsidRPr="003C1ACC">
        <w:rPr>
          <w:rStyle w:val="LightItalic"/>
          <w:rFonts w:ascii="Verdana" w:hAnsi="Verdana"/>
        </w:rPr>
        <w:t xml:space="preserve"> </w:t>
      </w:r>
      <w:r w:rsidRPr="003C1ACC">
        <w:t xml:space="preserve">50C(3), 50D(3), as inserted by </w:t>
      </w:r>
      <w:r w:rsidRPr="003C1ACC">
        <w:rPr>
          <w:rStyle w:val="LightItalic"/>
          <w:rFonts w:ascii="Verdana" w:hAnsi="Verdana"/>
        </w:rPr>
        <w:t xml:space="preserve">Sentencing Amendment (Sentencing Standards) Act 2017 </w:t>
      </w:r>
      <w:r w:rsidRPr="003C1ACC">
        <w:t>(Vic) ss 33(1), 34(1).</w:t>
      </w:r>
    </w:p>
  </w:footnote>
  <w:footnote w:id="136">
    <w:p w14:paraId="6324C164" w14:textId="6442CBC6" w:rsidR="00EF5C25" w:rsidRPr="003C1ACC" w:rsidRDefault="00EF5C25" w:rsidP="003F737F">
      <w:pPr>
        <w:pStyle w:val="Footnote"/>
      </w:pPr>
      <w:r w:rsidRPr="003C1ACC">
        <w:rPr>
          <w:vertAlign w:val="superscript"/>
        </w:rPr>
        <w:footnoteRef/>
      </w:r>
      <w:r w:rsidRPr="003C1ACC">
        <w:t>.</w:t>
      </w:r>
      <w:r w:rsidRPr="003C1ACC">
        <w:tab/>
        <w:t>The unusually high number of incest charges sentenced in 2010 was due to a small number of offenders sentenced for an anomalously high number of charges in their respective cases (26, 13, 11 and 11 charges).</w:t>
      </w:r>
    </w:p>
  </w:footnote>
  <w:footnote w:id="137">
    <w:p w14:paraId="145A1019" w14:textId="74CD22C6" w:rsidR="00EF5C25" w:rsidRPr="003C1ACC" w:rsidRDefault="00EF5C25" w:rsidP="00170FA6">
      <w:pPr>
        <w:pStyle w:val="Footnote"/>
      </w:pPr>
      <w:r w:rsidRPr="003C1ACC">
        <w:rPr>
          <w:vertAlign w:val="superscript"/>
        </w:rPr>
        <w:footnoteRef/>
      </w:r>
      <w:r w:rsidRPr="003C1ACC">
        <w:t>.</w:t>
      </w:r>
      <w:r w:rsidRPr="003C1ACC">
        <w:tab/>
        <w:t xml:space="preserve">This is consistent with prior research finding that stepfathers engage in sexual abuse of children in the home at a higher rate than genetic parents: Agata Debowska et al., ‘Violence Against Children by Stepparents’, in Todd K. Shackelford (ed.), </w:t>
      </w:r>
      <w:r w:rsidRPr="003C1ACC">
        <w:rPr>
          <w:rStyle w:val="LightItalic"/>
          <w:rFonts w:ascii="Verdana" w:hAnsi="Verdana"/>
        </w:rPr>
        <w:t xml:space="preserve">The Sage Handbook of Domestic Violence </w:t>
      </w:r>
      <w:r w:rsidRPr="003C1ACC">
        <w:t>(2020) .</w:t>
      </w:r>
    </w:p>
  </w:footnote>
  <w:footnote w:id="138">
    <w:p w14:paraId="4D488EAF" w14:textId="0824497B" w:rsidR="00EF5C25" w:rsidRPr="003C1ACC" w:rsidRDefault="00EF5C25" w:rsidP="0037246F">
      <w:pPr>
        <w:pStyle w:val="Footnote"/>
      </w:pPr>
      <w:r w:rsidRPr="003C1ACC">
        <w:rPr>
          <w:vertAlign w:val="superscript"/>
        </w:rPr>
        <w:footnoteRef/>
      </w:r>
      <w:r w:rsidRPr="003C1ACC">
        <w:t>.</w:t>
      </w:r>
      <w:r w:rsidRPr="003C1ACC">
        <w:tab/>
        <w:t xml:space="preserve">Australian Bureau of Statistics, cat. no. 2008.0, </w:t>
      </w:r>
      <w:r w:rsidRPr="003C1ACC">
        <w:rPr>
          <w:rStyle w:val="LightItalic"/>
          <w:rFonts w:ascii="Verdana" w:hAnsi="Verdana"/>
        </w:rPr>
        <w:t>Census of Population and Housing</w:t>
      </w:r>
      <w:r w:rsidRPr="003C1ACC">
        <w:t xml:space="preserve"> (2016) &lt;https://www.abs.gov.au/websitedbs/censushome.nsf/home/2016&gt;.</w:t>
      </w:r>
    </w:p>
  </w:footnote>
  <w:footnote w:id="139">
    <w:p w14:paraId="77CB43B5" w14:textId="62BEEF3A" w:rsidR="00EF5C25" w:rsidRPr="003C1ACC" w:rsidRDefault="00EF5C25" w:rsidP="0086780A">
      <w:pPr>
        <w:pStyle w:val="Footnote"/>
      </w:pPr>
      <w:r w:rsidRPr="003C1ACC">
        <w:rPr>
          <w:vertAlign w:val="superscript"/>
        </w:rPr>
        <w:footnoteRef/>
      </w:r>
      <w:r w:rsidRPr="003C1ACC">
        <w:t>.</w:t>
      </w:r>
      <w:r w:rsidRPr="003C1ACC">
        <w:tab/>
        <w:t xml:space="preserve">In Table 7, </w:t>
      </w:r>
      <w:r w:rsidRPr="003C1ACC">
        <w:rPr>
          <w:rStyle w:val="LightItalic"/>
          <w:rFonts w:ascii="Verdana" w:hAnsi="Verdana"/>
        </w:rPr>
        <w:t>immediate custodial sentences</w:t>
      </w:r>
      <w:r w:rsidRPr="003C1ACC">
        <w:t xml:space="preserve"> include 1,033 prison sentences (including combined orders), 1 aggregate sentence of imprisonment and 4 partially suspended sentences. </w:t>
      </w:r>
      <w:r w:rsidRPr="003C1ACC">
        <w:rPr>
          <w:rStyle w:val="LightItalic"/>
          <w:rFonts w:ascii="Verdana" w:hAnsi="Verdana"/>
        </w:rPr>
        <w:t xml:space="preserve">Community orders </w:t>
      </w:r>
      <w:r w:rsidRPr="003C1ACC">
        <w:t xml:space="preserve">include 32 community correction orders. </w:t>
      </w:r>
      <w:r w:rsidRPr="003C1ACC">
        <w:rPr>
          <w:rStyle w:val="LightItalic"/>
          <w:rFonts w:ascii="Verdana" w:hAnsi="Verdana"/>
        </w:rPr>
        <w:t xml:space="preserve">Other </w:t>
      </w:r>
      <w:r w:rsidRPr="003C1ACC">
        <w:t xml:space="preserve">orders include 29 wholly suspended sentences, 10 adjourned undertakings and 1 discharge with conviction. </w:t>
      </w:r>
    </w:p>
  </w:footnote>
  <w:footnote w:id="140">
    <w:p w14:paraId="0A535C69" w14:textId="59C141F0" w:rsidR="00EF5C25" w:rsidRPr="003C1ACC" w:rsidRDefault="00EF5C25" w:rsidP="0086780A">
      <w:pPr>
        <w:pStyle w:val="Footnote"/>
      </w:pPr>
      <w:r w:rsidRPr="003C1ACC">
        <w:rPr>
          <w:vertAlign w:val="superscript"/>
        </w:rPr>
        <w:footnoteRef/>
      </w:r>
      <w:r w:rsidRPr="003C1ACC">
        <w:t>.</w:t>
      </w:r>
      <w:r w:rsidRPr="003C1ACC">
        <w:tab/>
        <w:t>Of the 807 charges of all offences against children, stepchildren and lineal descendants sentenced between 2010 and 2017, 798 received an immediate custodial sentence.</w:t>
      </w:r>
    </w:p>
  </w:footnote>
  <w:footnote w:id="141">
    <w:p w14:paraId="74E2707F" w14:textId="660B8374" w:rsidR="00EF5C25" w:rsidRPr="003C1ACC" w:rsidRDefault="00EF5C25" w:rsidP="0086780A">
      <w:pPr>
        <w:pStyle w:val="Footnote"/>
      </w:pPr>
      <w:r w:rsidRPr="003C1ACC">
        <w:rPr>
          <w:vertAlign w:val="superscript"/>
        </w:rPr>
        <w:footnoteRef/>
      </w:r>
      <w:r w:rsidRPr="003C1ACC">
        <w:t>.</w:t>
      </w:r>
      <w:r w:rsidRPr="003C1ACC">
        <w:tab/>
        <w:t>No combined orders were imposed for incest with a child, stepchild or lineal descendant during the reference period. These orders are now impermissible for Category 1 offences.</w:t>
      </w:r>
    </w:p>
  </w:footnote>
  <w:footnote w:id="142">
    <w:p w14:paraId="355EC1B5" w14:textId="5C291EF6" w:rsidR="00EF5C25" w:rsidRPr="003C1ACC" w:rsidRDefault="00EF5C25" w:rsidP="001677DD">
      <w:pPr>
        <w:pStyle w:val="Footnote"/>
      </w:pPr>
      <w:r w:rsidRPr="003C1ACC">
        <w:rPr>
          <w:vertAlign w:val="superscript"/>
        </w:rPr>
        <w:footnoteRef/>
      </w:r>
      <w:r w:rsidRPr="003C1ACC">
        <w:t>.</w:t>
      </w:r>
      <w:r w:rsidRPr="003C1ACC">
        <w:tab/>
        <w:t xml:space="preserve">This analysis includes the various iterations of incest pursuant to </w:t>
      </w:r>
      <w:r w:rsidRPr="003C1ACC">
        <w:rPr>
          <w:rStyle w:val="LightItalic"/>
          <w:rFonts w:ascii="Verdana" w:hAnsi="Verdana"/>
        </w:rPr>
        <w:t>Crimes Act 1958</w:t>
      </w:r>
      <w:r w:rsidRPr="003C1ACC">
        <w:t xml:space="preserve"> (Vic) ss 44(1), 44(2), 50C(1), 50D(1). These can be meaningfully analysed collectively because they share identical, or very similar, maximum penalties and criminality. Furthermore, the section 52(1) offence in effect prior to 1991 against a child, stepchild or lineal descendant was excluded as it not only had a lower maximum penalty of 20 years’ imprisonment but it also applied only in respect of victims aged 10 years and over. For the offences that are included, there was little variation in the 10-year average prison sentence based on the relationship between the victim and the offender (4 years and 11 months for incest with a biological child, 4 years and 9 months for incest with a stepchild, and 4 years and 8 months for incest with a lineal descendant). The charge-level prison sentences for other incest offences are outlined in Appendix 3.</w:t>
      </w:r>
    </w:p>
  </w:footnote>
  <w:footnote w:id="143">
    <w:p w14:paraId="3FEF5482" w14:textId="3A369CC6" w:rsidR="00EF5C25" w:rsidRPr="003C1ACC" w:rsidRDefault="00EF5C25" w:rsidP="001677DD">
      <w:pPr>
        <w:pStyle w:val="Footnote"/>
      </w:pPr>
      <w:r w:rsidRPr="003C1ACC">
        <w:rPr>
          <w:vertAlign w:val="superscript"/>
        </w:rPr>
        <w:footnoteRef/>
      </w:r>
      <w:r w:rsidRPr="003C1ACC">
        <w:t>.</w:t>
      </w:r>
      <w:r w:rsidRPr="003C1ACC">
        <w:tab/>
        <w:t xml:space="preserve">For an example case in which a particularly long prison sentence was imposed during the reference period for a single charge of incest with a child, see </w:t>
      </w:r>
      <w:r w:rsidRPr="003C1ACC">
        <w:rPr>
          <w:rStyle w:val="LightItalic"/>
          <w:rFonts w:ascii="Verdana" w:hAnsi="Verdana"/>
        </w:rPr>
        <w:t xml:space="preserve">DPP v Wylie (A Pseudonym) </w:t>
      </w:r>
      <w:r w:rsidRPr="003C1ACC">
        <w:t>[2017] VCC 1086 (9 August 2017) (in this case, a sentence of 9.5 years was imposed for a representative charge of incest with the offender’s 2-year-old daughter, the court describing it as ‘extremely grave offending falling towards the very high end of the offence seriousness’).</w:t>
      </w:r>
    </w:p>
  </w:footnote>
  <w:footnote w:id="144">
    <w:p w14:paraId="4FFAAE22" w14:textId="300B3D2C" w:rsidR="00EF5C25" w:rsidRPr="003C1ACC" w:rsidRDefault="00EF5C25" w:rsidP="001677DD">
      <w:pPr>
        <w:pStyle w:val="Footnote"/>
      </w:pPr>
      <w:r w:rsidRPr="003C1ACC">
        <w:rPr>
          <w:vertAlign w:val="superscript"/>
        </w:rPr>
        <w:footnoteRef/>
      </w:r>
      <w:r w:rsidRPr="003C1ACC">
        <w:t>.</w:t>
      </w:r>
      <w:r w:rsidRPr="003C1ACC">
        <w:tab/>
        <w:t>From 2010 to 2019, the average prison sentence increased by 65% from 4 years and 2 months to 6 years and 11 months. There was evidence for a statistically significant trend (Pearson’s correlation coefficient = 0.792, p = 0.006).</w:t>
      </w:r>
    </w:p>
  </w:footnote>
  <w:footnote w:id="145">
    <w:p w14:paraId="5EF7414A" w14:textId="77777777" w:rsidR="00EF5C25" w:rsidRPr="003C1ACC" w:rsidRDefault="00EF5C25" w:rsidP="00D00197">
      <w:pPr>
        <w:pStyle w:val="Footnote"/>
      </w:pPr>
      <w:r w:rsidRPr="003C1ACC">
        <w:rPr>
          <w:vertAlign w:val="superscript"/>
        </w:rPr>
        <w:footnoteRef/>
      </w:r>
      <w:r w:rsidRPr="003C1ACC">
        <w:t>.</w:t>
      </w:r>
      <w:r w:rsidRPr="003C1ACC">
        <w:tab/>
        <w:t>From 2010 to 2019 the average total effective sentence increased by 30% from 9 years and 2 months to 11 years and 11 months. There was no evidence for a statistically significant trend (Pearson’s correlation coefficient = 0.449, p &gt; 0.1).</w:t>
      </w:r>
    </w:p>
  </w:footnote>
  <w:footnote w:id="146">
    <w:p w14:paraId="1E42D9B9" w14:textId="09EE0952" w:rsidR="00EF5C25" w:rsidRPr="003C1ACC" w:rsidRDefault="00EF5C25" w:rsidP="00F60C89">
      <w:pPr>
        <w:pStyle w:val="Footnote"/>
      </w:pPr>
      <w:r w:rsidRPr="003C1ACC">
        <w:rPr>
          <w:vertAlign w:val="superscript"/>
        </w:rPr>
        <w:footnoteRef/>
      </w:r>
      <w:r w:rsidRPr="003C1ACC">
        <w:t>.</w:t>
      </w:r>
      <w:r w:rsidRPr="003C1ACC">
        <w:tab/>
        <w:t xml:space="preserve">Two of the standard sentence cases are publicly available: </w:t>
      </w:r>
      <w:r w:rsidRPr="003C1ACC">
        <w:rPr>
          <w:rStyle w:val="LightItalic"/>
          <w:rFonts w:ascii="Verdana" w:hAnsi="Verdana"/>
        </w:rPr>
        <w:t xml:space="preserve">DPP v Jarvis (A Pseudonym) </w:t>
      </w:r>
      <w:r w:rsidRPr="003C1ACC">
        <w:t xml:space="preserve">[2019] VCC 1943 (20 November 2019); </w:t>
      </w:r>
      <w:r w:rsidRPr="003C1ACC">
        <w:rPr>
          <w:rStyle w:val="LightItalic"/>
          <w:rFonts w:ascii="Verdana" w:hAnsi="Verdana"/>
        </w:rPr>
        <w:t xml:space="preserve">DPP v Fisken (A Pseudonym) </w:t>
      </w:r>
      <w:r w:rsidRPr="003C1ACC">
        <w:t xml:space="preserve">[2019] VCC 1572 (20 September 2019). Two charges were committed after 1 February 2018, but the age of the victim could not be determined. Given that this offending most often occurs against children and the victim was the offender’s </w:t>
      </w:r>
      <w:r w:rsidRPr="003C1ACC">
        <w:rPr>
          <w:rStyle w:val="LightItalic"/>
          <w:rFonts w:ascii="Verdana" w:hAnsi="Verdana"/>
        </w:rPr>
        <w:t>lineal descendant</w:t>
      </w:r>
      <w:r w:rsidRPr="003C1ACC">
        <w:t xml:space="preserve"> (not their </w:t>
      </w:r>
      <w:r w:rsidRPr="003C1ACC">
        <w:rPr>
          <w:rStyle w:val="LightItalic"/>
          <w:rFonts w:ascii="Verdana" w:hAnsi="Verdana"/>
        </w:rPr>
        <w:t>child</w:t>
      </w:r>
      <w:r w:rsidRPr="003C1ACC">
        <w:t>), the Council has included those charges as standard sentence offences.</w:t>
      </w:r>
    </w:p>
  </w:footnote>
  <w:footnote w:id="147">
    <w:p w14:paraId="7C61AA50" w14:textId="0BE831C9" w:rsidR="00EF5C25" w:rsidRPr="003C1ACC" w:rsidRDefault="00EF5C25" w:rsidP="00F60C89">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Ferreira (A Pseudonym) </w:t>
      </w:r>
      <w:r w:rsidRPr="003C1ACC">
        <w:t xml:space="preserve">[2019] VCC 1212 (8 August 2012) [54], in which the sentencing court noted the new standard sentence for incest offences despite also noting that the offending in the case, which occurred between 2015 and 2016, was not subject to such classification. </w:t>
      </w:r>
      <w:r w:rsidRPr="003C1ACC">
        <w:rPr>
          <w:rStyle w:val="LightItalic"/>
          <w:rFonts w:ascii="Verdana" w:hAnsi="Verdana"/>
        </w:rPr>
        <w:t xml:space="preserve">Contra DPP v Carr (A Pseudonym) </w:t>
      </w:r>
      <w:r w:rsidRPr="003C1ACC">
        <w:t>[2019] VCC 1750 (24 October 2019) [9] (‘You are fortunate indeed that the standard sentencing scheme does not apply to you … Had the scheme actually applied to you, inevitably you would have received more significant terms, a higher total effective sentence and a higher non-parole period’).</w:t>
      </w:r>
    </w:p>
  </w:footnote>
  <w:footnote w:id="148">
    <w:p w14:paraId="403A38D9" w14:textId="65CA98D3" w:rsidR="00EF5C25" w:rsidRPr="003C1ACC" w:rsidRDefault="00EF5C25" w:rsidP="00F60C89">
      <w:pPr>
        <w:pStyle w:val="Footnote"/>
      </w:pPr>
      <w:r w:rsidRPr="003C1ACC">
        <w:rPr>
          <w:vertAlign w:val="superscript"/>
        </w:rPr>
        <w:footnoteRef/>
      </w:r>
      <w:r w:rsidRPr="003C1ACC">
        <w:t>.</w:t>
      </w:r>
      <w:r w:rsidRPr="003C1ACC">
        <w:tab/>
        <w:t xml:space="preserve">This included prison sentences of 7 years (child), 7 years (child), 7 years (child), 7 years (child), 8 years (stepchild), 8 years (stepchild) and 8.5 years (stepchild). </w:t>
      </w:r>
    </w:p>
  </w:footnote>
  <w:footnote w:id="149">
    <w:p w14:paraId="69448367" w14:textId="2855C852" w:rsidR="00EF5C25" w:rsidRPr="003C1ACC" w:rsidRDefault="00EF5C25" w:rsidP="00F60C89">
      <w:pPr>
        <w:pStyle w:val="Footnote"/>
      </w:pPr>
      <w:r w:rsidRPr="003C1ACC">
        <w:rPr>
          <w:vertAlign w:val="superscript"/>
        </w:rPr>
        <w:footnoteRef/>
      </w:r>
      <w:r w:rsidRPr="003C1ACC">
        <w:t>.</w:t>
      </w:r>
      <w:r w:rsidRPr="003C1ACC">
        <w:tab/>
        <w:t xml:space="preserve">Guilty pleas significantly affect sentencing outcomes. The Council has previously found that 72% of guilty pleas in the higher courts attract a sentence discount of between 20% and 40% of the sentence that would have been imposed had the offender not pleaded guilty; 12% received discounts of more than 40%, and only 14% received a discount of less than 20%: Sentencing Advisory Council, </w:t>
      </w:r>
      <w:r w:rsidRPr="003C1ACC">
        <w:rPr>
          <w:rStyle w:val="LightItalic"/>
          <w:rFonts w:ascii="Verdana" w:hAnsi="Verdana"/>
        </w:rPr>
        <w:t xml:space="preserve">Guilty Pleas in the Higher Courts: Rates, Timing, and Discounts </w:t>
      </w:r>
      <w:r w:rsidRPr="003C1ACC">
        <w:t>(2015) 65.</w:t>
      </w:r>
    </w:p>
  </w:footnote>
  <w:footnote w:id="150">
    <w:p w14:paraId="22139A5D" w14:textId="7DF2BA51" w:rsidR="00EF5C25" w:rsidRPr="003C1ACC" w:rsidRDefault="00EF5C25" w:rsidP="00F60C89">
      <w:pPr>
        <w:pStyle w:val="Footnote"/>
      </w:pPr>
      <w:r w:rsidRPr="003C1ACC">
        <w:rPr>
          <w:vertAlign w:val="superscript"/>
        </w:rPr>
        <w:footnoteRef/>
      </w:r>
      <w:r w:rsidRPr="003C1ACC">
        <w:t>.</w:t>
      </w:r>
      <w:r w:rsidRPr="003C1ACC">
        <w:tab/>
      </w:r>
      <w:r w:rsidRPr="003C1ACC">
        <w:rPr>
          <w:rStyle w:val="LightItalic"/>
          <w:rFonts w:ascii="Verdana" w:hAnsi="Verdana"/>
        </w:rPr>
        <w:t xml:space="preserve">Lockyer (A Pseudonym) v The Queen </w:t>
      </w:r>
      <w:r w:rsidRPr="003C1ACC">
        <w:t>[2020] VSCA 321 (9 December 2020) [67].</w:t>
      </w:r>
    </w:p>
  </w:footnote>
  <w:footnote w:id="151">
    <w:p w14:paraId="09E647AD" w14:textId="63E2AF08" w:rsidR="00EF5C25" w:rsidRPr="003C1ACC" w:rsidRDefault="00EF5C25" w:rsidP="00F60C89">
      <w:pPr>
        <w:pStyle w:val="Footnote"/>
      </w:pPr>
      <w:r w:rsidRPr="003C1ACC">
        <w:rPr>
          <w:vertAlign w:val="superscript"/>
        </w:rPr>
        <w:footnoteRef/>
      </w:r>
      <w:r w:rsidRPr="003C1ACC">
        <w:t>.</w:t>
      </w:r>
      <w:r w:rsidRPr="003C1ACC">
        <w:tab/>
      </w:r>
      <w:r w:rsidRPr="003C1ACC">
        <w:rPr>
          <w:rStyle w:val="LightItalic"/>
          <w:rFonts w:ascii="Verdana" w:hAnsi="Verdana"/>
        </w:rPr>
        <w:t xml:space="preserve">DPP v Jarvis (A Pseudonym) </w:t>
      </w:r>
      <w:r w:rsidRPr="003C1ACC">
        <w:t>[2019] VCC 1943 (21 November 2019).</w:t>
      </w:r>
    </w:p>
  </w:footnote>
  <w:footnote w:id="152">
    <w:p w14:paraId="769E2F5D" w14:textId="339ECA05" w:rsidR="00EF5C25" w:rsidRPr="003C1ACC" w:rsidRDefault="00EF5C25" w:rsidP="00D2078D">
      <w:pPr>
        <w:pStyle w:val="Footnote"/>
      </w:pPr>
      <w:r w:rsidRPr="003C1ACC">
        <w:rPr>
          <w:vertAlign w:val="superscript"/>
        </w:rPr>
        <w:footnoteRef/>
      </w:r>
      <w:r w:rsidRPr="003C1ACC">
        <w:t>.</w:t>
      </w:r>
      <w:r w:rsidRPr="003C1ACC">
        <w:tab/>
      </w:r>
      <w:r w:rsidRPr="003C1ACC">
        <w:rPr>
          <w:rStyle w:val="LightItalic"/>
          <w:rFonts w:ascii="Verdana" w:hAnsi="Verdana"/>
        </w:rPr>
        <w:t xml:space="preserve">DPP v Jarvis (A Pseudonym) </w:t>
      </w:r>
      <w:r w:rsidRPr="003C1ACC">
        <w:t>[2019] VCC 1943 (21 November 2019) [56].</w:t>
      </w:r>
    </w:p>
  </w:footnote>
  <w:footnote w:id="153">
    <w:p w14:paraId="6C677798" w14:textId="136F65BD" w:rsidR="00EF5C25" w:rsidRPr="003C1ACC" w:rsidRDefault="00EF5C25" w:rsidP="00D2078D">
      <w:pPr>
        <w:pStyle w:val="Footnote"/>
      </w:pPr>
      <w:r w:rsidRPr="003C1ACC">
        <w:rPr>
          <w:vertAlign w:val="superscript"/>
        </w:rPr>
        <w:footnoteRef/>
      </w:r>
      <w:r w:rsidRPr="003C1ACC">
        <w:t>.</w:t>
      </w:r>
      <w:r w:rsidRPr="003C1ACC">
        <w:tab/>
      </w:r>
      <w:r w:rsidRPr="003C1ACC">
        <w:rPr>
          <w:rStyle w:val="LightItalic"/>
          <w:rFonts w:ascii="Verdana" w:hAnsi="Verdana"/>
        </w:rPr>
        <w:t xml:space="preserve">DPP v Murray (A Pseudonym) </w:t>
      </w:r>
      <w:r w:rsidRPr="003C1ACC">
        <w:t>[2020] VCC 1475 (16 September 2020).</w:t>
      </w:r>
    </w:p>
  </w:footnote>
  <w:footnote w:id="154">
    <w:p w14:paraId="0B5F8D5E" w14:textId="127E5429" w:rsidR="00EF5C25" w:rsidRPr="003C1ACC" w:rsidRDefault="00EF5C25" w:rsidP="00D2078D">
      <w:pPr>
        <w:pStyle w:val="Footnote"/>
      </w:pPr>
      <w:r w:rsidRPr="003C1ACC">
        <w:rPr>
          <w:vertAlign w:val="superscript"/>
        </w:rPr>
        <w:footnoteRef/>
      </w:r>
      <w:r w:rsidRPr="003C1ACC">
        <w:t>.</w:t>
      </w:r>
      <w:r w:rsidRPr="003C1ACC">
        <w:tab/>
      </w:r>
      <w:r w:rsidRPr="003C1ACC">
        <w:rPr>
          <w:rStyle w:val="LightItalic"/>
          <w:rFonts w:ascii="Verdana" w:hAnsi="Verdana"/>
        </w:rPr>
        <w:t xml:space="preserve">DPP v Murray (A Pseudonym) </w:t>
      </w:r>
      <w:r w:rsidRPr="003C1ACC">
        <w:t>[2020] VCC 1475 (16 September 2020) [55] (‘Falling as it does under the standard [sentence] scheme, the consideration of current sentencing practices … is limited to sentences imposed under the standard [sentence] scheme. There are currently very few if any comparable cases to establish such a practice’).</w:t>
      </w:r>
    </w:p>
  </w:footnote>
  <w:footnote w:id="155">
    <w:p w14:paraId="1AA09C9E" w14:textId="2EB936F6" w:rsidR="00EF5C25" w:rsidRPr="003C1ACC" w:rsidRDefault="00EF5C25" w:rsidP="00D2078D">
      <w:pPr>
        <w:pStyle w:val="Footnote"/>
      </w:pPr>
      <w:r w:rsidRPr="003C1ACC">
        <w:rPr>
          <w:vertAlign w:val="superscript"/>
        </w:rPr>
        <w:footnoteRef/>
      </w:r>
      <w:r w:rsidRPr="003C1ACC">
        <w:rPr>
          <w:spacing w:val="-2"/>
        </w:rPr>
        <w:t>.</w:t>
      </w:r>
      <w:r w:rsidRPr="003C1ACC">
        <w:rPr>
          <w:spacing w:val="-2"/>
        </w:rPr>
        <w:tab/>
        <w:t xml:space="preserve">See, for example, </w:t>
      </w:r>
      <w:r w:rsidRPr="003C1ACC">
        <w:rPr>
          <w:rStyle w:val="LightItalic"/>
          <w:rFonts w:ascii="Verdana" w:hAnsi="Verdana"/>
          <w:spacing w:val="-2"/>
        </w:rPr>
        <w:t xml:space="preserve">R v Ware </w:t>
      </w:r>
      <w:r w:rsidRPr="003C1ACC">
        <w:rPr>
          <w:spacing w:val="-2"/>
        </w:rPr>
        <w:t xml:space="preserve">[1997] 1 VR 647; </w:t>
      </w:r>
      <w:r w:rsidRPr="003C1ACC">
        <w:rPr>
          <w:rStyle w:val="LightItalic"/>
          <w:rFonts w:ascii="Verdana" w:hAnsi="Verdana"/>
          <w:spacing w:val="-2"/>
        </w:rPr>
        <w:t xml:space="preserve">DPP v G </w:t>
      </w:r>
      <w:r w:rsidRPr="003C1ACC">
        <w:rPr>
          <w:spacing w:val="-2"/>
        </w:rPr>
        <w:t xml:space="preserve">[2002] VSCA 6 (7 February 2002) [11]; </w:t>
      </w:r>
      <w:r w:rsidRPr="003C1ACC">
        <w:rPr>
          <w:rStyle w:val="LightItalic"/>
          <w:rFonts w:ascii="Verdana" w:hAnsi="Verdana"/>
          <w:spacing w:val="-2"/>
        </w:rPr>
        <w:t xml:space="preserve">DPP v BGJ </w:t>
      </w:r>
      <w:r w:rsidRPr="003C1ACC">
        <w:rPr>
          <w:spacing w:val="-2"/>
        </w:rPr>
        <w:t xml:space="preserve">[2007] VSCA 64 (17 April </w:t>
      </w:r>
      <w:r w:rsidRPr="003C1ACC">
        <w:rPr>
          <w:spacing w:val="-1"/>
        </w:rPr>
        <w:t xml:space="preserve">2007); </w:t>
      </w:r>
      <w:r w:rsidRPr="003C1ACC">
        <w:rPr>
          <w:rStyle w:val="LightItalic"/>
          <w:rFonts w:ascii="Verdana" w:hAnsi="Verdana"/>
          <w:spacing w:val="-3"/>
        </w:rPr>
        <w:t xml:space="preserve">GEM v The Queen </w:t>
      </w:r>
      <w:r w:rsidRPr="003C1ACC">
        <w:rPr>
          <w:spacing w:val="-3"/>
        </w:rPr>
        <w:t xml:space="preserve">[2010] VSCA 168 (1 July 2010); </w:t>
      </w:r>
      <w:r w:rsidRPr="003C1ACC">
        <w:rPr>
          <w:rStyle w:val="LightItalic"/>
          <w:rFonts w:ascii="Verdana" w:hAnsi="Verdana"/>
          <w:spacing w:val="-3"/>
        </w:rPr>
        <w:t xml:space="preserve">DPP v Wilson (A Pseudonym) </w:t>
      </w:r>
      <w:r w:rsidRPr="003C1ACC">
        <w:rPr>
          <w:spacing w:val="-3"/>
        </w:rPr>
        <w:t xml:space="preserve">[2018] VSCA 263 (17 October 2018) [25] (‘Incest involving a </w:t>
      </w:r>
      <w:r w:rsidRPr="003C1ACC">
        <w:t>child is by definition an offence of very high culpability since it is so obviously contrary to every tenet of parental care for children’).</w:t>
      </w:r>
    </w:p>
  </w:footnote>
  <w:footnote w:id="156">
    <w:p w14:paraId="3F0266FE" w14:textId="6EFE596A" w:rsidR="00EF5C25" w:rsidRPr="003C1ACC" w:rsidRDefault="00EF5C25" w:rsidP="00D2078D">
      <w:pPr>
        <w:pStyle w:val="Footnote"/>
      </w:pPr>
      <w:r w:rsidRPr="003C1ACC">
        <w:rPr>
          <w:vertAlign w:val="superscript"/>
        </w:rPr>
        <w:footnoteRef/>
      </w:r>
      <w:r w:rsidRPr="003C1ACC">
        <w:t>.</w:t>
      </w:r>
      <w:r w:rsidRPr="003C1ACC">
        <w:tab/>
      </w:r>
      <w:r w:rsidRPr="003C1ACC">
        <w:rPr>
          <w:rStyle w:val="LightItalic"/>
          <w:rFonts w:ascii="Verdana" w:hAnsi="Verdana"/>
        </w:rPr>
        <w:t xml:space="preserve">DPP v Shelton (A Pseudonym) </w:t>
      </w:r>
      <w:r w:rsidRPr="003C1ACC">
        <w:t>[2020] VCC 1073 (21 July 2020) [85].</w:t>
      </w:r>
    </w:p>
  </w:footnote>
  <w:footnote w:id="157">
    <w:p w14:paraId="6387C1B0" w14:textId="6DB8EACB" w:rsidR="00EF5C25" w:rsidRPr="003C1ACC" w:rsidRDefault="00EF5C25" w:rsidP="00D2078D">
      <w:pPr>
        <w:pStyle w:val="Footnote"/>
      </w:pPr>
      <w:r w:rsidRPr="003C1ACC">
        <w:rPr>
          <w:vertAlign w:val="superscript"/>
        </w:rPr>
        <w:footnoteRef/>
      </w:r>
      <w:r w:rsidRPr="003C1ACC">
        <w:t>.</w:t>
      </w:r>
      <w:r w:rsidRPr="003C1ACC">
        <w:tab/>
      </w:r>
      <w:r w:rsidRPr="003C1ACC">
        <w:rPr>
          <w:rStyle w:val="LightItalic"/>
          <w:rFonts w:ascii="Verdana" w:hAnsi="Verdana"/>
        </w:rPr>
        <w:t xml:space="preserve">DPP v Dalgliesh (A Pseudonym) </w:t>
      </w:r>
      <w:r w:rsidRPr="003C1ACC">
        <w:t>[2016] VSCA 148 (29 June 2016).</w:t>
      </w:r>
    </w:p>
  </w:footnote>
  <w:footnote w:id="158">
    <w:p w14:paraId="2C29FCFB" w14:textId="2084CF86" w:rsidR="00EF5C25" w:rsidRPr="00F21346" w:rsidRDefault="00EF5C25" w:rsidP="00F21346">
      <w:pPr>
        <w:pStyle w:val="Footnote"/>
        <w:rPr>
          <w:spacing w:val="-2"/>
        </w:rPr>
      </w:pPr>
      <w:r w:rsidRPr="003C1ACC">
        <w:rPr>
          <w:vertAlign w:val="superscript"/>
        </w:rPr>
        <w:footnoteRef/>
      </w:r>
      <w:r w:rsidRPr="003C1ACC">
        <w:t>.</w:t>
      </w:r>
      <w:r w:rsidRPr="003C1ACC">
        <w:tab/>
      </w:r>
      <w:r w:rsidRPr="003C1ACC">
        <w:rPr>
          <w:rStyle w:val="LightItalic"/>
          <w:rFonts w:ascii="Verdana" w:hAnsi="Verdana"/>
          <w:spacing w:val="-2"/>
        </w:rPr>
        <w:t xml:space="preserve">DPP v Dalgliesh (A Pseudonym) </w:t>
      </w:r>
      <w:r w:rsidRPr="003C1ACC">
        <w:rPr>
          <w:spacing w:val="-2"/>
        </w:rPr>
        <w:t xml:space="preserve">[2017] HCA 41 (11 October 2017); </w:t>
      </w:r>
      <w:r w:rsidRPr="003C1ACC">
        <w:rPr>
          <w:rStyle w:val="LightItalic"/>
          <w:rFonts w:ascii="Verdana" w:hAnsi="Verdana"/>
          <w:spacing w:val="-2"/>
        </w:rPr>
        <w:t xml:space="preserve">Carter (A Pseudonym) v The Queen </w:t>
      </w:r>
      <w:r w:rsidRPr="003C1ACC">
        <w:rPr>
          <w:spacing w:val="-2"/>
        </w:rPr>
        <w:t>[2018] VSCA 88 (11 April 2018) [80].</w:t>
      </w:r>
    </w:p>
  </w:footnote>
  <w:footnote w:id="159">
    <w:p w14:paraId="25D6FF7B" w14:textId="2219F8AF" w:rsidR="00EF5C25" w:rsidRPr="003C1ACC" w:rsidRDefault="00EF5C25" w:rsidP="00F21346">
      <w:pPr>
        <w:pStyle w:val="Footnote"/>
      </w:pPr>
      <w:r w:rsidRPr="003C1ACC">
        <w:rPr>
          <w:vertAlign w:val="superscript"/>
        </w:rPr>
        <w:footnoteRef/>
      </w:r>
      <w:r w:rsidRPr="003C1ACC">
        <w:t>.</w:t>
      </w:r>
      <w:r w:rsidRPr="003C1ACC">
        <w:tab/>
      </w:r>
      <w:r w:rsidRPr="003C1ACC">
        <w:rPr>
          <w:rStyle w:val="LightItalic"/>
          <w:rFonts w:ascii="Verdana" w:hAnsi="Verdana"/>
        </w:rPr>
        <w:t xml:space="preserve">Hogarth v The Queen </w:t>
      </w:r>
      <w:r w:rsidRPr="003C1ACC">
        <w:t>[2012] VSCA 302 (18 December 2012).</w:t>
      </w:r>
    </w:p>
  </w:footnote>
  <w:footnote w:id="160">
    <w:p w14:paraId="47AD2E7A" w14:textId="59662378" w:rsidR="00EF5C25" w:rsidRPr="003C1ACC" w:rsidRDefault="00EF5C25" w:rsidP="00F21346">
      <w:pPr>
        <w:pStyle w:val="Footnote"/>
      </w:pPr>
      <w:r w:rsidRPr="003C1ACC">
        <w:rPr>
          <w:vertAlign w:val="superscript"/>
        </w:rPr>
        <w:footnoteRef/>
      </w:r>
      <w:r w:rsidRPr="003C1ACC">
        <w:t>.</w:t>
      </w:r>
      <w:r w:rsidRPr="003C1ACC">
        <w:tab/>
        <w:t>Sentencing Advisory Council (2016), above n 62, 385 (Figure A85).</w:t>
      </w:r>
    </w:p>
  </w:footnote>
  <w:footnote w:id="161">
    <w:p w14:paraId="0937E4BE" w14:textId="70713ED3" w:rsidR="00EF5C25" w:rsidRPr="003C1ACC" w:rsidRDefault="00EF5C25" w:rsidP="00497E2A">
      <w:pPr>
        <w:pStyle w:val="Footnote"/>
      </w:pPr>
      <w:r w:rsidRPr="003C1ACC">
        <w:rPr>
          <w:vertAlign w:val="superscript"/>
        </w:rPr>
        <w:footnoteRef/>
      </w:r>
      <w:r w:rsidRPr="003C1ACC">
        <w:t>.</w:t>
      </w:r>
      <w:r w:rsidRPr="003C1ACC">
        <w:tab/>
      </w:r>
      <w:r w:rsidRPr="003C1ACC">
        <w:rPr>
          <w:rStyle w:val="LightItalic"/>
          <w:rFonts w:ascii="Verdana" w:hAnsi="Verdana"/>
        </w:rPr>
        <w:t xml:space="preserve">Grantley (A Pseudonym) v The Queen </w:t>
      </w:r>
      <w:r w:rsidRPr="003C1ACC">
        <w:t xml:space="preserve">[2018] VSCA 112 (9 May 2018); </w:t>
      </w:r>
      <w:r w:rsidRPr="003C1ACC">
        <w:rPr>
          <w:rStyle w:val="LightItalic"/>
          <w:rFonts w:ascii="Verdana" w:hAnsi="Verdana"/>
        </w:rPr>
        <w:t xml:space="preserve">Crawford (A Pseudonym) v The Queen </w:t>
      </w:r>
      <w:r w:rsidRPr="003C1ACC">
        <w:t xml:space="preserve">[2018] VSCA 113 (9 May 2018); </w:t>
      </w:r>
      <w:r w:rsidRPr="003C1ACC">
        <w:rPr>
          <w:rStyle w:val="LightItalic"/>
          <w:rFonts w:ascii="Verdana" w:hAnsi="Verdana"/>
        </w:rPr>
        <w:t xml:space="preserve">Phillips (A Pseudonym) v The Queen </w:t>
      </w:r>
      <w:r w:rsidRPr="003C1ACC">
        <w:t>[2018] VSCA 114 (9 May 2018).</w:t>
      </w:r>
    </w:p>
  </w:footnote>
  <w:footnote w:id="162">
    <w:p w14:paraId="30D04BD0" w14:textId="43840C94" w:rsidR="00EF5C25" w:rsidRPr="003C1ACC" w:rsidRDefault="00EF5C25" w:rsidP="00497E2A">
      <w:pPr>
        <w:pStyle w:val="Footnote"/>
      </w:pPr>
      <w:r w:rsidRPr="003C1ACC">
        <w:rPr>
          <w:vertAlign w:val="superscript"/>
        </w:rPr>
        <w:footnoteRef/>
      </w:r>
      <w:r w:rsidRPr="003C1ACC">
        <w:t>.</w:t>
      </w:r>
      <w:r w:rsidRPr="003C1ACC">
        <w:tab/>
      </w:r>
      <w:r w:rsidRPr="003C1ACC">
        <w:rPr>
          <w:rStyle w:val="LightItalic"/>
          <w:rFonts w:ascii="Verdana" w:hAnsi="Verdana"/>
        </w:rPr>
        <w:t xml:space="preserve">Grantley (A Pseudonym) v The Queen </w:t>
      </w:r>
      <w:r w:rsidRPr="003C1ACC">
        <w:t>[2018] VSCA 112 (9 May 2018) [35].</w:t>
      </w:r>
    </w:p>
  </w:footnote>
  <w:footnote w:id="163">
    <w:p w14:paraId="10C80BDB" w14:textId="3BE36135" w:rsidR="00EF5C25" w:rsidRPr="003C1ACC" w:rsidRDefault="00EF5C25" w:rsidP="00497E2A">
      <w:pPr>
        <w:pStyle w:val="Footnote"/>
      </w:pPr>
      <w:r w:rsidRPr="003C1ACC">
        <w:rPr>
          <w:vertAlign w:val="superscript"/>
        </w:rPr>
        <w:footnoteRef/>
      </w:r>
      <w:r w:rsidRPr="003C1ACC">
        <w:t>.</w:t>
      </w:r>
      <w:r w:rsidRPr="003C1ACC">
        <w:tab/>
      </w:r>
      <w:r w:rsidRPr="003C1ACC">
        <w:rPr>
          <w:rStyle w:val="LightItalic"/>
          <w:rFonts w:ascii="Verdana" w:hAnsi="Verdana"/>
        </w:rPr>
        <w:t xml:space="preserve">DPP v Shearer (A Pseudonym) </w:t>
      </w:r>
      <w:r w:rsidRPr="003C1ACC">
        <w:t xml:space="preserve">[2019] VSCA 47 (12 March 2019). See also the successful prosecution appeals against sentences for incest offences in </w:t>
      </w:r>
      <w:r w:rsidRPr="003C1ACC">
        <w:rPr>
          <w:rStyle w:val="LightItalic"/>
          <w:rFonts w:ascii="Verdana" w:hAnsi="Verdana"/>
        </w:rPr>
        <w:t xml:space="preserve">DPP v Wilson (A Pseudonym) </w:t>
      </w:r>
      <w:r w:rsidRPr="003C1ACC">
        <w:t xml:space="preserve">[2018] VSCA 263 (17 October 2018), </w:t>
      </w:r>
      <w:r w:rsidRPr="003C1ACC">
        <w:rPr>
          <w:rStyle w:val="LightItalic"/>
          <w:rFonts w:ascii="Verdana" w:hAnsi="Verdana"/>
        </w:rPr>
        <w:t xml:space="preserve">DPP v Walsh (A Pseudonym) </w:t>
      </w:r>
      <w:r w:rsidRPr="003C1ACC">
        <w:t xml:space="preserve">[2018] VSCA 172 (17 July 2018) and </w:t>
      </w:r>
      <w:r w:rsidRPr="003C1ACC">
        <w:rPr>
          <w:rStyle w:val="LightItalic"/>
          <w:rFonts w:ascii="Verdana" w:hAnsi="Verdana"/>
        </w:rPr>
        <w:t xml:space="preserve">DPP v Tewksbury (A Pseudonym) </w:t>
      </w:r>
      <w:r w:rsidRPr="003C1ACC">
        <w:t>[2018] VSCA 38 (27 February 2018).</w:t>
      </w:r>
    </w:p>
  </w:footnote>
  <w:footnote w:id="164">
    <w:p w14:paraId="4DE9E5ED" w14:textId="1D15071F" w:rsidR="00EF5C25" w:rsidRPr="003C1ACC" w:rsidRDefault="00EF5C25" w:rsidP="00497E2A">
      <w:pPr>
        <w:pStyle w:val="Footnote"/>
      </w:pPr>
      <w:r w:rsidRPr="003C1ACC">
        <w:rPr>
          <w:vertAlign w:val="superscript"/>
        </w:rPr>
        <w:footnoteRef/>
      </w:r>
      <w:r w:rsidRPr="003C1ACC">
        <w:t>.</w:t>
      </w:r>
      <w:r w:rsidRPr="003C1ACC">
        <w:tab/>
      </w:r>
      <w:r w:rsidRPr="003C1ACC">
        <w:rPr>
          <w:rStyle w:val="LightItalic"/>
          <w:rFonts w:ascii="Verdana" w:hAnsi="Verdana"/>
        </w:rPr>
        <w:t xml:space="preserve">DPP v Shelton (A Pseudonym) </w:t>
      </w:r>
      <w:r w:rsidRPr="003C1ACC">
        <w:t xml:space="preserve">[2020] VCC 1073 (21 July 2020) [90]. See also </w:t>
      </w:r>
      <w:r w:rsidRPr="003C1ACC">
        <w:rPr>
          <w:rStyle w:val="LightItalic"/>
          <w:rFonts w:ascii="Verdana" w:hAnsi="Verdana"/>
        </w:rPr>
        <w:t xml:space="preserve">DPP v Murray (A Pseudonym) </w:t>
      </w:r>
      <w:r w:rsidRPr="003C1ACC">
        <w:t xml:space="preserve">[2020] VCC 1475 (16 September 2020) [58] (‘I note in passing the recent history of sentences in this spectrum of incest after the </w:t>
      </w:r>
      <w:r w:rsidRPr="003C1ACC">
        <w:rPr>
          <w:rStyle w:val="LightItalic"/>
          <w:rFonts w:ascii="Verdana" w:hAnsi="Verdana"/>
        </w:rPr>
        <w:t xml:space="preserve">Dalgliesh </w:t>
      </w:r>
      <w:r w:rsidRPr="003C1ACC">
        <w:t>decision’).</w:t>
      </w:r>
    </w:p>
  </w:footnote>
  <w:footnote w:id="165">
    <w:p w14:paraId="5E0FECD3" w14:textId="4ABEF412" w:rsidR="00EF5C25" w:rsidRPr="003C1ACC" w:rsidRDefault="00EF5C25" w:rsidP="00497E2A">
      <w:pPr>
        <w:pStyle w:val="Footnote"/>
      </w:pPr>
      <w:r w:rsidRPr="003C1ACC">
        <w:rPr>
          <w:vertAlign w:val="superscript"/>
        </w:rPr>
        <w:footnoteRef/>
      </w:r>
      <w:r w:rsidRPr="003C1ACC">
        <w:t>.</w:t>
      </w:r>
      <w:r w:rsidRPr="003C1ACC">
        <w:tab/>
      </w:r>
      <w:r w:rsidRPr="003C1ACC">
        <w:rPr>
          <w:rStyle w:val="LightItalic"/>
          <w:rFonts w:ascii="Verdana" w:hAnsi="Verdana"/>
        </w:rPr>
        <w:t xml:space="preserve">Grantley (A Pseudonym) v The Queen </w:t>
      </w:r>
      <w:r w:rsidRPr="003C1ACC">
        <w:t>[2018] VSCA 112 (9 May 2018) [20].</w:t>
      </w:r>
    </w:p>
  </w:footnote>
  <w:footnote w:id="166">
    <w:p w14:paraId="4737B064" w14:textId="7E025009"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DPP v Nenna (A Pseudonym) </w:t>
      </w:r>
      <w:r w:rsidRPr="003C1ACC">
        <w:t xml:space="preserve">[2019] VCC 1512 (19 September 2019) [53]. See also </w:t>
      </w:r>
      <w:r w:rsidRPr="003C1ACC">
        <w:rPr>
          <w:rStyle w:val="LightItalic"/>
          <w:rFonts w:ascii="Verdana" w:hAnsi="Verdana"/>
        </w:rPr>
        <w:t xml:space="preserve">DPP v Molyneux (A Pseudonym) and Anor </w:t>
      </w:r>
      <w:r w:rsidRPr="003C1ACC">
        <w:t>[2018] VCC 2225 (21 December 2018) [44] (‘The High Court has made it clear that a sentencing judge is not bound by an inadequate past sentencing practice’).</w:t>
      </w:r>
    </w:p>
  </w:footnote>
  <w:footnote w:id="167">
    <w:p w14:paraId="6B024F4B" w14:textId="39C575B0" w:rsidR="00EF5C25" w:rsidRPr="003C1ACC" w:rsidRDefault="00EF5C25" w:rsidP="00786456">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Parker (A Pseudonym) </w:t>
      </w:r>
      <w:r w:rsidRPr="003C1ACC">
        <w:t>[2019] VCC 918 (31 May 2019) [119] (</w:t>
      </w:r>
      <w:r w:rsidRPr="003C1ACC">
        <w:rPr>
          <w:rStyle w:val="LightItalic"/>
          <w:rFonts w:ascii="Verdana" w:hAnsi="Verdana"/>
        </w:rPr>
        <w:t>Dalgliesh</w:t>
      </w:r>
      <w:r w:rsidRPr="003C1ACC">
        <w:t xml:space="preserve"> ‘is not the first occasion where statements have been made by the courts over the years, including our Court of Appeal, regarding the serious nature of sexual offending generally and sexual offending specifically by a parent of their child. Such statements are not new’).</w:t>
      </w:r>
    </w:p>
  </w:footnote>
  <w:footnote w:id="168">
    <w:p w14:paraId="35990379" w14:textId="6740A3B2"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DPP v Ferreira (A Pseudonym) </w:t>
      </w:r>
      <w:r w:rsidRPr="003C1ACC">
        <w:t>[2019] VCC 1212 (8 August 2019) [55], [57].</w:t>
      </w:r>
    </w:p>
  </w:footnote>
  <w:footnote w:id="169">
    <w:p w14:paraId="58ACC669" w14:textId="35D4DDCC"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DPP v Clifton (A Pseudonym) </w:t>
      </w:r>
      <w:r w:rsidRPr="003C1ACC">
        <w:t>[2019] VCC 1219 (6 August 2019) [42].</w:t>
      </w:r>
    </w:p>
  </w:footnote>
  <w:footnote w:id="170">
    <w:p w14:paraId="19C1D525" w14:textId="424DB7CC"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DPP v Polat (A Pseudonym) </w:t>
      </w:r>
      <w:r w:rsidRPr="003C1ACC">
        <w:t>[2020] VCC 174 (25 June 2020) [82].</w:t>
      </w:r>
    </w:p>
  </w:footnote>
  <w:footnote w:id="171">
    <w:p w14:paraId="66C5F166" w14:textId="3A90DB09"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DPP v Kestler </w:t>
      </w:r>
      <w:r w:rsidRPr="003C1ACC">
        <w:t>[2017] VCC 2027 (22 December 2017).</w:t>
      </w:r>
    </w:p>
  </w:footnote>
  <w:footnote w:id="172">
    <w:p w14:paraId="49BB7CF6" w14:textId="622FBE83" w:rsidR="00EF5C25" w:rsidRPr="003C1ACC" w:rsidRDefault="00EF5C25" w:rsidP="00786456">
      <w:pPr>
        <w:pStyle w:val="Footnote"/>
      </w:pPr>
      <w:r w:rsidRPr="003C1ACC">
        <w:rPr>
          <w:vertAlign w:val="superscript"/>
        </w:rPr>
        <w:footnoteRef/>
      </w:r>
      <w:r w:rsidRPr="003C1ACC">
        <w:t>.</w:t>
      </w:r>
      <w:r w:rsidRPr="003C1ACC">
        <w:tab/>
      </w:r>
      <w:r w:rsidRPr="003C1ACC">
        <w:rPr>
          <w:rStyle w:val="LightItalic"/>
          <w:rFonts w:ascii="Verdana" w:hAnsi="Verdana"/>
        </w:rPr>
        <w:t xml:space="preserve">Stalio v The Queen </w:t>
      </w:r>
      <w:r w:rsidRPr="003C1ACC">
        <w:t>[2012] VSCA 120 (12 June 2012). The court must still sentence within the applicable maximum penalty at the time of the offending.</w:t>
      </w:r>
    </w:p>
  </w:footnote>
  <w:footnote w:id="173">
    <w:p w14:paraId="2E766C4B" w14:textId="39F0BDD3" w:rsidR="00EF5C25" w:rsidRPr="003C1ACC" w:rsidRDefault="00EF5C25" w:rsidP="000F7F20">
      <w:pPr>
        <w:pStyle w:val="Footnote"/>
      </w:pPr>
      <w:r w:rsidRPr="003C1ACC">
        <w:rPr>
          <w:vertAlign w:val="superscript"/>
        </w:rPr>
        <w:footnoteRef/>
      </w:r>
      <w:r w:rsidRPr="003C1ACC">
        <w:t>.</w:t>
      </w:r>
      <w:r w:rsidRPr="003C1ACC">
        <w:tab/>
      </w:r>
      <w:r w:rsidRPr="003C1ACC">
        <w:rPr>
          <w:rStyle w:val="LightItalic"/>
          <w:rFonts w:ascii="Verdana" w:hAnsi="Verdana"/>
        </w:rPr>
        <w:t xml:space="preserve">Pitt (A Pseudonym) v The Queen </w:t>
      </w:r>
      <w:r w:rsidRPr="003C1ACC">
        <w:t>[2020] VSCA 73 (27 March 2020) [53] (‘the delay in this case is relevant in at least two ways. First, had the applicant been sentenced for his sexual offending at a time close to the commission of the offences, when current sentencing practices for sexual offending were somewhat different — sentencing practices for incest being of particular relevance in the present case — the [sentence for incest] … would in all likelihood have been more moderate than [that] imposed by the sentencing judge.’)</w:t>
      </w:r>
    </w:p>
  </w:footnote>
  <w:footnote w:id="174">
    <w:p w14:paraId="7E95F6D7" w14:textId="63AF2948" w:rsidR="00EF5C25" w:rsidRPr="000F7F20" w:rsidRDefault="00EF5C25" w:rsidP="000F7F20">
      <w:pPr>
        <w:pStyle w:val="Footnote"/>
        <w:rPr>
          <w:spacing w:val="-1"/>
        </w:rPr>
      </w:pPr>
      <w:r w:rsidRPr="003C1ACC">
        <w:rPr>
          <w:vertAlign w:val="superscript"/>
        </w:rPr>
        <w:footnoteRef/>
      </w:r>
      <w:r w:rsidRPr="003C1ACC">
        <w:t>.</w:t>
      </w:r>
      <w:r w:rsidRPr="003C1ACC">
        <w:tab/>
      </w:r>
      <w:r w:rsidRPr="003C1ACC">
        <w:rPr>
          <w:rStyle w:val="LightItalic"/>
          <w:rFonts w:ascii="Verdana" w:hAnsi="Verdana"/>
          <w:spacing w:val="-1"/>
        </w:rPr>
        <w:t xml:space="preserve">Criminal Procedure Act 2009 </w:t>
      </w:r>
      <w:r w:rsidRPr="003C1ACC">
        <w:rPr>
          <w:spacing w:val="-1"/>
        </w:rPr>
        <w:t xml:space="preserve">(Vic) sch 1 cl 4A, as inserted by </w:t>
      </w:r>
      <w:r w:rsidRPr="003C1ACC">
        <w:rPr>
          <w:rStyle w:val="LightItalic"/>
          <w:rFonts w:ascii="Verdana" w:hAnsi="Verdana"/>
          <w:spacing w:val="-1"/>
        </w:rPr>
        <w:t xml:space="preserve">Crimes Amendment (Sexual Offences and Others Matters) Act 2014 </w:t>
      </w:r>
      <w:r w:rsidRPr="003C1ACC">
        <w:rPr>
          <w:spacing w:val="-1"/>
        </w:rPr>
        <w:t>(Vic) s 13.</w:t>
      </w:r>
    </w:p>
  </w:footnote>
  <w:footnote w:id="175">
    <w:p w14:paraId="53497C6E" w14:textId="51CFA2FF" w:rsidR="00EF5C25" w:rsidRPr="003C1ACC" w:rsidRDefault="00EF5C25" w:rsidP="000F7F20">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Shelton (A Pseudonym) </w:t>
      </w:r>
      <w:r w:rsidRPr="003C1ACC">
        <w:t xml:space="preserve">[2020] VCC 1073 (21 July 2020) [34] (‘I was reminded that these were course of conduct offences and the impact of those provisions in the </w:t>
      </w:r>
      <w:r w:rsidRPr="003C1ACC">
        <w:rPr>
          <w:rStyle w:val="LightItalic"/>
          <w:rFonts w:ascii="Verdana" w:hAnsi="Verdana"/>
        </w:rPr>
        <w:t>Sentencing Act</w:t>
      </w:r>
      <w:r w:rsidRPr="003C1ACC">
        <w:t>’).</w:t>
      </w:r>
    </w:p>
  </w:footnote>
  <w:footnote w:id="176">
    <w:p w14:paraId="7B2B0A8F" w14:textId="4C06A264" w:rsidR="00EF5C25" w:rsidRPr="003C1ACC" w:rsidRDefault="00EF5C25" w:rsidP="00D92A1D">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5(2F). See, for example, </w:t>
      </w:r>
      <w:r w:rsidRPr="003C1ACC">
        <w:rPr>
          <w:rStyle w:val="LightItalic"/>
          <w:rFonts w:ascii="Verdana" w:hAnsi="Verdana"/>
        </w:rPr>
        <w:t xml:space="preserve">Pickford (A Pseudonym) v The Queen </w:t>
      </w:r>
      <w:r w:rsidRPr="003C1ACC">
        <w:t xml:space="preserve">[2019] VSCA 195 (11 September 2019) [65]–[66]; </w:t>
      </w:r>
      <w:r w:rsidRPr="003C1ACC">
        <w:rPr>
          <w:rStyle w:val="LightItalic"/>
          <w:rFonts w:ascii="Verdana" w:hAnsi="Verdana"/>
        </w:rPr>
        <w:t xml:space="preserve">Crawford (A Pseudonym) v The Queen </w:t>
      </w:r>
      <w:r w:rsidRPr="003C1ACC">
        <w:t xml:space="preserve">[2018] VSCA 113 (9 May 2018); </w:t>
      </w:r>
      <w:r w:rsidRPr="003C1ACC">
        <w:rPr>
          <w:rStyle w:val="LightItalic"/>
          <w:rFonts w:ascii="Verdana" w:hAnsi="Verdana"/>
        </w:rPr>
        <w:t xml:space="preserve">Best v The Queen </w:t>
      </w:r>
      <w:r w:rsidRPr="003C1ACC">
        <w:t xml:space="preserve">[2019] VSCA 124 (7 June 2019) [48]; </w:t>
      </w:r>
      <w:r w:rsidRPr="003C1ACC">
        <w:rPr>
          <w:rStyle w:val="LightItalic"/>
          <w:rFonts w:ascii="Verdana" w:hAnsi="Verdana"/>
        </w:rPr>
        <w:t xml:space="preserve">Bromley v The Queen </w:t>
      </w:r>
      <w:r w:rsidRPr="003C1ACC">
        <w:t xml:space="preserve">[2018] VSCA 329 (6 December 2018) [57]; </w:t>
      </w:r>
      <w:r w:rsidRPr="003C1ACC">
        <w:rPr>
          <w:rStyle w:val="LightItalic"/>
          <w:rFonts w:ascii="Verdana" w:hAnsi="Verdana"/>
        </w:rPr>
        <w:t xml:space="preserve">Harlow (A Pseudonym) v The Queen </w:t>
      </w:r>
      <w:r w:rsidRPr="003C1ACC">
        <w:t xml:space="preserve">[2018] VSCA 234 (14 September 2018) [92]–[93]. On the continuing relevance of the maximum penalty as a yardstick in sentencing course of conduct offences, see </w:t>
      </w:r>
      <w:r w:rsidRPr="003C1ACC">
        <w:rPr>
          <w:rStyle w:val="LightItalic"/>
          <w:rFonts w:ascii="Verdana" w:hAnsi="Verdana"/>
        </w:rPr>
        <w:t xml:space="preserve">Poursanidis v The Queen </w:t>
      </w:r>
      <w:r w:rsidRPr="003C1ACC">
        <w:t>[2016] VSCA 164 (11 July 2016).</w:t>
      </w:r>
    </w:p>
  </w:footnote>
  <w:footnote w:id="177">
    <w:p w14:paraId="05828992" w14:textId="3590C6A6" w:rsidR="00EF5C25" w:rsidRPr="003C1ACC" w:rsidRDefault="00EF5C25" w:rsidP="00D92A1D">
      <w:pPr>
        <w:pStyle w:val="Footnote"/>
      </w:pPr>
      <w:r w:rsidRPr="003C1ACC">
        <w:rPr>
          <w:vertAlign w:val="superscript"/>
        </w:rPr>
        <w:footnoteRef/>
      </w:r>
      <w:r w:rsidRPr="003C1ACC">
        <w:t>.</w:t>
      </w:r>
      <w:r w:rsidRPr="003C1ACC">
        <w:tab/>
      </w:r>
      <w:r w:rsidRPr="003C1ACC">
        <w:rPr>
          <w:rStyle w:val="LightItalic"/>
          <w:rFonts w:ascii="Verdana" w:hAnsi="Verdana"/>
        </w:rPr>
        <w:t xml:space="preserve">Crouch (A Pseudonym) v The Queen </w:t>
      </w:r>
      <w:r w:rsidRPr="003C1ACC">
        <w:t>[2019] VSCA 30 (22 February 2019).</w:t>
      </w:r>
    </w:p>
  </w:footnote>
  <w:footnote w:id="178">
    <w:p w14:paraId="009EA1E6" w14:textId="0E218C80" w:rsidR="00EF5C25" w:rsidRPr="00D92A1D" w:rsidRDefault="00EF5C25" w:rsidP="00D92A1D">
      <w:pPr>
        <w:pStyle w:val="Footnote"/>
        <w:rPr>
          <w:i/>
          <w:iCs/>
          <w:lang w:val="en-AU"/>
        </w:rPr>
      </w:pPr>
      <w:r w:rsidRPr="003C1ACC">
        <w:rPr>
          <w:vertAlign w:val="superscript"/>
        </w:rPr>
        <w:footnoteRef/>
      </w:r>
      <w:r w:rsidRPr="003C1ACC">
        <w:t>.</w:t>
      </w:r>
      <w:r w:rsidRPr="003C1ACC">
        <w:tab/>
      </w:r>
      <w:r w:rsidRPr="003C1ACC">
        <w:rPr>
          <w:rStyle w:val="LightItalic"/>
          <w:rFonts w:ascii="Verdana" w:hAnsi="Verdana"/>
        </w:rPr>
        <w:t xml:space="preserve">McCray (A Pseudonym) v The Queen </w:t>
      </w:r>
      <w:r w:rsidRPr="003C1ACC">
        <w:t>[2017] VSCA 340 (22 November 2017) [35]–[36].</w:t>
      </w:r>
      <w:r w:rsidRPr="003C1ACC">
        <w:rPr>
          <w:rStyle w:val="LightItalic"/>
          <w:rFonts w:ascii="Verdana" w:hAnsi="Verdana"/>
        </w:rPr>
        <w:t xml:space="preserve"> </w:t>
      </w:r>
    </w:p>
  </w:footnote>
  <w:footnote w:id="179">
    <w:p w14:paraId="33F64CD7" w14:textId="3817B4D6" w:rsidR="00EF5C25" w:rsidRPr="003C1ACC" w:rsidRDefault="00EF5C25" w:rsidP="00D92A1D">
      <w:pPr>
        <w:pStyle w:val="Footnote"/>
      </w:pPr>
      <w:r w:rsidRPr="003C1ACC">
        <w:rPr>
          <w:vertAlign w:val="superscript"/>
        </w:rPr>
        <w:footnoteRef/>
      </w:r>
      <w:r w:rsidRPr="003C1ACC">
        <w:t>.</w:t>
      </w:r>
      <w:r w:rsidRPr="003C1ACC">
        <w:tab/>
        <w:t>Court data occasionally indicates whether an incest offence was sentenced as a course of conduct charge. Where an incest offence was recorded as being a course of conduct offence, this was confirmed via sentencing remarks (there were no false positives). It was not possible to include all false negatives (course of conduct charges that were not recorded as such in the data) in this analysis.</w:t>
      </w:r>
    </w:p>
  </w:footnote>
  <w:footnote w:id="180">
    <w:p w14:paraId="7EB6EF8F" w14:textId="1B852B9C" w:rsidR="00EF5C25" w:rsidRPr="003C1ACC" w:rsidRDefault="00EF5C25" w:rsidP="00CD34C1">
      <w:pPr>
        <w:pStyle w:val="Footnote"/>
      </w:pPr>
      <w:r w:rsidRPr="003C1ACC">
        <w:rPr>
          <w:vertAlign w:val="superscript"/>
        </w:rPr>
        <w:footnoteRef/>
      </w:r>
      <w:r w:rsidRPr="003C1ACC">
        <w:t>.</w:t>
      </w:r>
      <w:r w:rsidRPr="003C1ACC">
        <w:tab/>
        <w:t>The term ‘child sexual penetration offences’ refers to the offences listed in Table 8 (see also glossary).</w:t>
      </w:r>
    </w:p>
  </w:footnote>
  <w:footnote w:id="181">
    <w:p w14:paraId="722DCDC5" w14:textId="1E57708A" w:rsidR="00EF5C25" w:rsidRPr="003C1ACC" w:rsidRDefault="00EF5C25" w:rsidP="00CD34C1">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 49A.</w:t>
      </w:r>
    </w:p>
  </w:footnote>
  <w:footnote w:id="182">
    <w:p w14:paraId="2F3CE4D5" w14:textId="2A551D72" w:rsidR="00EF5C25" w:rsidRPr="003C1ACC" w:rsidRDefault="00EF5C25" w:rsidP="00CD34C1">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 49B.</w:t>
      </w:r>
    </w:p>
  </w:footnote>
  <w:footnote w:id="183">
    <w:p w14:paraId="47636363" w14:textId="01BC27F2" w:rsidR="00EF5C25" w:rsidRPr="003C1ACC" w:rsidRDefault="00EF5C25" w:rsidP="00CD34C1">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 49C.</w:t>
      </w:r>
    </w:p>
  </w:footnote>
  <w:footnote w:id="184">
    <w:p w14:paraId="585175A8" w14:textId="1717A907" w:rsidR="00EF5C25" w:rsidRPr="003C1ACC" w:rsidRDefault="00EF5C25" w:rsidP="00CD34C1">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 49C, 48(1), 50(1), 68(1) (as in force from 1 April 1959 to 28 February 1981). The maximum penalties for carnal knowledge of a girl included 20 years (if the victim was aged under 10 years), 10 years (if the victim was aged 10 to under 16 years) and 12 months (if the victim was aged 16 or 17 years). The maximum penalty for buggery also varied by the age of the victim: 20 years (child aged under 14 years), and 10 years (all other cases).</w:t>
      </w:r>
    </w:p>
  </w:footnote>
  <w:footnote w:id="185">
    <w:p w14:paraId="64775954" w14:textId="538934A2" w:rsidR="00EF5C25" w:rsidRPr="003C1ACC" w:rsidRDefault="00EF5C25" w:rsidP="00BC60A8">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1980 </w:t>
      </w:r>
      <w:r w:rsidRPr="003C1ACC">
        <w:t>(Vic) ss 47(1), 48(1) (as in force from 1 March 1981 to 4 August 1991). The maximum penalties for these child sexual penetration offences included 20 years (if the victim was aged under 10 years), 10 years (if the victim was aged 10 to under 16 years), 15 years (if the victim was aged 10 to under 16 years and under care, supervision or authority), 2 years (if the victim was aged 16 or 17 years) and 3 years (if the victim was aged 16 or 17 and under care, supervision or authority).</w:t>
      </w:r>
    </w:p>
  </w:footnote>
  <w:footnote w:id="186">
    <w:p w14:paraId="1FC0E177" w14:textId="51B50943" w:rsidR="00EF5C25" w:rsidRPr="003C1ACC" w:rsidRDefault="00EF5C25" w:rsidP="00BC60A8">
      <w:pPr>
        <w:pStyle w:val="Footnote"/>
      </w:pPr>
      <w:r w:rsidRPr="003C1ACC">
        <w:rPr>
          <w:vertAlign w:val="superscript"/>
        </w:rPr>
        <w:footnoteRef/>
      </w:r>
      <w:r w:rsidRPr="003C1ACC">
        <w:t>.</w:t>
      </w:r>
      <w:r w:rsidRPr="003C1ACC">
        <w:tab/>
        <w:t>See above n 76. At the same time, sexual penetration with a child aged 16 or 17 was rendered criminal only if the victim was under the offender’s care, supervision or authority.</w:t>
      </w:r>
    </w:p>
  </w:footnote>
  <w:footnote w:id="187">
    <w:p w14:paraId="33898512" w14:textId="29312416" w:rsidR="00EF5C25" w:rsidRPr="003C1ACC" w:rsidRDefault="00EF5C25" w:rsidP="00BC60A8">
      <w:pPr>
        <w:pStyle w:val="Footnote"/>
      </w:pPr>
      <w:r w:rsidRPr="003C1ACC">
        <w:rPr>
          <w:vertAlign w:val="superscript"/>
        </w:rPr>
        <w:footnoteRef/>
      </w:r>
      <w:r w:rsidRPr="003C1ACC">
        <w:t>.</w:t>
      </w:r>
      <w:r w:rsidRPr="003C1ACC">
        <w:tab/>
        <w:t xml:space="preserve">Victoria, </w:t>
      </w:r>
      <w:r w:rsidRPr="003C1ACC">
        <w:rPr>
          <w:rStyle w:val="LightItalic"/>
          <w:rFonts w:ascii="Verdana" w:hAnsi="Verdana"/>
        </w:rPr>
        <w:t xml:space="preserve">Parliamentary Debates, </w:t>
      </w:r>
      <w:r w:rsidRPr="003C1ACC">
        <w:t>Legislative Assembly,</w:t>
      </w:r>
      <w:r w:rsidRPr="003C1ACC">
        <w:rPr>
          <w:rStyle w:val="LightItalic"/>
          <w:rFonts w:ascii="Verdana" w:hAnsi="Verdana"/>
        </w:rPr>
        <w:t xml:space="preserve"> </w:t>
      </w:r>
      <w:r w:rsidRPr="003C1ACC">
        <w:t xml:space="preserve">24 April 1997, 872 (Jan Wade, Attorney-General); </w:t>
      </w:r>
      <w:r w:rsidRPr="003C1ACC">
        <w:rPr>
          <w:rStyle w:val="LightItalic"/>
          <w:rFonts w:ascii="Verdana" w:hAnsi="Verdana"/>
        </w:rPr>
        <w:t xml:space="preserve">Sentencing and Other Acts (Amendment) Act 1997 </w:t>
      </w:r>
      <w:r w:rsidRPr="003C1ACC">
        <w:t>(Vic) s 60, sch 1 item 22.</w:t>
      </w:r>
    </w:p>
  </w:footnote>
  <w:footnote w:id="188">
    <w:p w14:paraId="756C1E29" w14:textId="5D42242D" w:rsidR="00EF5C25" w:rsidRPr="003C1ACC" w:rsidRDefault="00EF5C25" w:rsidP="00BC60A8">
      <w:pPr>
        <w:pStyle w:val="Footnote"/>
      </w:pPr>
      <w:r w:rsidRPr="003C1ACC">
        <w:rPr>
          <w:vertAlign w:val="superscript"/>
        </w:rPr>
        <w:footnoteRef/>
      </w:r>
      <w:r w:rsidRPr="003C1ACC">
        <w:t>.</w:t>
      </w:r>
      <w:r w:rsidRPr="003C1ACC">
        <w:tab/>
      </w:r>
      <w:r w:rsidRPr="003C1ACC">
        <w:rPr>
          <w:rStyle w:val="LightItalic"/>
          <w:rFonts w:ascii="Verdana" w:hAnsi="Verdana"/>
        </w:rPr>
        <w:t xml:space="preserve">Crimes Legislation Amendment Act 2010 </w:t>
      </w:r>
      <w:r w:rsidRPr="003C1ACC">
        <w:t xml:space="preserve">(Vic) s 3. This was pursuant to recommendations made by the Sentencing Advisory Council: Victoria, ‘Crimes Legislation Amendment Bill’, </w:t>
      </w:r>
      <w:r w:rsidRPr="003C1ACC">
        <w:rPr>
          <w:rStyle w:val="LightItalic"/>
          <w:rFonts w:ascii="Verdana" w:hAnsi="Verdana"/>
        </w:rPr>
        <w:t xml:space="preserve">Parliamentary Debates, </w:t>
      </w:r>
      <w:r w:rsidRPr="003C1ACC">
        <w:t>Legislative Assembly, 10 December 2009, 4606–4607 (Rob Hulls, Attorney-General); Sentencing Advisory Council (2009), above n 10, xii–xiii, 73–79.</w:t>
      </w:r>
    </w:p>
  </w:footnote>
  <w:footnote w:id="189">
    <w:p w14:paraId="2D5EBD7C" w14:textId="4D72B76D" w:rsidR="00EF5C25" w:rsidRPr="003C1ACC" w:rsidRDefault="00EF5C25" w:rsidP="00BC60A8">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45(1), (2)(a) (in force prior to 1 July 2017), s 49A (from 1 July 2017); </w:t>
      </w:r>
      <w:r w:rsidRPr="003C1ACC">
        <w:rPr>
          <w:rStyle w:val="LightItalic"/>
          <w:rFonts w:ascii="Verdana" w:hAnsi="Verdana"/>
        </w:rPr>
        <w:t xml:space="preserve">Sentencing (Community Correction Order) and Other Acts Amendment Act 2016 </w:t>
      </w:r>
      <w:r w:rsidRPr="003C1ACC">
        <w:t xml:space="preserve">(Vic) s 3 (definition of </w:t>
      </w:r>
      <w:r w:rsidRPr="003C1ACC">
        <w:rPr>
          <w:rStyle w:val="LightItalic"/>
          <w:rFonts w:ascii="Verdana" w:hAnsi="Verdana"/>
        </w:rPr>
        <w:t>Category 1 offence</w:t>
      </w:r>
      <w:r w:rsidRPr="003C1ACC">
        <w:t>).</w:t>
      </w:r>
    </w:p>
  </w:footnote>
  <w:footnote w:id="190">
    <w:p w14:paraId="31B9E995" w14:textId="44F3ABB6" w:rsidR="00EF5C25" w:rsidRPr="003C1ACC" w:rsidRDefault="00EF5C25" w:rsidP="00BC60A8">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ss</w:t>
      </w:r>
      <w:r w:rsidRPr="003C1ACC">
        <w:rPr>
          <w:rStyle w:val="LightItalic"/>
          <w:rFonts w:ascii="Verdana" w:hAnsi="Verdana"/>
        </w:rPr>
        <w:t xml:space="preserve"> </w:t>
      </w:r>
      <w:r w:rsidRPr="003C1ACC">
        <w:t xml:space="preserve">49A(3), 49B(3), as inserted by </w:t>
      </w:r>
      <w:r w:rsidRPr="003C1ACC">
        <w:rPr>
          <w:rStyle w:val="LightItalic"/>
          <w:rFonts w:ascii="Verdana" w:hAnsi="Verdana"/>
        </w:rPr>
        <w:t xml:space="preserve">Sentencing Amendment (Sentencing Standards) Act 2017 </w:t>
      </w:r>
      <w:r w:rsidRPr="003C1ACC">
        <w:t>(Vic) ss 27(1), 28(1).</w:t>
      </w:r>
    </w:p>
  </w:footnote>
  <w:footnote w:id="191">
    <w:p w14:paraId="4E90D4B6" w14:textId="58F861EF" w:rsidR="00EF5C25" w:rsidRPr="003C1ACC" w:rsidRDefault="00EF5C25" w:rsidP="00324D29">
      <w:pPr>
        <w:pStyle w:val="Footnote"/>
      </w:pPr>
      <w:r w:rsidRPr="003C1ACC">
        <w:rPr>
          <w:vertAlign w:val="superscript"/>
        </w:rPr>
        <w:footnoteRef/>
      </w:r>
      <w:r w:rsidRPr="003C1ACC">
        <w:t>.</w:t>
      </w:r>
      <w:r w:rsidRPr="003C1ACC">
        <w:tab/>
        <w:t>The two offenders sentenced for 23 charges of child sexual penetration were a 57-year-old offender, who was sentenced to 26 years’ imprisonment for 58 charges of serious and protracted offending against numerous child victims that spanned some 25 years, and a 26-year-old offender, who was sentenced to 16 years’ imprisonment for numerous types of child sex offences. The offender sentenced for 19 charges of child sexual penetration was a 50-year-old offender, who was sentenced to 15 years and 4 months’ imprisonment also for numerous types of child sex offences.</w:t>
      </w:r>
    </w:p>
  </w:footnote>
  <w:footnote w:id="192">
    <w:p w14:paraId="357F60D7" w14:textId="69BB67D1" w:rsidR="00EF5C25" w:rsidRPr="003C1ACC" w:rsidRDefault="00EF5C25" w:rsidP="003B619A">
      <w:pPr>
        <w:pStyle w:val="Footnote"/>
      </w:pPr>
      <w:r w:rsidRPr="003C1ACC">
        <w:rPr>
          <w:vertAlign w:val="superscript"/>
        </w:rPr>
        <w:footnoteRef/>
      </w:r>
      <w:r w:rsidRPr="003C1ACC">
        <w:t>.</w:t>
      </w:r>
      <w:r w:rsidRPr="003C1ACC">
        <w:tab/>
        <w:t xml:space="preserve">The 16 charges sentenced in the Magistrates’ Court were triable summarily because they carried a maximum penalty of 10 years’ imprisonment: </w:t>
      </w:r>
      <w:r w:rsidRPr="003C1ACC">
        <w:rPr>
          <w:rStyle w:val="LightItalic"/>
          <w:rFonts w:ascii="Verdana" w:hAnsi="Verdana"/>
        </w:rPr>
        <w:t xml:space="preserve">Criminal Procedure Act 2009 </w:t>
      </w:r>
      <w:r w:rsidRPr="003C1ACC">
        <w:t>(Vic) s 28(1)(b)(iii).</w:t>
      </w:r>
    </w:p>
  </w:footnote>
  <w:footnote w:id="193">
    <w:p w14:paraId="55B6858F" w14:textId="30E8B02C" w:rsidR="00EF5C25" w:rsidRPr="003C1ACC" w:rsidRDefault="00EF5C25" w:rsidP="003B619A">
      <w:pPr>
        <w:pStyle w:val="Footnote"/>
      </w:pPr>
      <w:r w:rsidRPr="003C1ACC">
        <w:rPr>
          <w:vertAlign w:val="superscript"/>
        </w:rPr>
        <w:footnoteRef/>
      </w:r>
      <w:r w:rsidRPr="003C1ACC">
        <w:t>.</w:t>
      </w:r>
      <w:r w:rsidRPr="003C1ACC">
        <w:tab/>
        <w:t xml:space="preserve">While most of these offences involved children aged under 10/12 years, there were also 44 charges contrary to section 68(1) of the </w:t>
      </w:r>
      <w:r w:rsidRPr="003C1ACC">
        <w:rPr>
          <w:rStyle w:val="LightItalic"/>
          <w:rFonts w:ascii="Verdana" w:hAnsi="Verdana"/>
        </w:rPr>
        <w:t xml:space="preserve">Crimes Act 1958 </w:t>
      </w:r>
      <w:r w:rsidRPr="003C1ACC">
        <w:t>(Vic) relating to victims aged under 14 years. These charges are counted together in Table 8.</w:t>
      </w:r>
    </w:p>
  </w:footnote>
  <w:footnote w:id="194">
    <w:p w14:paraId="574EB088" w14:textId="191760C9" w:rsidR="00EF5C25" w:rsidRPr="003C1ACC" w:rsidRDefault="00EF5C25" w:rsidP="003B619A">
      <w:pPr>
        <w:pStyle w:val="Footnote"/>
      </w:pPr>
      <w:r w:rsidRPr="003C1ACC">
        <w:rPr>
          <w:vertAlign w:val="superscript"/>
        </w:rPr>
        <w:footnoteRef/>
      </w:r>
      <w:r w:rsidRPr="003C1ACC">
        <w:t>.</w:t>
      </w:r>
      <w:r w:rsidRPr="003C1ACC">
        <w:tab/>
        <w:t>As noted at [6.2], in March 2020 the age threshold for the most serious child sexual penetration offence (attracting the highest maximum penalty) was revised upwards from 10 to 12. The titles of the offence groupings in Table 8 reflect this shift (10/12).</w:t>
      </w:r>
    </w:p>
  </w:footnote>
  <w:footnote w:id="195">
    <w:p w14:paraId="5D4BF766" w14:textId="538B5C09" w:rsidR="00EF5C25" w:rsidRPr="003C1ACC" w:rsidRDefault="00EF5C25" w:rsidP="00A608E1">
      <w:pPr>
        <w:pStyle w:val="Footnote"/>
      </w:pPr>
      <w:r w:rsidRPr="003C1ACC">
        <w:rPr>
          <w:vertAlign w:val="superscript"/>
        </w:rPr>
        <w:footnoteRef/>
      </w:r>
      <w:r w:rsidRPr="003C1ACC">
        <w:t>.</w:t>
      </w:r>
      <w:r w:rsidRPr="003C1ACC">
        <w:tab/>
        <w:t>In particular, the (higher) 15-year maximum penalty previously applied only where the child was under the care, supervision or authority of the offender, whereas that 15-year maximum penalty now applies to all offences against children aged 12 to 15.</w:t>
      </w:r>
    </w:p>
  </w:footnote>
  <w:footnote w:id="196">
    <w:p w14:paraId="40457966" w14:textId="3C363498" w:rsidR="00EF5C25" w:rsidRPr="003C1ACC" w:rsidRDefault="00EF5C25" w:rsidP="000F3E22">
      <w:pPr>
        <w:pStyle w:val="Footnote"/>
      </w:pPr>
      <w:r w:rsidRPr="003C1ACC">
        <w:rPr>
          <w:vertAlign w:val="superscript"/>
        </w:rPr>
        <w:footnoteRef/>
      </w:r>
      <w:r w:rsidRPr="003C1ACC">
        <w:t>.</w:t>
      </w:r>
      <w:r w:rsidRPr="003C1ACC">
        <w:tab/>
        <w:t>Roundtable 1 (30 March 2021).</w:t>
      </w:r>
    </w:p>
  </w:footnote>
  <w:footnote w:id="197">
    <w:p w14:paraId="2671BF1A" w14:textId="1EF51BBF" w:rsidR="00EF5C25" w:rsidRPr="003C1ACC" w:rsidRDefault="00EF5C25" w:rsidP="000F3E22">
      <w:pPr>
        <w:pStyle w:val="Footnote"/>
      </w:pPr>
      <w:r w:rsidRPr="003C1ACC">
        <w:rPr>
          <w:vertAlign w:val="superscript"/>
        </w:rPr>
        <w:footnoteRef/>
      </w:r>
      <w:r w:rsidRPr="003C1ACC">
        <w:t>.</w:t>
      </w:r>
      <w:r w:rsidRPr="003C1ACC">
        <w:tab/>
      </w:r>
      <w:r w:rsidRPr="003C1ACC">
        <w:rPr>
          <w:rStyle w:val="LightItalic"/>
          <w:rFonts w:ascii="Verdana" w:hAnsi="Verdana"/>
        </w:rPr>
        <w:t xml:space="preserve">DPP v Yuen </w:t>
      </w:r>
      <w:r w:rsidRPr="003C1ACC">
        <w:t>[2020] VCC 1527 (24 September 2020) [34]–[35].</w:t>
      </w:r>
    </w:p>
  </w:footnote>
  <w:footnote w:id="198">
    <w:p w14:paraId="148616F7" w14:textId="5F035C34" w:rsidR="00EF5C25" w:rsidRPr="003C1ACC" w:rsidRDefault="00EF5C25" w:rsidP="000F3E22">
      <w:pPr>
        <w:pStyle w:val="Footnote"/>
      </w:pPr>
      <w:r w:rsidRPr="003C1ACC">
        <w:rPr>
          <w:vertAlign w:val="superscript"/>
        </w:rPr>
        <w:footnoteRef/>
      </w:r>
      <w:r w:rsidRPr="003C1ACC">
        <w:t>.</w:t>
      </w:r>
      <w:r w:rsidRPr="003C1ACC">
        <w:tab/>
        <w:t>Table 9 excludes 49 charges of child sexual penetration offences for which the victim’s age could not be determined.</w:t>
      </w:r>
    </w:p>
  </w:footnote>
  <w:footnote w:id="199">
    <w:p w14:paraId="6420F4EC" w14:textId="5D29B0E1" w:rsidR="00EF5C25" w:rsidRPr="003C1ACC" w:rsidRDefault="00EF5C25" w:rsidP="00771AE1">
      <w:pPr>
        <w:pStyle w:val="Footnote"/>
      </w:pPr>
      <w:r w:rsidRPr="003C1ACC">
        <w:rPr>
          <w:vertAlign w:val="superscript"/>
        </w:rPr>
        <w:footnoteRef/>
      </w:r>
      <w:r w:rsidRPr="003C1ACC">
        <w:t>.</w:t>
      </w:r>
      <w:r w:rsidRPr="003C1ACC">
        <w:tab/>
        <w:t>See Appendix 4 for the shortest, longest and average prison sentence for sexual penetration offences against children aged 16 or 17.</w:t>
      </w:r>
    </w:p>
  </w:footnote>
  <w:footnote w:id="200">
    <w:p w14:paraId="24E244E6" w14:textId="6E1EA4C8" w:rsidR="00EF5C25" w:rsidRPr="003C1ACC" w:rsidRDefault="00EF5C25" w:rsidP="00771AE1">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Clarkson &amp; Anor v The Queen </w:t>
      </w:r>
      <w:r w:rsidRPr="003C1ACC">
        <w:t xml:space="preserve">[2011] VSCA 157 (3 June 2011) [42] (finding that ‘the relative ages of the offender and the victim’ will be relevant considerations when sentencing this type of offending); </w:t>
      </w:r>
      <w:r w:rsidRPr="003C1ACC">
        <w:rPr>
          <w:rStyle w:val="LightItalic"/>
          <w:rFonts w:ascii="Verdana" w:hAnsi="Verdana"/>
        </w:rPr>
        <w:t xml:space="preserve">Best v The Queen </w:t>
      </w:r>
      <w:r w:rsidRPr="003C1ACC">
        <w:t xml:space="preserve">[2019] VSCA 124 (7 June 2019) [41], citing </w:t>
      </w:r>
      <w:r w:rsidRPr="003C1ACC">
        <w:rPr>
          <w:rStyle w:val="LightItalic"/>
          <w:rFonts w:ascii="Verdana" w:hAnsi="Verdana"/>
        </w:rPr>
        <w:t xml:space="preserve">R v MAN </w:t>
      </w:r>
      <w:r w:rsidRPr="003C1ACC">
        <w:t>[2005] QCA 413 (11 November 2005) [25] (that ‘greater closeness in maturity, age and balance of power’ will affect the court’s analysis of the seriousness of the offence).</w:t>
      </w:r>
    </w:p>
  </w:footnote>
  <w:footnote w:id="201">
    <w:p w14:paraId="3DDA94A0" w14:textId="17219BF8" w:rsidR="00EF5C25" w:rsidRPr="003C1ACC" w:rsidRDefault="00EF5C25" w:rsidP="00D465DD">
      <w:pPr>
        <w:pStyle w:val="Footnote"/>
      </w:pPr>
      <w:r w:rsidRPr="003C1ACC">
        <w:rPr>
          <w:vertAlign w:val="superscript"/>
        </w:rPr>
        <w:footnoteRef/>
      </w:r>
      <w:r w:rsidRPr="003C1ACC">
        <w:t>.</w:t>
      </w:r>
      <w:r w:rsidRPr="003C1ACC">
        <w:tab/>
        <w:t xml:space="preserve">This analysis does not include the more historical sexual penetration offences against sections 46(1), 47(1) or 48(1) of the </w:t>
      </w:r>
      <w:r w:rsidRPr="003C1ACC">
        <w:rPr>
          <w:rStyle w:val="LightItalic"/>
          <w:rFonts w:ascii="Verdana" w:hAnsi="Verdana"/>
        </w:rPr>
        <w:t xml:space="preserve">Crimes Act 1958 </w:t>
      </w:r>
      <w:r w:rsidRPr="003C1ACC">
        <w:t>(Vic)</w:t>
      </w:r>
      <w:r w:rsidRPr="003C1ACC">
        <w:rPr>
          <w:rStyle w:val="LightItalic"/>
          <w:rFonts w:ascii="Verdana" w:hAnsi="Verdana"/>
        </w:rPr>
        <w:t xml:space="preserve"> </w:t>
      </w:r>
      <w:r w:rsidRPr="003C1ACC">
        <w:t>in operation prior to 22 November 2000. For the average non-aggregate prison sentences imposed for these offences, see Appendix 3.</w:t>
      </w:r>
    </w:p>
  </w:footnote>
  <w:footnote w:id="202">
    <w:p w14:paraId="48D846A5" w14:textId="7F6932B6" w:rsidR="00EF5C25" w:rsidRPr="003C1ACC" w:rsidRDefault="00EF5C25" w:rsidP="00D465DD">
      <w:pPr>
        <w:pStyle w:val="Footnote"/>
      </w:pPr>
      <w:r w:rsidRPr="003C1ACC">
        <w:rPr>
          <w:vertAlign w:val="superscript"/>
        </w:rPr>
        <w:footnoteRef/>
      </w:r>
      <w:r w:rsidRPr="003C1ACC">
        <w:t>.</w:t>
      </w:r>
      <w:r w:rsidRPr="003C1ACC">
        <w:tab/>
        <w:t xml:space="preserve">The 10-year prison sentence for a charge of sexual penetration with a child aged under 12 was imposed for a course of conduct over a 3.5-month period: </w:t>
      </w:r>
      <w:r w:rsidRPr="003C1ACC">
        <w:rPr>
          <w:rStyle w:val="LightItalic"/>
          <w:rFonts w:ascii="Verdana" w:hAnsi="Verdana"/>
        </w:rPr>
        <w:t xml:space="preserve">DPP v Thornton (A Pseudonym) </w:t>
      </w:r>
      <w:r w:rsidRPr="003C1ACC">
        <w:t>[2016] VCC 946 (6 July 2016).</w:t>
      </w:r>
    </w:p>
  </w:footnote>
  <w:footnote w:id="203">
    <w:p w14:paraId="25CC488D" w14:textId="01CB641C" w:rsidR="00EF5C25" w:rsidRPr="003C1ACC" w:rsidRDefault="00EF5C25" w:rsidP="00D465DD">
      <w:pPr>
        <w:pStyle w:val="Footnote"/>
      </w:pPr>
      <w:r w:rsidRPr="003C1ACC">
        <w:rPr>
          <w:vertAlign w:val="superscript"/>
        </w:rPr>
        <w:footnoteRef/>
      </w:r>
      <w:r w:rsidRPr="003C1ACC">
        <w:t>.</w:t>
      </w:r>
      <w:r w:rsidRPr="003C1ACC">
        <w:tab/>
        <w:t>From 2010 to 2019, the average prison sentence increased by 55%, from 3 years and 8 months to 5 years and 8 months. There was evidence for a statistically significant trend (Pearson’s correlation coefficient = 0.722, p = 0.018).</w:t>
      </w:r>
    </w:p>
  </w:footnote>
  <w:footnote w:id="204">
    <w:p w14:paraId="34E314C4" w14:textId="607BFB29" w:rsidR="00EF5C25" w:rsidRPr="003C1ACC" w:rsidRDefault="00EF5C25" w:rsidP="000D55CD">
      <w:pPr>
        <w:pStyle w:val="Footnote"/>
      </w:pPr>
      <w:r w:rsidRPr="003C1ACC">
        <w:rPr>
          <w:vertAlign w:val="superscript"/>
        </w:rPr>
        <w:footnoteRef/>
      </w:r>
      <w:r w:rsidRPr="003C1ACC">
        <w:t>.</w:t>
      </w:r>
      <w:r w:rsidRPr="003C1ACC">
        <w:tab/>
        <w:t>From 2010 and 2019, the average total effective sentence increased from 5 years and 10 months to 8 years and 4 months. There was no evidence for a statistically significant trend (Pearson’s correlation coefficient = 0.499, p &gt; 0.1).</w:t>
      </w:r>
    </w:p>
  </w:footnote>
  <w:footnote w:id="205">
    <w:p w14:paraId="54ADAEE5" w14:textId="0F5F2B57" w:rsidR="00EF5C25" w:rsidRPr="003C1ACC" w:rsidRDefault="00EF5C25" w:rsidP="000D55CD">
      <w:pPr>
        <w:pStyle w:val="Footnote"/>
      </w:pPr>
      <w:r w:rsidRPr="003C1ACC">
        <w:rPr>
          <w:vertAlign w:val="superscript"/>
        </w:rPr>
        <w:footnoteRef/>
      </w:r>
      <w:r w:rsidRPr="003C1ACC">
        <w:t>.</w:t>
      </w:r>
      <w:r w:rsidRPr="003C1ACC">
        <w:tab/>
        <w:t>The total effective sentences in these three cases were 9 years (2 cases) and 7 years and 6 months (1 case), an average of 8 years and 6 months.</w:t>
      </w:r>
    </w:p>
  </w:footnote>
  <w:footnote w:id="206">
    <w:p w14:paraId="0246CE84" w14:textId="6ECB795E" w:rsidR="00EF5C25" w:rsidRPr="003C1ACC" w:rsidRDefault="00EF5C25" w:rsidP="000D55CD">
      <w:pPr>
        <w:pStyle w:val="Footnote"/>
      </w:pPr>
      <w:r w:rsidRPr="003C1ACC">
        <w:rPr>
          <w:vertAlign w:val="superscript"/>
        </w:rPr>
        <w:footnoteRef/>
      </w:r>
      <w:r w:rsidRPr="003C1ACC">
        <w:t>.</w:t>
      </w:r>
      <w:r w:rsidRPr="003C1ACC">
        <w:tab/>
        <w:t xml:space="preserve">Arie Freiberg, ‘Institutional Responses to the Sentencing Recommendations of the Royal Commission into Institutional Responses to Child Sexual Abuse’ (2020) 44 </w:t>
      </w:r>
      <w:r w:rsidRPr="003C1ACC">
        <w:rPr>
          <w:rStyle w:val="LightItalic"/>
          <w:rFonts w:ascii="Verdana" w:hAnsi="Verdana"/>
        </w:rPr>
        <w:t>Criminal Law Journal</w:t>
      </w:r>
      <w:r w:rsidRPr="003C1ACC">
        <w:t xml:space="preserve"> 127, 142.</w:t>
      </w:r>
    </w:p>
  </w:footnote>
  <w:footnote w:id="207">
    <w:p w14:paraId="084D0C7C" w14:textId="0EFC0044" w:rsidR="00EF5C25" w:rsidRPr="003C1ACC" w:rsidRDefault="00EF5C25" w:rsidP="000D55CD">
      <w:pPr>
        <w:pStyle w:val="Footnote"/>
      </w:pPr>
      <w:r w:rsidRPr="003C1ACC">
        <w:rPr>
          <w:vertAlign w:val="superscript"/>
        </w:rPr>
        <w:footnoteRef/>
      </w:r>
      <w:r w:rsidRPr="003C1ACC">
        <w:t>.</w:t>
      </w:r>
      <w:r w:rsidRPr="003C1ACC">
        <w:tab/>
        <w:t xml:space="preserve">The findings in this report may differ from those in Freiberg (2020), above n 206, which were derived from the Sentencing Advisory Council’s </w:t>
      </w:r>
      <w:r w:rsidRPr="003C1ACC">
        <w:rPr>
          <w:rStyle w:val="LightItalic"/>
          <w:rFonts w:ascii="Verdana" w:hAnsi="Verdana"/>
        </w:rPr>
        <w:t>Sentencing Snapshots</w:t>
      </w:r>
      <w:r w:rsidRPr="003C1ACC">
        <w:t>. This is likely a product of the different time periods covered (calendar years versus financial years), the inclusion of offences beyond principal proven offences and the coding of additional cases for the present report to identify the age of victims in earlier section 45(1) offences. The finding in this report is consistent with the Council’s previous finding that the average charge-level prison sentence for this offence (as the principal proven offence) increased from 3.2 years to 4.6 years between 2004–05 and 2013–14 (a 33% increase) while in the same timeframe the total effective sentence increased from 6.1 to 7.0 years (a 15% increase): Sentencing Advisory Council</w:t>
      </w:r>
      <w:r w:rsidRPr="003C1ACC">
        <w:rPr>
          <w:rStyle w:val="LightItalic"/>
          <w:rFonts w:ascii="Verdana" w:hAnsi="Verdana"/>
        </w:rPr>
        <w:t xml:space="preserve"> </w:t>
      </w:r>
      <w:r w:rsidRPr="003C1ACC">
        <w:t>(2016), above n 8, 36.</w:t>
      </w:r>
    </w:p>
  </w:footnote>
  <w:footnote w:id="208">
    <w:p w14:paraId="76E9DEEE" w14:textId="74A2E094" w:rsidR="00EF5C25" w:rsidRPr="003C1ACC" w:rsidRDefault="00EF5C25" w:rsidP="000D55CD">
      <w:pPr>
        <w:pStyle w:val="Footnote"/>
      </w:pPr>
      <w:r w:rsidRPr="003C1ACC">
        <w:rPr>
          <w:vertAlign w:val="superscript"/>
        </w:rPr>
        <w:footnoteRef/>
      </w:r>
      <w:r w:rsidRPr="003C1ACC">
        <w:t>.</w:t>
      </w:r>
      <w:r w:rsidRPr="003C1ACC">
        <w:tab/>
        <w:t xml:space="preserve">The 3 cases involving a charge of sexual penetration with a child contrary to section 49A of the </w:t>
      </w:r>
      <w:r w:rsidRPr="003C1ACC">
        <w:rPr>
          <w:rStyle w:val="LightItalic"/>
          <w:rFonts w:ascii="Verdana" w:hAnsi="Verdana"/>
        </w:rPr>
        <w:t>Crimes Act 1958</w:t>
      </w:r>
      <w:r w:rsidRPr="003C1ACC">
        <w:t xml:space="preserve"> (Vic) were sentenced within a week of each other: </w:t>
      </w:r>
      <w:r w:rsidRPr="003C1ACC">
        <w:rPr>
          <w:rStyle w:val="LightItalic"/>
          <w:rFonts w:ascii="Verdana" w:hAnsi="Verdana"/>
        </w:rPr>
        <w:t xml:space="preserve">DPP v Tobin (A Pseudonym) </w:t>
      </w:r>
      <w:r w:rsidRPr="003C1ACC">
        <w:t xml:space="preserve">[2019] VCC 1709 (17 October 2019); </w:t>
      </w:r>
      <w:r w:rsidRPr="003C1ACC">
        <w:rPr>
          <w:rStyle w:val="LightItalic"/>
          <w:rFonts w:ascii="Verdana" w:hAnsi="Verdana"/>
        </w:rPr>
        <w:t xml:space="preserve">DPP v Aneterea (A Pseudonym) </w:t>
      </w:r>
      <w:r w:rsidRPr="003C1ACC">
        <w:t xml:space="preserve">[2019] VCC 1721 (22 October 2019); </w:t>
      </w:r>
      <w:r w:rsidRPr="003C1ACC">
        <w:rPr>
          <w:rStyle w:val="LightItalic"/>
          <w:rFonts w:ascii="Verdana" w:hAnsi="Verdana"/>
        </w:rPr>
        <w:t xml:space="preserve">DPP v McPherson </w:t>
      </w:r>
      <w:r w:rsidRPr="003C1ACC">
        <w:t xml:space="preserve">[2019] VCC 1745 (24 October 2019). Of the 16 charges that were not standard sentence offences, 2 were section 49A offences and 14 were section 45(1) offences. </w:t>
      </w:r>
    </w:p>
  </w:footnote>
  <w:footnote w:id="209">
    <w:p w14:paraId="5ED18D47" w14:textId="278E9098" w:rsidR="00EF5C25" w:rsidRPr="003C1ACC" w:rsidRDefault="00EF5C25" w:rsidP="000D55CD">
      <w:pPr>
        <w:pStyle w:val="Footnote"/>
      </w:pPr>
      <w:r w:rsidRPr="003C1ACC">
        <w:rPr>
          <w:vertAlign w:val="superscript"/>
        </w:rPr>
        <w:footnoteRef/>
      </w:r>
      <w:r w:rsidRPr="003C1ACC">
        <w:t>.</w:t>
      </w:r>
      <w:r w:rsidRPr="003C1ACC">
        <w:tab/>
        <w:t xml:space="preserve">All of these outcomes were below the standard sentence: 9 years, 8 years, and 6 years and 3 months. The 16 charges of non-standard sentence offences (offences contrary to either section 45 or section 49A of the </w:t>
      </w:r>
      <w:r w:rsidRPr="003C1ACC">
        <w:rPr>
          <w:rStyle w:val="LightItalic"/>
          <w:rFonts w:ascii="Verdana" w:hAnsi="Verdana"/>
        </w:rPr>
        <w:t>Crimes Act 1958</w:t>
      </w:r>
      <w:r w:rsidRPr="003C1ACC">
        <w:t xml:space="preserve"> (Vic)) received sentences of between 3 years and 7 years.</w:t>
      </w:r>
    </w:p>
  </w:footnote>
  <w:footnote w:id="210">
    <w:p w14:paraId="4BE47F1D" w14:textId="53DBD11E" w:rsidR="00EF5C25" w:rsidRPr="003C1ACC" w:rsidRDefault="00EF5C25" w:rsidP="0040057A">
      <w:pPr>
        <w:pStyle w:val="Footnote"/>
      </w:pPr>
      <w:r w:rsidRPr="003C1ACC">
        <w:rPr>
          <w:vertAlign w:val="superscript"/>
        </w:rPr>
        <w:footnoteRef/>
      </w:r>
      <w:r w:rsidRPr="003C1ACC">
        <w:t>.</w:t>
      </w:r>
      <w:r w:rsidRPr="003C1ACC">
        <w:tab/>
      </w:r>
      <w:r w:rsidRPr="003C1ACC">
        <w:rPr>
          <w:rStyle w:val="LightItalic"/>
          <w:rFonts w:ascii="Verdana" w:hAnsi="Verdana"/>
        </w:rPr>
        <w:t xml:space="preserve">DPP v Tobin (A Pseudonym) </w:t>
      </w:r>
      <w:r w:rsidRPr="003C1ACC">
        <w:t>[2019] VCC 1709 (17 October 2019).</w:t>
      </w:r>
    </w:p>
  </w:footnote>
  <w:footnote w:id="211">
    <w:p w14:paraId="0A131178" w14:textId="32F24E48" w:rsidR="00EF5C25" w:rsidRPr="003C1ACC" w:rsidRDefault="00EF5C25" w:rsidP="0040057A">
      <w:pPr>
        <w:pStyle w:val="Footnote"/>
      </w:pPr>
      <w:r w:rsidRPr="003C1ACC">
        <w:rPr>
          <w:vertAlign w:val="superscript"/>
        </w:rPr>
        <w:footnoteRef/>
      </w:r>
      <w:r w:rsidRPr="003C1ACC">
        <w:t>.</w:t>
      </w:r>
      <w:r w:rsidRPr="003C1ACC">
        <w:tab/>
      </w:r>
      <w:r w:rsidRPr="003C1ACC">
        <w:rPr>
          <w:rStyle w:val="LightItalic"/>
          <w:rFonts w:ascii="Verdana" w:hAnsi="Verdana"/>
        </w:rPr>
        <w:t xml:space="preserve">DPP v McPherson </w:t>
      </w:r>
      <w:r w:rsidRPr="003C1ACC">
        <w:t>[2019] VCC 1745 (24 October 2019) [38].</w:t>
      </w:r>
    </w:p>
  </w:footnote>
  <w:footnote w:id="212">
    <w:p w14:paraId="2ECE4F0C" w14:textId="14B1E698" w:rsidR="00EF5C25" w:rsidRPr="003C1ACC" w:rsidRDefault="00EF5C25" w:rsidP="0040057A">
      <w:pPr>
        <w:pStyle w:val="Footnote"/>
      </w:pPr>
      <w:r w:rsidRPr="003C1ACC">
        <w:rPr>
          <w:vertAlign w:val="superscript"/>
        </w:rPr>
        <w:footnoteRef/>
      </w:r>
      <w:r w:rsidRPr="003C1ACC">
        <w:t>.</w:t>
      </w:r>
      <w:r w:rsidRPr="003C1ACC">
        <w:tab/>
      </w:r>
      <w:r w:rsidRPr="003C1ACC">
        <w:rPr>
          <w:rStyle w:val="LightItalic"/>
          <w:rFonts w:ascii="Verdana" w:hAnsi="Verdana"/>
        </w:rPr>
        <w:t xml:space="preserve">DPP v Aneterea (A Pseudonym) </w:t>
      </w:r>
      <w:r w:rsidRPr="003C1ACC">
        <w:t>[2019] VCC 1721 (22 October 2019) [69]. This was the lowest sentence imposed for a standard sentence offence of sexual penetration with a child aged under 12 in 2019.</w:t>
      </w:r>
    </w:p>
  </w:footnote>
  <w:footnote w:id="213">
    <w:p w14:paraId="1D7969C7" w14:textId="07E7FECF" w:rsidR="00EF5C25" w:rsidRPr="003C1ACC" w:rsidRDefault="00EF5C25" w:rsidP="0040057A">
      <w:pPr>
        <w:pStyle w:val="Footnote"/>
      </w:pPr>
      <w:r w:rsidRPr="003C1ACC">
        <w:rPr>
          <w:vertAlign w:val="superscript"/>
        </w:rPr>
        <w:footnoteRef/>
      </w:r>
      <w:r w:rsidRPr="003C1ACC">
        <w:t>.</w:t>
      </w:r>
      <w:r w:rsidRPr="003C1ACC">
        <w:tab/>
      </w:r>
      <w:r w:rsidRPr="003C1ACC">
        <w:rPr>
          <w:rStyle w:val="LightItalic"/>
          <w:rFonts w:ascii="Verdana" w:hAnsi="Verdana"/>
        </w:rPr>
        <w:t xml:space="preserve">DPP v Purcell (A Pseudonym) </w:t>
      </w:r>
      <w:r w:rsidRPr="003C1ACC">
        <w:t xml:space="preserve">[2020] VCC 757 (10 July 2020) [141]. See further: </w:t>
      </w:r>
      <w:r w:rsidRPr="003C1ACC">
        <w:rPr>
          <w:rStyle w:val="LightItalic"/>
          <w:rFonts w:ascii="Verdana" w:hAnsi="Verdana"/>
        </w:rPr>
        <w:t xml:space="preserve">DPP v Hinch (A Pseudonym) </w:t>
      </w:r>
      <w:r w:rsidRPr="003C1ACC">
        <w:t xml:space="preserve">[2020] VCC 403 (8 April 2020) (the prosecution accepted that the offending fell below the middle of the range of objective seriousness, and the court identified significant mitigating factors resulting in a 4-year prison sentence); </w:t>
      </w:r>
      <w:r w:rsidRPr="003C1ACC">
        <w:rPr>
          <w:rStyle w:val="LightItalic"/>
          <w:rFonts w:ascii="Verdana" w:hAnsi="Verdana"/>
        </w:rPr>
        <w:t xml:space="preserve">DPP v Snow (A Pseudonym) </w:t>
      </w:r>
      <w:r w:rsidRPr="003C1ACC">
        <w:t>[2020] VCC 146 (25 February 2020) (also imposing a 4-year prison sentence for a standard sentence offence of sexual penetration with a child aged under 12).</w:t>
      </w:r>
    </w:p>
  </w:footnote>
  <w:footnote w:id="214">
    <w:p w14:paraId="6BD643D3" w14:textId="26A7AF9D" w:rsidR="00EF5C25" w:rsidRPr="00031044" w:rsidRDefault="00EF5C25" w:rsidP="00031044">
      <w:pPr>
        <w:pStyle w:val="Footnote"/>
        <w:rPr>
          <w:spacing w:val="-2"/>
        </w:rPr>
      </w:pPr>
      <w:r w:rsidRPr="003C1ACC">
        <w:rPr>
          <w:vertAlign w:val="superscript"/>
        </w:rPr>
        <w:footnoteRef/>
      </w:r>
      <w:r w:rsidRPr="003C1ACC">
        <w:t>.</w:t>
      </w:r>
      <w:r w:rsidRPr="003C1ACC">
        <w:tab/>
      </w:r>
      <w:r w:rsidRPr="003C1ACC">
        <w:rPr>
          <w:rStyle w:val="LightItalic"/>
          <w:rFonts w:ascii="Verdana" w:hAnsi="Verdana"/>
          <w:spacing w:val="-2"/>
        </w:rPr>
        <w:t>DPP v Penning (A Pseudonym)</w:t>
      </w:r>
      <w:r w:rsidRPr="003C1ACC">
        <w:rPr>
          <w:spacing w:val="-2"/>
        </w:rPr>
        <w:t xml:space="preserve"> [2021] VCC 62 (2 February 2021) [124]–[125], citing </w:t>
      </w:r>
      <w:r w:rsidRPr="003C1ACC">
        <w:rPr>
          <w:rStyle w:val="LightItalic"/>
          <w:rFonts w:ascii="Verdana" w:hAnsi="Verdana"/>
          <w:spacing w:val="-2"/>
        </w:rPr>
        <w:t xml:space="preserve">DPP v Jones </w:t>
      </w:r>
      <w:r w:rsidRPr="003C1ACC">
        <w:rPr>
          <w:spacing w:val="-2"/>
        </w:rPr>
        <w:t>[2013] VSCA 330 (21 November 2013) [90].</w:t>
      </w:r>
    </w:p>
  </w:footnote>
  <w:footnote w:id="215">
    <w:p w14:paraId="6F5DDD56" w14:textId="0A08E6EA" w:rsidR="00EF5C25" w:rsidRPr="003C1ACC" w:rsidRDefault="00EF5C25" w:rsidP="00031044">
      <w:pPr>
        <w:pStyle w:val="Footnote"/>
      </w:pPr>
      <w:r w:rsidRPr="003C1ACC">
        <w:rPr>
          <w:vertAlign w:val="superscript"/>
        </w:rPr>
        <w:footnoteRef/>
      </w:r>
      <w:r w:rsidRPr="003C1ACC">
        <w:t>.</w:t>
      </w:r>
      <w:r w:rsidRPr="003C1ACC">
        <w:tab/>
      </w:r>
      <w:r w:rsidRPr="003C1ACC">
        <w:rPr>
          <w:rStyle w:val="LightItalic"/>
          <w:rFonts w:ascii="Verdana" w:hAnsi="Verdana"/>
        </w:rPr>
        <w:t xml:space="preserve">McPherson v The Queen </w:t>
      </w:r>
      <w:r w:rsidRPr="003C1ACC">
        <w:t>[2021] VSCA 53 (12 March 2021) [31].</w:t>
      </w:r>
    </w:p>
  </w:footnote>
  <w:footnote w:id="216">
    <w:p w14:paraId="6B8E7DAC" w14:textId="128F606C" w:rsidR="00EF5C25" w:rsidRPr="003C1ACC" w:rsidRDefault="00EF5C25" w:rsidP="00031044">
      <w:pPr>
        <w:pStyle w:val="Footnote"/>
      </w:pPr>
      <w:r w:rsidRPr="003C1ACC">
        <w:rPr>
          <w:vertAlign w:val="superscript"/>
        </w:rPr>
        <w:footnoteRef/>
      </w:r>
      <w:r w:rsidRPr="003C1ACC">
        <w:t>.</w:t>
      </w:r>
      <w:r w:rsidRPr="003C1ACC">
        <w:tab/>
      </w:r>
      <w:r w:rsidRPr="003C1ACC">
        <w:rPr>
          <w:rStyle w:val="LightItalic"/>
          <w:rFonts w:ascii="Verdana" w:hAnsi="Verdana"/>
        </w:rPr>
        <w:t xml:space="preserve">McPherson v The Queen </w:t>
      </w:r>
      <w:r w:rsidRPr="003C1ACC">
        <w:t>[2021] VSCA 53 (12 March 2021) [31].</w:t>
      </w:r>
    </w:p>
  </w:footnote>
  <w:footnote w:id="217">
    <w:p w14:paraId="20435646" w14:textId="2172D8AB" w:rsidR="00EF5C25" w:rsidRPr="003C1ACC" w:rsidRDefault="00EF5C25" w:rsidP="00031044">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DPP v Wolfe (A Pseudonym)</w:t>
      </w:r>
      <w:r w:rsidRPr="003C1ACC">
        <w:t xml:space="preserve"> [2019] VCC 507 (11 April 2019) [46]–[47], quoting the Court of Appeal’s reference in </w:t>
      </w:r>
      <w:r w:rsidRPr="003C1ACC">
        <w:rPr>
          <w:rStyle w:val="LightItalic"/>
          <w:rFonts w:ascii="Verdana" w:hAnsi="Verdana"/>
        </w:rPr>
        <w:t>Dalgliesh</w:t>
      </w:r>
      <w:r w:rsidRPr="003C1ACC">
        <w:t xml:space="preserve"> to Sentencing Advisory Council (2016), above n 8, 63: ‘It is concerning that the courts do not sufficiently recognise or articulate the inherent violence involved in a sexual penetration of a young child regardless of whether such acts are accompanied by additional non-sexual violence’); </w:t>
      </w:r>
      <w:r w:rsidRPr="003C1ACC">
        <w:rPr>
          <w:rStyle w:val="LightItalic"/>
          <w:rFonts w:ascii="Verdana" w:hAnsi="Verdana"/>
        </w:rPr>
        <w:t>DPP v Hinch (A Pseudonym)</w:t>
      </w:r>
      <w:r w:rsidRPr="003C1ACC">
        <w:t xml:space="preserve"> [2020] VCC 403 (8 April 2020) [18]. </w:t>
      </w:r>
    </w:p>
  </w:footnote>
  <w:footnote w:id="218">
    <w:p w14:paraId="1D93785B" w14:textId="4DEECBE5" w:rsidR="00EF5C25" w:rsidRPr="003C1ACC" w:rsidRDefault="00EF5C25" w:rsidP="00031044">
      <w:pPr>
        <w:pStyle w:val="Footnote"/>
      </w:pPr>
      <w:r w:rsidRPr="003C1ACC">
        <w:rPr>
          <w:vertAlign w:val="superscript"/>
        </w:rPr>
        <w:footnoteRef/>
      </w:r>
      <w:r w:rsidRPr="003C1ACC">
        <w:t>.</w:t>
      </w:r>
      <w:r w:rsidRPr="003C1ACC">
        <w:tab/>
        <w:t xml:space="preserve">Commonwealth of Australia, Royal Commission into Institutional Responses to Child Sexual Abuse, </w:t>
      </w:r>
      <w:r w:rsidRPr="003C1ACC">
        <w:rPr>
          <w:rStyle w:val="LightItalic"/>
          <w:rFonts w:ascii="Verdana" w:hAnsi="Verdana"/>
        </w:rPr>
        <w:t>Final Report</w:t>
      </w:r>
      <w:r w:rsidRPr="003C1ACC">
        <w:t>, vol. 3 (2017) 9–12, 73–147.</w:t>
      </w:r>
    </w:p>
  </w:footnote>
  <w:footnote w:id="219">
    <w:p w14:paraId="7D92A708" w14:textId="5D10FDBC" w:rsidR="00EF5C25" w:rsidRPr="003C1ACC" w:rsidRDefault="00EF5C25" w:rsidP="00031044">
      <w:pPr>
        <w:pStyle w:val="Footnote"/>
      </w:pPr>
      <w:r w:rsidRPr="003C1ACC">
        <w:rPr>
          <w:vertAlign w:val="superscript"/>
        </w:rPr>
        <w:footnoteRef/>
      </w:r>
      <w:r w:rsidRPr="003C1ACC">
        <w:t>.</w:t>
      </w:r>
      <w:r w:rsidRPr="003C1ACC">
        <w:tab/>
        <w:t>Roundtable 1 (30 March 2021).</w:t>
      </w:r>
    </w:p>
  </w:footnote>
  <w:footnote w:id="220">
    <w:p w14:paraId="7E1EDE54" w14:textId="77777777" w:rsidR="00EF5C25" w:rsidRPr="003C1ACC" w:rsidRDefault="00EF5C25" w:rsidP="00D00197">
      <w:pPr>
        <w:pStyle w:val="Footnote"/>
      </w:pPr>
      <w:r w:rsidRPr="003C1ACC">
        <w:rPr>
          <w:vertAlign w:val="superscript"/>
        </w:rPr>
        <w:footnoteRef/>
      </w:r>
      <w:r w:rsidRPr="003C1ACC">
        <w:t>.</w:t>
      </w:r>
      <w:r w:rsidRPr="003C1ACC">
        <w:tab/>
        <w:t>Roundtable 2 (31 March 2021).</w:t>
      </w:r>
    </w:p>
  </w:footnote>
  <w:footnote w:id="221">
    <w:p w14:paraId="33C89A59" w14:textId="6FE30490" w:rsidR="00EF5C25" w:rsidRPr="003C1ACC" w:rsidRDefault="00EF5C25" w:rsidP="00031044">
      <w:pPr>
        <w:pStyle w:val="Footnote"/>
      </w:pPr>
      <w:r w:rsidRPr="003C1ACC">
        <w:rPr>
          <w:vertAlign w:val="superscript"/>
        </w:rPr>
        <w:footnoteRef/>
      </w:r>
      <w:r w:rsidRPr="003C1ACC">
        <w:t>.</w:t>
      </w:r>
      <w:r w:rsidRPr="003C1ACC">
        <w:tab/>
        <w:t>As indicated in Table 9, there were a further 49 charges of sexual penetration with a child aged under 16 for which it was not possible to discern whether the child was under 10/12 years, or between 10/12 and 15.</w:t>
      </w:r>
    </w:p>
  </w:footnote>
  <w:footnote w:id="222">
    <w:p w14:paraId="7D268375" w14:textId="4D07565B" w:rsidR="00EF5C25" w:rsidRPr="003C1ACC" w:rsidRDefault="00EF5C25" w:rsidP="00D83646">
      <w:pPr>
        <w:pStyle w:val="Footnote"/>
      </w:pPr>
      <w:r w:rsidRPr="003C1ACC">
        <w:rPr>
          <w:vertAlign w:val="superscript"/>
        </w:rPr>
        <w:footnoteRef/>
      </w:r>
      <w:r w:rsidRPr="003C1ACC">
        <w:t>.</w:t>
      </w:r>
      <w:r w:rsidRPr="003C1ACC">
        <w:tab/>
        <w:t xml:space="preserve">Contrary to </w:t>
      </w:r>
      <w:r w:rsidRPr="003C1ACC">
        <w:rPr>
          <w:rStyle w:val="LightItalic"/>
          <w:rFonts w:ascii="Verdana" w:hAnsi="Verdana"/>
        </w:rPr>
        <w:t xml:space="preserve">Crimes Act 1958 </w:t>
      </w:r>
      <w:r w:rsidRPr="003C1ACC">
        <w:t>(Vic) ss 49B (since 1 July 2017) and 45(1) (until 30 June 2017). This includes 155 section 45(1) charges for which the Council could confirm that the victim was under the offender’s care, supervision or authority. That delineation is no longer made under the current iteration of the offence, but the average prison sentence for section 45(1) offences where the victim was under the offender’s care, supervision or authority received longer average prison sentences (3 years and 6 months) than section 45(1) offences where the victim was not (2 years and 6 months).</w:t>
      </w:r>
    </w:p>
  </w:footnote>
  <w:footnote w:id="223">
    <w:p w14:paraId="6DBD94E1" w14:textId="2D88B5F4" w:rsidR="00EF5C25" w:rsidRPr="003C1ACC" w:rsidRDefault="00EF5C25" w:rsidP="00D83646">
      <w:pPr>
        <w:pStyle w:val="Footnote"/>
      </w:pPr>
      <w:r w:rsidRPr="003C1ACC">
        <w:rPr>
          <w:vertAlign w:val="superscript"/>
        </w:rPr>
        <w:footnoteRef/>
      </w:r>
      <w:r w:rsidRPr="003C1ACC">
        <w:t>.</w:t>
      </w:r>
      <w:r w:rsidRPr="003C1ACC">
        <w:tab/>
        <w:t>A combined order of 1 month’s imprisonment and a community correction order was imposed in 2 cases. One case involved a female offender engaging in penile-–vaginal penetration with her son’s 15-year-old friend: unpublished sentencing remarks provided to the Council. The other was a time served prison sentence combined with a community correction order in circumstances involving a 22-year-old male and a 15-year-old female:</w:t>
      </w:r>
      <w:r w:rsidRPr="003C1ACC">
        <w:rPr>
          <w:rStyle w:val="LightItalic"/>
          <w:rFonts w:ascii="Verdana" w:hAnsi="Verdana"/>
        </w:rPr>
        <w:t xml:space="preserve"> DPP v Solomon-Davidson </w:t>
      </w:r>
      <w:r w:rsidRPr="003C1ACC">
        <w:t xml:space="preserve">[2017] VCC 107 (16 February 2017). </w:t>
      </w:r>
    </w:p>
  </w:footnote>
  <w:footnote w:id="224">
    <w:p w14:paraId="71773783" w14:textId="70B923C2" w:rsidR="00EF5C25" w:rsidRPr="003C1ACC" w:rsidRDefault="00EF5C25" w:rsidP="00D83646">
      <w:pPr>
        <w:pStyle w:val="Footnote"/>
      </w:pPr>
      <w:r w:rsidRPr="003C1ACC">
        <w:rPr>
          <w:vertAlign w:val="superscript"/>
        </w:rPr>
        <w:footnoteRef/>
      </w:r>
      <w:r w:rsidRPr="003C1ACC">
        <w:t>.</w:t>
      </w:r>
      <w:r w:rsidRPr="003C1ACC">
        <w:tab/>
        <w:t>From 2010 to 2019, the average prison sentence increases by 43%, from 2 years and 2 months to 3 years and 2 months. There was evidence for a statistically significant trend over this period (Pearson’s correlation coefficient = 0.639, p = 0.047).</w:t>
      </w:r>
    </w:p>
  </w:footnote>
  <w:footnote w:id="225">
    <w:p w14:paraId="6EB125A1" w14:textId="099DCCAE" w:rsidR="00EF5C25" w:rsidRPr="003C1ACC" w:rsidRDefault="00EF5C25" w:rsidP="00D83646">
      <w:pPr>
        <w:pStyle w:val="Footnote"/>
      </w:pPr>
      <w:r w:rsidRPr="003C1ACC">
        <w:rPr>
          <w:vertAlign w:val="superscript"/>
        </w:rPr>
        <w:footnoteRef/>
      </w:r>
      <w:r w:rsidRPr="003C1ACC">
        <w:t>.</w:t>
      </w:r>
      <w:r w:rsidRPr="003C1ACC">
        <w:tab/>
        <w:t>Roundtable 1 (30 March 2021).</w:t>
      </w:r>
    </w:p>
  </w:footnote>
  <w:footnote w:id="226">
    <w:p w14:paraId="44D9BB7F" w14:textId="53BB1874" w:rsidR="00EF5C25" w:rsidRPr="003C1ACC" w:rsidRDefault="00EF5C25" w:rsidP="00C62331">
      <w:pPr>
        <w:pStyle w:val="Footnote"/>
      </w:pPr>
      <w:r w:rsidRPr="003C1ACC">
        <w:rPr>
          <w:vertAlign w:val="superscript"/>
        </w:rPr>
        <w:footnoteRef/>
      </w:r>
      <w:r w:rsidRPr="003C1ACC">
        <w:t>.</w:t>
      </w:r>
      <w:r w:rsidRPr="003C1ACC">
        <w:tab/>
        <w:t>From 2010 to 2019, the average total effective sentence increased by 19%, from 3 years and 8 months to 4 years and 4 months. There was no evidence for a statistically significant trend (Pearson’s correlation coefficient = 0.028, p &gt; 0.1).</w:t>
      </w:r>
    </w:p>
  </w:footnote>
  <w:footnote w:id="227">
    <w:p w14:paraId="03D0FCC4" w14:textId="37E691E6" w:rsidR="00EF5C25" w:rsidRPr="003C1ACC" w:rsidRDefault="00EF5C25" w:rsidP="00301B77">
      <w:pPr>
        <w:pStyle w:val="Footnote"/>
      </w:pPr>
      <w:r w:rsidRPr="003C1ACC">
        <w:rPr>
          <w:vertAlign w:val="superscript"/>
        </w:rPr>
        <w:footnoteRef/>
      </w:r>
      <w:r w:rsidRPr="003C1ACC">
        <w:t>.</w:t>
      </w:r>
      <w:r w:rsidRPr="003C1ACC">
        <w:tab/>
        <w:t>The prison sentences for the standard sentence offences ranged from 11 weeks to 6 years and 10 months. The prison sentences for the non-standard sentence offences ranged from 6 weeks to 6 years.</w:t>
      </w:r>
    </w:p>
  </w:footnote>
  <w:footnote w:id="228">
    <w:p w14:paraId="029129AB" w14:textId="17AF373B" w:rsidR="00EF5C25" w:rsidRPr="003C1ACC" w:rsidRDefault="00EF5C25" w:rsidP="00301B77">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Edmonds (A Pseudonym) </w:t>
      </w:r>
      <w:r w:rsidRPr="003C1ACC">
        <w:t xml:space="preserve">[2019] VCC 1320 (21 August 2019) [45]. One commonly cited factor causing a case to be classified at the lower end of objective seriousness for this type of offending is a relatively low age disparity between the offender and the victim: see, for example, </w:t>
      </w:r>
      <w:r w:rsidRPr="003C1ACC">
        <w:rPr>
          <w:rStyle w:val="LightItalic"/>
          <w:rFonts w:ascii="Verdana" w:hAnsi="Verdana"/>
        </w:rPr>
        <w:t xml:space="preserve">DPP v Aleksi (A Pseudonym) </w:t>
      </w:r>
      <w:r w:rsidRPr="003C1ACC">
        <w:t>[2019] VCC 2101 (18 November 2019) [39].</w:t>
      </w:r>
    </w:p>
  </w:footnote>
  <w:footnote w:id="229">
    <w:p w14:paraId="6C10B4BD" w14:textId="6EED10ED" w:rsidR="00EF5C25" w:rsidRPr="003C1ACC" w:rsidRDefault="00EF5C25" w:rsidP="00301B77">
      <w:pPr>
        <w:pStyle w:val="Footnote"/>
      </w:pPr>
      <w:r w:rsidRPr="003C1ACC">
        <w:rPr>
          <w:vertAlign w:val="superscript"/>
        </w:rPr>
        <w:footnoteRef/>
      </w:r>
      <w:r w:rsidRPr="003C1ACC">
        <w:t>.</w:t>
      </w:r>
      <w:r w:rsidRPr="003C1ACC">
        <w:tab/>
      </w:r>
      <w:r w:rsidRPr="003C1ACC">
        <w:rPr>
          <w:rStyle w:val="LightItalic"/>
          <w:rFonts w:ascii="Verdana" w:hAnsi="Verdana"/>
        </w:rPr>
        <w:t xml:space="preserve">DPP v Moulden (A Pseudonym) </w:t>
      </w:r>
      <w:r w:rsidRPr="003C1ACC">
        <w:t xml:space="preserve">[2019] VCC 386 (28 March 2019). </w:t>
      </w:r>
    </w:p>
  </w:footnote>
  <w:footnote w:id="230">
    <w:p w14:paraId="15D3E8A8" w14:textId="62A4FF90" w:rsidR="00EF5C25" w:rsidRPr="003C1ACC" w:rsidRDefault="00EF5C25" w:rsidP="00301B77">
      <w:pPr>
        <w:pStyle w:val="Footnote"/>
      </w:pPr>
      <w:r w:rsidRPr="003C1ACC">
        <w:rPr>
          <w:vertAlign w:val="superscript"/>
        </w:rPr>
        <w:footnoteRef/>
      </w:r>
      <w:r w:rsidRPr="003C1ACC">
        <w:t>.</w:t>
      </w:r>
      <w:r w:rsidRPr="003C1ACC">
        <w:tab/>
      </w:r>
      <w:r w:rsidRPr="003C1ACC">
        <w:rPr>
          <w:rStyle w:val="LightItalic"/>
          <w:rFonts w:ascii="Verdana" w:hAnsi="Verdana"/>
        </w:rPr>
        <w:t xml:space="preserve">DPP v Gay </w:t>
      </w:r>
      <w:r w:rsidRPr="003C1ACC">
        <w:t>[2020] VCC 548 (1 May 2020) [30].</w:t>
      </w:r>
    </w:p>
  </w:footnote>
  <w:footnote w:id="231">
    <w:p w14:paraId="48274E3B" w14:textId="0F239202" w:rsidR="00EF5C25" w:rsidRPr="003C1ACC" w:rsidRDefault="00EF5C25" w:rsidP="00301B77">
      <w:pPr>
        <w:pStyle w:val="Footnote"/>
      </w:pPr>
      <w:r w:rsidRPr="003C1ACC">
        <w:rPr>
          <w:vertAlign w:val="superscript"/>
        </w:rPr>
        <w:footnoteRef/>
      </w:r>
      <w:r w:rsidRPr="003C1ACC">
        <w:t>.</w:t>
      </w:r>
      <w:r w:rsidRPr="003C1ACC">
        <w:tab/>
      </w:r>
      <w:r w:rsidRPr="003C1ACC">
        <w:rPr>
          <w:rStyle w:val="LightItalic"/>
          <w:rFonts w:ascii="Verdana" w:hAnsi="Verdana"/>
        </w:rPr>
        <w:t xml:space="preserve">DPP v Morey (A Pseudonym) </w:t>
      </w:r>
      <w:r w:rsidRPr="003C1ACC">
        <w:t>[2020] VCC 320 (30 March 2020) [100].</w:t>
      </w:r>
    </w:p>
  </w:footnote>
  <w:footnote w:id="232">
    <w:p w14:paraId="06F322A4" w14:textId="293C7364" w:rsidR="00EF5C25" w:rsidRPr="003C1ACC" w:rsidRDefault="00EF5C25" w:rsidP="00301B77">
      <w:pPr>
        <w:pStyle w:val="Footnote"/>
      </w:pPr>
      <w:r w:rsidRPr="003C1ACC">
        <w:rPr>
          <w:vertAlign w:val="superscript"/>
        </w:rPr>
        <w:footnoteRef/>
      </w:r>
      <w:r w:rsidRPr="003C1ACC">
        <w:t>.</w:t>
      </w:r>
      <w:r w:rsidRPr="003C1ACC">
        <w:tab/>
      </w:r>
      <w:r w:rsidRPr="003C1ACC">
        <w:rPr>
          <w:rStyle w:val="LightItalic"/>
          <w:rFonts w:ascii="Verdana" w:hAnsi="Verdana"/>
        </w:rPr>
        <w:t xml:space="preserve">DPP v Calladine (A Pseudonym) </w:t>
      </w:r>
      <w:r w:rsidRPr="003C1ACC">
        <w:t xml:space="preserve">[2020] VCC 2014 (14 December 2020) [77]. </w:t>
      </w:r>
    </w:p>
  </w:footnote>
  <w:footnote w:id="233">
    <w:p w14:paraId="53966295" w14:textId="587C079A" w:rsidR="00EF5C25" w:rsidRPr="003C1ACC" w:rsidRDefault="00EF5C25" w:rsidP="00301B77">
      <w:pPr>
        <w:pStyle w:val="Footnote"/>
      </w:pPr>
      <w:r w:rsidRPr="003C1ACC">
        <w:rPr>
          <w:vertAlign w:val="superscript"/>
        </w:rPr>
        <w:footnoteRef/>
      </w:r>
      <w:r w:rsidRPr="003C1ACC">
        <w:t>.</w:t>
      </w:r>
      <w:r w:rsidRPr="003C1ACC">
        <w:tab/>
      </w:r>
      <w:r w:rsidRPr="003C1ACC">
        <w:rPr>
          <w:rStyle w:val="LightItalic"/>
          <w:rFonts w:ascii="Verdana" w:hAnsi="Verdana"/>
        </w:rPr>
        <w:t xml:space="preserve">DPP v Pennington (A Pseudonym) </w:t>
      </w:r>
      <w:r w:rsidRPr="003C1ACC">
        <w:t>[2019] VCC 1700 (18 October 2019) [37].</w:t>
      </w:r>
    </w:p>
  </w:footnote>
  <w:footnote w:id="234">
    <w:p w14:paraId="790DD8FB" w14:textId="4C5AF529" w:rsidR="00EF5C25" w:rsidRPr="003C1ACC" w:rsidRDefault="00EF5C25" w:rsidP="00301B77">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Calladine (A Pseudonym) </w:t>
      </w:r>
      <w:r w:rsidRPr="003C1ACC">
        <w:t xml:space="preserve">[2020] VCC 2014 (14 December 2020) [63], citing a number of cases in which the offence had been sentenced as a standard sentence offence; </w:t>
      </w:r>
      <w:r w:rsidRPr="003C1ACC">
        <w:rPr>
          <w:rStyle w:val="LightItalic"/>
          <w:rFonts w:ascii="Verdana" w:hAnsi="Verdana"/>
        </w:rPr>
        <w:t xml:space="preserve">DPP v Beck </w:t>
      </w:r>
      <w:r w:rsidRPr="003C1ACC">
        <w:t xml:space="preserve">[2020] VCC 1590 (1 October 2020) [69]; </w:t>
      </w:r>
      <w:r w:rsidRPr="003C1ACC">
        <w:rPr>
          <w:rStyle w:val="LightItalic"/>
          <w:rFonts w:ascii="Verdana" w:hAnsi="Verdana"/>
        </w:rPr>
        <w:t xml:space="preserve">DPP v Bouris </w:t>
      </w:r>
      <w:r w:rsidRPr="003C1ACC">
        <w:t xml:space="preserve">[2020] VCC 1486 (17 September 2020) [70]; </w:t>
      </w:r>
      <w:r w:rsidRPr="003C1ACC">
        <w:rPr>
          <w:rStyle w:val="LightItalic"/>
          <w:rFonts w:ascii="Verdana" w:hAnsi="Verdana"/>
        </w:rPr>
        <w:t xml:space="preserve">DPP v Howell (A Pseudonym) </w:t>
      </w:r>
      <w:r w:rsidRPr="003C1ACC">
        <w:t xml:space="preserve">[2020] VCC 1328 (25 August 2020) [37]; </w:t>
      </w:r>
      <w:r w:rsidRPr="003C1ACC">
        <w:rPr>
          <w:rStyle w:val="LightItalic"/>
          <w:rFonts w:ascii="Verdana" w:hAnsi="Verdana"/>
        </w:rPr>
        <w:t xml:space="preserve">DPP v Prior (A Pseudonym) </w:t>
      </w:r>
      <w:r w:rsidRPr="003C1ACC">
        <w:t xml:space="preserve">[2019] VCC 1672 (14 October 2019) [18]. See also </w:t>
      </w:r>
      <w:r w:rsidRPr="003C1ACC">
        <w:rPr>
          <w:rStyle w:val="LightItalic"/>
          <w:rFonts w:ascii="Verdana" w:hAnsi="Verdana"/>
        </w:rPr>
        <w:t xml:space="preserve">DPP v Garratt </w:t>
      </w:r>
      <w:r w:rsidRPr="003C1ACC">
        <w:t xml:space="preserve">[2020] VCC 1721 (26 October 2020); </w:t>
      </w:r>
      <w:r w:rsidRPr="003C1ACC">
        <w:rPr>
          <w:rStyle w:val="LightItalic"/>
          <w:rFonts w:ascii="Verdana" w:hAnsi="Verdana"/>
        </w:rPr>
        <w:t xml:space="preserve">DPP v Jenkins </w:t>
      </w:r>
      <w:r w:rsidRPr="003C1ACC">
        <w:t xml:space="preserve">[2019] VCC 1504 (17 September 2019); </w:t>
      </w:r>
      <w:r w:rsidRPr="003C1ACC">
        <w:rPr>
          <w:rStyle w:val="LightItalic"/>
          <w:rFonts w:ascii="Verdana" w:hAnsi="Verdana"/>
        </w:rPr>
        <w:t xml:space="preserve">DPP v Moulden (A Pseudonym) </w:t>
      </w:r>
      <w:r w:rsidRPr="003C1ACC">
        <w:t xml:space="preserve">[2019] VCC 386 (28 March 2019); </w:t>
      </w:r>
      <w:r w:rsidRPr="003C1ACC">
        <w:rPr>
          <w:rStyle w:val="LightItalic"/>
          <w:rFonts w:ascii="Verdana" w:hAnsi="Verdana"/>
        </w:rPr>
        <w:t xml:space="preserve">Contra DPP v Rohan </w:t>
      </w:r>
      <w:r w:rsidRPr="003C1ACC">
        <w:t xml:space="preserve">[2020] VCC 814 (9 June 2020) [83]; </w:t>
      </w:r>
      <w:r w:rsidRPr="003C1ACC">
        <w:rPr>
          <w:rStyle w:val="LightItalic"/>
          <w:rFonts w:ascii="Verdana" w:hAnsi="Verdana"/>
        </w:rPr>
        <w:t xml:space="preserve">DPP v Leitch (A Pseudonym) </w:t>
      </w:r>
      <w:r w:rsidRPr="003C1ACC">
        <w:t>[2019] VCC 1952 (25 November 2019) [78].</w:t>
      </w:r>
    </w:p>
  </w:footnote>
  <w:footnote w:id="235">
    <w:p w14:paraId="6BE9CB4C" w14:textId="3CDAD88C" w:rsidR="00EF5C25" w:rsidRPr="003C1ACC" w:rsidRDefault="00EF5C25" w:rsidP="00EC7D00">
      <w:pPr>
        <w:pStyle w:val="Footnote"/>
      </w:pPr>
      <w:r w:rsidRPr="003C1ACC">
        <w:rPr>
          <w:vertAlign w:val="superscript"/>
        </w:rPr>
        <w:footnoteRef/>
      </w:r>
      <w:r w:rsidRPr="003C1ACC">
        <w:t>.</w:t>
      </w:r>
      <w:r w:rsidRPr="003C1ACC">
        <w:tab/>
        <w:t>The term ‘child sexual assault offences’ refers to the offences listed in Table 10 (see also glossary).</w:t>
      </w:r>
    </w:p>
  </w:footnote>
  <w:footnote w:id="236">
    <w:p w14:paraId="583E2485" w14:textId="32B2547E" w:rsidR="00EF5C25" w:rsidRPr="003C1ACC" w:rsidRDefault="00EF5C25" w:rsidP="00EC7D00">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1980 </w:t>
      </w:r>
      <w:r w:rsidRPr="003C1ACC">
        <w:t>(Vic) ss 50(1)–(2).</w:t>
      </w:r>
    </w:p>
  </w:footnote>
  <w:footnote w:id="237">
    <w:p w14:paraId="5820FDAE" w14:textId="7E60333F" w:rsidR="00EF5C25" w:rsidRPr="003C1ACC" w:rsidRDefault="00EF5C25" w:rsidP="00EC7D00">
      <w:pPr>
        <w:pStyle w:val="Footnote"/>
      </w:pPr>
      <w:r w:rsidRPr="003C1ACC">
        <w:rPr>
          <w:vertAlign w:val="superscript"/>
        </w:rPr>
        <w:footnoteRef/>
      </w:r>
      <w:r w:rsidRPr="003C1ACC">
        <w:t>.</w:t>
      </w:r>
      <w:r w:rsidRPr="003C1ACC">
        <w:tab/>
        <w:t xml:space="preserve">The offences of indecent assault of a child aged under 16 and indecent assault of a child aged 16 under care, supervision or authority carried 5-year and 2-year maximum penalties respectively: </w:t>
      </w:r>
      <w:r w:rsidRPr="003C1ACC">
        <w:rPr>
          <w:rStyle w:val="LightItalic"/>
          <w:rFonts w:ascii="Verdana" w:hAnsi="Verdana"/>
        </w:rPr>
        <w:t xml:space="preserve">Crimes (Sexual Offences) Act 1991 </w:t>
      </w:r>
      <w:r w:rsidRPr="003C1ACC">
        <w:t xml:space="preserve">(Vic) s 3, inserting </w:t>
      </w:r>
      <w:r w:rsidRPr="003C1ACC">
        <w:rPr>
          <w:rStyle w:val="LightItalic"/>
          <w:rFonts w:ascii="Verdana" w:hAnsi="Verdana"/>
        </w:rPr>
        <w:t xml:space="preserve">Crimes Act 1958 </w:t>
      </w:r>
      <w:r w:rsidRPr="003C1ACC">
        <w:t xml:space="preserve">(Vic) ss 47, 49 (in effect from 5 August 1991 to 30 June 2017). The maximum penalty for indecent act with a child aged under 16 under care, supervision or authority was increased to 3 years’ imprisonment in April 1992 and 5 years’ imprisonment in September 1997: </w:t>
      </w:r>
      <w:r w:rsidRPr="003C1ACC">
        <w:rPr>
          <w:rStyle w:val="LightItalic"/>
          <w:rFonts w:ascii="Verdana" w:hAnsi="Verdana"/>
        </w:rPr>
        <w:t xml:space="preserve">Sentencing Act 1991 </w:t>
      </w:r>
      <w:r w:rsidRPr="003C1ACC">
        <w:t>(Vic) s 119(3), sch 3 item 8. For offences committed before 1991, it is not possible to determine whether the victim was a child or an adult. A review of cases did, though, overwhelmingly suggest that these offences would have involved child victims.</w:t>
      </w:r>
    </w:p>
  </w:footnote>
  <w:footnote w:id="238">
    <w:p w14:paraId="11AB6465" w14:textId="4B9AF10C" w:rsidR="00EF5C25" w:rsidRPr="003C1ACC" w:rsidRDefault="00EF5C25" w:rsidP="00EC7D00">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2006 </w:t>
      </w:r>
      <w:r w:rsidRPr="003C1ACC">
        <w:t>(Vic) s 13.</w:t>
      </w:r>
    </w:p>
  </w:footnote>
  <w:footnote w:id="239">
    <w:p w14:paraId="1ABB40E6" w14:textId="121E2843" w:rsidR="00EF5C25" w:rsidRPr="003C1ACC" w:rsidRDefault="00EF5C25" w:rsidP="00EC7D00">
      <w:pPr>
        <w:pStyle w:val="Footnote"/>
      </w:pPr>
      <w:r w:rsidRPr="003C1ACC">
        <w:rPr>
          <w:vertAlign w:val="superscript"/>
        </w:rPr>
        <w:footnoteRef/>
      </w:r>
      <w:r w:rsidRPr="003C1ACC">
        <w:t>.</w:t>
      </w:r>
      <w:r w:rsidRPr="003C1ACC">
        <w:tab/>
      </w:r>
      <w:r w:rsidRPr="003C1ACC">
        <w:rPr>
          <w:rStyle w:val="LightItalic"/>
          <w:rFonts w:ascii="Verdana" w:hAnsi="Verdana"/>
        </w:rPr>
        <w:t>Crimes Act 1958</w:t>
      </w:r>
      <w:r w:rsidRPr="003C1ACC">
        <w:t xml:space="preserve"> (Vic) ss 49D–49E.</w:t>
      </w:r>
    </w:p>
  </w:footnote>
  <w:footnote w:id="240">
    <w:p w14:paraId="78C64D55" w14:textId="34EED1EF" w:rsidR="00EF5C25" w:rsidRPr="003C1ACC" w:rsidRDefault="00EF5C25" w:rsidP="005839B3">
      <w:pPr>
        <w:pStyle w:val="Footnote"/>
      </w:pPr>
      <w:r w:rsidRPr="003C1ACC">
        <w:rPr>
          <w:vertAlign w:val="superscript"/>
        </w:rPr>
        <w:footnoteRef/>
      </w:r>
      <w:r w:rsidRPr="003C1ACC">
        <w:t>.</w:t>
      </w:r>
      <w:r w:rsidRPr="003C1ACC">
        <w:tab/>
        <w:t>At least 7% of these were historical offences alleged to have occurred either pre-1991 (698) or pre-1981 (820).</w:t>
      </w:r>
    </w:p>
  </w:footnote>
  <w:footnote w:id="241">
    <w:p w14:paraId="703475B4" w14:textId="5BD14358" w:rsidR="00EF5C25" w:rsidRPr="003C1ACC" w:rsidRDefault="00EF5C25" w:rsidP="00785C72">
      <w:pPr>
        <w:pStyle w:val="Footnote"/>
      </w:pPr>
      <w:r w:rsidRPr="003C1ACC">
        <w:rPr>
          <w:vertAlign w:val="superscript"/>
        </w:rPr>
        <w:footnoteRef/>
      </w:r>
      <w:r w:rsidRPr="003C1ACC">
        <w:t>.</w:t>
      </w:r>
      <w:r w:rsidRPr="003C1ACC">
        <w:tab/>
        <w:t xml:space="preserve">In Table 11, </w:t>
      </w:r>
      <w:r w:rsidRPr="003C1ACC">
        <w:rPr>
          <w:rStyle w:val="LightItalic"/>
          <w:rFonts w:ascii="Verdana" w:hAnsi="Verdana"/>
        </w:rPr>
        <w:t>immediate custodial sentences</w:t>
      </w:r>
      <w:r w:rsidRPr="003C1ACC">
        <w:t xml:space="preserve"> include 2,658 prison sentences (including combined orders), 389 aggregate sentences of imprisonment (including combined orders), 122 partially suspended sentences and 16 youth justice centre orders or youth training centre orders. </w:t>
      </w:r>
      <w:r w:rsidRPr="003C1ACC">
        <w:rPr>
          <w:rStyle w:val="LightItalic"/>
          <w:rFonts w:ascii="Verdana" w:hAnsi="Verdana"/>
        </w:rPr>
        <w:t xml:space="preserve">Community orders </w:t>
      </w:r>
      <w:r w:rsidRPr="003C1ACC">
        <w:t xml:space="preserve">include 742 community correction orders, 105 community-based orders, 11 intensive correction orders and 3 youth supervision orders. </w:t>
      </w:r>
      <w:r w:rsidRPr="003C1ACC">
        <w:rPr>
          <w:rStyle w:val="LightItalic"/>
          <w:rFonts w:ascii="Verdana" w:hAnsi="Verdana"/>
        </w:rPr>
        <w:t>Other orders</w:t>
      </w:r>
      <w:r w:rsidRPr="003C1ACC">
        <w:t xml:space="preserve"> include 97 adjourned undertakings, 50 fines, 32 aggregate fines, 30 diversions, 2 residential treatment orders, 2 discharges with conviction and 1 probation order. </w:t>
      </w:r>
    </w:p>
  </w:footnote>
  <w:footnote w:id="242">
    <w:p w14:paraId="06554937" w14:textId="1F532553" w:rsidR="00EF5C25" w:rsidRPr="003C1ACC" w:rsidRDefault="00EF5C25" w:rsidP="00381BBC">
      <w:pPr>
        <w:pStyle w:val="Footnote"/>
      </w:pPr>
      <w:r w:rsidRPr="003C1ACC">
        <w:rPr>
          <w:vertAlign w:val="superscript"/>
        </w:rPr>
        <w:footnoteRef/>
      </w:r>
      <w:r w:rsidRPr="003C1ACC">
        <w:t>.</w:t>
      </w:r>
      <w:r w:rsidRPr="003C1ACC">
        <w:tab/>
      </w:r>
      <w:r w:rsidRPr="003C1ACC">
        <w:rPr>
          <w:rStyle w:val="LightItalic"/>
          <w:rFonts w:ascii="Verdana" w:hAnsi="Verdana"/>
        </w:rPr>
        <w:t>Boulton &amp; Ors v The Queen</w:t>
      </w:r>
      <w:r w:rsidRPr="003C1ACC">
        <w:t xml:space="preserve"> [2014] VSCA 342 (22 December 2014).</w:t>
      </w:r>
    </w:p>
  </w:footnote>
  <w:footnote w:id="243">
    <w:p w14:paraId="72027334" w14:textId="463D1696" w:rsidR="00EF5C25" w:rsidRPr="003C1ACC" w:rsidRDefault="00EF5C25" w:rsidP="00DA4890">
      <w:pPr>
        <w:pStyle w:val="Footnote"/>
      </w:pPr>
      <w:r w:rsidRPr="003C1ACC">
        <w:rPr>
          <w:vertAlign w:val="superscript"/>
        </w:rPr>
        <w:footnoteRef/>
      </w:r>
      <w:r w:rsidRPr="003C1ACC">
        <w:t>.</w:t>
      </w:r>
      <w:r w:rsidRPr="003C1ACC">
        <w:tab/>
        <w:t xml:space="preserve">While the sentencing remarks in these two cases do not appear to be publicly available, a case involving a charge receiving 6 years’ imprisonment is: </w:t>
      </w:r>
      <w:r w:rsidRPr="003C1ACC">
        <w:rPr>
          <w:rStyle w:val="LightItalic"/>
          <w:rFonts w:ascii="Verdana" w:hAnsi="Verdana"/>
        </w:rPr>
        <w:t xml:space="preserve">DPP v Eden (A Pseudonym) </w:t>
      </w:r>
      <w:r w:rsidRPr="003C1ACC">
        <w:t>[2019] VCC 459 (4 April 2019). Each of these cases with the longest prison sentences for child sexual assault offences involved other co-sentenced child sex offences.</w:t>
      </w:r>
    </w:p>
  </w:footnote>
  <w:footnote w:id="244">
    <w:p w14:paraId="245A7982" w14:textId="77384F09" w:rsidR="00EF5C25" w:rsidRPr="003C1ACC" w:rsidRDefault="00EF5C25" w:rsidP="00DA4890">
      <w:pPr>
        <w:pStyle w:val="Footnote"/>
      </w:pPr>
      <w:r w:rsidRPr="003C1ACC">
        <w:rPr>
          <w:vertAlign w:val="superscript"/>
        </w:rPr>
        <w:footnoteRef/>
      </w:r>
      <w:r w:rsidRPr="003C1ACC">
        <w:t>.</w:t>
      </w:r>
      <w:r w:rsidRPr="003C1ACC">
        <w:tab/>
        <w:t>While child sexual assault offences were more likely to be sentenced in the higher courts and more likely to receive an immediate custodial sentence than adult sexual assault offences, the average prison sentence for sexual assaults of adults and children were almost identical (14 months and 15 months in the higher courts, and 6 months and 7 months in the Magistrates’ Court).</w:t>
      </w:r>
    </w:p>
  </w:footnote>
  <w:footnote w:id="245">
    <w:p w14:paraId="5EBEEBE0" w14:textId="5084D3B4" w:rsidR="00EF5C25" w:rsidRPr="003C1ACC" w:rsidRDefault="00EF5C25" w:rsidP="00543139">
      <w:pPr>
        <w:pStyle w:val="Footnote"/>
      </w:pPr>
      <w:r w:rsidRPr="003C1ACC">
        <w:rPr>
          <w:vertAlign w:val="superscript"/>
        </w:rPr>
        <w:footnoteRef/>
      </w:r>
      <w:r w:rsidRPr="003C1ACC">
        <w:t>.</w:t>
      </w:r>
      <w:r w:rsidRPr="003C1ACC">
        <w:tab/>
        <w:t>From 2010 to 2019, the average prison sentence increased by 33% in the higher courts (from 1 year and 3 months to 1 year and 8 months) and decreased by 30% in the Magistrates’ Court (from 9 months to 7 months). There was no evidence for a statistically significant trend in either court (Pearson’s correlation coefficients = 0.487 (higher courts); -0.430 (Magistrates’ Court), p &gt; 0.1).</w:t>
      </w:r>
    </w:p>
  </w:footnote>
  <w:footnote w:id="246">
    <w:p w14:paraId="0B19D314" w14:textId="141A503C" w:rsidR="00EF5C25" w:rsidRPr="003C1ACC" w:rsidRDefault="00EF5C25" w:rsidP="00543139">
      <w:pPr>
        <w:pStyle w:val="Footnote"/>
      </w:pPr>
      <w:r w:rsidRPr="003C1ACC">
        <w:rPr>
          <w:vertAlign w:val="superscript"/>
        </w:rPr>
        <w:footnoteRef/>
      </w:r>
      <w:r w:rsidRPr="003C1ACC">
        <w:t>.</w:t>
      </w:r>
      <w:r w:rsidRPr="003C1ACC">
        <w:tab/>
        <w:t>Excluding the 15 prison sentences imposed for standard sentence offences in the higher courts in 2019, the average prison sentence was 1 year and 7 months.</w:t>
      </w:r>
    </w:p>
  </w:footnote>
  <w:footnote w:id="247">
    <w:p w14:paraId="7A50B471" w14:textId="3623BD1A" w:rsidR="00EF5C25" w:rsidRPr="003C1ACC" w:rsidRDefault="00EF5C25" w:rsidP="00543139">
      <w:pPr>
        <w:pStyle w:val="Footnote"/>
      </w:pPr>
      <w:r w:rsidRPr="003C1ACC">
        <w:rPr>
          <w:vertAlign w:val="superscript"/>
        </w:rPr>
        <w:footnoteRef/>
      </w:r>
      <w:r w:rsidRPr="003C1ACC">
        <w:t>.</w:t>
      </w:r>
      <w:r w:rsidRPr="003C1ACC">
        <w:tab/>
        <w:t xml:space="preserve">The 12-year total effective sentence was imposed in </w:t>
      </w:r>
      <w:r w:rsidRPr="003C1ACC">
        <w:rPr>
          <w:rStyle w:val="LightItalic"/>
          <w:rFonts w:ascii="Verdana" w:hAnsi="Verdana"/>
        </w:rPr>
        <w:t xml:space="preserve">DPP v Eden (A Pseudonym) </w:t>
      </w:r>
      <w:r w:rsidRPr="003C1ACC">
        <w:t>[2019] VCC 459 (4 April 2019).</w:t>
      </w:r>
    </w:p>
  </w:footnote>
  <w:footnote w:id="248">
    <w:p w14:paraId="4EA68DE6" w14:textId="073FD039" w:rsidR="00EF5C25" w:rsidRPr="003C1ACC" w:rsidRDefault="00EF5C25" w:rsidP="00543139">
      <w:pPr>
        <w:pStyle w:val="Footnote"/>
      </w:pPr>
      <w:r w:rsidRPr="003C1ACC">
        <w:rPr>
          <w:vertAlign w:val="superscript"/>
        </w:rPr>
        <w:footnoteRef/>
      </w:r>
      <w:r w:rsidRPr="003C1ACC">
        <w:t>.</w:t>
      </w:r>
      <w:r w:rsidRPr="003C1ACC">
        <w:tab/>
        <w:t>From 2010 to 2019 the average total effective sentence increased by 12% in the higher courts (3 years and 5 months to 3 years and 9 months) and decreased by 37% in the Magistrates’ Court (1 year to 7 months). There was no evidence for a statistically significant trend in the higher courts (Pearson’s correlation coefficient = 0.063, p &gt; 0.1). There was evidence for a statistically significant trend in the Magistrates’ Court (Pearson’s correlation coefficient = -0.731, p = 0.016).</w:t>
      </w:r>
    </w:p>
  </w:footnote>
  <w:footnote w:id="249">
    <w:p w14:paraId="699508DB" w14:textId="67B724F6" w:rsidR="00EF5C25" w:rsidRPr="003C1ACC" w:rsidRDefault="00EF5C25" w:rsidP="004F6AF1">
      <w:pPr>
        <w:pStyle w:val="Footnote"/>
      </w:pPr>
      <w:r w:rsidRPr="003C1ACC">
        <w:rPr>
          <w:vertAlign w:val="superscript"/>
        </w:rPr>
        <w:footnoteRef/>
      </w:r>
      <w:r w:rsidRPr="003C1ACC">
        <w:t>.</w:t>
      </w:r>
      <w:r w:rsidRPr="003C1ACC">
        <w:tab/>
        <w:t xml:space="preserve">In addition to the 15 standard sentence offences that received prison sentences, 2 standard sentence offences received community correction orders. Another received a youth justice centre order: </w:t>
      </w:r>
      <w:r w:rsidRPr="003C1ACC">
        <w:rPr>
          <w:rStyle w:val="LightItalic"/>
          <w:rFonts w:ascii="Verdana" w:hAnsi="Verdana"/>
        </w:rPr>
        <w:t xml:space="preserve">DPP v Aleksi (A Pseudonym) </w:t>
      </w:r>
      <w:r w:rsidRPr="003C1ACC">
        <w:t>[2019] VCC 2101 (18 November 2019).</w:t>
      </w:r>
    </w:p>
  </w:footnote>
  <w:footnote w:id="250">
    <w:p w14:paraId="29030A94" w14:textId="4810EAEF" w:rsidR="00EF5C25" w:rsidRPr="003C1ACC" w:rsidRDefault="00EF5C25" w:rsidP="006B6E18">
      <w:pPr>
        <w:pStyle w:val="Footnote"/>
      </w:pPr>
      <w:r w:rsidRPr="003C1ACC">
        <w:rPr>
          <w:vertAlign w:val="superscript"/>
        </w:rPr>
        <w:footnoteRef/>
      </w:r>
      <w:r w:rsidRPr="003C1ACC">
        <w:t>.</w:t>
      </w:r>
      <w:r w:rsidRPr="003C1ACC">
        <w:tab/>
        <w:t>Outcomes included the following sentence lengths: 7 months, 8 months, 12 months, 13 months, 14 months, 2 years and 6 months (2 charges), 2 years and 10 months, 3 years (2 charges), 4 years (2 charges), 4 years and 4 months, and 6 years (2 charges).</w:t>
      </w:r>
    </w:p>
  </w:footnote>
  <w:footnote w:id="251">
    <w:p w14:paraId="104AE0E4" w14:textId="67306EA0" w:rsidR="00EF5C25" w:rsidRPr="003C1ACC" w:rsidRDefault="00EF5C25" w:rsidP="006B6E18">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Giuseppe (A Pseudonym) </w:t>
      </w:r>
      <w:r w:rsidRPr="003C1ACC">
        <w:t xml:space="preserve">[2020] VCC 786 (5 June 2020); </w:t>
      </w:r>
      <w:r w:rsidRPr="003C1ACC">
        <w:rPr>
          <w:rStyle w:val="LightItalic"/>
          <w:rFonts w:ascii="Verdana" w:hAnsi="Verdana"/>
        </w:rPr>
        <w:t xml:space="preserve">Lugo (A Pseudonym) v The Queen </w:t>
      </w:r>
      <w:r w:rsidRPr="003C1ACC">
        <w:t>[2020] VSCA 75 (30 March 2020).</w:t>
      </w:r>
    </w:p>
  </w:footnote>
  <w:footnote w:id="252">
    <w:p w14:paraId="2367FA8F" w14:textId="14E09B4F"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165A(4). See, for example, </w:t>
      </w:r>
      <w:r w:rsidRPr="003C1ACC">
        <w:rPr>
          <w:rStyle w:val="LightItalic"/>
          <w:rFonts w:ascii="Verdana" w:hAnsi="Verdana"/>
        </w:rPr>
        <w:t xml:space="preserve">DPP v Moulden (A Pseudonym) </w:t>
      </w:r>
      <w:r w:rsidRPr="003C1ACC">
        <w:t xml:space="preserve">[2019] VCC 386 (28 March 2019). The Council has previously noted that, given that the standard sentence is conceived as relating to a </w:t>
      </w:r>
      <w:r w:rsidRPr="003C1ACC">
        <w:rPr>
          <w:rStyle w:val="LightItalic"/>
          <w:rFonts w:ascii="Verdana" w:hAnsi="Verdana"/>
        </w:rPr>
        <w:t>single charge</w:t>
      </w:r>
      <w:r w:rsidRPr="003C1ACC">
        <w:t xml:space="preserve"> of an offence, applying the standard sentence to other forms of charges (course of conduct charges, but also rolled-up or representative charges) may be ‘problematic’: Sentencing Advisory Council (2016), above n 62, 178.</w:t>
      </w:r>
    </w:p>
  </w:footnote>
  <w:footnote w:id="253">
    <w:p w14:paraId="224FF837" w14:textId="07B2D6DB"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DPP v Becker (A Pseudonym) </w:t>
      </w:r>
      <w:r w:rsidRPr="003C1ACC">
        <w:t xml:space="preserve">[2020] VCC 795 (5 June 2020) [37]. See also </w:t>
      </w:r>
      <w:r w:rsidRPr="003C1ACC">
        <w:rPr>
          <w:rStyle w:val="LightItalic"/>
          <w:rFonts w:ascii="Verdana" w:hAnsi="Verdana"/>
        </w:rPr>
        <w:t xml:space="preserve">DPP v Hinch (A Pseudonym) </w:t>
      </w:r>
      <w:r w:rsidRPr="003C1ACC">
        <w:t xml:space="preserve">[2020] VCC 403 (8 April 2020). For cases involving child sexual assault as a standard sentence offence since the reference period in this report, see </w:t>
      </w:r>
      <w:r w:rsidRPr="003C1ACC">
        <w:rPr>
          <w:rStyle w:val="LightItalic"/>
          <w:rFonts w:ascii="Verdana" w:hAnsi="Verdana"/>
        </w:rPr>
        <w:t xml:space="preserve">DPP v Howell (A Pseudonym) </w:t>
      </w:r>
      <w:r w:rsidRPr="003C1ACC">
        <w:t xml:space="preserve">[2020] VCC 1328 (25 August 2020); </w:t>
      </w:r>
      <w:r w:rsidRPr="003C1ACC">
        <w:rPr>
          <w:rStyle w:val="LightItalic"/>
          <w:rFonts w:ascii="Verdana" w:hAnsi="Verdana"/>
        </w:rPr>
        <w:t xml:space="preserve">DPP v Hooper </w:t>
      </w:r>
      <w:r w:rsidRPr="003C1ACC">
        <w:t xml:space="preserve">[2020] VCC 1065 (17 July 2020); </w:t>
      </w:r>
      <w:r w:rsidRPr="003C1ACC">
        <w:rPr>
          <w:rStyle w:val="LightItalic"/>
          <w:rFonts w:ascii="Verdana" w:hAnsi="Verdana"/>
        </w:rPr>
        <w:t xml:space="preserve">DPP v Morey (A Pseudonym) </w:t>
      </w:r>
      <w:r w:rsidRPr="003C1ACC">
        <w:t>[2020] VCC 320 (30 March 2020).</w:t>
      </w:r>
    </w:p>
  </w:footnote>
  <w:footnote w:id="254">
    <w:p w14:paraId="10E0197D" w14:textId="72E94907"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DPP v Morey (A Pseudonym) </w:t>
      </w:r>
      <w:r w:rsidRPr="003C1ACC">
        <w:t>[2020] VCC 320 (30 March 2020). In this case, the offender’s subjective mitigating circumstances also meant that it was found to be in the interests of justice to impose a non-parole period lower than the presumed minimum of 60% of the total effective sentence.</w:t>
      </w:r>
    </w:p>
  </w:footnote>
  <w:footnote w:id="255">
    <w:p w14:paraId="7ADD5B8C" w14:textId="7AA37798"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Lugo (A Pseudonym) v The Queen </w:t>
      </w:r>
      <w:r w:rsidRPr="003C1ACC">
        <w:t>[2020] VSCA 75 (30 March 2020) [36].</w:t>
      </w:r>
    </w:p>
  </w:footnote>
  <w:footnote w:id="256">
    <w:p w14:paraId="4712D112" w14:textId="056462D1"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DPP v Greene (A Pseudonym) </w:t>
      </w:r>
      <w:r w:rsidRPr="003C1ACC">
        <w:t>[2019] VCC 438 (3 April 2019)</w:t>
      </w:r>
      <w:r w:rsidRPr="003C1ACC">
        <w:rPr>
          <w:rStyle w:val="LightItalic"/>
          <w:rFonts w:ascii="Verdana" w:hAnsi="Verdana"/>
        </w:rPr>
        <w:t xml:space="preserve"> </w:t>
      </w:r>
      <w:r w:rsidRPr="003C1ACC">
        <w:t>[27].</w:t>
      </w:r>
    </w:p>
  </w:footnote>
  <w:footnote w:id="257">
    <w:p w14:paraId="60CA2254" w14:textId="6C2FEB57" w:rsidR="00EF5C25" w:rsidRPr="003C1ACC" w:rsidRDefault="00EF5C25" w:rsidP="00643B09">
      <w:pPr>
        <w:pStyle w:val="Footnote"/>
      </w:pPr>
      <w:r w:rsidRPr="003C1ACC">
        <w:rPr>
          <w:vertAlign w:val="superscript"/>
        </w:rPr>
        <w:footnoteRef/>
      </w:r>
      <w:r w:rsidRPr="003C1ACC">
        <w:t>.</w:t>
      </w:r>
      <w:r w:rsidRPr="003C1ACC">
        <w:tab/>
      </w:r>
      <w:r w:rsidRPr="003C1ACC">
        <w:rPr>
          <w:rStyle w:val="LightItalic"/>
          <w:rFonts w:ascii="Verdana" w:hAnsi="Verdana"/>
        </w:rPr>
        <w:t xml:space="preserve">DPP v Greene (A Pseudonym) </w:t>
      </w:r>
      <w:r w:rsidRPr="003C1ACC">
        <w:t>[2019] VCC 438 (3 April 2019) [27].</w:t>
      </w:r>
    </w:p>
  </w:footnote>
  <w:footnote w:id="258">
    <w:p w14:paraId="55DA47C9" w14:textId="5A3D7C6A" w:rsidR="00EF5C25" w:rsidRPr="003C1ACC" w:rsidRDefault="00EF5C25" w:rsidP="00520B34">
      <w:pPr>
        <w:pStyle w:val="Footnote"/>
      </w:pPr>
      <w:r w:rsidRPr="003C1ACC">
        <w:rPr>
          <w:vertAlign w:val="superscript"/>
        </w:rPr>
        <w:footnoteRef/>
      </w:r>
      <w:r w:rsidRPr="003C1ACC">
        <w:t>.</w:t>
      </w:r>
      <w:r w:rsidRPr="003C1ACC">
        <w:tab/>
        <w:t>The term ‘persistent sexual abuse of a child offences’ refers to the offences listed in Table 12 (see also glossary).</w:t>
      </w:r>
    </w:p>
  </w:footnote>
  <w:footnote w:id="259">
    <w:p w14:paraId="625E00FB" w14:textId="1117D470" w:rsidR="00EF5C25" w:rsidRPr="003C1ACC" w:rsidRDefault="00EF5C25" w:rsidP="00520B34">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(Vic) s 49J(1)(a).</w:t>
      </w:r>
    </w:p>
  </w:footnote>
  <w:footnote w:id="260">
    <w:p w14:paraId="1DA3FE4B" w14:textId="71EFA19C" w:rsidR="00EF5C25" w:rsidRPr="003C1ACC" w:rsidRDefault="00EF5C25" w:rsidP="00520B34">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1991 </w:t>
      </w:r>
      <w:r w:rsidRPr="003C1ACC">
        <w:t xml:space="preserve">(Vic) s 3, inserting </w:t>
      </w:r>
      <w:r w:rsidRPr="003C1ACC">
        <w:rPr>
          <w:rStyle w:val="LightItalic"/>
          <w:rFonts w:ascii="Verdana" w:hAnsi="Verdana"/>
        </w:rPr>
        <w:t xml:space="preserve">Crimes Act 1958 </w:t>
      </w:r>
      <w:r w:rsidRPr="003C1ACC">
        <w:t xml:space="preserve">(Vic) s 47A (in force from 1 August 1991 to 31 December 1997). The maximum penalty varied based on the alleged offending constituting the sexual abuse, but this was amended in 1997 so that a maximum penalty of 25 years’ imprisonment applied regardless of the underlying behaviour: </w:t>
      </w:r>
      <w:r w:rsidRPr="003C1ACC">
        <w:rPr>
          <w:rStyle w:val="LightItalic"/>
          <w:rFonts w:ascii="Verdana" w:hAnsi="Verdana"/>
        </w:rPr>
        <w:t>Sentencing and Other Acts (Amendment) Act 1997</w:t>
      </w:r>
      <w:r w:rsidRPr="003C1ACC">
        <w:t xml:space="preserve"> (Vic) sch 1 cl 26.</w:t>
      </w:r>
    </w:p>
  </w:footnote>
  <w:footnote w:id="261">
    <w:p w14:paraId="5A3C0EF5" w14:textId="5EBC1E9F" w:rsidR="00EF5C25" w:rsidRPr="003C1ACC" w:rsidRDefault="00EF5C25" w:rsidP="00520B34">
      <w:pPr>
        <w:pStyle w:val="Footnote"/>
      </w:pPr>
      <w:r w:rsidRPr="003C1ACC">
        <w:rPr>
          <w:vertAlign w:val="superscript"/>
        </w:rPr>
        <w:footnoteRef/>
      </w:r>
      <w:r w:rsidRPr="003C1ACC">
        <w:t>.</w:t>
      </w:r>
      <w:r w:rsidRPr="003C1ACC">
        <w:tab/>
      </w:r>
      <w:r w:rsidRPr="003C1ACC">
        <w:rPr>
          <w:rStyle w:val="LightItalic"/>
          <w:rFonts w:ascii="Verdana" w:hAnsi="Verdana"/>
        </w:rPr>
        <w:t xml:space="preserve">Crimes (Amendment) Act 1997 </w:t>
      </w:r>
      <w:r w:rsidRPr="003C1ACC">
        <w:t>(Vic) s 5.</w:t>
      </w:r>
    </w:p>
  </w:footnote>
  <w:footnote w:id="262">
    <w:p w14:paraId="79421BAE" w14:textId="09640FBB" w:rsidR="00EF5C25" w:rsidRPr="003C1ACC" w:rsidRDefault="00EF5C25" w:rsidP="00520B34">
      <w:pPr>
        <w:pStyle w:val="Footnote"/>
      </w:pPr>
      <w:r w:rsidRPr="003C1ACC">
        <w:rPr>
          <w:vertAlign w:val="superscript"/>
        </w:rPr>
        <w:footnoteRef/>
      </w:r>
      <w:r w:rsidRPr="003C1ACC">
        <w:t>.</w:t>
      </w:r>
      <w:r w:rsidRPr="003C1ACC">
        <w:tab/>
      </w:r>
      <w:r w:rsidRPr="003C1ACC">
        <w:rPr>
          <w:rStyle w:val="LightItalic"/>
          <w:rFonts w:ascii="Verdana" w:hAnsi="Verdana"/>
        </w:rPr>
        <w:t xml:space="preserve">Crimes (Sexual Offences) Act 2006 </w:t>
      </w:r>
      <w:r w:rsidRPr="003C1ACC">
        <w:t xml:space="preserve">(Vic) s 11, amending </w:t>
      </w:r>
      <w:r w:rsidRPr="003C1ACC">
        <w:rPr>
          <w:rStyle w:val="LightItalic"/>
          <w:rFonts w:ascii="Verdana" w:hAnsi="Verdana"/>
        </w:rPr>
        <w:t xml:space="preserve">Crimes Act 1958 </w:t>
      </w:r>
      <w:r w:rsidRPr="003C1ACC">
        <w:t>(Vic) s 47A.</w:t>
      </w:r>
    </w:p>
  </w:footnote>
  <w:footnote w:id="263">
    <w:p w14:paraId="6CA931AB" w14:textId="266707F0" w:rsidR="00EF5C25" w:rsidRPr="003C1ACC" w:rsidRDefault="00EF5C25" w:rsidP="00157C37">
      <w:pPr>
        <w:pStyle w:val="Footnote"/>
      </w:pPr>
      <w:r w:rsidRPr="003C1ACC">
        <w:rPr>
          <w:vertAlign w:val="superscript"/>
        </w:rPr>
        <w:footnoteRef/>
      </w:r>
      <w:r w:rsidRPr="003C1ACC">
        <w:t>.</w:t>
      </w:r>
      <w:r w:rsidRPr="003C1ACC">
        <w:tab/>
      </w:r>
      <w:r w:rsidRPr="003C1ACC">
        <w:rPr>
          <w:rStyle w:val="LightItalic"/>
          <w:rFonts w:ascii="Verdana" w:hAnsi="Verdana"/>
          <w:spacing w:val="-1"/>
        </w:rPr>
        <w:t xml:space="preserve">Criminal Procedure Act 2009 </w:t>
      </w:r>
      <w:r w:rsidRPr="003C1ACC">
        <w:rPr>
          <w:spacing w:val="-1"/>
        </w:rPr>
        <w:t xml:space="preserve">(Vic) sch 1 cl 4A, as inserted by </w:t>
      </w:r>
      <w:r w:rsidRPr="003C1ACC">
        <w:rPr>
          <w:rStyle w:val="LightItalic"/>
          <w:rFonts w:ascii="Verdana" w:hAnsi="Verdana"/>
          <w:spacing w:val="-1"/>
        </w:rPr>
        <w:t xml:space="preserve">Crimes Amendment (Sexual Offences and Other Matters) Act 2014 </w:t>
      </w:r>
      <w:r w:rsidRPr="003C1ACC">
        <w:rPr>
          <w:spacing w:val="-1"/>
        </w:rPr>
        <w:t>(Vic) s 13</w:t>
      </w:r>
      <w:r w:rsidRPr="003C1ACC">
        <w:t xml:space="preserve">; Victorian Government, </w:t>
      </w:r>
      <w:r w:rsidRPr="003C1ACC">
        <w:rPr>
          <w:rStyle w:val="LightItalic"/>
          <w:rFonts w:ascii="Verdana" w:hAnsi="Verdana"/>
        </w:rPr>
        <w:t>Victoria’s New Sexual Offence Laws: An Introduction</w:t>
      </w:r>
      <w:r w:rsidRPr="003C1ACC">
        <w:t xml:space="preserve"> (2015) 22–23. Note that it is not possible to charge a course of conduct for other specific sex offences in the same charge sheet or indictment if the offender has been charged with persistent sexual abuse of a child aged under 16: </w:t>
      </w:r>
      <w:r w:rsidRPr="003C1ACC">
        <w:rPr>
          <w:rStyle w:val="LightItalic"/>
          <w:rFonts w:ascii="Verdana" w:hAnsi="Verdana"/>
        </w:rPr>
        <w:t xml:space="preserve">Criminal Procedure Act 2009 </w:t>
      </w:r>
      <w:r w:rsidRPr="003C1ACC">
        <w:t xml:space="preserve">(Vic) sch 1 cl 5(5). While clause 5(5) of Schedule 1 of the </w:t>
      </w:r>
      <w:r w:rsidRPr="003C1ACC">
        <w:rPr>
          <w:rStyle w:val="LightItalic"/>
          <w:rFonts w:ascii="Verdana" w:hAnsi="Verdana"/>
        </w:rPr>
        <w:t>Criminal Procedure Act 2009</w:t>
      </w:r>
      <w:r w:rsidRPr="003C1ACC">
        <w:t xml:space="preserve"> (Vic) specifies that the now repealed offence of persistent sexual abuse contrary to section 47A of the </w:t>
      </w:r>
      <w:r w:rsidRPr="003C1ACC">
        <w:rPr>
          <w:rStyle w:val="LightItalic"/>
          <w:rFonts w:ascii="Verdana" w:hAnsi="Verdana"/>
        </w:rPr>
        <w:t>Crimes Act 1958</w:t>
      </w:r>
      <w:r w:rsidRPr="003C1ACC">
        <w:t xml:space="preserve"> (Vic) cannot be charged or sentenced alongside a relevant course of conduct offence, it arguably also captures the current offence under section 49J by virtue of section 16(a) of the </w:t>
      </w:r>
      <w:r w:rsidRPr="003C1ACC">
        <w:rPr>
          <w:rStyle w:val="LightItalic"/>
          <w:rFonts w:ascii="Verdana" w:hAnsi="Verdana"/>
        </w:rPr>
        <w:t>Interpretation of Legislation Act 1984</w:t>
      </w:r>
      <w:r w:rsidRPr="003C1ACC">
        <w:t xml:space="preserve"> (Vic).</w:t>
      </w:r>
    </w:p>
  </w:footnote>
  <w:footnote w:id="264">
    <w:p w14:paraId="7C44E223" w14:textId="59A84732" w:rsidR="00EF5C25" w:rsidRPr="003C1ACC" w:rsidRDefault="00EF5C25" w:rsidP="00157C37">
      <w:pPr>
        <w:pStyle w:val="Footnote"/>
      </w:pPr>
      <w:r w:rsidRPr="003C1ACC">
        <w:rPr>
          <w:vertAlign w:val="superscript"/>
        </w:rPr>
        <w:footnoteRef/>
      </w:r>
      <w:r w:rsidRPr="003C1ACC">
        <w:t>.</w:t>
      </w:r>
      <w:r w:rsidRPr="003C1ACC">
        <w:tab/>
      </w:r>
      <w:r w:rsidRPr="003C1ACC">
        <w:rPr>
          <w:rStyle w:val="LightItalic"/>
          <w:rFonts w:ascii="Verdana" w:hAnsi="Verdana"/>
        </w:rPr>
        <w:t xml:space="preserve">Sentencing Act 1991 </w:t>
      </w:r>
      <w:r w:rsidRPr="003C1ACC">
        <w:t xml:space="preserve">(Vic) s 3(g) (definition of </w:t>
      </w:r>
      <w:r w:rsidRPr="003C1ACC">
        <w:rPr>
          <w:rStyle w:val="LightItalic"/>
          <w:rFonts w:ascii="Verdana" w:hAnsi="Verdana"/>
        </w:rPr>
        <w:t>Category 1 offence</w:t>
      </w:r>
      <w:r w:rsidRPr="003C1ACC">
        <w:t xml:space="preserve">), as inserted by </w:t>
      </w:r>
      <w:r w:rsidRPr="003C1ACC">
        <w:rPr>
          <w:rStyle w:val="LightItalic"/>
          <w:rFonts w:ascii="Verdana" w:hAnsi="Verdana"/>
        </w:rPr>
        <w:t xml:space="preserve">Sentencing (Community Correction Order) and Other Ats Amendment Act 2016 </w:t>
      </w:r>
      <w:r w:rsidRPr="003C1ACC">
        <w:t>(Vic) s 3.</w:t>
      </w:r>
    </w:p>
  </w:footnote>
  <w:footnote w:id="265">
    <w:p w14:paraId="320514E8" w14:textId="27C02E2B" w:rsidR="00EF5C25" w:rsidRPr="003C1ACC" w:rsidRDefault="00EF5C25" w:rsidP="00157C37">
      <w:pPr>
        <w:pStyle w:val="Footnote"/>
      </w:pPr>
      <w:r w:rsidRPr="003C1ACC">
        <w:rPr>
          <w:vertAlign w:val="superscript"/>
        </w:rPr>
        <w:footnoteRef/>
      </w:r>
      <w:r w:rsidRPr="003C1ACC">
        <w:t>.</w:t>
      </w:r>
      <w:r w:rsidRPr="003C1ACC">
        <w:tab/>
      </w:r>
      <w:r w:rsidRPr="003C1ACC">
        <w:rPr>
          <w:rStyle w:val="LightItalic"/>
          <w:rFonts w:ascii="Verdana" w:hAnsi="Verdana"/>
        </w:rPr>
        <w:t xml:space="preserve">Crimes Act 1958 </w:t>
      </w:r>
      <w:r w:rsidRPr="003C1ACC">
        <w:t xml:space="preserve">(Vic) s 49J(2A), as inserted by </w:t>
      </w:r>
      <w:r w:rsidRPr="003C1ACC">
        <w:rPr>
          <w:rStyle w:val="LightItalic"/>
          <w:rFonts w:ascii="Verdana" w:hAnsi="Verdana"/>
        </w:rPr>
        <w:t xml:space="preserve">Sentencing Amendment (Sentencing Standards) Act 2017 </w:t>
      </w:r>
      <w:r w:rsidRPr="003C1ACC">
        <w:t>(Vic) s 32.</w:t>
      </w:r>
    </w:p>
  </w:footnote>
  <w:footnote w:id="266">
    <w:p w14:paraId="7F6D071A" w14:textId="12B7FBC5" w:rsidR="00EF5C25" w:rsidRPr="003C1ACC" w:rsidRDefault="00EF5C25" w:rsidP="00157C37">
      <w:pPr>
        <w:pStyle w:val="Footnote"/>
      </w:pPr>
      <w:r w:rsidRPr="003C1ACC">
        <w:rPr>
          <w:vertAlign w:val="superscript"/>
        </w:rPr>
        <w:footnoteRef/>
      </w:r>
      <w:r w:rsidRPr="003C1ACC">
        <w:t>.</w:t>
      </w:r>
      <w:r w:rsidRPr="003C1ACC">
        <w:tab/>
        <w:t>Relatively few charges of the contemporary persistent sexual abuse of a child offence (in effect since mid-2017) were sentenced; this is likely a product of the known delay that often occurs in reporting child sexual abuse, the offence being a course of conduct, and the complexity in investigating and prosecuting a charge of this nature.</w:t>
      </w:r>
    </w:p>
  </w:footnote>
  <w:footnote w:id="267">
    <w:p w14:paraId="3509ADB1" w14:textId="3742675E" w:rsidR="00EF5C25" w:rsidRPr="003C1ACC" w:rsidRDefault="00EF5C25" w:rsidP="00157C37">
      <w:pPr>
        <w:pStyle w:val="Footnote"/>
      </w:pPr>
      <w:r w:rsidRPr="003C1ACC">
        <w:rPr>
          <w:vertAlign w:val="superscript"/>
        </w:rPr>
        <w:footnoteRef/>
      </w:r>
      <w:r w:rsidRPr="003C1ACC">
        <w:t>.</w:t>
      </w:r>
      <w:r w:rsidRPr="003C1ACC">
        <w:tab/>
        <w:t xml:space="preserve">See, for example, Swedish National Council for Crime Prevention, </w:t>
      </w:r>
      <w:r w:rsidRPr="003C1ACC">
        <w:rPr>
          <w:rStyle w:val="LightItalic"/>
          <w:rFonts w:ascii="Verdana" w:hAnsi="Verdana"/>
        </w:rPr>
        <w:t>Gross Violation of a Woman’s Integrity: Trends in the Criminal Justice System 1998–2017</w:t>
      </w:r>
      <w:r w:rsidRPr="003C1ACC">
        <w:t>, Report no 2019:8</w:t>
      </w:r>
      <w:r w:rsidRPr="003C1ACC">
        <w:rPr>
          <w:rStyle w:val="LightItalic"/>
          <w:rFonts w:ascii="Verdana" w:hAnsi="Verdana"/>
        </w:rPr>
        <w:t xml:space="preserve"> </w:t>
      </w:r>
      <w:r w:rsidRPr="003C1ACC">
        <w:t>(2019) (in the context of a particular course of conduct offence, police in Sweden ‘are now expressly instructed to classify criminal incidents as the individual underlying offences, so that investigators and prosecutors can later aggregate these into a charge of gross violation of a woman’s integrity in those cases in which it is relevant’.)</w:t>
      </w:r>
    </w:p>
  </w:footnote>
  <w:footnote w:id="268">
    <w:p w14:paraId="2C03567C" w14:textId="69637320" w:rsidR="00EF5C25" w:rsidRPr="003C1ACC" w:rsidRDefault="00EF5C25" w:rsidP="0076070B">
      <w:pPr>
        <w:pStyle w:val="Footnote"/>
      </w:pPr>
      <w:r w:rsidRPr="003C1ACC">
        <w:rPr>
          <w:vertAlign w:val="superscript"/>
        </w:rPr>
        <w:footnoteRef/>
      </w:r>
      <w:r w:rsidRPr="003C1ACC">
        <w:t>.</w:t>
      </w:r>
      <w:r w:rsidRPr="003C1ACC">
        <w:tab/>
        <w:t>Three prison sentences were combined orders, which are no longer permissible for offending occurring on or after 20 March 2017.</w:t>
      </w:r>
    </w:p>
  </w:footnote>
  <w:footnote w:id="269">
    <w:p w14:paraId="4E7D7879" w14:textId="274482CB" w:rsidR="00EF5C25" w:rsidRPr="003C1ACC" w:rsidRDefault="00EF5C25" w:rsidP="0076070B">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DPP v Mackintosh </w:t>
      </w:r>
      <w:r w:rsidRPr="003C1ACC">
        <w:t xml:space="preserve">[2018] VCC 1458 (7 September 2018); </w:t>
      </w:r>
      <w:r w:rsidRPr="003C1ACC">
        <w:rPr>
          <w:rStyle w:val="LightItalic"/>
          <w:rFonts w:ascii="Verdana" w:hAnsi="Verdana"/>
        </w:rPr>
        <w:t xml:space="preserve">DPP v Wilkinson </w:t>
      </w:r>
      <w:r w:rsidRPr="003C1ACC">
        <w:t xml:space="preserve">[2017] VCC 1560 (27 October 2017); </w:t>
      </w:r>
      <w:r w:rsidRPr="003C1ACC">
        <w:rPr>
          <w:rStyle w:val="LightItalic"/>
          <w:rFonts w:ascii="Verdana" w:hAnsi="Verdana"/>
        </w:rPr>
        <w:t xml:space="preserve">DPP v Burton (A Pseudonym) </w:t>
      </w:r>
      <w:r w:rsidRPr="003C1ACC">
        <w:t xml:space="preserve">[2015] VCC 641 (11 May 2015); </w:t>
      </w:r>
      <w:r w:rsidRPr="003C1ACC">
        <w:rPr>
          <w:rStyle w:val="LightItalic"/>
          <w:rFonts w:ascii="Verdana" w:hAnsi="Verdana"/>
        </w:rPr>
        <w:t xml:space="preserve">Contra DPP v Torres </w:t>
      </w:r>
      <w:r w:rsidRPr="003C1ACC">
        <w:t>(</w:t>
      </w:r>
      <w:r w:rsidRPr="003C1ACC">
        <w:rPr>
          <w:rStyle w:val="LightItalic"/>
          <w:rFonts w:ascii="Verdana" w:hAnsi="Verdana"/>
        </w:rPr>
        <w:t>A Pseudonym</w:t>
      </w:r>
      <w:r w:rsidRPr="003C1ACC">
        <w:t>) [2019] VCC 1182 (1 August 2019).</w:t>
      </w:r>
    </w:p>
  </w:footnote>
  <w:footnote w:id="270">
    <w:p w14:paraId="3E839D76" w14:textId="77777777" w:rsidR="00EF5C25" w:rsidRPr="003C1ACC" w:rsidRDefault="00EF5C25" w:rsidP="00D00197">
      <w:pPr>
        <w:pStyle w:val="Footnote"/>
      </w:pPr>
      <w:r w:rsidRPr="003C1ACC">
        <w:rPr>
          <w:vertAlign w:val="superscript"/>
        </w:rPr>
        <w:footnoteRef/>
      </w:r>
      <w:r w:rsidRPr="003C1ACC">
        <w:t>.</w:t>
      </w:r>
      <w:r w:rsidRPr="003C1ACC">
        <w:tab/>
        <w:t>This excludes one charge of maintaining a sexual relationship with a child aged under 16 where the offending preceded September 1997 because the maximum penalty for that offence was dictated by the underlying offending, rendering it incomparable with subsequent sentencing practices where the maximum penalty has consistently been 25 years’ imprisonment.</w:t>
      </w:r>
    </w:p>
  </w:footnote>
  <w:footnote w:id="271">
    <w:p w14:paraId="61F08FF1" w14:textId="4C61D4B9" w:rsidR="00EF5C25" w:rsidRPr="003C1ACC" w:rsidRDefault="00EF5C25" w:rsidP="0076070B">
      <w:pPr>
        <w:pStyle w:val="Footnote"/>
      </w:pPr>
      <w:r w:rsidRPr="003C1ACC">
        <w:rPr>
          <w:vertAlign w:val="superscript"/>
        </w:rPr>
        <w:footnoteRef/>
      </w:r>
      <w:r w:rsidRPr="003C1ACC">
        <w:t>.</w:t>
      </w:r>
      <w:r w:rsidRPr="003C1ACC">
        <w:tab/>
        <w:t xml:space="preserve">Remarks are publicly available for the latter case: </w:t>
      </w:r>
      <w:r w:rsidRPr="003C1ACC">
        <w:rPr>
          <w:rStyle w:val="LightItalic"/>
          <w:rFonts w:ascii="Verdana" w:hAnsi="Verdana"/>
        </w:rPr>
        <w:t xml:space="preserve">DPP v Dawson (A Pseudonym) </w:t>
      </w:r>
      <w:r w:rsidRPr="003C1ACC">
        <w:t>[2017] VCC 580 (12 May 2017).</w:t>
      </w:r>
    </w:p>
  </w:footnote>
  <w:footnote w:id="272">
    <w:p w14:paraId="70C392D8" w14:textId="0A5A7C5E" w:rsidR="00EF5C25" w:rsidRPr="003C1ACC" w:rsidRDefault="00EF5C25" w:rsidP="0076070B">
      <w:pPr>
        <w:pStyle w:val="Footnote"/>
      </w:pPr>
      <w:r w:rsidRPr="003C1ACC">
        <w:rPr>
          <w:vertAlign w:val="superscript"/>
        </w:rPr>
        <w:footnoteRef/>
      </w:r>
      <w:r w:rsidRPr="003C1ACC">
        <w:t>.</w:t>
      </w:r>
      <w:r w:rsidRPr="003C1ACC">
        <w:tab/>
      </w:r>
      <w:r w:rsidRPr="003C1ACC">
        <w:rPr>
          <w:rStyle w:val="LightItalic"/>
          <w:rFonts w:ascii="Verdana" w:hAnsi="Verdana"/>
        </w:rPr>
        <w:t xml:space="preserve">DPP v Morgan (A Pseudonym) </w:t>
      </w:r>
      <w:r w:rsidRPr="003C1ACC">
        <w:t>[2015] VCC 1668 (20 November 2015).</w:t>
      </w:r>
    </w:p>
  </w:footnote>
  <w:footnote w:id="273">
    <w:p w14:paraId="0D330B2C" w14:textId="47262698" w:rsidR="00EF5C25" w:rsidRPr="003C1ACC" w:rsidRDefault="00EF5C25" w:rsidP="00825334">
      <w:pPr>
        <w:pStyle w:val="Footnote"/>
      </w:pPr>
      <w:r w:rsidRPr="003C1ACC">
        <w:rPr>
          <w:vertAlign w:val="superscript"/>
        </w:rPr>
        <w:footnoteRef/>
      </w:r>
      <w:r w:rsidRPr="003C1ACC">
        <w:t>.</w:t>
      </w:r>
      <w:r w:rsidRPr="003C1ACC">
        <w:tab/>
        <w:t>From 2010 to 2019, the average prison sentence increased by 30% from 5 years and 10 months to 7 years and 7 months. There was no evidence for a statistically significant trend (Pearson’s correlation coefficient = 0.044, p &gt; 0.1).</w:t>
      </w:r>
    </w:p>
  </w:footnote>
  <w:footnote w:id="274">
    <w:p w14:paraId="0E810D89" w14:textId="1DA35FB3" w:rsidR="00EF5C25" w:rsidRPr="003C1ACC" w:rsidRDefault="00EF5C25" w:rsidP="00825334">
      <w:pPr>
        <w:pStyle w:val="Footnote"/>
      </w:pPr>
      <w:r w:rsidRPr="003C1ACC">
        <w:rPr>
          <w:vertAlign w:val="superscript"/>
        </w:rPr>
        <w:footnoteRef/>
      </w:r>
      <w:r w:rsidRPr="003C1ACC">
        <w:t>.</w:t>
      </w:r>
      <w:r w:rsidRPr="003C1ACC">
        <w:tab/>
      </w:r>
      <w:r w:rsidRPr="003C1ACC">
        <w:rPr>
          <w:rStyle w:val="LightItalic"/>
          <w:rFonts w:ascii="Verdana" w:hAnsi="Verdana"/>
        </w:rPr>
        <w:t xml:space="preserve">DPP v Snow (A Pseudonym) </w:t>
      </w:r>
      <w:r w:rsidRPr="003C1ACC">
        <w:t xml:space="preserve">[2020] VCC 146 (25 February 2020); </w:t>
      </w:r>
      <w:r w:rsidRPr="003C1ACC">
        <w:rPr>
          <w:rStyle w:val="LightItalic"/>
          <w:rFonts w:ascii="Verdana" w:hAnsi="Verdana"/>
        </w:rPr>
        <w:t xml:space="preserve">DPP v Robards (A Pseudonym) </w:t>
      </w:r>
      <w:r w:rsidRPr="003C1ACC">
        <w:t xml:space="preserve">[2020] VCC 1665 (16 October 2020); </w:t>
      </w:r>
      <w:r w:rsidRPr="003C1ACC">
        <w:rPr>
          <w:rStyle w:val="LightItalic"/>
          <w:rFonts w:ascii="Verdana" w:hAnsi="Verdana"/>
        </w:rPr>
        <w:t xml:space="preserve">DPP v Williams (A Pseudonym) </w:t>
      </w:r>
      <w:r w:rsidRPr="003C1ACC">
        <w:t>[2020] VCC 2065 (17 December 2020).</w:t>
      </w:r>
    </w:p>
  </w:footnote>
  <w:footnote w:id="275">
    <w:p w14:paraId="42891E8A" w14:textId="4A9F20ED" w:rsidR="00EF5C25" w:rsidRPr="003C1ACC" w:rsidRDefault="00EF5C25" w:rsidP="00DD768E">
      <w:pPr>
        <w:pStyle w:val="Footnote"/>
      </w:pPr>
      <w:r w:rsidRPr="003C1ACC">
        <w:rPr>
          <w:vertAlign w:val="superscript"/>
        </w:rPr>
        <w:footnoteRef/>
      </w:r>
      <w:r w:rsidRPr="003C1ACC">
        <w:t>.</w:t>
      </w:r>
      <w:r w:rsidRPr="003C1ACC">
        <w:tab/>
        <w:t>From 2010 and 2019, the average total effective sentence increased by 37% from 6 years and 10 months to 9 years and 4 months. There was no evidence for a statistically significant trend (Pearson’ correlation coefficient = 0.191, p &gt; 0.1).</w:t>
      </w:r>
    </w:p>
  </w:footnote>
  <w:footnote w:id="276">
    <w:p w14:paraId="4D1BA567" w14:textId="7A3E7F1B" w:rsidR="00EF5C25" w:rsidRPr="003C1ACC" w:rsidRDefault="00EF5C25" w:rsidP="00DD768E">
      <w:pPr>
        <w:pStyle w:val="Footnote"/>
      </w:pPr>
      <w:r w:rsidRPr="003C1ACC">
        <w:rPr>
          <w:vertAlign w:val="superscript"/>
        </w:rPr>
        <w:footnoteRef/>
      </w:r>
      <w:r w:rsidRPr="003C1ACC">
        <w:t>.</w:t>
      </w:r>
      <w:r w:rsidRPr="003C1ACC">
        <w:tab/>
      </w:r>
      <w:r w:rsidRPr="003C1ACC">
        <w:rPr>
          <w:rStyle w:val="LightItalic"/>
          <w:rFonts w:ascii="Verdana" w:hAnsi="Verdana"/>
        </w:rPr>
        <w:t xml:space="preserve">DPP v Dawson (A Pseudonym) </w:t>
      </w:r>
      <w:r w:rsidRPr="003C1ACC">
        <w:t xml:space="preserve">[2017] VCC 580 (12 May 2017); </w:t>
      </w:r>
      <w:r w:rsidRPr="003C1ACC">
        <w:rPr>
          <w:rStyle w:val="LightItalic"/>
          <w:rFonts w:ascii="Verdana" w:hAnsi="Verdana"/>
        </w:rPr>
        <w:t xml:space="preserve">DPP v Morgan (A Pseudonym) </w:t>
      </w:r>
      <w:r w:rsidRPr="003C1ACC">
        <w:t>[2015] VCC 1668 (20 November 2015)..</w:t>
      </w:r>
    </w:p>
  </w:footnote>
  <w:footnote w:id="277">
    <w:p w14:paraId="35628B87" w14:textId="660A81EF" w:rsidR="00EF5C25" w:rsidRPr="003C1ACC" w:rsidRDefault="00EF5C25" w:rsidP="00E01636">
      <w:pPr>
        <w:pStyle w:val="Footnote"/>
      </w:pPr>
      <w:r w:rsidRPr="003C1ACC">
        <w:rPr>
          <w:vertAlign w:val="superscript"/>
        </w:rPr>
        <w:footnoteRef/>
      </w:r>
      <w:r w:rsidRPr="003C1ACC">
        <w:t>.</w:t>
      </w:r>
      <w:r w:rsidRPr="003C1ACC">
        <w:tab/>
        <w:t xml:space="preserve">See, for example, </w:t>
      </w:r>
      <w:r w:rsidRPr="003C1ACC">
        <w:rPr>
          <w:rStyle w:val="LightItalic"/>
          <w:rFonts w:ascii="Verdana" w:hAnsi="Verdana"/>
        </w:rPr>
        <w:t xml:space="preserve">Lucciano (A Pseudonym) v The Queen </w:t>
      </w:r>
      <w:r w:rsidRPr="003C1ACC">
        <w:t>[2021] VSCA 12 (9 February 2021) [48] (‘we cannot conclude these reasons without expressing our disquiet at the apparently increasing frequency with which cases involving delays in the order of 40 to 60 years are coming before the Court … the forensic difficulties which delays of this order of magnitude inflict suggest that such trials should be rare.’)</w:t>
      </w:r>
    </w:p>
  </w:footnote>
  <w:footnote w:id="278">
    <w:p w14:paraId="405F88CE" w14:textId="3DE71B2E" w:rsidR="00EF5C25" w:rsidRPr="003C1ACC" w:rsidRDefault="00EF5C25" w:rsidP="00E01636">
      <w:pPr>
        <w:pStyle w:val="Footnote"/>
      </w:pPr>
      <w:r w:rsidRPr="003C1ACC">
        <w:rPr>
          <w:vertAlign w:val="superscript"/>
        </w:rPr>
        <w:footnoteRef/>
      </w:r>
      <w:r w:rsidRPr="003C1ACC">
        <w:t>.</w:t>
      </w:r>
      <w:r w:rsidRPr="003C1ACC">
        <w:tab/>
        <w:t>Roundtable 1 (30 March 2021); Roundtable 2 (31 March 2021).</w:t>
      </w:r>
    </w:p>
  </w:footnote>
  <w:footnote w:id="279">
    <w:p w14:paraId="03FB84EB" w14:textId="14477D8D" w:rsidR="00EF5C25" w:rsidRPr="003C1ACC" w:rsidRDefault="00EF5C25" w:rsidP="003C57AA">
      <w:pPr>
        <w:pStyle w:val="Footnote"/>
      </w:pPr>
      <w:r w:rsidRPr="003C1ACC">
        <w:rPr>
          <w:vertAlign w:val="superscript"/>
        </w:rPr>
        <w:footnoteRef/>
      </w:r>
      <w:r w:rsidRPr="003C1ACC">
        <w:t>.</w:t>
      </w:r>
      <w:r w:rsidRPr="003C1ACC">
        <w:tab/>
        <w:t>It is not possible to exclude the possibility that sentences for standard sentence offences were higher for an extraneous reason. For example, it is possible that there was a considerable delay in the prosecution of some non-standard sentence offences, and that would have acted as a mitigating factor in those cases in a way that it could not have in cases involving standard sentence offences. However, delay is just one factor that sentencing courts must take into account, and comments by sentencing courts suggest that they are intentionally imposing higher sentences as a result of the standard sentence legislation.</w:t>
      </w:r>
    </w:p>
  </w:footnote>
  <w:footnote w:id="280">
    <w:p w14:paraId="63A20F20" w14:textId="7FAC52B8" w:rsidR="00EF5C25" w:rsidRPr="003C1ACC" w:rsidRDefault="00EF5C25" w:rsidP="00DB0943">
      <w:pPr>
        <w:pStyle w:val="Footnote"/>
      </w:pPr>
      <w:r w:rsidRPr="003C1ACC">
        <w:rPr>
          <w:vertAlign w:val="superscript"/>
        </w:rPr>
        <w:footnoteRef/>
      </w:r>
      <w:r w:rsidRPr="003C1ACC">
        <w:t>.</w:t>
      </w:r>
      <w:r w:rsidRPr="003C1ACC">
        <w:tab/>
        <w:t xml:space="preserve">See, for example, Birte Englich and Thomas Mussweiler, ‘Sentencing Under Uncertainty: Anchoring Effects in the Courtroom’ (2001) 31(7) </w:t>
      </w:r>
      <w:r w:rsidRPr="003C1ACC">
        <w:rPr>
          <w:rStyle w:val="LightItalic"/>
          <w:rFonts w:ascii="Verdana" w:hAnsi="Verdana"/>
        </w:rPr>
        <w:t xml:space="preserve">Journal of Applied Social Psychology </w:t>
      </w:r>
      <w:r w:rsidRPr="003C1ACC">
        <w:t xml:space="preserve">1535; Ian Marder and Jose Pina-Sánchez, ‘Nudge the Judge? Theorising the Interaction Between Heuristics, Sentencing Guidelines and Sentence Clustering’ (2020) 20(4) </w:t>
      </w:r>
      <w:r w:rsidRPr="003C1ACC">
        <w:rPr>
          <w:rStyle w:val="LightItalic"/>
          <w:rFonts w:ascii="Verdana" w:hAnsi="Verdana"/>
        </w:rPr>
        <w:t xml:space="preserve">Criminology &amp; Criminal Justice </w:t>
      </w:r>
      <w:r w:rsidRPr="003C1ACC">
        <w:t>399.</w:t>
      </w:r>
    </w:p>
  </w:footnote>
  <w:footnote w:id="281">
    <w:p w14:paraId="21F700A4" w14:textId="224694C3" w:rsidR="00EF5C25" w:rsidRPr="003C1ACC" w:rsidRDefault="00EF5C25" w:rsidP="00DB0943">
      <w:pPr>
        <w:pStyle w:val="Footnote"/>
      </w:pPr>
      <w:r w:rsidRPr="003C1ACC">
        <w:rPr>
          <w:vertAlign w:val="superscript"/>
        </w:rPr>
        <w:footnoteRef/>
      </w:r>
      <w:r w:rsidRPr="003C1ACC">
        <w:t>.</w:t>
      </w:r>
      <w:r w:rsidRPr="003C1ACC">
        <w:tab/>
      </w:r>
      <w:r w:rsidRPr="003C1ACC">
        <w:rPr>
          <w:rStyle w:val="LightItalic"/>
          <w:rFonts w:ascii="Verdana" w:hAnsi="Verdana"/>
        </w:rPr>
        <w:t xml:space="preserve">R v Brown </w:t>
      </w:r>
      <w:r w:rsidRPr="003C1ACC">
        <w:t>[2018] VSC 742 (29 November 2018)</w:t>
      </w:r>
      <w:r w:rsidRPr="003C1ACC">
        <w:rPr>
          <w:rStyle w:val="LightItalic"/>
          <w:rFonts w:ascii="Verdana" w:hAnsi="Verdana"/>
        </w:rPr>
        <w:t xml:space="preserve"> </w:t>
      </w:r>
      <w:r w:rsidRPr="003C1ACC">
        <w:t xml:space="preserve">[68]; </w:t>
      </w:r>
      <w:r w:rsidRPr="003C1ACC">
        <w:rPr>
          <w:rStyle w:val="LightItalic"/>
          <w:rFonts w:ascii="Verdana" w:hAnsi="Verdana"/>
        </w:rPr>
        <w:t xml:space="preserve">Brown v The Queen </w:t>
      </w:r>
      <w:r w:rsidRPr="003C1ACC">
        <w:t xml:space="preserve">[2019] VSCA 286 (10 December 2019) [106]. See also, </w:t>
      </w:r>
      <w:r w:rsidRPr="003C1ACC">
        <w:rPr>
          <w:rStyle w:val="LightItalic"/>
          <w:rFonts w:ascii="Verdana" w:hAnsi="Verdana"/>
        </w:rPr>
        <w:t xml:space="preserve">R v McNamara </w:t>
      </w:r>
      <w:r w:rsidRPr="003C1ACC">
        <w:t xml:space="preserve">[2020] VSC 705 (22 October 2000) [225]; </w:t>
      </w:r>
      <w:r w:rsidRPr="003C1ACC">
        <w:rPr>
          <w:rStyle w:val="LightItalic"/>
          <w:rFonts w:ascii="Verdana" w:hAnsi="Verdana"/>
        </w:rPr>
        <w:t xml:space="preserve">DPP v Kirkland (A Pseudonym) </w:t>
      </w:r>
      <w:r w:rsidRPr="003C1ACC">
        <w:t xml:space="preserve">[2020] VCC 1344 (27 August 2020) [131]; </w:t>
      </w:r>
      <w:r w:rsidRPr="003C1ACC">
        <w:rPr>
          <w:rStyle w:val="LightItalic"/>
          <w:rFonts w:ascii="Verdana" w:hAnsi="Verdana"/>
        </w:rPr>
        <w:t xml:space="preserve">DPP v Kane </w:t>
      </w:r>
      <w:r w:rsidRPr="003C1ACC">
        <w:t xml:space="preserve">[2020] VCC 612 (12 June 2020) [41]; </w:t>
      </w:r>
      <w:r w:rsidRPr="003C1ACC">
        <w:rPr>
          <w:rStyle w:val="LightItalic"/>
          <w:rFonts w:ascii="Verdana" w:hAnsi="Verdana"/>
        </w:rPr>
        <w:t xml:space="preserve">DPP v Munn </w:t>
      </w:r>
      <w:r w:rsidRPr="003C1ACC">
        <w:t xml:space="preserve">[2020] VSC 251 (5 May 2020); </w:t>
      </w:r>
      <w:r w:rsidRPr="003C1ACC">
        <w:rPr>
          <w:rStyle w:val="LightItalic"/>
          <w:rFonts w:ascii="Verdana" w:hAnsi="Verdana"/>
        </w:rPr>
        <w:t xml:space="preserve">DPP v Reid </w:t>
      </w:r>
      <w:r w:rsidRPr="003C1ACC">
        <w:t xml:space="preserve">[2019] VCC 1362 (29 August 2019) [74]. </w:t>
      </w:r>
    </w:p>
  </w:footnote>
  <w:footnote w:id="282">
    <w:p w14:paraId="0AF7FD60" w14:textId="10EE552F" w:rsidR="00EF5C25" w:rsidRPr="003C1ACC" w:rsidRDefault="00EF5C25" w:rsidP="00DB0943">
      <w:pPr>
        <w:pStyle w:val="Footnote"/>
      </w:pPr>
      <w:r w:rsidRPr="003C1ACC">
        <w:rPr>
          <w:vertAlign w:val="superscript"/>
        </w:rPr>
        <w:footnoteRef/>
      </w:r>
      <w:r w:rsidRPr="003C1ACC">
        <w:t>.</w:t>
      </w:r>
      <w:r w:rsidRPr="003C1ACC">
        <w:tab/>
        <w:t xml:space="preserve">Unpublished sentencing remarks provided to the Council. </w:t>
      </w:r>
    </w:p>
  </w:footnote>
  <w:footnote w:id="283">
    <w:p w14:paraId="6F942747" w14:textId="705DAC0A" w:rsidR="00EF5C25" w:rsidRPr="003C1ACC" w:rsidRDefault="00EF5C25" w:rsidP="00DA1E34">
      <w:pPr>
        <w:pStyle w:val="Footnote"/>
      </w:pPr>
      <w:r w:rsidRPr="003C1ACC">
        <w:rPr>
          <w:vertAlign w:val="superscript"/>
        </w:rPr>
        <w:footnoteRef/>
      </w:r>
      <w:r w:rsidRPr="003C1ACC">
        <w:t>.</w:t>
      </w:r>
      <w:r w:rsidRPr="003C1ACC">
        <w:tab/>
        <w:t>As a proportion of the standard sentence, the average prison sentences for relevant offences were: 61% (sexual penetration with a child aged 12 to 15), 69% (rape), 71% (sexual assault of a child aged under 16), 76% (incest) and 78% (sexual penetration with a child aged under 12).</w:t>
      </w:r>
    </w:p>
  </w:footnote>
  <w:footnote w:id="284">
    <w:p w14:paraId="07D9F841" w14:textId="549DE5CE" w:rsidR="00EF5C25" w:rsidRPr="003C1ACC" w:rsidRDefault="00EF5C25" w:rsidP="00DA1E34">
      <w:pPr>
        <w:pStyle w:val="Footnote"/>
      </w:pPr>
      <w:r w:rsidRPr="003C1ACC">
        <w:rPr>
          <w:vertAlign w:val="superscript"/>
        </w:rPr>
        <w:footnoteRef/>
      </w:r>
      <w:r w:rsidRPr="003C1ACC">
        <w:t>.</w:t>
      </w:r>
      <w:r w:rsidRPr="003C1ACC">
        <w:tab/>
        <w:t xml:space="preserve">Sentencing Advisory Council, </w:t>
      </w:r>
      <w:r w:rsidRPr="003C1ACC">
        <w:rPr>
          <w:rStyle w:val="LightItalic"/>
          <w:rFonts w:ascii="Verdana" w:hAnsi="Verdana"/>
        </w:rPr>
        <w:t xml:space="preserve">Guilty Pleas in the Higher Courts: Rates, Timing and Discounts </w:t>
      </w:r>
      <w:r w:rsidRPr="003C1ACC">
        <w:t>(2015) 28, 66.</w:t>
      </w:r>
    </w:p>
  </w:footnote>
  <w:footnote w:id="285">
    <w:p w14:paraId="633C3FEB" w14:textId="4885F883" w:rsidR="00EF5C25" w:rsidRPr="003C1ACC" w:rsidRDefault="00EF5C25" w:rsidP="00DA1E34">
      <w:pPr>
        <w:pStyle w:val="Footnote"/>
      </w:pPr>
      <w:r w:rsidRPr="003C1ACC">
        <w:rPr>
          <w:vertAlign w:val="superscript"/>
        </w:rPr>
        <w:footnoteRef/>
      </w:r>
      <w:r w:rsidRPr="003C1ACC">
        <w:t>.</w:t>
      </w:r>
      <w:r w:rsidRPr="003C1ACC">
        <w:tab/>
        <w:t xml:space="preserve">See, for example, Janine Benedet, ‘Sentencing for Sexual Offences Against Children and Youth: Mandatory Minimums, Proportionality and Unintended Consequences’ (2019) 44(2) </w:t>
      </w:r>
      <w:r w:rsidRPr="003C1ACC">
        <w:rPr>
          <w:rStyle w:val="LightItalic"/>
          <w:rFonts w:ascii="Verdana" w:hAnsi="Verdana"/>
        </w:rPr>
        <w:t xml:space="preserve">Queen’s Law Journal </w:t>
      </w:r>
      <w:r w:rsidRPr="003C1ACC">
        <w:t>284.</w:t>
      </w:r>
    </w:p>
  </w:footnote>
  <w:footnote w:id="286">
    <w:p w14:paraId="03E46D2A" w14:textId="569B89E9" w:rsidR="00EF5C25" w:rsidRPr="003C1ACC" w:rsidRDefault="00EF5C25" w:rsidP="00DA1E34">
      <w:pPr>
        <w:pStyle w:val="Footnote"/>
      </w:pPr>
      <w:r w:rsidRPr="003C1ACC">
        <w:rPr>
          <w:vertAlign w:val="superscript"/>
        </w:rPr>
        <w:footnoteRef/>
      </w:r>
      <w:r w:rsidRPr="003C1ACC">
        <w:t>.</w:t>
      </w:r>
      <w:r w:rsidRPr="003C1ACC">
        <w:tab/>
        <w:t xml:space="preserve">This included 38 charges of rape, 29 charges of sexual penetration with a child aged under 12, 9 charges of persistent sexual abuse of a child aged under 16, and one charge of incest with a child aged under 18. Note that this does not include combined orders, which are also now impermissible; however, it is nevertheless still possible to impose a combined order by imposing imprisonment and a community correction order as separate sentences on two separate charges, so long as one of the charges is not a Category 1 offence, as is often the case. This also doesn’t include partially suspended sentences given they involve an immediate custodial component. </w:t>
      </w:r>
    </w:p>
  </w:footnote>
  <w:footnote w:id="287">
    <w:p w14:paraId="47E680DC" w14:textId="2806A50F" w:rsidR="00EF5C25" w:rsidRPr="003C1ACC" w:rsidRDefault="00EF5C25" w:rsidP="00DA1E34">
      <w:pPr>
        <w:pStyle w:val="Footnote"/>
      </w:pPr>
      <w:r w:rsidRPr="003C1ACC">
        <w:rPr>
          <w:vertAlign w:val="superscript"/>
        </w:rPr>
        <w:footnoteRef/>
      </w:r>
      <w:r w:rsidRPr="003C1ACC">
        <w:t>.</w:t>
      </w:r>
      <w:r w:rsidRPr="003C1ACC">
        <w:tab/>
        <w:t xml:space="preserve">Sentencing Advisory Council (2016), above n 62, 231. See also Sentencing Advisory Council, </w:t>
      </w:r>
      <w:r w:rsidRPr="003C1ACC">
        <w:rPr>
          <w:rStyle w:val="LightItalic"/>
          <w:rFonts w:ascii="Verdana" w:hAnsi="Verdana"/>
        </w:rPr>
        <w:t xml:space="preserve">Mandatory Sentencing: Information Paper </w:t>
      </w:r>
      <w:r w:rsidRPr="003C1ACC">
        <w:t>(2008) 8 (‘mandatory and presumptive sentencing schemes … make the criminal justice process less transparent and less accountable and therefore less just’).</w:t>
      </w:r>
    </w:p>
  </w:footnote>
  <w:footnote w:id="288">
    <w:p w14:paraId="65AED5C6" w14:textId="21F6FC21" w:rsidR="00EF5C25" w:rsidRPr="003C1ACC" w:rsidRDefault="00EF5C25" w:rsidP="00DA1E34">
      <w:pPr>
        <w:pStyle w:val="Footnote"/>
      </w:pPr>
      <w:r w:rsidRPr="003C1ACC">
        <w:rPr>
          <w:vertAlign w:val="superscript"/>
        </w:rPr>
        <w:footnoteRef/>
      </w:r>
      <w:r w:rsidRPr="003C1ACC">
        <w:t>.</w:t>
      </w:r>
      <w:r w:rsidRPr="003C1ACC">
        <w:tab/>
        <w:t xml:space="preserve">Sentencing Advisory Council </w:t>
      </w:r>
      <w:r w:rsidRPr="003C1ACC">
        <w:rPr>
          <w:rStyle w:val="LightItalic"/>
          <w:rFonts w:ascii="Verdana" w:hAnsi="Verdana"/>
        </w:rPr>
        <w:t xml:space="preserve">Sentencing Guidance in Victoria: Report </w:t>
      </w:r>
      <w:r w:rsidRPr="003C1ACC">
        <w:t>(2016) 385 (Figure A85).</w:t>
      </w:r>
    </w:p>
  </w:footnote>
  <w:footnote w:id="289">
    <w:p w14:paraId="1E98DCF7" w14:textId="1C248A7E" w:rsidR="00EF5C25" w:rsidRPr="003C1ACC" w:rsidRDefault="00EF5C25" w:rsidP="008C32E1">
      <w:pPr>
        <w:pStyle w:val="Footnote"/>
      </w:pPr>
      <w:r w:rsidRPr="003C1ACC">
        <w:rPr>
          <w:vertAlign w:val="superscript"/>
        </w:rPr>
        <w:footnoteRef/>
      </w:r>
      <w:r w:rsidRPr="003C1ACC">
        <w:t>.</w:t>
      </w:r>
      <w:r w:rsidRPr="003C1ACC">
        <w:tab/>
        <w:t>The Council was unable to specify whether the offence involved a victim aged under 10/12 or a victim aged 10/12 to 15 for 49 outstanding charges of sexual penetration with a child aged under 16 in 23 cases. These offences were excluded from the analysis of both sentence types and imprisonment durations in Chapter 5.</w:t>
      </w:r>
    </w:p>
  </w:footnote>
  <w:footnote w:id="290">
    <w:p w14:paraId="626B722A" w14:textId="40E1D73E" w:rsidR="00EF5C25" w:rsidRPr="003C1ACC" w:rsidRDefault="00EF5C25" w:rsidP="008C32E1">
      <w:pPr>
        <w:pStyle w:val="Footnote"/>
      </w:pPr>
      <w:r w:rsidRPr="003C1ACC">
        <w:rPr>
          <w:vertAlign w:val="superscript"/>
        </w:rPr>
        <w:footnoteRef/>
      </w:r>
      <w:r w:rsidRPr="003C1ACC">
        <w:t>.</w:t>
      </w:r>
      <w:r w:rsidRPr="003C1ACC">
        <w:tab/>
      </w:r>
      <w:r w:rsidRPr="003C1ACC">
        <w:rPr>
          <w:rStyle w:val="LightItalic"/>
          <w:rFonts w:ascii="Verdana" w:hAnsi="Verdana"/>
        </w:rPr>
        <w:t xml:space="preserve">Shrestha v The Queen </w:t>
      </w:r>
      <w:r w:rsidRPr="003C1ACC">
        <w:t>[2017] VSCA 364 (11 December 2017).</w:t>
      </w:r>
    </w:p>
  </w:footnote>
  <w:footnote w:id="291">
    <w:p w14:paraId="73289FCC" w14:textId="330B4CB3" w:rsidR="00EF5C25" w:rsidRPr="003C1ACC" w:rsidRDefault="00EF5C25" w:rsidP="008C32E1">
      <w:pPr>
        <w:pStyle w:val="Footnote"/>
      </w:pPr>
      <w:r w:rsidRPr="003C1ACC">
        <w:rPr>
          <w:vertAlign w:val="superscript"/>
        </w:rPr>
        <w:footnoteRef/>
      </w:r>
      <w:r w:rsidRPr="003C1ACC">
        <w:t>.</w:t>
      </w:r>
      <w:r w:rsidRPr="003C1ACC">
        <w:tab/>
        <w:t xml:space="preserve">Non-parole periods for most of these offences are reported in the Council’s biennial </w:t>
      </w:r>
      <w:r w:rsidRPr="003C1ACC">
        <w:rPr>
          <w:rStyle w:val="LightItalic"/>
          <w:rFonts w:ascii="Verdana" w:hAnsi="Verdana"/>
        </w:rPr>
        <w:t>Sentencing Snapshots</w:t>
      </w:r>
      <w:r w:rsidRPr="003C1ACC">
        <w:t xml:space="preserve">. </w:t>
      </w:r>
    </w:p>
  </w:footnote>
  <w:footnote w:id="292">
    <w:p w14:paraId="7B98A787" w14:textId="538A4D70" w:rsidR="00EF5C25" w:rsidRPr="003C1ACC" w:rsidRDefault="00EF5C25" w:rsidP="008C32E1">
      <w:pPr>
        <w:pStyle w:val="Footnote"/>
      </w:pPr>
      <w:r w:rsidRPr="003C1ACC">
        <w:rPr>
          <w:vertAlign w:val="superscript"/>
        </w:rPr>
        <w:footnoteRef/>
      </w:r>
      <w:r w:rsidRPr="003C1ACC">
        <w:t>.</w:t>
      </w:r>
      <w:r w:rsidRPr="003C1ACC">
        <w:tab/>
      </w:r>
      <w:r w:rsidRPr="003C1ACC">
        <w:rPr>
          <w:rStyle w:val="LightItalic"/>
          <w:rFonts w:ascii="Verdana" w:hAnsi="Verdana"/>
        </w:rPr>
        <w:t xml:space="preserve">Crouch (A Pseudonym) v The Queen </w:t>
      </w:r>
      <w:r w:rsidRPr="003C1ACC">
        <w:t>[2019] VSCA 30 (22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EF36" w14:textId="1BE258BF" w:rsidR="00553AA8" w:rsidRPr="001E3774" w:rsidRDefault="00F23A58" w:rsidP="00C0646D">
    <w:pPr>
      <w:spacing w:after="360"/>
      <w:rPr>
        <w:sz w:val="20"/>
      </w:rPr>
    </w:pPr>
    <w:r w:rsidRPr="00F23A58">
      <w:rPr>
        <w:i/>
        <w:iCs/>
        <w:sz w:val="20"/>
        <w:szCs w:val="20"/>
      </w:rPr>
      <w:t>Sentencing Sex Offences in Victoria:</w:t>
    </w:r>
    <w:r w:rsidRPr="00F23A58">
      <w:rPr>
        <w:rStyle w:val="FigureNumber"/>
        <w:i/>
        <w:iCs/>
        <w:color w:val="auto"/>
        <w:sz w:val="20"/>
        <w:szCs w:val="20"/>
      </w:rPr>
      <w:t xml:space="preserve"> </w:t>
    </w:r>
    <w:r w:rsidRPr="00F23A58">
      <w:rPr>
        <w:i/>
        <w:iCs/>
        <w:sz w:val="20"/>
        <w:szCs w:val="20"/>
      </w:rPr>
      <w:t>An Analysis of Three Sentencing Reforms</w:t>
    </w:r>
    <w:r w:rsidR="00553AA8">
      <w:rPr>
        <w:sz w:val="20"/>
      </w:rPr>
      <w:t xml:space="preserve"> ● </w:t>
    </w:r>
    <w:r w:rsidR="005F071B">
      <w:rPr>
        <w:sz w:val="20"/>
      </w:rPr>
      <w:t>June 2021</w:t>
    </w:r>
    <w:r w:rsidR="00553AA8">
      <w:rPr>
        <w:sz w:val="20"/>
      </w:rPr>
      <w:t xml:space="preserve"> ● Sentencing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01F6E"/>
    <w:multiLevelType w:val="hybridMultilevel"/>
    <w:tmpl w:val="D706B176"/>
    <w:lvl w:ilvl="0" w:tplc="0C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EE5511"/>
    <w:multiLevelType w:val="hybridMultilevel"/>
    <w:tmpl w:val="43C2B954"/>
    <w:lvl w:ilvl="0" w:tplc="0C09000F">
      <w:start w:val="1"/>
      <w:numFmt w:val="decimal"/>
      <w:lvlText w:val="%1."/>
      <w:lvlJc w:val="left"/>
      <w:pPr>
        <w:ind w:left="1800" w:hanging="360"/>
      </w:p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D921145"/>
    <w:multiLevelType w:val="hybridMultilevel"/>
    <w:tmpl w:val="4A32B8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45325"/>
    <w:multiLevelType w:val="hybridMultilevel"/>
    <w:tmpl w:val="F5F2FDE6"/>
    <w:lvl w:ilvl="0" w:tplc="0C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62EB8"/>
    <w:multiLevelType w:val="hybridMultilevel"/>
    <w:tmpl w:val="F86CCE0C"/>
    <w:lvl w:ilvl="0" w:tplc="0C09000F">
      <w:start w:val="1"/>
      <w:numFmt w:val="decimal"/>
      <w:lvlText w:val="%1."/>
      <w:lvlJc w:val="left"/>
      <w:pPr>
        <w:ind w:left="180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BD2207"/>
    <w:multiLevelType w:val="hybridMultilevel"/>
    <w:tmpl w:val="1F7E7B3A"/>
    <w:lvl w:ilvl="0" w:tplc="B6348BB6">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0C006C"/>
    <w:multiLevelType w:val="hybridMultilevel"/>
    <w:tmpl w:val="330A987E"/>
    <w:lvl w:ilvl="0" w:tplc="0C09000F">
      <w:start w:val="1"/>
      <w:numFmt w:val="decimal"/>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C4088E"/>
    <w:multiLevelType w:val="hybridMultilevel"/>
    <w:tmpl w:val="E598B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196953"/>
    <w:multiLevelType w:val="hybridMultilevel"/>
    <w:tmpl w:val="D9949F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EE84E64"/>
    <w:multiLevelType w:val="hybridMultilevel"/>
    <w:tmpl w:val="3D1A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54D84"/>
    <w:multiLevelType w:val="hybridMultilevel"/>
    <w:tmpl w:val="330A987E"/>
    <w:lvl w:ilvl="0" w:tplc="0C09000F">
      <w:start w:val="1"/>
      <w:numFmt w:val="decimal"/>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7433EAB"/>
    <w:multiLevelType w:val="hybridMultilevel"/>
    <w:tmpl w:val="B426C8A2"/>
    <w:lvl w:ilvl="0" w:tplc="0C09000F">
      <w:start w:val="1"/>
      <w:numFmt w:val="decimal"/>
      <w:lvlText w:val="%1."/>
      <w:lvlJc w:val="left"/>
      <w:pPr>
        <w:ind w:left="180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85253B4"/>
    <w:multiLevelType w:val="hybridMultilevel"/>
    <w:tmpl w:val="E94E1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3665D0"/>
    <w:multiLevelType w:val="hybridMultilevel"/>
    <w:tmpl w:val="330A987E"/>
    <w:lvl w:ilvl="0" w:tplc="0C09000F">
      <w:start w:val="1"/>
      <w:numFmt w:val="decimal"/>
      <w:lvlText w:val="%1."/>
      <w:lvlJc w:val="left"/>
      <w:pPr>
        <w:ind w:left="72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726E2557"/>
    <w:multiLevelType w:val="hybridMultilevel"/>
    <w:tmpl w:val="6EC0589E"/>
    <w:lvl w:ilvl="0" w:tplc="0C09000F">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20"/>
  </w:num>
  <w:num w:numId="5">
    <w:abstractNumId w:val="0"/>
  </w:num>
  <w:num w:numId="6">
    <w:abstractNumId w:val="5"/>
  </w:num>
  <w:num w:numId="7">
    <w:abstractNumId w:val="8"/>
  </w:num>
  <w:num w:numId="8">
    <w:abstractNumId w:val="11"/>
  </w:num>
  <w:num w:numId="9">
    <w:abstractNumId w:val="12"/>
  </w:num>
  <w:num w:numId="10">
    <w:abstractNumId w:val="13"/>
  </w:num>
  <w:num w:numId="11">
    <w:abstractNumId w:val="4"/>
  </w:num>
  <w:num w:numId="12">
    <w:abstractNumId w:val="6"/>
  </w:num>
  <w:num w:numId="13">
    <w:abstractNumId w:val="2"/>
  </w:num>
  <w:num w:numId="14">
    <w:abstractNumId w:val="19"/>
  </w:num>
  <w:num w:numId="15">
    <w:abstractNumId w:val="16"/>
  </w:num>
  <w:num w:numId="16">
    <w:abstractNumId w:val="17"/>
  </w:num>
  <w:num w:numId="17">
    <w:abstractNumId w:val="7"/>
  </w:num>
  <w:num w:numId="18">
    <w:abstractNumId w:val="3"/>
  </w:num>
  <w:num w:numId="19">
    <w:abstractNumId w:val="14"/>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bordersDoNotSurroundHeader/>
  <w:bordersDoNotSurroundFooter/>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9A"/>
    <w:rsid w:val="00002AAF"/>
    <w:rsid w:val="00003847"/>
    <w:rsid w:val="00005C26"/>
    <w:rsid w:val="00007C8C"/>
    <w:rsid w:val="000100AE"/>
    <w:rsid w:val="000137EB"/>
    <w:rsid w:val="00014E52"/>
    <w:rsid w:val="00014F2C"/>
    <w:rsid w:val="0001597E"/>
    <w:rsid w:val="000171EF"/>
    <w:rsid w:val="000200F3"/>
    <w:rsid w:val="0002059D"/>
    <w:rsid w:val="000234B7"/>
    <w:rsid w:val="0002411F"/>
    <w:rsid w:val="000246AA"/>
    <w:rsid w:val="000255B6"/>
    <w:rsid w:val="00025805"/>
    <w:rsid w:val="00026071"/>
    <w:rsid w:val="00026469"/>
    <w:rsid w:val="00031044"/>
    <w:rsid w:val="00031190"/>
    <w:rsid w:val="00031D5F"/>
    <w:rsid w:val="000324BA"/>
    <w:rsid w:val="00034AE6"/>
    <w:rsid w:val="00035413"/>
    <w:rsid w:val="0003657D"/>
    <w:rsid w:val="00036A5E"/>
    <w:rsid w:val="0004040B"/>
    <w:rsid w:val="00040457"/>
    <w:rsid w:val="00040FE3"/>
    <w:rsid w:val="000427AA"/>
    <w:rsid w:val="00042863"/>
    <w:rsid w:val="000456E3"/>
    <w:rsid w:val="00050B03"/>
    <w:rsid w:val="00050B8A"/>
    <w:rsid w:val="00050BF8"/>
    <w:rsid w:val="00050EE9"/>
    <w:rsid w:val="000520FA"/>
    <w:rsid w:val="00054913"/>
    <w:rsid w:val="00056311"/>
    <w:rsid w:val="00056CEF"/>
    <w:rsid w:val="00057C77"/>
    <w:rsid w:val="0006596C"/>
    <w:rsid w:val="00066093"/>
    <w:rsid w:val="00066A46"/>
    <w:rsid w:val="00067A92"/>
    <w:rsid w:val="00067FA5"/>
    <w:rsid w:val="000706AC"/>
    <w:rsid w:val="000724F1"/>
    <w:rsid w:val="00072519"/>
    <w:rsid w:val="00072BF5"/>
    <w:rsid w:val="0007307E"/>
    <w:rsid w:val="00073E07"/>
    <w:rsid w:val="00075BDC"/>
    <w:rsid w:val="00075ECD"/>
    <w:rsid w:val="00077F1E"/>
    <w:rsid w:val="000802AD"/>
    <w:rsid w:val="0008323E"/>
    <w:rsid w:val="000832A7"/>
    <w:rsid w:val="00083BE5"/>
    <w:rsid w:val="000841B0"/>
    <w:rsid w:val="00084687"/>
    <w:rsid w:val="000853D4"/>
    <w:rsid w:val="000854F1"/>
    <w:rsid w:val="00086D37"/>
    <w:rsid w:val="00086F87"/>
    <w:rsid w:val="00090773"/>
    <w:rsid w:val="00091E82"/>
    <w:rsid w:val="00094AD7"/>
    <w:rsid w:val="00094B2B"/>
    <w:rsid w:val="00096A75"/>
    <w:rsid w:val="000A0CF7"/>
    <w:rsid w:val="000A3913"/>
    <w:rsid w:val="000A6395"/>
    <w:rsid w:val="000A6A74"/>
    <w:rsid w:val="000A6DC0"/>
    <w:rsid w:val="000A7F9B"/>
    <w:rsid w:val="000B028C"/>
    <w:rsid w:val="000B1B6C"/>
    <w:rsid w:val="000B45FD"/>
    <w:rsid w:val="000B4E20"/>
    <w:rsid w:val="000B4F53"/>
    <w:rsid w:val="000B5AB5"/>
    <w:rsid w:val="000B5BE0"/>
    <w:rsid w:val="000B634A"/>
    <w:rsid w:val="000B7FFA"/>
    <w:rsid w:val="000C01CB"/>
    <w:rsid w:val="000C0B9D"/>
    <w:rsid w:val="000C2770"/>
    <w:rsid w:val="000C5929"/>
    <w:rsid w:val="000C5A4C"/>
    <w:rsid w:val="000C68BF"/>
    <w:rsid w:val="000D0266"/>
    <w:rsid w:val="000D1F9C"/>
    <w:rsid w:val="000D3E93"/>
    <w:rsid w:val="000D4AB1"/>
    <w:rsid w:val="000D4ACB"/>
    <w:rsid w:val="000D55CD"/>
    <w:rsid w:val="000D608A"/>
    <w:rsid w:val="000E1B01"/>
    <w:rsid w:val="000E1D9C"/>
    <w:rsid w:val="000E2235"/>
    <w:rsid w:val="000E2800"/>
    <w:rsid w:val="000F167F"/>
    <w:rsid w:val="000F3E22"/>
    <w:rsid w:val="000F454E"/>
    <w:rsid w:val="000F7F20"/>
    <w:rsid w:val="00105B94"/>
    <w:rsid w:val="00106679"/>
    <w:rsid w:val="00107BCD"/>
    <w:rsid w:val="00110BBE"/>
    <w:rsid w:val="00111982"/>
    <w:rsid w:val="001123B9"/>
    <w:rsid w:val="001124CB"/>
    <w:rsid w:val="00112EB2"/>
    <w:rsid w:val="00113EDF"/>
    <w:rsid w:val="00113F98"/>
    <w:rsid w:val="00114896"/>
    <w:rsid w:val="00115AB7"/>
    <w:rsid w:val="00120452"/>
    <w:rsid w:val="00120FAE"/>
    <w:rsid w:val="00123945"/>
    <w:rsid w:val="00124BE6"/>
    <w:rsid w:val="00125046"/>
    <w:rsid w:val="0012596A"/>
    <w:rsid w:val="0012645E"/>
    <w:rsid w:val="001310AB"/>
    <w:rsid w:val="00131244"/>
    <w:rsid w:val="00131ADD"/>
    <w:rsid w:val="00135356"/>
    <w:rsid w:val="00135C30"/>
    <w:rsid w:val="00136A5A"/>
    <w:rsid w:val="001378A3"/>
    <w:rsid w:val="00137FB9"/>
    <w:rsid w:val="0014068F"/>
    <w:rsid w:val="001426A0"/>
    <w:rsid w:val="001446F6"/>
    <w:rsid w:val="00144CD4"/>
    <w:rsid w:val="001459BF"/>
    <w:rsid w:val="001463DE"/>
    <w:rsid w:val="001464B7"/>
    <w:rsid w:val="00150C14"/>
    <w:rsid w:val="00150DBB"/>
    <w:rsid w:val="00150F98"/>
    <w:rsid w:val="00151591"/>
    <w:rsid w:val="00152192"/>
    <w:rsid w:val="001553B8"/>
    <w:rsid w:val="00157C37"/>
    <w:rsid w:val="00160502"/>
    <w:rsid w:val="001615C7"/>
    <w:rsid w:val="00165B10"/>
    <w:rsid w:val="00166323"/>
    <w:rsid w:val="001675FE"/>
    <w:rsid w:val="001677DD"/>
    <w:rsid w:val="00170FA6"/>
    <w:rsid w:val="00173049"/>
    <w:rsid w:val="00175A75"/>
    <w:rsid w:val="00175B23"/>
    <w:rsid w:val="00177475"/>
    <w:rsid w:val="00177B78"/>
    <w:rsid w:val="00181117"/>
    <w:rsid w:val="00181946"/>
    <w:rsid w:val="001833B4"/>
    <w:rsid w:val="00190BF6"/>
    <w:rsid w:val="001917EB"/>
    <w:rsid w:val="00191E69"/>
    <w:rsid w:val="00193952"/>
    <w:rsid w:val="00196BD3"/>
    <w:rsid w:val="00196F62"/>
    <w:rsid w:val="001970F5"/>
    <w:rsid w:val="001A0831"/>
    <w:rsid w:val="001A72C5"/>
    <w:rsid w:val="001B2460"/>
    <w:rsid w:val="001B255C"/>
    <w:rsid w:val="001B3CC5"/>
    <w:rsid w:val="001B7267"/>
    <w:rsid w:val="001B7F6F"/>
    <w:rsid w:val="001C3E75"/>
    <w:rsid w:val="001C6C6D"/>
    <w:rsid w:val="001D3396"/>
    <w:rsid w:val="001D3B29"/>
    <w:rsid w:val="001D4674"/>
    <w:rsid w:val="001E0CC8"/>
    <w:rsid w:val="001E3774"/>
    <w:rsid w:val="001E4E27"/>
    <w:rsid w:val="001E54C9"/>
    <w:rsid w:val="001E6474"/>
    <w:rsid w:val="001E6C0C"/>
    <w:rsid w:val="001E6C98"/>
    <w:rsid w:val="001F0530"/>
    <w:rsid w:val="001F471E"/>
    <w:rsid w:val="001F59EB"/>
    <w:rsid w:val="001F6C20"/>
    <w:rsid w:val="001F7595"/>
    <w:rsid w:val="001F7BAD"/>
    <w:rsid w:val="0020116E"/>
    <w:rsid w:val="002019A3"/>
    <w:rsid w:val="00206AF3"/>
    <w:rsid w:val="00207E1C"/>
    <w:rsid w:val="00210E58"/>
    <w:rsid w:val="00212F61"/>
    <w:rsid w:val="00213AEF"/>
    <w:rsid w:val="00215E90"/>
    <w:rsid w:val="00217FD7"/>
    <w:rsid w:val="0022086B"/>
    <w:rsid w:val="002209C8"/>
    <w:rsid w:val="00220B05"/>
    <w:rsid w:val="002220B3"/>
    <w:rsid w:val="002225C5"/>
    <w:rsid w:val="00223A62"/>
    <w:rsid w:val="0022529A"/>
    <w:rsid w:val="00230A88"/>
    <w:rsid w:val="002315F9"/>
    <w:rsid w:val="002323A3"/>
    <w:rsid w:val="00234433"/>
    <w:rsid w:val="00235C1D"/>
    <w:rsid w:val="00236601"/>
    <w:rsid w:val="00237CDC"/>
    <w:rsid w:val="00237DBA"/>
    <w:rsid w:val="0025192B"/>
    <w:rsid w:val="0025199A"/>
    <w:rsid w:val="00252103"/>
    <w:rsid w:val="002527DA"/>
    <w:rsid w:val="002546D0"/>
    <w:rsid w:val="00256D64"/>
    <w:rsid w:val="00256EAD"/>
    <w:rsid w:val="00257443"/>
    <w:rsid w:val="00263161"/>
    <w:rsid w:val="00266788"/>
    <w:rsid w:val="00270C5B"/>
    <w:rsid w:val="00271BB6"/>
    <w:rsid w:val="00272FAB"/>
    <w:rsid w:val="00274011"/>
    <w:rsid w:val="002746CC"/>
    <w:rsid w:val="002778C6"/>
    <w:rsid w:val="00282BBF"/>
    <w:rsid w:val="00283226"/>
    <w:rsid w:val="00283254"/>
    <w:rsid w:val="002835E5"/>
    <w:rsid w:val="00285ABE"/>
    <w:rsid w:val="00286947"/>
    <w:rsid w:val="00287374"/>
    <w:rsid w:val="0028752B"/>
    <w:rsid w:val="00291C9D"/>
    <w:rsid w:val="002940A2"/>
    <w:rsid w:val="00294202"/>
    <w:rsid w:val="002946A0"/>
    <w:rsid w:val="002967C3"/>
    <w:rsid w:val="002A0E65"/>
    <w:rsid w:val="002A2B29"/>
    <w:rsid w:val="002A32E7"/>
    <w:rsid w:val="002A466E"/>
    <w:rsid w:val="002A5198"/>
    <w:rsid w:val="002B02B8"/>
    <w:rsid w:val="002B0695"/>
    <w:rsid w:val="002B1984"/>
    <w:rsid w:val="002B2B13"/>
    <w:rsid w:val="002B318F"/>
    <w:rsid w:val="002B4A06"/>
    <w:rsid w:val="002B73A2"/>
    <w:rsid w:val="002C0A73"/>
    <w:rsid w:val="002C2130"/>
    <w:rsid w:val="002C2498"/>
    <w:rsid w:val="002C2F57"/>
    <w:rsid w:val="002C3862"/>
    <w:rsid w:val="002C4F89"/>
    <w:rsid w:val="002C6923"/>
    <w:rsid w:val="002C6E69"/>
    <w:rsid w:val="002D0B8A"/>
    <w:rsid w:val="002D0C8C"/>
    <w:rsid w:val="002D322E"/>
    <w:rsid w:val="002D32D6"/>
    <w:rsid w:val="002D3764"/>
    <w:rsid w:val="002D4125"/>
    <w:rsid w:val="002D430A"/>
    <w:rsid w:val="002D579F"/>
    <w:rsid w:val="002D6557"/>
    <w:rsid w:val="002E564C"/>
    <w:rsid w:val="002E579A"/>
    <w:rsid w:val="002E7B69"/>
    <w:rsid w:val="002F0CCB"/>
    <w:rsid w:val="002F1559"/>
    <w:rsid w:val="002F2DB3"/>
    <w:rsid w:val="002F48E4"/>
    <w:rsid w:val="002F7907"/>
    <w:rsid w:val="00301B77"/>
    <w:rsid w:val="0030606D"/>
    <w:rsid w:val="00306BA2"/>
    <w:rsid w:val="00307BF1"/>
    <w:rsid w:val="00307F8D"/>
    <w:rsid w:val="0031200C"/>
    <w:rsid w:val="00315385"/>
    <w:rsid w:val="00315675"/>
    <w:rsid w:val="00315A0D"/>
    <w:rsid w:val="00315FC2"/>
    <w:rsid w:val="00316565"/>
    <w:rsid w:val="003220B1"/>
    <w:rsid w:val="003245F2"/>
    <w:rsid w:val="00324D29"/>
    <w:rsid w:val="0032633A"/>
    <w:rsid w:val="00331208"/>
    <w:rsid w:val="003316F3"/>
    <w:rsid w:val="00331878"/>
    <w:rsid w:val="003330BE"/>
    <w:rsid w:val="00334D30"/>
    <w:rsid w:val="00334E12"/>
    <w:rsid w:val="00336C2E"/>
    <w:rsid w:val="00337A67"/>
    <w:rsid w:val="00342CAB"/>
    <w:rsid w:val="00346383"/>
    <w:rsid w:val="00347C2A"/>
    <w:rsid w:val="003503E6"/>
    <w:rsid w:val="00351B54"/>
    <w:rsid w:val="00352D71"/>
    <w:rsid w:val="0035310F"/>
    <w:rsid w:val="0035375B"/>
    <w:rsid w:val="00354898"/>
    <w:rsid w:val="00354F95"/>
    <w:rsid w:val="00355B8C"/>
    <w:rsid w:val="003564D1"/>
    <w:rsid w:val="00357323"/>
    <w:rsid w:val="00360234"/>
    <w:rsid w:val="0036413B"/>
    <w:rsid w:val="00364846"/>
    <w:rsid w:val="0036487E"/>
    <w:rsid w:val="0036590E"/>
    <w:rsid w:val="0036597D"/>
    <w:rsid w:val="00365FDF"/>
    <w:rsid w:val="003700BC"/>
    <w:rsid w:val="0037034B"/>
    <w:rsid w:val="00370D1B"/>
    <w:rsid w:val="0037246F"/>
    <w:rsid w:val="0037295E"/>
    <w:rsid w:val="00372C51"/>
    <w:rsid w:val="003733B1"/>
    <w:rsid w:val="00375ED2"/>
    <w:rsid w:val="003766D5"/>
    <w:rsid w:val="00377374"/>
    <w:rsid w:val="00377D92"/>
    <w:rsid w:val="00381BBC"/>
    <w:rsid w:val="00383796"/>
    <w:rsid w:val="0038711E"/>
    <w:rsid w:val="00387144"/>
    <w:rsid w:val="00390A38"/>
    <w:rsid w:val="0039111D"/>
    <w:rsid w:val="003948B9"/>
    <w:rsid w:val="003953FC"/>
    <w:rsid w:val="00395F6D"/>
    <w:rsid w:val="00397C27"/>
    <w:rsid w:val="003A5A87"/>
    <w:rsid w:val="003B1BD7"/>
    <w:rsid w:val="003B442C"/>
    <w:rsid w:val="003B4F5C"/>
    <w:rsid w:val="003B517C"/>
    <w:rsid w:val="003B53B7"/>
    <w:rsid w:val="003B619A"/>
    <w:rsid w:val="003B6CA4"/>
    <w:rsid w:val="003B6E5E"/>
    <w:rsid w:val="003B7EF9"/>
    <w:rsid w:val="003C1ACC"/>
    <w:rsid w:val="003C3218"/>
    <w:rsid w:val="003C3859"/>
    <w:rsid w:val="003C57AA"/>
    <w:rsid w:val="003C6277"/>
    <w:rsid w:val="003C7071"/>
    <w:rsid w:val="003C77D5"/>
    <w:rsid w:val="003D24A2"/>
    <w:rsid w:val="003D251C"/>
    <w:rsid w:val="003D5C43"/>
    <w:rsid w:val="003D61E9"/>
    <w:rsid w:val="003E2BB1"/>
    <w:rsid w:val="003E6974"/>
    <w:rsid w:val="003F2863"/>
    <w:rsid w:val="003F3392"/>
    <w:rsid w:val="003F33A3"/>
    <w:rsid w:val="003F4090"/>
    <w:rsid w:val="003F737F"/>
    <w:rsid w:val="003F7D3A"/>
    <w:rsid w:val="0040057A"/>
    <w:rsid w:val="00400CEB"/>
    <w:rsid w:val="00401C3E"/>
    <w:rsid w:val="00402251"/>
    <w:rsid w:val="00404421"/>
    <w:rsid w:val="004055B5"/>
    <w:rsid w:val="00406201"/>
    <w:rsid w:val="004106B3"/>
    <w:rsid w:val="004137CE"/>
    <w:rsid w:val="00415FFD"/>
    <w:rsid w:val="0042101E"/>
    <w:rsid w:val="0042213C"/>
    <w:rsid w:val="00423332"/>
    <w:rsid w:val="00426AE8"/>
    <w:rsid w:val="00426FD2"/>
    <w:rsid w:val="004335B3"/>
    <w:rsid w:val="00433945"/>
    <w:rsid w:val="00433B52"/>
    <w:rsid w:val="00437797"/>
    <w:rsid w:val="004411BD"/>
    <w:rsid w:val="00442041"/>
    <w:rsid w:val="00444451"/>
    <w:rsid w:val="0044610B"/>
    <w:rsid w:val="00450464"/>
    <w:rsid w:val="004520D1"/>
    <w:rsid w:val="00453E69"/>
    <w:rsid w:val="00457D97"/>
    <w:rsid w:val="00457EF9"/>
    <w:rsid w:val="004634D4"/>
    <w:rsid w:val="004665B1"/>
    <w:rsid w:val="0046770A"/>
    <w:rsid w:val="00467D77"/>
    <w:rsid w:val="00467E41"/>
    <w:rsid w:val="0047045E"/>
    <w:rsid w:val="00470753"/>
    <w:rsid w:val="00472A30"/>
    <w:rsid w:val="0047446E"/>
    <w:rsid w:val="00474E26"/>
    <w:rsid w:val="00475FBD"/>
    <w:rsid w:val="00480D98"/>
    <w:rsid w:val="00481A6A"/>
    <w:rsid w:val="00483DF8"/>
    <w:rsid w:val="004841E6"/>
    <w:rsid w:val="00484AB6"/>
    <w:rsid w:val="00486195"/>
    <w:rsid w:val="00487398"/>
    <w:rsid w:val="00487F5F"/>
    <w:rsid w:val="00490430"/>
    <w:rsid w:val="0049264A"/>
    <w:rsid w:val="004936FB"/>
    <w:rsid w:val="00495415"/>
    <w:rsid w:val="00495B88"/>
    <w:rsid w:val="00496282"/>
    <w:rsid w:val="00497029"/>
    <w:rsid w:val="00497214"/>
    <w:rsid w:val="00497483"/>
    <w:rsid w:val="00497E2A"/>
    <w:rsid w:val="004A07CF"/>
    <w:rsid w:val="004A0D39"/>
    <w:rsid w:val="004A2CF3"/>
    <w:rsid w:val="004A358D"/>
    <w:rsid w:val="004A4D79"/>
    <w:rsid w:val="004A62A0"/>
    <w:rsid w:val="004A7B74"/>
    <w:rsid w:val="004B068E"/>
    <w:rsid w:val="004B0C4E"/>
    <w:rsid w:val="004B12EE"/>
    <w:rsid w:val="004B3614"/>
    <w:rsid w:val="004B3DC2"/>
    <w:rsid w:val="004B4B98"/>
    <w:rsid w:val="004B599A"/>
    <w:rsid w:val="004B74D2"/>
    <w:rsid w:val="004B7D40"/>
    <w:rsid w:val="004C2130"/>
    <w:rsid w:val="004C26BD"/>
    <w:rsid w:val="004C3538"/>
    <w:rsid w:val="004C362C"/>
    <w:rsid w:val="004C52D3"/>
    <w:rsid w:val="004C712B"/>
    <w:rsid w:val="004D0185"/>
    <w:rsid w:val="004D055D"/>
    <w:rsid w:val="004D05B8"/>
    <w:rsid w:val="004D2EC6"/>
    <w:rsid w:val="004D43CF"/>
    <w:rsid w:val="004D43F2"/>
    <w:rsid w:val="004D4543"/>
    <w:rsid w:val="004D5EE2"/>
    <w:rsid w:val="004D719F"/>
    <w:rsid w:val="004D77B3"/>
    <w:rsid w:val="004D7804"/>
    <w:rsid w:val="004D7CFD"/>
    <w:rsid w:val="004E0049"/>
    <w:rsid w:val="004E42C7"/>
    <w:rsid w:val="004E6367"/>
    <w:rsid w:val="004F2919"/>
    <w:rsid w:val="004F562B"/>
    <w:rsid w:val="004F6AF1"/>
    <w:rsid w:val="004F73C6"/>
    <w:rsid w:val="004F73F4"/>
    <w:rsid w:val="005016C9"/>
    <w:rsid w:val="005033AB"/>
    <w:rsid w:val="00507EEC"/>
    <w:rsid w:val="00510B69"/>
    <w:rsid w:val="00511CCD"/>
    <w:rsid w:val="00513540"/>
    <w:rsid w:val="005148F1"/>
    <w:rsid w:val="0051637F"/>
    <w:rsid w:val="00520B34"/>
    <w:rsid w:val="00523664"/>
    <w:rsid w:val="00523CF1"/>
    <w:rsid w:val="00524787"/>
    <w:rsid w:val="00526D86"/>
    <w:rsid w:val="00527848"/>
    <w:rsid w:val="00527C8C"/>
    <w:rsid w:val="00533377"/>
    <w:rsid w:val="005345ED"/>
    <w:rsid w:val="005373CC"/>
    <w:rsid w:val="00541468"/>
    <w:rsid w:val="00542BCC"/>
    <w:rsid w:val="00542EF1"/>
    <w:rsid w:val="00543139"/>
    <w:rsid w:val="00552ED1"/>
    <w:rsid w:val="00552EF8"/>
    <w:rsid w:val="005534DC"/>
    <w:rsid w:val="00553AA8"/>
    <w:rsid w:val="00554AB2"/>
    <w:rsid w:val="00554B0F"/>
    <w:rsid w:val="00556D50"/>
    <w:rsid w:val="00557065"/>
    <w:rsid w:val="0055773B"/>
    <w:rsid w:val="0056002A"/>
    <w:rsid w:val="005605CF"/>
    <w:rsid w:val="00560E10"/>
    <w:rsid w:val="00562402"/>
    <w:rsid w:val="00564927"/>
    <w:rsid w:val="005670D2"/>
    <w:rsid w:val="0056748A"/>
    <w:rsid w:val="005755E6"/>
    <w:rsid w:val="00576A71"/>
    <w:rsid w:val="00580AF1"/>
    <w:rsid w:val="005816BE"/>
    <w:rsid w:val="00581F7C"/>
    <w:rsid w:val="0058328D"/>
    <w:rsid w:val="005839B3"/>
    <w:rsid w:val="00585E11"/>
    <w:rsid w:val="005871FE"/>
    <w:rsid w:val="005910F8"/>
    <w:rsid w:val="0059256C"/>
    <w:rsid w:val="00597102"/>
    <w:rsid w:val="005A1292"/>
    <w:rsid w:val="005A1A70"/>
    <w:rsid w:val="005A2DD8"/>
    <w:rsid w:val="005A3FCE"/>
    <w:rsid w:val="005A4851"/>
    <w:rsid w:val="005A5258"/>
    <w:rsid w:val="005A5FC3"/>
    <w:rsid w:val="005A69E7"/>
    <w:rsid w:val="005A6AD2"/>
    <w:rsid w:val="005B25C9"/>
    <w:rsid w:val="005B3F45"/>
    <w:rsid w:val="005B7138"/>
    <w:rsid w:val="005C16F8"/>
    <w:rsid w:val="005C2586"/>
    <w:rsid w:val="005C2B09"/>
    <w:rsid w:val="005C30CF"/>
    <w:rsid w:val="005C3A04"/>
    <w:rsid w:val="005C7673"/>
    <w:rsid w:val="005D00F7"/>
    <w:rsid w:val="005D0C3A"/>
    <w:rsid w:val="005D1C21"/>
    <w:rsid w:val="005D3C51"/>
    <w:rsid w:val="005D47B9"/>
    <w:rsid w:val="005D56D5"/>
    <w:rsid w:val="005D6B41"/>
    <w:rsid w:val="005D72E6"/>
    <w:rsid w:val="005D7FEE"/>
    <w:rsid w:val="005E03B9"/>
    <w:rsid w:val="005E08D5"/>
    <w:rsid w:val="005E1829"/>
    <w:rsid w:val="005E1987"/>
    <w:rsid w:val="005E2B7B"/>
    <w:rsid w:val="005E444F"/>
    <w:rsid w:val="005E5687"/>
    <w:rsid w:val="005F071B"/>
    <w:rsid w:val="005F0B3F"/>
    <w:rsid w:val="005F13DF"/>
    <w:rsid w:val="005F2AE7"/>
    <w:rsid w:val="005F438A"/>
    <w:rsid w:val="005F44D2"/>
    <w:rsid w:val="005F5B92"/>
    <w:rsid w:val="005F6AE1"/>
    <w:rsid w:val="005F6FA9"/>
    <w:rsid w:val="00600D96"/>
    <w:rsid w:val="006032A2"/>
    <w:rsid w:val="00613286"/>
    <w:rsid w:val="00620DC8"/>
    <w:rsid w:val="00621735"/>
    <w:rsid w:val="0062246A"/>
    <w:rsid w:val="0062388D"/>
    <w:rsid w:val="00623C6B"/>
    <w:rsid w:val="00624C61"/>
    <w:rsid w:val="006267C3"/>
    <w:rsid w:val="00626EA1"/>
    <w:rsid w:val="0063162A"/>
    <w:rsid w:val="00632D14"/>
    <w:rsid w:val="00633044"/>
    <w:rsid w:val="0063308C"/>
    <w:rsid w:val="00633FF7"/>
    <w:rsid w:val="00634244"/>
    <w:rsid w:val="00634ECA"/>
    <w:rsid w:val="00635F73"/>
    <w:rsid w:val="00636B72"/>
    <w:rsid w:val="00637285"/>
    <w:rsid w:val="00641DA6"/>
    <w:rsid w:val="006427FE"/>
    <w:rsid w:val="0064397B"/>
    <w:rsid w:val="00643AE3"/>
    <w:rsid w:val="00643B09"/>
    <w:rsid w:val="00644D19"/>
    <w:rsid w:val="0064588F"/>
    <w:rsid w:val="00654B4A"/>
    <w:rsid w:val="00655089"/>
    <w:rsid w:val="00656CAA"/>
    <w:rsid w:val="00657A78"/>
    <w:rsid w:val="00657CB1"/>
    <w:rsid w:val="00661517"/>
    <w:rsid w:val="006633AA"/>
    <w:rsid w:val="00663CF1"/>
    <w:rsid w:val="00664152"/>
    <w:rsid w:val="00664763"/>
    <w:rsid w:val="00665523"/>
    <w:rsid w:val="006666D0"/>
    <w:rsid w:val="00672D86"/>
    <w:rsid w:val="00672E9A"/>
    <w:rsid w:val="0067334B"/>
    <w:rsid w:val="00676D41"/>
    <w:rsid w:val="00681A52"/>
    <w:rsid w:val="006822D9"/>
    <w:rsid w:val="00683D32"/>
    <w:rsid w:val="006848BC"/>
    <w:rsid w:val="00685547"/>
    <w:rsid w:val="00685BD2"/>
    <w:rsid w:val="00686D20"/>
    <w:rsid w:val="006871CA"/>
    <w:rsid w:val="00690765"/>
    <w:rsid w:val="00693D2B"/>
    <w:rsid w:val="00695846"/>
    <w:rsid w:val="00696ADB"/>
    <w:rsid w:val="00696D03"/>
    <w:rsid w:val="006A0EDE"/>
    <w:rsid w:val="006A24A4"/>
    <w:rsid w:val="006A257E"/>
    <w:rsid w:val="006A7E13"/>
    <w:rsid w:val="006B1610"/>
    <w:rsid w:val="006B1A30"/>
    <w:rsid w:val="006B27A6"/>
    <w:rsid w:val="006B291B"/>
    <w:rsid w:val="006B455D"/>
    <w:rsid w:val="006B4CAE"/>
    <w:rsid w:val="006B6E18"/>
    <w:rsid w:val="006B72F4"/>
    <w:rsid w:val="006C4BE7"/>
    <w:rsid w:val="006C55BA"/>
    <w:rsid w:val="006D1BC1"/>
    <w:rsid w:val="006D1D12"/>
    <w:rsid w:val="006D202C"/>
    <w:rsid w:val="006D2D55"/>
    <w:rsid w:val="006D5104"/>
    <w:rsid w:val="006D69E4"/>
    <w:rsid w:val="006E199C"/>
    <w:rsid w:val="006E68EC"/>
    <w:rsid w:val="006E77B6"/>
    <w:rsid w:val="006F2397"/>
    <w:rsid w:val="006F3F36"/>
    <w:rsid w:val="006F4619"/>
    <w:rsid w:val="006F4FEC"/>
    <w:rsid w:val="006F6A5C"/>
    <w:rsid w:val="006F77A5"/>
    <w:rsid w:val="00700532"/>
    <w:rsid w:val="007010B5"/>
    <w:rsid w:val="0070203B"/>
    <w:rsid w:val="00703380"/>
    <w:rsid w:val="007038F7"/>
    <w:rsid w:val="007044B7"/>
    <w:rsid w:val="0070601D"/>
    <w:rsid w:val="00707B92"/>
    <w:rsid w:val="0071116E"/>
    <w:rsid w:val="00712490"/>
    <w:rsid w:val="00715489"/>
    <w:rsid w:val="00716DAB"/>
    <w:rsid w:val="00717D99"/>
    <w:rsid w:val="00720224"/>
    <w:rsid w:val="00720D8A"/>
    <w:rsid w:val="00720DFC"/>
    <w:rsid w:val="00721534"/>
    <w:rsid w:val="00721731"/>
    <w:rsid w:val="007238AB"/>
    <w:rsid w:val="00723FA3"/>
    <w:rsid w:val="00727A59"/>
    <w:rsid w:val="0073190C"/>
    <w:rsid w:val="00733B0D"/>
    <w:rsid w:val="007348B7"/>
    <w:rsid w:val="00735CC8"/>
    <w:rsid w:val="00735DF1"/>
    <w:rsid w:val="0073637B"/>
    <w:rsid w:val="007405B8"/>
    <w:rsid w:val="00741722"/>
    <w:rsid w:val="00741AD3"/>
    <w:rsid w:val="00742CAD"/>
    <w:rsid w:val="00744633"/>
    <w:rsid w:val="007455E8"/>
    <w:rsid w:val="00750C7D"/>
    <w:rsid w:val="0075182F"/>
    <w:rsid w:val="00755AC4"/>
    <w:rsid w:val="00757F5A"/>
    <w:rsid w:val="0076070B"/>
    <w:rsid w:val="0076421D"/>
    <w:rsid w:val="00764EE8"/>
    <w:rsid w:val="00767052"/>
    <w:rsid w:val="00770A9B"/>
    <w:rsid w:val="007715AB"/>
    <w:rsid w:val="00771A2E"/>
    <w:rsid w:val="00771AE1"/>
    <w:rsid w:val="00771DA7"/>
    <w:rsid w:val="00774462"/>
    <w:rsid w:val="007749CA"/>
    <w:rsid w:val="00774FF9"/>
    <w:rsid w:val="00776366"/>
    <w:rsid w:val="00782856"/>
    <w:rsid w:val="00783ABE"/>
    <w:rsid w:val="00785C72"/>
    <w:rsid w:val="00785F1D"/>
    <w:rsid w:val="00786456"/>
    <w:rsid w:val="00786BF7"/>
    <w:rsid w:val="00786CC9"/>
    <w:rsid w:val="00786D0A"/>
    <w:rsid w:val="007872F1"/>
    <w:rsid w:val="00787359"/>
    <w:rsid w:val="007906A8"/>
    <w:rsid w:val="00790C4F"/>
    <w:rsid w:val="00791C21"/>
    <w:rsid w:val="00792A50"/>
    <w:rsid w:val="00792CA1"/>
    <w:rsid w:val="00792D4E"/>
    <w:rsid w:val="00792ED3"/>
    <w:rsid w:val="00793356"/>
    <w:rsid w:val="00794DFA"/>
    <w:rsid w:val="0079520A"/>
    <w:rsid w:val="00796F3A"/>
    <w:rsid w:val="0079735B"/>
    <w:rsid w:val="007976D1"/>
    <w:rsid w:val="00797752"/>
    <w:rsid w:val="007977A7"/>
    <w:rsid w:val="007A23AF"/>
    <w:rsid w:val="007A3610"/>
    <w:rsid w:val="007A51EE"/>
    <w:rsid w:val="007A6BFC"/>
    <w:rsid w:val="007A7075"/>
    <w:rsid w:val="007B0DBB"/>
    <w:rsid w:val="007B1693"/>
    <w:rsid w:val="007B282F"/>
    <w:rsid w:val="007B298F"/>
    <w:rsid w:val="007B2C85"/>
    <w:rsid w:val="007B6AFF"/>
    <w:rsid w:val="007B7B5A"/>
    <w:rsid w:val="007C0EBE"/>
    <w:rsid w:val="007C1944"/>
    <w:rsid w:val="007C2B98"/>
    <w:rsid w:val="007C2D1B"/>
    <w:rsid w:val="007C3AED"/>
    <w:rsid w:val="007C43BC"/>
    <w:rsid w:val="007C4F31"/>
    <w:rsid w:val="007C667F"/>
    <w:rsid w:val="007C723F"/>
    <w:rsid w:val="007D1915"/>
    <w:rsid w:val="007D4BE9"/>
    <w:rsid w:val="007D570A"/>
    <w:rsid w:val="007E07CD"/>
    <w:rsid w:val="007E2BCF"/>
    <w:rsid w:val="007E35C5"/>
    <w:rsid w:val="007E3794"/>
    <w:rsid w:val="007E570C"/>
    <w:rsid w:val="007E5CA6"/>
    <w:rsid w:val="007E6275"/>
    <w:rsid w:val="007E7774"/>
    <w:rsid w:val="007F25B8"/>
    <w:rsid w:val="007F2945"/>
    <w:rsid w:val="007F2D1D"/>
    <w:rsid w:val="007F3328"/>
    <w:rsid w:val="007F3862"/>
    <w:rsid w:val="007F3B6E"/>
    <w:rsid w:val="007F4552"/>
    <w:rsid w:val="007F4686"/>
    <w:rsid w:val="007F486D"/>
    <w:rsid w:val="007F4973"/>
    <w:rsid w:val="007F530F"/>
    <w:rsid w:val="007F6F1F"/>
    <w:rsid w:val="007F788C"/>
    <w:rsid w:val="00801EA2"/>
    <w:rsid w:val="00805100"/>
    <w:rsid w:val="00806280"/>
    <w:rsid w:val="00806D64"/>
    <w:rsid w:val="00807D88"/>
    <w:rsid w:val="00810254"/>
    <w:rsid w:val="00814C4B"/>
    <w:rsid w:val="00816FA3"/>
    <w:rsid w:val="008179EA"/>
    <w:rsid w:val="00825334"/>
    <w:rsid w:val="0082631E"/>
    <w:rsid w:val="00831580"/>
    <w:rsid w:val="00831665"/>
    <w:rsid w:val="008317C6"/>
    <w:rsid w:val="00831DDA"/>
    <w:rsid w:val="00834BC4"/>
    <w:rsid w:val="00835C07"/>
    <w:rsid w:val="008366F6"/>
    <w:rsid w:val="00840142"/>
    <w:rsid w:val="00841071"/>
    <w:rsid w:val="00842091"/>
    <w:rsid w:val="00842583"/>
    <w:rsid w:val="00844898"/>
    <w:rsid w:val="00845C4D"/>
    <w:rsid w:val="008479CF"/>
    <w:rsid w:val="008504F5"/>
    <w:rsid w:val="00851822"/>
    <w:rsid w:val="00854A59"/>
    <w:rsid w:val="00856D9A"/>
    <w:rsid w:val="00860690"/>
    <w:rsid w:val="00863168"/>
    <w:rsid w:val="008631EF"/>
    <w:rsid w:val="00866DDA"/>
    <w:rsid w:val="0086780A"/>
    <w:rsid w:val="00870A4C"/>
    <w:rsid w:val="00870E2F"/>
    <w:rsid w:val="0087211C"/>
    <w:rsid w:val="00872369"/>
    <w:rsid w:val="00874F1D"/>
    <w:rsid w:val="00875A2F"/>
    <w:rsid w:val="00880689"/>
    <w:rsid w:val="00880CD4"/>
    <w:rsid w:val="00881E11"/>
    <w:rsid w:val="00882868"/>
    <w:rsid w:val="00885021"/>
    <w:rsid w:val="0088705B"/>
    <w:rsid w:val="008873F4"/>
    <w:rsid w:val="00894253"/>
    <w:rsid w:val="0089524A"/>
    <w:rsid w:val="00896433"/>
    <w:rsid w:val="0089673C"/>
    <w:rsid w:val="00896836"/>
    <w:rsid w:val="00896AE3"/>
    <w:rsid w:val="00896B8D"/>
    <w:rsid w:val="008A191A"/>
    <w:rsid w:val="008A1C48"/>
    <w:rsid w:val="008A2083"/>
    <w:rsid w:val="008A365A"/>
    <w:rsid w:val="008A3C81"/>
    <w:rsid w:val="008A4F1C"/>
    <w:rsid w:val="008B2E75"/>
    <w:rsid w:val="008B428B"/>
    <w:rsid w:val="008B5525"/>
    <w:rsid w:val="008B5F0A"/>
    <w:rsid w:val="008C0CC7"/>
    <w:rsid w:val="008C2429"/>
    <w:rsid w:val="008C32E1"/>
    <w:rsid w:val="008C3473"/>
    <w:rsid w:val="008C52BC"/>
    <w:rsid w:val="008C5716"/>
    <w:rsid w:val="008C5B57"/>
    <w:rsid w:val="008D0DB8"/>
    <w:rsid w:val="008D152C"/>
    <w:rsid w:val="008D384B"/>
    <w:rsid w:val="008D4CA6"/>
    <w:rsid w:val="008D512A"/>
    <w:rsid w:val="008D6B2D"/>
    <w:rsid w:val="008E0C9A"/>
    <w:rsid w:val="008E1CBA"/>
    <w:rsid w:val="008E23B0"/>
    <w:rsid w:val="008E470B"/>
    <w:rsid w:val="008E4810"/>
    <w:rsid w:val="008E651E"/>
    <w:rsid w:val="008F0875"/>
    <w:rsid w:val="008F2266"/>
    <w:rsid w:val="008F330F"/>
    <w:rsid w:val="008F3411"/>
    <w:rsid w:val="008F42B4"/>
    <w:rsid w:val="008F50E9"/>
    <w:rsid w:val="008F608B"/>
    <w:rsid w:val="008F6E2B"/>
    <w:rsid w:val="008F7BBD"/>
    <w:rsid w:val="009000D4"/>
    <w:rsid w:val="00900627"/>
    <w:rsid w:val="009026C6"/>
    <w:rsid w:val="00902EBF"/>
    <w:rsid w:val="00903B30"/>
    <w:rsid w:val="009051A3"/>
    <w:rsid w:val="00910ECA"/>
    <w:rsid w:val="0091168D"/>
    <w:rsid w:val="00911DD8"/>
    <w:rsid w:val="0091246C"/>
    <w:rsid w:val="00912A07"/>
    <w:rsid w:val="00914BC1"/>
    <w:rsid w:val="0091523B"/>
    <w:rsid w:val="00915C56"/>
    <w:rsid w:val="00916816"/>
    <w:rsid w:val="009175CF"/>
    <w:rsid w:val="00920EDE"/>
    <w:rsid w:val="009253CB"/>
    <w:rsid w:val="00925E8C"/>
    <w:rsid w:val="00927AFD"/>
    <w:rsid w:val="00930D49"/>
    <w:rsid w:val="00932D5C"/>
    <w:rsid w:val="00934533"/>
    <w:rsid w:val="00934E7C"/>
    <w:rsid w:val="009354F8"/>
    <w:rsid w:val="0094211B"/>
    <w:rsid w:val="00944548"/>
    <w:rsid w:val="0094526B"/>
    <w:rsid w:val="0094576D"/>
    <w:rsid w:val="00945AA2"/>
    <w:rsid w:val="00945C3A"/>
    <w:rsid w:val="00946381"/>
    <w:rsid w:val="00947FDE"/>
    <w:rsid w:val="009503C4"/>
    <w:rsid w:val="00951DEC"/>
    <w:rsid w:val="00952035"/>
    <w:rsid w:val="00955782"/>
    <w:rsid w:val="00957418"/>
    <w:rsid w:val="00957893"/>
    <w:rsid w:val="00960344"/>
    <w:rsid w:val="009603FA"/>
    <w:rsid w:val="0096143A"/>
    <w:rsid w:val="00962272"/>
    <w:rsid w:val="00962DFF"/>
    <w:rsid w:val="00962ED1"/>
    <w:rsid w:val="00963820"/>
    <w:rsid w:val="00963EDE"/>
    <w:rsid w:val="0096452B"/>
    <w:rsid w:val="00964755"/>
    <w:rsid w:val="00964B57"/>
    <w:rsid w:val="009651EB"/>
    <w:rsid w:val="009653E6"/>
    <w:rsid w:val="00971658"/>
    <w:rsid w:val="00971F75"/>
    <w:rsid w:val="00973F7B"/>
    <w:rsid w:val="0097436A"/>
    <w:rsid w:val="0097443C"/>
    <w:rsid w:val="00977AF7"/>
    <w:rsid w:val="00980B55"/>
    <w:rsid w:val="00980D06"/>
    <w:rsid w:val="00981F27"/>
    <w:rsid w:val="00982068"/>
    <w:rsid w:val="0098349A"/>
    <w:rsid w:val="0098379F"/>
    <w:rsid w:val="00983D8C"/>
    <w:rsid w:val="0098431B"/>
    <w:rsid w:val="00984F90"/>
    <w:rsid w:val="009866AD"/>
    <w:rsid w:val="00987202"/>
    <w:rsid w:val="00987F92"/>
    <w:rsid w:val="00992587"/>
    <w:rsid w:val="00992A2A"/>
    <w:rsid w:val="009939F2"/>
    <w:rsid w:val="00993C9B"/>
    <w:rsid w:val="009945AD"/>
    <w:rsid w:val="00994DD6"/>
    <w:rsid w:val="009967EC"/>
    <w:rsid w:val="0099739A"/>
    <w:rsid w:val="009A0D71"/>
    <w:rsid w:val="009A0E17"/>
    <w:rsid w:val="009A1A3D"/>
    <w:rsid w:val="009A2EE7"/>
    <w:rsid w:val="009A49FB"/>
    <w:rsid w:val="009A5F98"/>
    <w:rsid w:val="009A71BD"/>
    <w:rsid w:val="009B167C"/>
    <w:rsid w:val="009B171E"/>
    <w:rsid w:val="009B1AE1"/>
    <w:rsid w:val="009B3698"/>
    <w:rsid w:val="009B438E"/>
    <w:rsid w:val="009B5C96"/>
    <w:rsid w:val="009B5DA7"/>
    <w:rsid w:val="009C07C4"/>
    <w:rsid w:val="009C0D2B"/>
    <w:rsid w:val="009C21E2"/>
    <w:rsid w:val="009C2C77"/>
    <w:rsid w:val="009C32E2"/>
    <w:rsid w:val="009C525A"/>
    <w:rsid w:val="009C630D"/>
    <w:rsid w:val="009C6B23"/>
    <w:rsid w:val="009C6CA9"/>
    <w:rsid w:val="009C7999"/>
    <w:rsid w:val="009D0FD7"/>
    <w:rsid w:val="009D1FE4"/>
    <w:rsid w:val="009D2FCF"/>
    <w:rsid w:val="009D798F"/>
    <w:rsid w:val="009E4831"/>
    <w:rsid w:val="009E504A"/>
    <w:rsid w:val="009E5334"/>
    <w:rsid w:val="009E6687"/>
    <w:rsid w:val="009E6778"/>
    <w:rsid w:val="009F05A6"/>
    <w:rsid w:val="009F05B7"/>
    <w:rsid w:val="009F0A6C"/>
    <w:rsid w:val="009F12CA"/>
    <w:rsid w:val="009F489E"/>
    <w:rsid w:val="009F64B8"/>
    <w:rsid w:val="009F6F85"/>
    <w:rsid w:val="009F75CB"/>
    <w:rsid w:val="00A018B1"/>
    <w:rsid w:val="00A022F7"/>
    <w:rsid w:val="00A03A42"/>
    <w:rsid w:val="00A03AF9"/>
    <w:rsid w:val="00A042E9"/>
    <w:rsid w:val="00A04F9A"/>
    <w:rsid w:val="00A051EB"/>
    <w:rsid w:val="00A06971"/>
    <w:rsid w:val="00A06F72"/>
    <w:rsid w:val="00A1076F"/>
    <w:rsid w:val="00A14A1F"/>
    <w:rsid w:val="00A15078"/>
    <w:rsid w:val="00A16780"/>
    <w:rsid w:val="00A21673"/>
    <w:rsid w:val="00A27F38"/>
    <w:rsid w:val="00A3302A"/>
    <w:rsid w:val="00A34100"/>
    <w:rsid w:val="00A3439A"/>
    <w:rsid w:val="00A34529"/>
    <w:rsid w:val="00A425FF"/>
    <w:rsid w:val="00A42F26"/>
    <w:rsid w:val="00A43237"/>
    <w:rsid w:val="00A4492F"/>
    <w:rsid w:val="00A46CFB"/>
    <w:rsid w:val="00A478DF"/>
    <w:rsid w:val="00A5049B"/>
    <w:rsid w:val="00A5145E"/>
    <w:rsid w:val="00A51A6D"/>
    <w:rsid w:val="00A52977"/>
    <w:rsid w:val="00A53215"/>
    <w:rsid w:val="00A558E7"/>
    <w:rsid w:val="00A55A15"/>
    <w:rsid w:val="00A55C00"/>
    <w:rsid w:val="00A55E95"/>
    <w:rsid w:val="00A561E6"/>
    <w:rsid w:val="00A562D5"/>
    <w:rsid w:val="00A608E1"/>
    <w:rsid w:val="00A615CD"/>
    <w:rsid w:val="00A6384D"/>
    <w:rsid w:val="00A63AA7"/>
    <w:rsid w:val="00A64327"/>
    <w:rsid w:val="00A66A2F"/>
    <w:rsid w:val="00A679FC"/>
    <w:rsid w:val="00A67FE8"/>
    <w:rsid w:val="00A72EED"/>
    <w:rsid w:val="00A73E41"/>
    <w:rsid w:val="00A76B93"/>
    <w:rsid w:val="00A813A8"/>
    <w:rsid w:val="00A824FE"/>
    <w:rsid w:val="00A82835"/>
    <w:rsid w:val="00A83355"/>
    <w:rsid w:val="00A83BE4"/>
    <w:rsid w:val="00A901DA"/>
    <w:rsid w:val="00A93CCF"/>
    <w:rsid w:val="00A94AEB"/>
    <w:rsid w:val="00A951A2"/>
    <w:rsid w:val="00A95A23"/>
    <w:rsid w:val="00A96DDD"/>
    <w:rsid w:val="00AA41E2"/>
    <w:rsid w:val="00AA4752"/>
    <w:rsid w:val="00AA48DE"/>
    <w:rsid w:val="00AA4919"/>
    <w:rsid w:val="00AA49EA"/>
    <w:rsid w:val="00AA4AB9"/>
    <w:rsid w:val="00AA507D"/>
    <w:rsid w:val="00AB01E6"/>
    <w:rsid w:val="00AB44EA"/>
    <w:rsid w:val="00AB6CE2"/>
    <w:rsid w:val="00AC09D3"/>
    <w:rsid w:val="00AC1A26"/>
    <w:rsid w:val="00AC29E2"/>
    <w:rsid w:val="00AC34F3"/>
    <w:rsid w:val="00AC411F"/>
    <w:rsid w:val="00AC54F2"/>
    <w:rsid w:val="00AC562F"/>
    <w:rsid w:val="00AD1E56"/>
    <w:rsid w:val="00AD21D4"/>
    <w:rsid w:val="00AD330F"/>
    <w:rsid w:val="00AD336E"/>
    <w:rsid w:val="00AD77B8"/>
    <w:rsid w:val="00AE0DB0"/>
    <w:rsid w:val="00AE163C"/>
    <w:rsid w:val="00AE239B"/>
    <w:rsid w:val="00AE29F6"/>
    <w:rsid w:val="00AE3961"/>
    <w:rsid w:val="00AE45CF"/>
    <w:rsid w:val="00AE4821"/>
    <w:rsid w:val="00AE580B"/>
    <w:rsid w:val="00AE6277"/>
    <w:rsid w:val="00AE62CA"/>
    <w:rsid w:val="00AE709F"/>
    <w:rsid w:val="00AE733A"/>
    <w:rsid w:val="00AE75F2"/>
    <w:rsid w:val="00AF0E38"/>
    <w:rsid w:val="00AF1625"/>
    <w:rsid w:val="00AF199F"/>
    <w:rsid w:val="00AF1E59"/>
    <w:rsid w:val="00AF3D37"/>
    <w:rsid w:val="00AF4301"/>
    <w:rsid w:val="00B00535"/>
    <w:rsid w:val="00B00C4B"/>
    <w:rsid w:val="00B01E33"/>
    <w:rsid w:val="00B052EE"/>
    <w:rsid w:val="00B060F0"/>
    <w:rsid w:val="00B0675F"/>
    <w:rsid w:val="00B06EB0"/>
    <w:rsid w:val="00B079E5"/>
    <w:rsid w:val="00B07B3F"/>
    <w:rsid w:val="00B115C2"/>
    <w:rsid w:val="00B125D2"/>
    <w:rsid w:val="00B17325"/>
    <w:rsid w:val="00B20DD9"/>
    <w:rsid w:val="00B216C9"/>
    <w:rsid w:val="00B22059"/>
    <w:rsid w:val="00B263DE"/>
    <w:rsid w:val="00B2686B"/>
    <w:rsid w:val="00B27213"/>
    <w:rsid w:val="00B2773D"/>
    <w:rsid w:val="00B308A6"/>
    <w:rsid w:val="00B31474"/>
    <w:rsid w:val="00B32A86"/>
    <w:rsid w:val="00B33911"/>
    <w:rsid w:val="00B35516"/>
    <w:rsid w:val="00B42032"/>
    <w:rsid w:val="00B453F8"/>
    <w:rsid w:val="00B45EF1"/>
    <w:rsid w:val="00B46C7E"/>
    <w:rsid w:val="00B535F9"/>
    <w:rsid w:val="00B53C81"/>
    <w:rsid w:val="00B53E01"/>
    <w:rsid w:val="00B5475A"/>
    <w:rsid w:val="00B54A0D"/>
    <w:rsid w:val="00B571FE"/>
    <w:rsid w:val="00B57D3D"/>
    <w:rsid w:val="00B62617"/>
    <w:rsid w:val="00B6312C"/>
    <w:rsid w:val="00B63B32"/>
    <w:rsid w:val="00B642EA"/>
    <w:rsid w:val="00B6486F"/>
    <w:rsid w:val="00B64EB6"/>
    <w:rsid w:val="00B65462"/>
    <w:rsid w:val="00B666E1"/>
    <w:rsid w:val="00B66AB9"/>
    <w:rsid w:val="00B67121"/>
    <w:rsid w:val="00B80649"/>
    <w:rsid w:val="00B816DB"/>
    <w:rsid w:val="00B83458"/>
    <w:rsid w:val="00B83836"/>
    <w:rsid w:val="00B83E89"/>
    <w:rsid w:val="00B84113"/>
    <w:rsid w:val="00B84B59"/>
    <w:rsid w:val="00B86FA5"/>
    <w:rsid w:val="00B916C0"/>
    <w:rsid w:val="00B96A98"/>
    <w:rsid w:val="00BA1D48"/>
    <w:rsid w:val="00BA1DF4"/>
    <w:rsid w:val="00BA2CFA"/>
    <w:rsid w:val="00BA67A0"/>
    <w:rsid w:val="00BA78E0"/>
    <w:rsid w:val="00BB0BCE"/>
    <w:rsid w:val="00BB2009"/>
    <w:rsid w:val="00BB2CB9"/>
    <w:rsid w:val="00BB426A"/>
    <w:rsid w:val="00BB747E"/>
    <w:rsid w:val="00BB74B5"/>
    <w:rsid w:val="00BC2F03"/>
    <w:rsid w:val="00BC60A8"/>
    <w:rsid w:val="00BC75DB"/>
    <w:rsid w:val="00BC7B81"/>
    <w:rsid w:val="00BD0624"/>
    <w:rsid w:val="00BD50FC"/>
    <w:rsid w:val="00BD5932"/>
    <w:rsid w:val="00BD6711"/>
    <w:rsid w:val="00BD6763"/>
    <w:rsid w:val="00BD6AFC"/>
    <w:rsid w:val="00BD6F15"/>
    <w:rsid w:val="00BD77D4"/>
    <w:rsid w:val="00BE007B"/>
    <w:rsid w:val="00BE086D"/>
    <w:rsid w:val="00BE0A08"/>
    <w:rsid w:val="00BE3CF2"/>
    <w:rsid w:val="00BE4DDF"/>
    <w:rsid w:val="00BF1330"/>
    <w:rsid w:val="00BF31AB"/>
    <w:rsid w:val="00BF40A7"/>
    <w:rsid w:val="00BF721A"/>
    <w:rsid w:val="00BF776D"/>
    <w:rsid w:val="00BF7C3B"/>
    <w:rsid w:val="00C00464"/>
    <w:rsid w:val="00C00FD9"/>
    <w:rsid w:val="00C0128D"/>
    <w:rsid w:val="00C02165"/>
    <w:rsid w:val="00C027AD"/>
    <w:rsid w:val="00C02D76"/>
    <w:rsid w:val="00C03334"/>
    <w:rsid w:val="00C037F6"/>
    <w:rsid w:val="00C045F1"/>
    <w:rsid w:val="00C0646D"/>
    <w:rsid w:val="00C06EF4"/>
    <w:rsid w:val="00C10631"/>
    <w:rsid w:val="00C107C1"/>
    <w:rsid w:val="00C10923"/>
    <w:rsid w:val="00C14D08"/>
    <w:rsid w:val="00C15FA2"/>
    <w:rsid w:val="00C1793F"/>
    <w:rsid w:val="00C21DDF"/>
    <w:rsid w:val="00C22333"/>
    <w:rsid w:val="00C26E23"/>
    <w:rsid w:val="00C279BA"/>
    <w:rsid w:val="00C27ED8"/>
    <w:rsid w:val="00C30CC5"/>
    <w:rsid w:val="00C31241"/>
    <w:rsid w:val="00C327C6"/>
    <w:rsid w:val="00C33A79"/>
    <w:rsid w:val="00C41513"/>
    <w:rsid w:val="00C4698B"/>
    <w:rsid w:val="00C504B6"/>
    <w:rsid w:val="00C5287D"/>
    <w:rsid w:val="00C54DC6"/>
    <w:rsid w:val="00C566FD"/>
    <w:rsid w:val="00C569AF"/>
    <w:rsid w:val="00C62331"/>
    <w:rsid w:val="00C63F33"/>
    <w:rsid w:val="00C643FA"/>
    <w:rsid w:val="00C718DD"/>
    <w:rsid w:val="00C71FD8"/>
    <w:rsid w:val="00C7257B"/>
    <w:rsid w:val="00C7348A"/>
    <w:rsid w:val="00C75B09"/>
    <w:rsid w:val="00C75F41"/>
    <w:rsid w:val="00C821A8"/>
    <w:rsid w:val="00C83123"/>
    <w:rsid w:val="00C85788"/>
    <w:rsid w:val="00C857F7"/>
    <w:rsid w:val="00C85AC8"/>
    <w:rsid w:val="00C8645E"/>
    <w:rsid w:val="00C90739"/>
    <w:rsid w:val="00C91A9D"/>
    <w:rsid w:val="00C9506C"/>
    <w:rsid w:val="00C95CB1"/>
    <w:rsid w:val="00C95E8B"/>
    <w:rsid w:val="00C96070"/>
    <w:rsid w:val="00C97F87"/>
    <w:rsid w:val="00C97FC9"/>
    <w:rsid w:val="00CA128D"/>
    <w:rsid w:val="00CA202C"/>
    <w:rsid w:val="00CA24A7"/>
    <w:rsid w:val="00CA4604"/>
    <w:rsid w:val="00CA4B44"/>
    <w:rsid w:val="00CA4E64"/>
    <w:rsid w:val="00CA741A"/>
    <w:rsid w:val="00CB1778"/>
    <w:rsid w:val="00CB18EF"/>
    <w:rsid w:val="00CB30E6"/>
    <w:rsid w:val="00CB5A00"/>
    <w:rsid w:val="00CB77E5"/>
    <w:rsid w:val="00CC332B"/>
    <w:rsid w:val="00CC349F"/>
    <w:rsid w:val="00CC34EE"/>
    <w:rsid w:val="00CC3F44"/>
    <w:rsid w:val="00CC48DF"/>
    <w:rsid w:val="00CC7ED7"/>
    <w:rsid w:val="00CD34C1"/>
    <w:rsid w:val="00CD484B"/>
    <w:rsid w:val="00CD5167"/>
    <w:rsid w:val="00CD5348"/>
    <w:rsid w:val="00CD7B7B"/>
    <w:rsid w:val="00CE02E1"/>
    <w:rsid w:val="00CE1A93"/>
    <w:rsid w:val="00CE2625"/>
    <w:rsid w:val="00CE2DDE"/>
    <w:rsid w:val="00CE644B"/>
    <w:rsid w:val="00CE666D"/>
    <w:rsid w:val="00CE750F"/>
    <w:rsid w:val="00CE771A"/>
    <w:rsid w:val="00CE7A14"/>
    <w:rsid w:val="00CF04F3"/>
    <w:rsid w:val="00CF095E"/>
    <w:rsid w:val="00CF0E8D"/>
    <w:rsid w:val="00CF1462"/>
    <w:rsid w:val="00CF2128"/>
    <w:rsid w:val="00CF2BE9"/>
    <w:rsid w:val="00D00197"/>
    <w:rsid w:val="00D0038A"/>
    <w:rsid w:val="00D0164B"/>
    <w:rsid w:val="00D01F24"/>
    <w:rsid w:val="00D02489"/>
    <w:rsid w:val="00D044F2"/>
    <w:rsid w:val="00D05364"/>
    <w:rsid w:val="00D05B7A"/>
    <w:rsid w:val="00D10620"/>
    <w:rsid w:val="00D124AA"/>
    <w:rsid w:val="00D130C7"/>
    <w:rsid w:val="00D1427D"/>
    <w:rsid w:val="00D17D3A"/>
    <w:rsid w:val="00D204D8"/>
    <w:rsid w:val="00D2078D"/>
    <w:rsid w:val="00D20ED6"/>
    <w:rsid w:val="00D21DE7"/>
    <w:rsid w:val="00D22619"/>
    <w:rsid w:val="00D22AD2"/>
    <w:rsid w:val="00D22FF4"/>
    <w:rsid w:val="00D267FD"/>
    <w:rsid w:val="00D27704"/>
    <w:rsid w:val="00D307AF"/>
    <w:rsid w:val="00D31660"/>
    <w:rsid w:val="00D31FD8"/>
    <w:rsid w:val="00D3245A"/>
    <w:rsid w:val="00D347C8"/>
    <w:rsid w:val="00D41D7B"/>
    <w:rsid w:val="00D42745"/>
    <w:rsid w:val="00D42FFD"/>
    <w:rsid w:val="00D446E8"/>
    <w:rsid w:val="00D44ADC"/>
    <w:rsid w:val="00D44EDE"/>
    <w:rsid w:val="00D465DD"/>
    <w:rsid w:val="00D5017F"/>
    <w:rsid w:val="00D501E6"/>
    <w:rsid w:val="00D527F2"/>
    <w:rsid w:val="00D53537"/>
    <w:rsid w:val="00D54C7F"/>
    <w:rsid w:val="00D5582E"/>
    <w:rsid w:val="00D603F8"/>
    <w:rsid w:val="00D60F99"/>
    <w:rsid w:val="00D614A0"/>
    <w:rsid w:val="00D62402"/>
    <w:rsid w:val="00D630F1"/>
    <w:rsid w:val="00D6349A"/>
    <w:rsid w:val="00D64E5E"/>
    <w:rsid w:val="00D65082"/>
    <w:rsid w:val="00D65B58"/>
    <w:rsid w:val="00D72302"/>
    <w:rsid w:val="00D72711"/>
    <w:rsid w:val="00D73064"/>
    <w:rsid w:val="00D7328F"/>
    <w:rsid w:val="00D7370A"/>
    <w:rsid w:val="00D75BAA"/>
    <w:rsid w:val="00D779D1"/>
    <w:rsid w:val="00D77FB1"/>
    <w:rsid w:val="00D8020D"/>
    <w:rsid w:val="00D83646"/>
    <w:rsid w:val="00D83AF6"/>
    <w:rsid w:val="00D84244"/>
    <w:rsid w:val="00D8626C"/>
    <w:rsid w:val="00D8661F"/>
    <w:rsid w:val="00D87DBB"/>
    <w:rsid w:val="00D92A1D"/>
    <w:rsid w:val="00D931C5"/>
    <w:rsid w:val="00D9381D"/>
    <w:rsid w:val="00D93830"/>
    <w:rsid w:val="00D950C1"/>
    <w:rsid w:val="00D95E1D"/>
    <w:rsid w:val="00DA0418"/>
    <w:rsid w:val="00DA077F"/>
    <w:rsid w:val="00DA0C0B"/>
    <w:rsid w:val="00DA1E34"/>
    <w:rsid w:val="00DA20C1"/>
    <w:rsid w:val="00DA2423"/>
    <w:rsid w:val="00DA2F87"/>
    <w:rsid w:val="00DA40BE"/>
    <w:rsid w:val="00DA4890"/>
    <w:rsid w:val="00DA4AF9"/>
    <w:rsid w:val="00DB0943"/>
    <w:rsid w:val="00DB0FAB"/>
    <w:rsid w:val="00DB30FB"/>
    <w:rsid w:val="00DB3F3E"/>
    <w:rsid w:val="00DB57AC"/>
    <w:rsid w:val="00DB7446"/>
    <w:rsid w:val="00DC0AE0"/>
    <w:rsid w:val="00DC16BC"/>
    <w:rsid w:val="00DC4EB8"/>
    <w:rsid w:val="00DC58AB"/>
    <w:rsid w:val="00DC63F2"/>
    <w:rsid w:val="00DC672A"/>
    <w:rsid w:val="00DC75F7"/>
    <w:rsid w:val="00DD1A24"/>
    <w:rsid w:val="00DD3743"/>
    <w:rsid w:val="00DD5B8C"/>
    <w:rsid w:val="00DD768E"/>
    <w:rsid w:val="00DE0237"/>
    <w:rsid w:val="00DE0768"/>
    <w:rsid w:val="00DE2C6F"/>
    <w:rsid w:val="00DE538B"/>
    <w:rsid w:val="00DE66D1"/>
    <w:rsid w:val="00DF0D56"/>
    <w:rsid w:val="00DF104E"/>
    <w:rsid w:val="00DF3A9F"/>
    <w:rsid w:val="00DF3B16"/>
    <w:rsid w:val="00DF4105"/>
    <w:rsid w:val="00DF49DB"/>
    <w:rsid w:val="00DF4CDC"/>
    <w:rsid w:val="00DF5757"/>
    <w:rsid w:val="00DF5A63"/>
    <w:rsid w:val="00DF5EED"/>
    <w:rsid w:val="00DF6F40"/>
    <w:rsid w:val="00E01636"/>
    <w:rsid w:val="00E039D4"/>
    <w:rsid w:val="00E03BA2"/>
    <w:rsid w:val="00E0405E"/>
    <w:rsid w:val="00E04C0F"/>
    <w:rsid w:val="00E074D3"/>
    <w:rsid w:val="00E079F4"/>
    <w:rsid w:val="00E07D69"/>
    <w:rsid w:val="00E16A8C"/>
    <w:rsid w:val="00E172ED"/>
    <w:rsid w:val="00E1796D"/>
    <w:rsid w:val="00E27516"/>
    <w:rsid w:val="00E3033C"/>
    <w:rsid w:val="00E30677"/>
    <w:rsid w:val="00E3216B"/>
    <w:rsid w:val="00E3243A"/>
    <w:rsid w:val="00E3359D"/>
    <w:rsid w:val="00E341AD"/>
    <w:rsid w:val="00E3517D"/>
    <w:rsid w:val="00E3520D"/>
    <w:rsid w:val="00E364D1"/>
    <w:rsid w:val="00E3672A"/>
    <w:rsid w:val="00E36735"/>
    <w:rsid w:val="00E37DAA"/>
    <w:rsid w:val="00E37E47"/>
    <w:rsid w:val="00E442FB"/>
    <w:rsid w:val="00E4564B"/>
    <w:rsid w:val="00E458E1"/>
    <w:rsid w:val="00E51832"/>
    <w:rsid w:val="00E520F1"/>
    <w:rsid w:val="00E52CBB"/>
    <w:rsid w:val="00E536D1"/>
    <w:rsid w:val="00E53ABC"/>
    <w:rsid w:val="00E54D22"/>
    <w:rsid w:val="00E556D9"/>
    <w:rsid w:val="00E55EDC"/>
    <w:rsid w:val="00E562BF"/>
    <w:rsid w:val="00E64525"/>
    <w:rsid w:val="00E64819"/>
    <w:rsid w:val="00E64A4E"/>
    <w:rsid w:val="00E66128"/>
    <w:rsid w:val="00E67141"/>
    <w:rsid w:val="00E705AE"/>
    <w:rsid w:val="00E712DD"/>
    <w:rsid w:val="00E715F0"/>
    <w:rsid w:val="00E71634"/>
    <w:rsid w:val="00E71713"/>
    <w:rsid w:val="00E736B3"/>
    <w:rsid w:val="00E73E8F"/>
    <w:rsid w:val="00E742C2"/>
    <w:rsid w:val="00E742E5"/>
    <w:rsid w:val="00E75B75"/>
    <w:rsid w:val="00E760E7"/>
    <w:rsid w:val="00E76B3C"/>
    <w:rsid w:val="00E81B3C"/>
    <w:rsid w:val="00E839C1"/>
    <w:rsid w:val="00E83F67"/>
    <w:rsid w:val="00E848FE"/>
    <w:rsid w:val="00E87EA8"/>
    <w:rsid w:val="00E90DBD"/>
    <w:rsid w:val="00E90F3E"/>
    <w:rsid w:val="00E91615"/>
    <w:rsid w:val="00E926F9"/>
    <w:rsid w:val="00E936D4"/>
    <w:rsid w:val="00E9593E"/>
    <w:rsid w:val="00E96286"/>
    <w:rsid w:val="00EA1215"/>
    <w:rsid w:val="00EA2313"/>
    <w:rsid w:val="00EA3D1A"/>
    <w:rsid w:val="00EA4146"/>
    <w:rsid w:val="00EA43EF"/>
    <w:rsid w:val="00EA5225"/>
    <w:rsid w:val="00EA52C4"/>
    <w:rsid w:val="00EA7259"/>
    <w:rsid w:val="00EB06EB"/>
    <w:rsid w:val="00EB0E1D"/>
    <w:rsid w:val="00EB239C"/>
    <w:rsid w:val="00EB3EB1"/>
    <w:rsid w:val="00EB6997"/>
    <w:rsid w:val="00EC005A"/>
    <w:rsid w:val="00EC0C24"/>
    <w:rsid w:val="00EC1E20"/>
    <w:rsid w:val="00EC6912"/>
    <w:rsid w:val="00EC775E"/>
    <w:rsid w:val="00EC7D00"/>
    <w:rsid w:val="00ED27C5"/>
    <w:rsid w:val="00ED2F86"/>
    <w:rsid w:val="00ED4AA5"/>
    <w:rsid w:val="00ED6FC4"/>
    <w:rsid w:val="00ED7DF3"/>
    <w:rsid w:val="00EE2658"/>
    <w:rsid w:val="00EE3E6D"/>
    <w:rsid w:val="00EE5995"/>
    <w:rsid w:val="00EE6FFE"/>
    <w:rsid w:val="00EE78FC"/>
    <w:rsid w:val="00EF1630"/>
    <w:rsid w:val="00EF29F7"/>
    <w:rsid w:val="00EF2BB6"/>
    <w:rsid w:val="00EF40CA"/>
    <w:rsid w:val="00EF5C25"/>
    <w:rsid w:val="00EF5D27"/>
    <w:rsid w:val="00EF6DA6"/>
    <w:rsid w:val="00EF7419"/>
    <w:rsid w:val="00EF7CE8"/>
    <w:rsid w:val="00F00867"/>
    <w:rsid w:val="00F00A24"/>
    <w:rsid w:val="00F00A68"/>
    <w:rsid w:val="00F12314"/>
    <w:rsid w:val="00F12469"/>
    <w:rsid w:val="00F129A2"/>
    <w:rsid w:val="00F1341B"/>
    <w:rsid w:val="00F146C3"/>
    <w:rsid w:val="00F15302"/>
    <w:rsid w:val="00F15385"/>
    <w:rsid w:val="00F165CE"/>
    <w:rsid w:val="00F21346"/>
    <w:rsid w:val="00F2170F"/>
    <w:rsid w:val="00F22203"/>
    <w:rsid w:val="00F227A5"/>
    <w:rsid w:val="00F237E6"/>
    <w:rsid w:val="00F23A58"/>
    <w:rsid w:val="00F244A7"/>
    <w:rsid w:val="00F259E2"/>
    <w:rsid w:val="00F25A2C"/>
    <w:rsid w:val="00F27342"/>
    <w:rsid w:val="00F322E4"/>
    <w:rsid w:val="00F345E6"/>
    <w:rsid w:val="00F37A8D"/>
    <w:rsid w:val="00F401BE"/>
    <w:rsid w:val="00F42CAF"/>
    <w:rsid w:val="00F42F27"/>
    <w:rsid w:val="00F4395F"/>
    <w:rsid w:val="00F4441C"/>
    <w:rsid w:val="00F5201D"/>
    <w:rsid w:val="00F5487A"/>
    <w:rsid w:val="00F54D6A"/>
    <w:rsid w:val="00F56893"/>
    <w:rsid w:val="00F56A1A"/>
    <w:rsid w:val="00F60C89"/>
    <w:rsid w:val="00F62D45"/>
    <w:rsid w:val="00F63217"/>
    <w:rsid w:val="00F71B9C"/>
    <w:rsid w:val="00F72229"/>
    <w:rsid w:val="00F733BF"/>
    <w:rsid w:val="00F73847"/>
    <w:rsid w:val="00F74DDF"/>
    <w:rsid w:val="00F77CB3"/>
    <w:rsid w:val="00F80959"/>
    <w:rsid w:val="00F82DC3"/>
    <w:rsid w:val="00F87379"/>
    <w:rsid w:val="00F874E4"/>
    <w:rsid w:val="00F90E8E"/>
    <w:rsid w:val="00F91EE7"/>
    <w:rsid w:val="00F91FF2"/>
    <w:rsid w:val="00F93013"/>
    <w:rsid w:val="00F93D7F"/>
    <w:rsid w:val="00F962AE"/>
    <w:rsid w:val="00F9708F"/>
    <w:rsid w:val="00FA031F"/>
    <w:rsid w:val="00FA03EF"/>
    <w:rsid w:val="00FA2322"/>
    <w:rsid w:val="00FA339B"/>
    <w:rsid w:val="00FA491F"/>
    <w:rsid w:val="00FA5C03"/>
    <w:rsid w:val="00FA702B"/>
    <w:rsid w:val="00FA76D7"/>
    <w:rsid w:val="00FA7A0D"/>
    <w:rsid w:val="00FB2207"/>
    <w:rsid w:val="00FB500B"/>
    <w:rsid w:val="00FC0BB9"/>
    <w:rsid w:val="00FC1272"/>
    <w:rsid w:val="00FC15FB"/>
    <w:rsid w:val="00FC23CF"/>
    <w:rsid w:val="00FC27F2"/>
    <w:rsid w:val="00FC40F9"/>
    <w:rsid w:val="00FC524A"/>
    <w:rsid w:val="00FD0F1C"/>
    <w:rsid w:val="00FD4849"/>
    <w:rsid w:val="00FD752F"/>
    <w:rsid w:val="00FD75DA"/>
    <w:rsid w:val="00FE0D28"/>
    <w:rsid w:val="00FE132B"/>
    <w:rsid w:val="00FE3F4F"/>
    <w:rsid w:val="00FE6805"/>
    <w:rsid w:val="00FF0FEE"/>
    <w:rsid w:val="00FF2877"/>
    <w:rsid w:val="00FF2C44"/>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74455"/>
  <w14:defaultImageDpi w14:val="96"/>
  <w15:docId w15:val="{B6771641-2ADF-4A1C-9A95-9BEC1D62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1E"/>
    <w:pPr>
      <w:suppressAutoHyphens/>
      <w:spacing w:before="160" w:after="160" w:line="360" w:lineRule="auto"/>
    </w:pPr>
  </w:style>
  <w:style w:type="paragraph" w:styleId="Heading1">
    <w:name w:val="heading 1"/>
    <w:basedOn w:val="Normal"/>
    <w:next w:val="Normal"/>
    <w:link w:val="Heading1Char"/>
    <w:uiPriority w:val="99"/>
    <w:qFormat/>
    <w:rsid w:val="00FF0FEE"/>
    <w:pPr>
      <w:keepNext/>
      <w:spacing w:before="240" w:after="60" w:line="240" w:lineRule="auto"/>
      <w:outlineLvl w:val="0"/>
    </w:pPr>
    <w:rPr>
      <w:b/>
      <w:bCs/>
      <w:kern w:val="32"/>
      <w:sz w:val="48"/>
      <w:szCs w:val="32"/>
    </w:rPr>
  </w:style>
  <w:style w:type="paragraph" w:styleId="Heading2">
    <w:name w:val="heading 2"/>
    <w:basedOn w:val="Normal"/>
    <w:next w:val="Normal"/>
    <w:link w:val="Heading2Char"/>
    <w:uiPriority w:val="99"/>
    <w:unhideWhenUsed/>
    <w:qFormat/>
    <w:rsid w:val="00FF0FEE"/>
    <w:pPr>
      <w:keepNext/>
      <w:spacing w:before="240" w:after="120" w:line="240" w:lineRule="auto"/>
      <w:outlineLvl w:val="1"/>
    </w:pPr>
    <w:rPr>
      <w:b/>
      <w:bCs/>
      <w:iCs/>
      <w:sz w:val="36"/>
      <w:szCs w:val="28"/>
    </w:rPr>
  </w:style>
  <w:style w:type="paragraph" w:styleId="Heading3">
    <w:name w:val="heading 3"/>
    <w:basedOn w:val="Normal"/>
    <w:next w:val="Normal"/>
    <w:link w:val="Heading3Char"/>
    <w:uiPriority w:val="9"/>
    <w:unhideWhenUsed/>
    <w:qFormat/>
    <w:rsid w:val="00664152"/>
    <w:pPr>
      <w:keepNext/>
      <w:spacing w:before="240" w:after="60" w:line="240" w:lineRule="auto"/>
      <w:outlineLvl w:val="2"/>
    </w:pPr>
    <w:rPr>
      <w:b/>
      <w:bCs/>
      <w:sz w:val="28"/>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FF0FEE"/>
    <w:rPr>
      <w:b/>
      <w:bCs/>
      <w:kern w:val="32"/>
      <w:sz w:val="48"/>
      <w:szCs w:val="32"/>
    </w:rPr>
  </w:style>
  <w:style w:type="paragraph" w:styleId="Title">
    <w:name w:val="Title"/>
    <w:basedOn w:val="Normal"/>
    <w:next w:val="Normal"/>
    <w:link w:val="TitleChar"/>
    <w:uiPriority w:val="10"/>
    <w:qFormat/>
    <w:rsid w:val="00FF0FEE"/>
    <w:pPr>
      <w:spacing w:before="120" w:after="240" w:line="240" w:lineRule="auto"/>
      <w:outlineLvl w:val="0"/>
    </w:pPr>
    <w:rPr>
      <w:b/>
      <w:bCs/>
      <w:kern w:val="28"/>
      <w:sz w:val="56"/>
      <w:szCs w:val="32"/>
    </w:rPr>
  </w:style>
  <w:style w:type="character" w:customStyle="1" w:styleId="TitleChar">
    <w:name w:val="Title Char"/>
    <w:link w:val="Title"/>
    <w:uiPriority w:val="10"/>
    <w:rsid w:val="00FF0FEE"/>
    <w:rPr>
      <w:b/>
      <w:bCs/>
      <w:kern w:val="28"/>
      <w:sz w:val="56"/>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FF0FEE"/>
    <w:rPr>
      <w:b/>
      <w:bCs/>
      <w:iCs/>
      <w:sz w:val="36"/>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4411BD"/>
    <w:pPr>
      <w:numPr>
        <w:ilvl w:val="1"/>
        <w:numId w:val="1"/>
      </w:numPr>
      <w:tabs>
        <w:tab w:val="left" w:pos="851"/>
      </w:tabs>
      <w:ind w:left="851" w:hanging="851"/>
    </w:pPr>
  </w:style>
  <w:style w:type="character" w:customStyle="1" w:styleId="Heading3Char">
    <w:name w:val="Heading 3 Char"/>
    <w:link w:val="Heading3"/>
    <w:uiPriority w:val="9"/>
    <w:rsid w:val="00664152"/>
    <w:rPr>
      <w:b/>
      <w:bCs/>
      <w:sz w:val="28"/>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4411BD"/>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EA1215"/>
    <w:pPr>
      <w:pageBreakBefore/>
      <w:numPr>
        <w:numId w:val="1"/>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4B74D2"/>
    <w:pPr>
      <w:numPr>
        <w:numId w:val="2"/>
      </w:numPr>
      <w:spacing w:before="60" w:after="60"/>
      <w:ind w:left="1531" w:hanging="567"/>
    </w:pPr>
  </w:style>
  <w:style w:type="character" w:customStyle="1" w:styleId="Heading1NumberedChar">
    <w:name w:val="Heading 1 Numbered Char"/>
    <w:link w:val="Heading1Numbered"/>
    <w:rsid w:val="00EA1215"/>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CE7A14"/>
    <w:pPr>
      <w:spacing w:before="200" w:after="120"/>
      <w:ind w:left="1247"/>
    </w:pPr>
    <w:rPr>
      <w:iCs/>
      <w:sz w:val="22"/>
    </w:rPr>
  </w:style>
  <w:style w:type="character" w:customStyle="1" w:styleId="QuoteChar">
    <w:name w:val="Quote Char"/>
    <w:link w:val="Quote"/>
    <w:uiPriority w:val="29"/>
    <w:rsid w:val="00CE7A14"/>
    <w:rPr>
      <w:iCs/>
      <w:sz w:val="22"/>
    </w:rPr>
  </w:style>
  <w:style w:type="paragraph" w:customStyle="1" w:styleId="Footnote">
    <w:name w:val="Footnote"/>
    <w:qFormat/>
    <w:rsid w:val="009A49FB"/>
    <w:pPr>
      <w:tabs>
        <w:tab w:val="left" w:pos="454"/>
      </w:tabs>
      <w:suppressAutoHyphens/>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NumberedLastGeneralStyles">
    <w:name w:val="Numbered Last (General Styles)"/>
    <w:basedOn w:val="ABCGeneralStyles"/>
    <w:uiPriority w:val="99"/>
    <w:rsid w:val="00EF5C25"/>
    <w:pPr>
      <w:tabs>
        <w:tab w:val="left" w:pos="640"/>
      </w:tabs>
      <w:spacing w:after="135"/>
      <w:ind w:left="720"/>
    </w:pPr>
  </w:style>
  <w:style w:type="paragraph" w:customStyle="1" w:styleId="TableNoteFootnote">
    <w:name w:val="Table Note (Footnote)"/>
    <w:basedOn w:val="NoParagraphStyle"/>
    <w:uiPriority w:val="99"/>
    <w:rsid w:val="00EF5C25"/>
    <w:pPr>
      <w:tabs>
        <w:tab w:val="left" w:pos="255"/>
      </w:tabs>
      <w:suppressAutoHyphens/>
      <w:spacing w:after="113" w:line="180" w:lineRule="atLeast"/>
      <w:ind w:left="255" w:hanging="255"/>
    </w:pPr>
    <w:rPr>
      <w:rFonts w:ascii="Gill Sans Std Light" w:eastAsiaTheme="minorEastAsia" w:hAnsi="Gill Sans Std Light" w:cs="Gill Sans Std Light"/>
      <w:sz w:val="15"/>
      <w:szCs w:val="15"/>
      <w:lang w:val="en-US"/>
    </w:rPr>
  </w:style>
  <w:style w:type="paragraph" w:customStyle="1" w:styleId="RecommendationHeading1RecommendationsList">
    <w:name w:val="Recommendation Heading 1 (Recommendations List)"/>
    <w:basedOn w:val="Heading3GeneralStyles"/>
    <w:uiPriority w:val="99"/>
    <w:rsid w:val="00EF5C25"/>
    <w:pPr>
      <w:keepNext/>
      <w:shd w:val="clear" w:color="auto" w:fill="058C44"/>
      <w:spacing w:before="520" w:after="270"/>
      <w:ind w:left="120"/>
    </w:pPr>
    <w:rPr>
      <w:rFonts w:ascii="Franklin Gothic Medium" w:eastAsiaTheme="minorEastAsia" w:hAnsi="Franklin Gothic Medium" w:cs="Franklin Gothic Medium"/>
      <w:i/>
      <w:iCs/>
      <w:color w:val="FFFFFF"/>
    </w:rPr>
  </w:style>
  <w:style w:type="paragraph" w:customStyle="1" w:styleId="BodyIndentFranklinGothicFranklinGothicSection">
    <w:name w:val="Body Indent Franklin Gothic (Franklin Gothic Section)"/>
    <w:basedOn w:val="BodyGeneralStyles"/>
    <w:uiPriority w:val="99"/>
    <w:rsid w:val="00EF5C25"/>
    <w:pPr>
      <w:spacing w:line="290" w:lineRule="atLeast"/>
      <w:ind w:left="120"/>
    </w:pPr>
    <w:rPr>
      <w:rFonts w:ascii="ITC Franklin Gothic Std Book" w:eastAsiaTheme="minorEastAsia" w:hAnsi="ITC Franklin Gothic Std Book" w:cs="ITC Franklin Gothic Std Book"/>
      <w:sz w:val="20"/>
      <w:szCs w:val="20"/>
    </w:rPr>
  </w:style>
  <w:style w:type="paragraph" w:customStyle="1" w:styleId="FranklinGothicSourceFranklinGothicSection">
    <w:name w:val="Franklin Gothic Source (Franklin Gothic Section)"/>
    <w:basedOn w:val="BodyGeneralStyles"/>
    <w:uiPriority w:val="99"/>
    <w:rsid w:val="00EF5C25"/>
    <w:pPr>
      <w:pBdr>
        <w:bottom w:val="single" w:sz="48" w:space="10" w:color="058C44"/>
      </w:pBdr>
      <w:spacing w:after="405" w:line="290" w:lineRule="atLeast"/>
      <w:jc w:val="right"/>
    </w:pPr>
    <w:rPr>
      <w:rFonts w:ascii="ITC Franklin Gothic Std Book" w:eastAsiaTheme="minorEastAsia" w:hAnsi="ITC Franklin Gothic Std Book" w:cs="ITC Franklin Gothic Std Book"/>
      <w:sz w:val="18"/>
      <w:szCs w:val="18"/>
    </w:rPr>
  </w:style>
  <w:style w:type="paragraph" w:customStyle="1" w:styleId="Body91BodyParas">
    <w:name w:val="Body 9.1 (Body Paras)"/>
    <w:basedOn w:val="NoParagraphStyle"/>
    <w:uiPriority w:val="99"/>
    <w:rsid w:val="00EF5C25"/>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91BodyParas0">
    <w:name w:val="Body 9.1+ (Body Paras)"/>
    <w:basedOn w:val="NoParagraphStyle"/>
    <w:uiPriority w:val="99"/>
    <w:rsid w:val="00EF5C25"/>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FranklinGothicQuoteRightFranklinGothicSection">
    <w:name w:val="Body Franklin Gothic Quote Right (Franklin Gothic Section)"/>
    <w:basedOn w:val="BodyGeneralStyles"/>
    <w:uiPriority w:val="99"/>
    <w:rsid w:val="00EF5C25"/>
    <w:pPr>
      <w:jc w:val="right"/>
    </w:pPr>
    <w:rPr>
      <w:rFonts w:ascii="ITC Franklin Gothic Std Book" w:eastAsiaTheme="minorEastAsia" w:hAnsi="ITC Franklin Gothic Std Book" w:cs="ITC Franklin Gothic Std Book"/>
      <w:sz w:val="20"/>
      <w:szCs w:val="20"/>
    </w:rPr>
  </w:style>
  <w:style w:type="paragraph" w:customStyle="1" w:styleId="BodyFranklinGothicQuoteRightSourceFranklinGothicSection">
    <w:name w:val="Body Franklin Gothic Quote Right Source (Franklin Gothic Section)"/>
    <w:basedOn w:val="BodyGeneralStyles"/>
    <w:uiPriority w:val="99"/>
    <w:rsid w:val="00EF5C25"/>
    <w:pPr>
      <w:spacing w:after="410"/>
      <w:ind w:left="1200"/>
      <w:jc w:val="right"/>
    </w:pPr>
    <w:rPr>
      <w:rFonts w:ascii="ITC Franklin Gothic Std Book" w:eastAsiaTheme="minorEastAsia" w:hAnsi="ITC Franklin Gothic Std Book" w:cs="ITC Franklin Gothic Std Book"/>
      <w:sz w:val="20"/>
      <w:szCs w:val="20"/>
    </w:rPr>
  </w:style>
  <w:style w:type="paragraph" w:customStyle="1" w:styleId="Body91PrebulletBodyParas">
    <w:name w:val="Body 9.1 Prebullet (Body Paras)"/>
    <w:basedOn w:val="NoParagraphStyle"/>
    <w:uiPriority w:val="99"/>
    <w:rsid w:val="00EF5C25"/>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Contributorsheader2spacedImprintandContributors">
    <w:name w:val="Contributors header 2 spaced (Imprint and Contributors)"/>
    <w:basedOn w:val="NoParagraphStyle"/>
    <w:uiPriority w:val="99"/>
    <w:rsid w:val="00EF5C25"/>
    <w:pPr>
      <w:suppressAutoHyphens/>
      <w:spacing w:before="210" w:after="65" w:line="270" w:lineRule="atLeast"/>
    </w:pPr>
    <w:rPr>
      <w:rFonts w:ascii="ITC Franklin Gothic Std Book" w:eastAsiaTheme="minorEastAsia" w:hAnsi="ITC Franklin Gothic Std Book" w:cs="ITC Franklin Gothic Std Book"/>
      <w:color w:val="55565A"/>
      <w:sz w:val="21"/>
      <w:szCs w:val="21"/>
      <w:lang w:val="en-US"/>
    </w:rPr>
  </w:style>
  <w:style w:type="character" w:customStyle="1" w:styleId="FigureNumber">
    <w:name w:val="Figure Number"/>
    <w:uiPriority w:val="99"/>
    <w:rsid w:val="00EF5C25"/>
    <w:rPr>
      <w:color w:val="058C44"/>
    </w:rPr>
  </w:style>
  <w:style w:type="character" w:customStyle="1" w:styleId="RegularItalic">
    <w:name w:val="Regular Italic"/>
    <w:uiPriority w:val="99"/>
    <w:rsid w:val="00EF5C25"/>
    <w:rPr>
      <w:i/>
      <w:iCs/>
      <w:lang w:val="en-AU"/>
    </w:rPr>
  </w:style>
  <w:style w:type="character" w:customStyle="1" w:styleId="QuoteMark">
    <w:name w:val="Quote Mark"/>
    <w:uiPriority w:val="99"/>
    <w:rsid w:val="00EF5C25"/>
    <w:rPr>
      <w:color w:val="058C44"/>
      <w:position w:val="-4"/>
      <w:sz w:val="36"/>
      <w:szCs w:val="36"/>
      <w:vertAlign w:val="baseline"/>
    </w:rPr>
  </w:style>
  <w:style w:type="character" w:customStyle="1" w:styleId="DemiWhite">
    <w:name w:val="Demi White"/>
    <w:uiPriority w:val="99"/>
    <w:rsid w:val="00EF5C25"/>
    <w:rPr>
      <w:rFonts w:ascii="ITC Franklin Gothic Std Book" w:hAnsi="ITC Franklin Gothic Std Book" w:cs="ITC Franklin Gothic Std Book"/>
      <w:outline/>
    </w:rPr>
  </w:style>
  <w:style w:type="character" w:customStyle="1" w:styleId="WhiteText">
    <w:name w:val="White Text"/>
    <w:uiPriority w:val="99"/>
    <w:rsid w:val="00EF5C25"/>
    <w:rPr>
      <w:outline/>
    </w:rPr>
  </w:style>
  <w:style w:type="character" w:customStyle="1" w:styleId="Wingdings">
    <w:name w:val="Wingdings"/>
    <w:uiPriority w:val="99"/>
    <w:rsid w:val="00EF5C25"/>
    <w:rPr>
      <w:rFonts w:ascii="Wingdings" w:hAnsi="Wingdings" w:cs="Wingdings"/>
    </w:rPr>
  </w:style>
  <w:style w:type="character" w:customStyle="1" w:styleId="wingdings0">
    <w:name w:val="wingdings"/>
    <w:uiPriority w:val="99"/>
    <w:rsid w:val="005605CF"/>
    <w:rPr>
      <w:rFonts w:ascii="Wingdings" w:hAnsi="Wingdings" w:cs="Wingdings"/>
      <w:color w:val="058C44"/>
    </w:rPr>
  </w:style>
  <w:style w:type="paragraph" w:customStyle="1" w:styleId="StyleTableBodyArial">
    <w:name w:val="Style Table Body + Arial"/>
    <w:basedOn w:val="TableBody"/>
    <w:rsid w:val="006032A2"/>
  </w:style>
  <w:style w:type="paragraph" w:customStyle="1" w:styleId="LargeQuoteFranklinGothicSection">
    <w:name w:val="Large Quote (Franklin Gothic Section)"/>
    <w:basedOn w:val="Normal"/>
    <w:uiPriority w:val="99"/>
    <w:rsid w:val="002B318F"/>
    <w:pPr>
      <w:widowControl w:val="0"/>
      <w:autoSpaceDE w:val="0"/>
      <w:autoSpaceDN w:val="0"/>
      <w:adjustRightInd w:val="0"/>
      <w:spacing w:before="0" w:after="120" w:line="320" w:lineRule="atLeast"/>
      <w:textAlignment w:val="center"/>
    </w:pPr>
    <w:rPr>
      <w:rFonts w:ascii="ITC Franklin Gothic Std Book" w:eastAsiaTheme="minorEastAsia" w:hAnsi="ITC Franklin Gothic Std Book" w:cs="ITC Franklin Gothic Std Book"/>
      <w:color w:val="55565A"/>
      <w:lang w:val="en-US"/>
    </w:rPr>
  </w:style>
  <w:style w:type="character" w:customStyle="1" w:styleId="DemiBlack">
    <w:name w:val="Demi Black"/>
    <w:uiPriority w:val="99"/>
    <w:rsid w:val="002B318F"/>
    <w:rPr>
      <w:rFonts w:ascii="ITC Franklin Gothic Std Book" w:hAnsi="ITC Franklin Gothic Std Book" w:cs="ITC Franklin Gothic Std Book"/>
      <w:color w:val="000000"/>
    </w:rPr>
  </w:style>
  <w:style w:type="character" w:styleId="IntenseEmphasis">
    <w:name w:val="Intense Emphasis"/>
    <w:basedOn w:val="DefaultParagraphFont"/>
    <w:uiPriority w:val="21"/>
    <w:qFormat/>
    <w:rsid w:val="00524787"/>
    <w:rPr>
      <w:i/>
      <w:iCs/>
      <w:color w:val="5B9BD5" w:themeColor="accent1"/>
    </w:rPr>
  </w:style>
  <w:style w:type="paragraph" w:styleId="IntenseQuote">
    <w:name w:val="Intense Quote"/>
    <w:basedOn w:val="Normal"/>
    <w:next w:val="Normal"/>
    <w:link w:val="IntenseQuoteChar"/>
    <w:uiPriority w:val="30"/>
    <w:qFormat/>
    <w:rsid w:val="00B268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686B"/>
    <w:rPr>
      <w:i/>
      <w:iCs/>
      <w:color w:val="5B9BD5" w:themeColor="accent1"/>
    </w:rPr>
  </w:style>
  <w:style w:type="character" w:styleId="SubtleReference">
    <w:name w:val="Subtle Reference"/>
    <w:basedOn w:val="DefaultParagraphFont"/>
    <w:uiPriority w:val="31"/>
    <w:qFormat/>
    <w:rsid w:val="00B2686B"/>
    <w:rPr>
      <w:smallCaps/>
      <w:color w:val="5A5A5A" w:themeColor="text1" w:themeTint="A5"/>
    </w:rPr>
  </w:style>
  <w:style w:type="character" w:styleId="IntenseReference">
    <w:name w:val="Intense Reference"/>
    <w:basedOn w:val="DefaultParagraphFont"/>
    <w:uiPriority w:val="32"/>
    <w:qFormat/>
    <w:rsid w:val="00971F75"/>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156">
      <w:bodyDiv w:val="1"/>
      <w:marLeft w:val="0"/>
      <w:marRight w:val="0"/>
      <w:marTop w:val="0"/>
      <w:marBottom w:val="0"/>
      <w:divBdr>
        <w:top w:val="none" w:sz="0" w:space="0" w:color="auto"/>
        <w:left w:val="none" w:sz="0" w:space="0" w:color="auto"/>
        <w:bottom w:val="none" w:sz="0" w:space="0" w:color="auto"/>
        <w:right w:val="none" w:sz="0" w:space="0" w:color="auto"/>
      </w:divBdr>
    </w:div>
    <w:div w:id="49694268">
      <w:bodyDiv w:val="1"/>
      <w:marLeft w:val="0"/>
      <w:marRight w:val="0"/>
      <w:marTop w:val="0"/>
      <w:marBottom w:val="0"/>
      <w:divBdr>
        <w:top w:val="none" w:sz="0" w:space="0" w:color="auto"/>
        <w:left w:val="none" w:sz="0" w:space="0" w:color="auto"/>
        <w:bottom w:val="none" w:sz="0" w:space="0" w:color="auto"/>
        <w:right w:val="none" w:sz="0" w:space="0" w:color="auto"/>
      </w:divBdr>
    </w:div>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37498862">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186912910">
      <w:bodyDiv w:val="1"/>
      <w:marLeft w:val="0"/>
      <w:marRight w:val="0"/>
      <w:marTop w:val="0"/>
      <w:marBottom w:val="0"/>
      <w:divBdr>
        <w:top w:val="none" w:sz="0" w:space="0" w:color="auto"/>
        <w:left w:val="none" w:sz="0" w:space="0" w:color="auto"/>
        <w:bottom w:val="none" w:sz="0" w:space="0" w:color="auto"/>
        <w:right w:val="none" w:sz="0" w:space="0" w:color="auto"/>
      </w:divBdr>
    </w:div>
    <w:div w:id="257250280">
      <w:bodyDiv w:val="1"/>
      <w:marLeft w:val="0"/>
      <w:marRight w:val="0"/>
      <w:marTop w:val="0"/>
      <w:marBottom w:val="0"/>
      <w:divBdr>
        <w:top w:val="none" w:sz="0" w:space="0" w:color="auto"/>
        <w:left w:val="none" w:sz="0" w:space="0" w:color="auto"/>
        <w:bottom w:val="none" w:sz="0" w:space="0" w:color="auto"/>
        <w:right w:val="none" w:sz="0" w:space="0" w:color="auto"/>
      </w:divBdr>
    </w:div>
    <w:div w:id="263197277">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79942996">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399593493">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2023683">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62695696">
      <w:bodyDiv w:val="1"/>
      <w:marLeft w:val="0"/>
      <w:marRight w:val="0"/>
      <w:marTop w:val="0"/>
      <w:marBottom w:val="0"/>
      <w:divBdr>
        <w:top w:val="none" w:sz="0" w:space="0" w:color="auto"/>
        <w:left w:val="none" w:sz="0" w:space="0" w:color="auto"/>
        <w:bottom w:val="none" w:sz="0" w:space="0" w:color="auto"/>
        <w:right w:val="none" w:sz="0" w:space="0" w:color="auto"/>
      </w:divBdr>
    </w:div>
    <w:div w:id="463934809">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472017321">
      <w:bodyDiv w:val="1"/>
      <w:marLeft w:val="0"/>
      <w:marRight w:val="0"/>
      <w:marTop w:val="0"/>
      <w:marBottom w:val="0"/>
      <w:divBdr>
        <w:top w:val="none" w:sz="0" w:space="0" w:color="auto"/>
        <w:left w:val="none" w:sz="0" w:space="0" w:color="auto"/>
        <w:bottom w:val="none" w:sz="0" w:space="0" w:color="auto"/>
        <w:right w:val="none" w:sz="0" w:space="0" w:color="auto"/>
      </w:divBdr>
    </w:div>
    <w:div w:id="542135380">
      <w:bodyDiv w:val="1"/>
      <w:marLeft w:val="0"/>
      <w:marRight w:val="0"/>
      <w:marTop w:val="0"/>
      <w:marBottom w:val="0"/>
      <w:divBdr>
        <w:top w:val="none" w:sz="0" w:space="0" w:color="auto"/>
        <w:left w:val="none" w:sz="0" w:space="0" w:color="auto"/>
        <w:bottom w:val="none" w:sz="0" w:space="0" w:color="auto"/>
        <w:right w:val="none" w:sz="0" w:space="0" w:color="auto"/>
      </w:divBdr>
    </w:div>
    <w:div w:id="563374942">
      <w:bodyDiv w:val="1"/>
      <w:marLeft w:val="0"/>
      <w:marRight w:val="0"/>
      <w:marTop w:val="0"/>
      <w:marBottom w:val="0"/>
      <w:divBdr>
        <w:top w:val="none" w:sz="0" w:space="0" w:color="auto"/>
        <w:left w:val="none" w:sz="0" w:space="0" w:color="auto"/>
        <w:bottom w:val="none" w:sz="0" w:space="0" w:color="auto"/>
        <w:right w:val="none" w:sz="0" w:space="0" w:color="auto"/>
      </w:divBdr>
    </w:div>
    <w:div w:id="576593347">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3950058">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23271402">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77006153">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16126499">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72618047">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37834098">
      <w:bodyDiv w:val="1"/>
      <w:marLeft w:val="0"/>
      <w:marRight w:val="0"/>
      <w:marTop w:val="0"/>
      <w:marBottom w:val="0"/>
      <w:divBdr>
        <w:top w:val="none" w:sz="0" w:space="0" w:color="auto"/>
        <w:left w:val="none" w:sz="0" w:space="0" w:color="auto"/>
        <w:bottom w:val="none" w:sz="0" w:space="0" w:color="auto"/>
        <w:right w:val="none" w:sz="0" w:space="0" w:color="auto"/>
      </w:divBdr>
    </w:div>
    <w:div w:id="940457710">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19625472">
      <w:bodyDiv w:val="1"/>
      <w:marLeft w:val="0"/>
      <w:marRight w:val="0"/>
      <w:marTop w:val="0"/>
      <w:marBottom w:val="0"/>
      <w:divBdr>
        <w:top w:val="none" w:sz="0" w:space="0" w:color="auto"/>
        <w:left w:val="none" w:sz="0" w:space="0" w:color="auto"/>
        <w:bottom w:val="none" w:sz="0" w:space="0" w:color="auto"/>
        <w:right w:val="none" w:sz="0" w:space="0" w:color="auto"/>
      </w:divBdr>
    </w:div>
    <w:div w:id="1024942218">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87675061">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199590614">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053204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87391824">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04306965">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21883051">
      <w:bodyDiv w:val="1"/>
      <w:marLeft w:val="0"/>
      <w:marRight w:val="0"/>
      <w:marTop w:val="0"/>
      <w:marBottom w:val="0"/>
      <w:divBdr>
        <w:top w:val="none" w:sz="0" w:space="0" w:color="auto"/>
        <w:left w:val="none" w:sz="0" w:space="0" w:color="auto"/>
        <w:bottom w:val="none" w:sz="0" w:space="0" w:color="auto"/>
        <w:right w:val="none" w:sz="0" w:space="0" w:color="auto"/>
      </w:divBdr>
    </w:div>
    <w:div w:id="134586166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38605019">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47203882">
      <w:bodyDiv w:val="1"/>
      <w:marLeft w:val="0"/>
      <w:marRight w:val="0"/>
      <w:marTop w:val="0"/>
      <w:marBottom w:val="0"/>
      <w:divBdr>
        <w:top w:val="none" w:sz="0" w:space="0" w:color="auto"/>
        <w:left w:val="none" w:sz="0" w:space="0" w:color="auto"/>
        <w:bottom w:val="none" w:sz="0" w:space="0" w:color="auto"/>
        <w:right w:val="none" w:sz="0" w:space="0" w:color="auto"/>
      </w:divBdr>
    </w:div>
    <w:div w:id="1848714757">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892618015">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26455121">
      <w:bodyDiv w:val="1"/>
      <w:marLeft w:val="0"/>
      <w:marRight w:val="0"/>
      <w:marTop w:val="0"/>
      <w:marBottom w:val="0"/>
      <w:divBdr>
        <w:top w:val="none" w:sz="0" w:space="0" w:color="auto"/>
        <w:left w:val="none" w:sz="0" w:space="0" w:color="auto"/>
        <w:bottom w:val="none" w:sz="0" w:space="0" w:color="auto"/>
        <w:right w:val="none" w:sz="0" w:space="0" w:color="auto"/>
      </w:divBdr>
    </w:div>
    <w:div w:id="1927380974">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1975258946">
      <w:bodyDiv w:val="1"/>
      <w:marLeft w:val="0"/>
      <w:marRight w:val="0"/>
      <w:marTop w:val="0"/>
      <w:marBottom w:val="0"/>
      <w:divBdr>
        <w:top w:val="none" w:sz="0" w:space="0" w:color="auto"/>
        <w:left w:val="none" w:sz="0" w:space="0" w:color="auto"/>
        <w:bottom w:val="none" w:sz="0" w:space="0" w:color="auto"/>
        <w:right w:val="none" w:sz="0" w:space="0" w:color="auto"/>
      </w:divBdr>
    </w:div>
    <w:div w:id="2013529679">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58891830">
      <w:bodyDiv w:val="1"/>
      <w:marLeft w:val="0"/>
      <w:marRight w:val="0"/>
      <w:marTop w:val="0"/>
      <w:marBottom w:val="0"/>
      <w:divBdr>
        <w:top w:val="none" w:sz="0" w:space="0" w:color="auto"/>
        <w:left w:val="none" w:sz="0" w:space="0" w:color="auto"/>
        <w:bottom w:val="none" w:sz="0" w:space="0" w:color="auto"/>
        <w:right w:val="none" w:sz="0" w:space="0" w:color="auto"/>
      </w:divBdr>
    </w:div>
    <w:div w:id="2080664207">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 w:id="2122262333">
      <w:bodyDiv w:val="1"/>
      <w:marLeft w:val="0"/>
      <w:marRight w:val="0"/>
      <w:marTop w:val="0"/>
      <w:marBottom w:val="0"/>
      <w:divBdr>
        <w:top w:val="none" w:sz="0" w:space="0" w:color="auto"/>
        <w:left w:val="none" w:sz="0" w:space="0" w:color="auto"/>
        <w:bottom w:val="none" w:sz="0" w:space="0" w:color="auto"/>
        <w:right w:val="none" w:sz="0" w:space="0" w:color="auto"/>
      </w:divBdr>
    </w:div>
    <w:div w:id="21287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F97-784C-4568-988D-93C20D27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178</Pages>
  <Words>31810</Words>
  <Characters>181320</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Sentencing Sex Offences in Victoria: An Analysis of Three Sentencing Reforms</vt:lpstr>
    </vt:vector>
  </TitlesOfParts>
  <Company>Sentencing Advisory Council</Company>
  <LinksUpToDate>false</LinksUpToDate>
  <CharactersWithSpaces>212705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Sex Offences in Victoria: An Analysis of Three Sentencing Reforms</dc:title>
  <dc:subject/>
  <dc:creator>Sentencing Advisory Council</dc:creator>
  <cp:keywords/>
  <dc:description/>
  <cp:lastModifiedBy>Catherine M Jeffreys (DJCS)</cp:lastModifiedBy>
  <cp:revision>796</cp:revision>
  <dcterms:created xsi:type="dcterms:W3CDTF">2021-06-17T02:40:00Z</dcterms:created>
  <dcterms:modified xsi:type="dcterms:W3CDTF">2021-10-20T03:55:00Z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