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29DF" w14:textId="77777777" w:rsidR="00ED2BB6" w:rsidRPr="0017084E" w:rsidRDefault="00ED2BB6" w:rsidP="003B326C">
      <w:pPr>
        <w:pStyle w:val="Title"/>
        <w:rPr>
          <w:rFonts w:eastAsia="ITC Franklin Gothic Book"/>
        </w:rPr>
      </w:pPr>
      <w:r w:rsidRPr="0017084E">
        <w:rPr>
          <w:rFonts w:eastAsia="ITC Franklin Gothic Book"/>
        </w:rPr>
        <w:t>SACStat User Guide</w:t>
      </w:r>
    </w:p>
    <w:p w14:paraId="43E73B29" w14:textId="77777777" w:rsidR="00ED2BB6" w:rsidRPr="0017084E" w:rsidRDefault="00ED2BB6" w:rsidP="007C190B">
      <w:pPr>
        <w:rPr>
          <w:rFonts w:eastAsia="ITC Franklin Gothic Book"/>
        </w:rPr>
      </w:pPr>
      <w:r w:rsidRPr="0017084E">
        <w:rPr>
          <w:rFonts w:eastAsia="ITC Franklin Gothic Book"/>
        </w:rPr>
        <w:t>Sentencing Advisory Council Statistics</w:t>
      </w:r>
    </w:p>
    <w:p w14:paraId="18D563FF" w14:textId="77777777" w:rsidR="00ED2BB6" w:rsidRPr="0017084E" w:rsidRDefault="00ED2BB6" w:rsidP="007C190B">
      <w:pPr>
        <w:pStyle w:val="Heading1"/>
        <w:rPr>
          <w:rFonts w:eastAsia="ITC Franklin Gothic Book"/>
        </w:rPr>
      </w:pPr>
      <w:r w:rsidRPr="0017084E">
        <w:rPr>
          <w:rFonts w:eastAsia="ITC Franklin Gothic Book"/>
        </w:rPr>
        <w:t>What is SACStat?</w:t>
      </w:r>
    </w:p>
    <w:p w14:paraId="4D69E7C8" w14:textId="77777777" w:rsidR="00ED2BB6" w:rsidRPr="0017084E" w:rsidRDefault="00ED2BB6" w:rsidP="007C190B">
      <w:pPr>
        <w:rPr>
          <w:rFonts w:eastAsia="ITC Franklin Gothic Book"/>
        </w:rPr>
      </w:pPr>
      <w:r w:rsidRPr="0017084E">
        <w:rPr>
          <w:rFonts w:eastAsia="ITC Franklin Gothic Book"/>
        </w:rPr>
        <w:t>SACStat is a comprehensive database of statistics showing sentencing outcomes for adult offenders in Victoria.</w:t>
      </w:r>
    </w:p>
    <w:p w14:paraId="72EDBBB2" w14:textId="1B2543B2" w:rsidR="00ED2BB6" w:rsidRPr="0017084E" w:rsidRDefault="00ED2BB6" w:rsidP="007C190B">
      <w:pPr>
        <w:rPr>
          <w:rFonts w:eastAsia="ITC Franklin Gothic Book"/>
        </w:rPr>
      </w:pPr>
      <w:r w:rsidRPr="0017084E">
        <w:rPr>
          <w:rFonts w:eastAsia="ITC Franklin Gothic Book"/>
        </w:rPr>
        <w:t>SACStat includes three years of anonymised data</w:t>
      </w:r>
      <w:r w:rsidR="00631741" w:rsidRPr="0017084E">
        <w:rPr>
          <w:rFonts w:eastAsia="ITC Franklin Gothic Book"/>
        </w:rPr>
        <w:t xml:space="preserve"> </w:t>
      </w:r>
      <w:r w:rsidRPr="0017084E">
        <w:rPr>
          <w:rFonts w:eastAsia="ITC Franklin Gothic Book"/>
        </w:rPr>
        <w:t xml:space="preserve">for over 500 offences sentenced in the Magistrates’ Court of Victoria, and five years of anonymised data for over </w:t>
      </w:r>
      <w:r w:rsidR="00852431">
        <w:rPr>
          <w:rFonts w:eastAsia="ITC Franklin Gothic Book"/>
        </w:rPr>
        <w:t>250</w:t>
      </w:r>
      <w:r w:rsidRPr="0017084E">
        <w:rPr>
          <w:rFonts w:eastAsia="ITC Franklin Gothic Book"/>
        </w:rPr>
        <w:t xml:space="preserve"> offences sentenced in the higher courts (the County Court of Victoria and the Supreme</w:t>
      </w:r>
      <w:r w:rsidR="00B8510A" w:rsidRPr="0017084E">
        <w:rPr>
          <w:rFonts w:eastAsia="ITC Franklin Gothic Book"/>
        </w:rPr>
        <w:t xml:space="preserve"> </w:t>
      </w:r>
      <w:r w:rsidRPr="0017084E">
        <w:rPr>
          <w:rFonts w:eastAsia="ITC Franklin Gothic Book"/>
        </w:rPr>
        <w:t>Court of Victoria). These statistics are updated periodically.</w:t>
      </w:r>
    </w:p>
    <w:p w14:paraId="254685EA" w14:textId="77777777" w:rsidR="00ED2BB6" w:rsidRPr="0017084E" w:rsidRDefault="00ED2BB6" w:rsidP="00B8510A">
      <w:pPr>
        <w:pStyle w:val="Heading1"/>
        <w:rPr>
          <w:rFonts w:eastAsia="ITC Franklin Gothic Book"/>
        </w:rPr>
      </w:pPr>
      <w:r w:rsidRPr="0017084E">
        <w:rPr>
          <w:rFonts w:eastAsia="ITC Franklin Gothic Book"/>
        </w:rPr>
        <w:t>Accessing SACStat</w:t>
      </w:r>
    </w:p>
    <w:p w14:paraId="1D8C2B5D" w14:textId="77777777" w:rsidR="00ED2BB6" w:rsidRPr="0017084E" w:rsidRDefault="00ED2BB6" w:rsidP="00B8510A">
      <w:pPr>
        <w:rPr>
          <w:rFonts w:eastAsia="ITC Franklin Gothic Book"/>
        </w:rPr>
      </w:pPr>
      <w:r w:rsidRPr="008F6449">
        <w:rPr>
          <w:rFonts w:eastAsia="ITC Franklin Gothic Book"/>
        </w:rPr>
        <w:t xml:space="preserve">SACStat is accessed through the Sentencing Advisory Council website at </w:t>
      </w:r>
      <w:hyperlink r:id="rId8">
        <w:r w:rsidRPr="0017084E">
          <w:rPr>
            <w:rFonts w:eastAsia="ITC Franklin Gothic Book"/>
            <w:sz w:val="22"/>
            <w:szCs w:val="22"/>
            <w:u w:color="0562C1"/>
          </w:rPr>
          <w:t>https://www.</w:t>
        </w:r>
        <w:r w:rsidRPr="0017084E">
          <w:rPr>
            <w:rFonts w:eastAsia="ITC Franklin Gothic Book"/>
            <w:sz w:val="22"/>
            <w:szCs w:val="22"/>
          </w:rPr>
          <w:t xml:space="preserve"> </w:t>
        </w:r>
      </w:hyperlink>
      <w:hyperlink r:id="rId9">
        <w:r w:rsidRPr="0017084E">
          <w:rPr>
            <w:rFonts w:eastAsia="ITC Franklin Gothic Book"/>
            <w:sz w:val="22"/>
            <w:szCs w:val="22"/>
            <w:u w:color="0562C1"/>
          </w:rPr>
          <w:t>sentencingcouncil.vic.gov.au/sacstat/home.html</w:t>
        </w:r>
      </w:hyperlink>
      <w:r w:rsidRPr="008F6449">
        <w:rPr>
          <w:rFonts w:eastAsia="ITC Franklin Gothic Book"/>
        </w:rPr>
        <w:t>.</w:t>
      </w:r>
    </w:p>
    <w:p w14:paraId="256861F5" w14:textId="77777777" w:rsidR="00ED2BB6" w:rsidRPr="0017084E" w:rsidRDefault="00ED2BB6" w:rsidP="008F6449">
      <w:pPr>
        <w:rPr>
          <w:rFonts w:eastAsia="ITC Franklin Gothic Book"/>
        </w:rPr>
      </w:pPr>
      <w:r w:rsidRPr="00115942">
        <w:rPr>
          <w:rFonts w:eastAsia="ITC Franklin Gothic Book"/>
        </w:rPr>
        <w:t>All of SACStat’s key features and user guides are available from its home page.</w:t>
      </w:r>
    </w:p>
    <w:p w14:paraId="3082BF4F" w14:textId="77777777" w:rsidR="00ED2BB6" w:rsidRPr="0017084E" w:rsidRDefault="00ED2BB6" w:rsidP="0015133D">
      <w:pPr>
        <w:pStyle w:val="Heading1"/>
        <w:rPr>
          <w:rFonts w:eastAsia="ITC Franklin Gothic Book"/>
        </w:rPr>
      </w:pPr>
      <w:r w:rsidRPr="0017084E">
        <w:rPr>
          <w:rFonts w:eastAsia="ITC Franklin Gothic Book"/>
        </w:rPr>
        <w:t>Finding an Offence</w:t>
      </w:r>
    </w:p>
    <w:p w14:paraId="22F2023B" w14:textId="77777777" w:rsidR="00ED2BB6" w:rsidRPr="0017084E" w:rsidRDefault="00ED2BB6" w:rsidP="0015133D">
      <w:pPr>
        <w:rPr>
          <w:rFonts w:eastAsia="ITC Franklin Gothic Book"/>
        </w:rPr>
      </w:pPr>
      <w:r w:rsidRPr="0017084E">
        <w:rPr>
          <w:rFonts w:eastAsia="ITC Franklin Gothic Book"/>
        </w:rPr>
        <w:t>You can locate an offence by using either the legislation index or the offence search.</w:t>
      </w:r>
    </w:p>
    <w:p w14:paraId="394C64AE" w14:textId="77777777" w:rsidR="00ED2BB6" w:rsidRPr="0017084E" w:rsidRDefault="00ED2BB6" w:rsidP="0015133D">
      <w:pPr>
        <w:rPr>
          <w:rFonts w:eastAsia="ITC Franklin Gothic Book"/>
        </w:rPr>
      </w:pPr>
      <w:r w:rsidRPr="0017084E">
        <w:rPr>
          <w:rFonts w:eastAsia="ITC Franklin Gothic Book"/>
        </w:rPr>
        <w:t>The legislation index lists Acts alphabetically, with each offence displayed under the name of the Act that defines it. Common law offences are listed under ‘C’ for ‘common law’.</w:t>
      </w:r>
    </w:p>
    <w:p w14:paraId="42BF397B" w14:textId="77777777" w:rsidR="00ED2BB6" w:rsidRPr="0017084E" w:rsidRDefault="00ED2BB6" w:rsidP="0015133D">
      <w:pPr>
        <w:rPr>
          <w:rFonts w:eastAsia="ITC Franklin Gothic Book"/>
        </w:rPr>
      </w:pPr>
      <w:r w:rsidRPr="0017084E">
        <w:rPr>
          <w:rFonts w:eastAsia="ITC Franklin Gothic Book"/>
        </w:rPr>
        <w:t>In the offence search, enter all or part of the name of an offence to return a list of matching offences. The search requires correct spelling but does not require the entire name of the offence to be entered.</w:t>
      </w:r>
    </w:p>
    <w:p w14:paraId="3D0D0E75" w14:textId="77777777" w:rsidR="00ED2BB6" w:rsidRPr="0017084E" w:rsidRDefault="00ED2BB6" w:rsidP="0015133D">
      <w:pPr>
        <w:rPr>
          <w:rFonts w:eastAsia="ITC Franklin Gothic Book"/>
        </w:rPr>
      </w:pPr>
      <w:r w:rsidRPr="0017084E">
        <w:rPr>
          <w:rFonts w:eastAsia="ITC Franklin Gothic Book"/>
        </w:rPr>
        <w:lastRenderedPageBreak/>
        <w:t>Data for some offences (e.g. indictable offences triable summarily) can be found in both the Magistrates’ Court and the higher courts. Click on the name of the offence to open its statistics.</w:t>
      </w:r>
    </w:p>
    <w:p w14:paraId="38F07220" w14:textId="77777777" w:rsidR="00ED2BB6" w:rsidRPr="0017084E" w:rsidRDefault="00ED2BB6" w:rsidP="008F53E7">
      <w:pPr>
        <w:pStyle w:val="Heading1"/>
        <w:rPr>
          <w:rFonts w:eastAsia="ITC Franklin Gothic Book"/>
        </w:rPr>
      </w:pPr>
      <w:r w:rsidRPr="0017084E">
        <w:rPr>
          <w:rFonts w:eastAsia="ITC Franklin Gothic Book"/>
        </w:rPr>
        <w:t>What Statistics Are Available?</w:t>
      </w:r>
    </w:p>
    <w:p w14:paraId="7B57045F" w14:textId="77777777" w:rsidR="00ED2BB6" w:rsidRPr="0017084E" w:rsidRDefault="00ED2BB6" w:rsidP="008F53E7">
      <w:pPr>
        <w:rPr>
          <w:rFonts w:eastAsia="ITC Franklin Gothic Book"/>
        </w:rPr>
      </w:pPr>
      <w:r w:rsidRPr="0017084E">
        <w:rPr>
          <w:rFonts w:eastAsia="ITC Franklin Gothic Book"/>
        </w:rPr>
        <w:t>SACStat includes data for:</w:t>
      </w:r>
    </w:p>
    <w:p w14:paraId="544FAD0B" w14:textId="77777777" w:rsidR="00ED2BB6" w:rsidRPr="001E0932" w:rsidRDefault="00ED2BB6" w:rsidP="001E0932">
      <w:pPr>
        <w:pStyle w:val="ListParagraph"/>
      </w:pPr>
      <w:r w:rsidRPr="001E0932">
        <w:t>the number of charges sentenced</w:t>
      </w:r>
    </w:p>
    <w:p w14:paraId="0FAE54A4" w14:textId="77777777" w:rsidR="00ED2BB6" w:rsidRPr="001E0932" w:rsidRDefault="00ED2BB6" w:rsidP="001E0932">
      <w:pPr>
        <w:pStyle w:val="ListParagraph"/>
      </w:pPr>
      <w:r w:rsidRPr="001E0932">
        <w:t>the number of cases sentenced.</w:t>
      </w:r>
    </w:p>
    <w:p w14:paraId="2DF1E2A8" w14:textId="77777777" w:rsidR="00ED2BB6" w:rsidRPr="0017084E" w:rsidRDefault="00ED2BB6" w:rsidP="008F53E7">
      <w:pPr>
        <w:rPr>
          <w:rFonts w:eastAsia="ITC Franklin Gothic Book"/>
        </w:rPr>
      </w:pPr>
      <w:r w:rsidRPr="0017084E">
        <w:rPr>
          <w:rFonts w:eastAsia="ITC Franklin Gothic Book"/>
        </w:rPr>
        <w:t>It also includes both numbers and percentages for:</w:t>
      </w:r>
    </w:p>
    <w:p w14:paraId="33912105" w14:textId="77777777" w:rsidR="00ED2BB6" w:rsidRPr="001E0932" w:rsidRDefault="00ED2BB6" w:rsidP="001E0932">
      <w:pPr>
        <w:pStyle w:val="ListParagraph"/>
      </w:pPr>
      <w:r w:rsidRPr="001E0932">
        <w:t>the sentence types imposed</w:t>
      </w:r>
    </w:p>
    <w:p w14:paraId="61AC9C6C" w14:textId="77777777" w:rsidR="00ED2BB6" w:rsidRPr="001E0932" w:rsidRDefault="00ED2BB6" w:rsidP="001E0932">
      <w:pPr>
        <w:pStyle w:val="ListParagraph"/>
      </w:pPr>
      <w:r w:rsidRPr="001E0932">
        <w:t>the sentence lengths/fine amounts imposed</w:t>
      </w:r>
    </w:p>
    <w:p w14:paraId="35F9D2BF" w14:textId="77777777" w:rsidR="00ED2BB6" w:rsidRPr="001E0932" w:rsidRDefault="00ED2BB6" w:rsidP="001E0932">
      <w:pPr>
        <w:pStyle w:val="ListParagraph"/>
      </w:pPr>
      <w:r w:rsidRPr="001E0932">
        <w:t>the age profile of offenders</w:t>
      </w:r>
    </w:p>
    <w:p w14:paraId="4C16B85C" w14:textId="77777777" w:rsidR="00ED2BB6" w:rsidRPr="001E0932" w:rsidRDefault="00ED2BB6" w:rsidP="001E0932">
      <w:pPr>
        <w:pStyle w:val="ListParagraph"/>
      </w:pPr>
      <w:r w:rsidRPr="001E0932">
        <w:t>the gender ratio of offenders.</w:t>
      </w:r>
    </w:p>
    <w:p w14:paraId="1EAB8C7F" w14:textId="1B22F3E8" w:rsidR="00ED2BB6" w:rsidRPr="0017084E" w:rsidRDefault="00ED2BB6" w:rsidP="008F53E7">
      <w:pPr>
        <w:rPr>
          <w:rFonts w:eastAsia="ITC Franklin Gothic Book"/>
        </w:rPr>
      </w:pPr>
      <w:r w:rsidRPr="0017084E">
        <w:rPr>
          <w:rFonts w:eastAsia="ITC Franklin Gothic Book"/>
        </w:rPr>
        <w:t xml:space="preserve">Data is also available for total effective sentences of imprisonment and non-parole periods. Magistrates’ Court data shows </w:t>
      </w:r>
      <w:r w:rsidR="00235C11">
        <w:rPr>
          <w:rFonts w:eastAsia="ITC Franklin Gothic Book"/>
        </w:rPr>
        <w:t xml:space="preserve">separate </w:t>
      </w:r>
      <w:r w:rsidRPr="0017084E">
        <w:rPr>
          <w:rFonts w:eastAsia="ITC Franklin Gothic Book"/>
        </w:rPr>
        <w:t>aggregate and non-aggregate sentences.</w:t>
      </w:r>
    </w:p>
    <w:p w14:paraId="3639AD45" w14:textId="77777777" w:rsidR="00ED2BB6" w:rsidRPr="0017084E" w:rsidRDefault="00ED2BB6" w:rsidP="008F53E7">
      <w:pPr>
        <w:pStyle w:val="Heading1"/>
        <w:rPr>
          <w:rFonts w:eastAsia="ITC Franklin Gothic Book"/>
        </w:rPr>
      </w:pPr>
      <w:r w:rsidRPr="0017084E">
        <w:rPr>
          <w:rFonts w:eastAsia="ITC Franklin Gothic Book"/>
        </w:rPr>
        <w:t>Summaries and Tables</w:t>
      </w:r>
    </w:p>
    <w:p w14:paraId="5DB8EE55" w14:textId="77777777" w:rsidR="00ED2BB6" w:rsidRPr="0017084E" w:rsidRDefault="00ED2BB6" w:rsidP="008F53E7">
      <w:pPr>
        <w:rPr>
          <w:rFonts w:eastAsia="ITC Franklin Gothic Book"/>
        </w:rPr>
      </w:pPr>
      <w:r w:rsidRPr="0017084E">
        <w:rPr>
          <w:rFonts w:eastAsia="ITC Franklin Gothic Book"/>
        </w:rPr>
        <w:t>Clicking ‘Offence Summary’ just below the offence name opens a new page displaying key statistics</w:t>
      </w:r>
      <w:r w:rsidR="00822C6B">
        <w:rPr>
          <w:rFonts w:eastAsia="ITC Franklin Gothic Book"/>
        </w:rPr>
        <w:t xml:space="preserve"> </w:t>
      </w:r>
      <w:r w:rsidRPr="0017084E">
        <w:rPr>
          <w:rFonts w:eastAsia="ITC Franklin Gothic Book"/>
        </w:rPr>
        <w:t>and graphs for that offence. This feature is available for all offences sentenced in the Magistrates’ Court, and for higher court offences with 10 or more cases receiving imprisonment.</w:t>
      </w:r>
    </w:p>
    <w:p w14:paraId="1A9C0A8C" w14:textId="77777777" w:rsidR="00ED2BB6" w:rsidRPr="0017084E" w:rsidRDefault="00ED2BB6" w:rsidP="008F53E7">
      <w:pPr>
        <w:rPr>
          <w:rFonts w:eastAsia="ITC Franklin Gothic Book"/>
        </w:rPr>
      </w:pPr>
      <w:r w:rsidRPr="0017084E">
        <w:rPr>
          <w:rFonts w:eastAsia="ITC Franklin Gothic Book"/>
        </w:rPr>
        <w:t>SACStat data can also be displayed as tables by clicking on the ‘Data Tables’ button. This allows you to copy and paste data into your own spreadsheet.</w:t>
      </w:r>
    </w:p>
    <w:p w14:paraId="6F4D6443" w14:textId="77777777" w:rsidR="00ED2BB6" w:rsidRPr="0017084E" w:rsidRDefault="00ED2BB6" w:rsidP="008F53E7">
      <w:pPr>
        <w:pStyle w:val="Heading1"/>
        <w:rPr>
          <w:rFonts w:eastAsia="ITC Franklin Gothic Book"/>
        </w:rPr>
      </w:pPr>
      <w:r w:rsidRPr="0017084E">
        <w:rPr>
          <w:rFonts w:eastAsia="ITC Franklin Gothic Book"/>
        </w:rPr>
        <w:t>Printing</w:t>
      </w:r>
    </w:p>
    <w:p w14:paraId="070C6284" w14:textId="77777777" w:rsidR="00ED2BB6" w:rsidRPr="0017084E" w:rsidRDefault="00ED2BB6" w:rsidP="008F53E7">
      <w:pPr>
        <w:rPr>
          <w:rFonts w:eastAsia="ITC Franklin Gothic Book"/>
        </w:rPr>
      </w:pPr>
      <w:r w:rsidRPr="0017084E">
        <w:rPr>
          <w:rFonts w:eastAsia="ITC Franklin Gothic Book"/>
        </w:rPr>
        <w:t>Both ‘Offence Summary’ and individual SACStat pages can be printed to hard copy or saved as a PDF using your web browser’s printer settings.</w:t>
      </w:r>
    </w:p>
    <w:p w14:paraId="012C2551" w14:textId="77777777" w:rsidR="00ED2BB6" w:rsidRPr="0017084E" w:rsidRDefault="00ED2BB6" w:rsidP="008F53E7">
      <w:pPr>
        <w:pStyle w:val="Heading1"/>
        <w:rPr>
          <w:rFonts w:eastAsia="ITC Franklin Gothic Book"/>
        </w:rPr>
      </w:pPr>
      <w:r w:rsidRPr="0017084E">
        <w:rPr>
          <w:rFonts w:eastAsia="ITC Franklin Gothic Book"/>
        </w:rPr>
        <w:lastRenderedPageBreak/>
        <w:t>Counting Rules and Limitations</w:t>
      </w:r>
    </w:p>
    <w:p w14:paraId="15A05338" w14:textId="3ECCFAD5" w:rsidR="00ED2BB6" w:rsidRPr="0017084E" w:rsidRDefault="00ED2BB6" w:rsidP="008F53E7">
      <w:pPr>
        <w:rPr>
          <w:rFonts w:eastAsia="ITC Franklin Gothic Book"/>
        </w:rPr>
      </w:pPr>
      <w:r w:rsidRPr="0017084E">
        <w:rPr>
          <w:rFonts w:eastAsia="ITC Franklin Gothic Book"/>
        </w:rPr>
        <w:t xml:space="preserve">SACStat’s counting rules and limitations are summarised in the table </w:t>
      </w:r>
      <w:r w:rsidR="00CC51BF">
        <w:rPr>
          <w:rFonts w:eastAsia="ITC Franklin Gothic Book"/>
        </w:rPr>
        <w:t>below</w:t>
      </w:r>
      <w:r w:rsidRPr="0017084E">
        <w:rPr>
          <w:rFonts w:eastAsia="ITC Franklin Gothic Book"/>
        </w:rPr>
        <w:t>. A complete description of counting rules is also available under</w:t>
      </w:r>
      <w:r w:rsidR="00603098">
        <w:rPr>
          <w:rFonts w:eastAsia="ITC Franklin Gothic Book"/>
        </w:rPr>
        <w:t xml:space="preserve"> </w:t>
      </w:r>
      <w:r w:rsidRPr="0017084E">
        <w:rPr>
          <w:rFonts w:eastAsia="ITC Franklin Gothic Book"/>
        </w:rPr>
        <w:t>‘Technical Notes’ on the SACStat home page.</w:t>
      </w:r>
    </w:p>
    <w:p w14:paraId="42A54710" w14:textId="77777777" w:rsidR="00ED2BB6" w:rsidRPr="0017084E" w:rsidRDefault="00ED2BB6" w:rsidP="008F53E7">
      <w:pPr>
        <w:rPr>
          <w:rFonts w:eastAsia="ITC Franklin Gothic Book"/>
        </w:rPr>
      </w:pPr>
      <w:r w:rsidRPr="0017084E">
        <w:rPr>
          <w:rFonts w:eastAsia="ITC Franklin Gothic Book"/>
        </w:rPr>
        <w:t>Limitations in the counting rules for SACStat’s Magistrates’ Court statistics make its data for sentencing by case much less reliable than its data for sentencing by charge.</w:t>
      </w:r>
    </w:p>
    <w:p w14:paraId="59A40D3C" w14:textId="77777777" w:rsidR="00ED2BB6" w:rsidRPr="008F6449" w:rsidRDefault="00ED2BB6" w:rsidP="00552F69">
      <w:pPr>
        <w:pStyle w:val="Heading2"/>
      </w:pPr>
      <w:r w:rsidRPr="0017084E">
        <w:rPr>
          <w:rFonts w:eastAsia="ITC Franklin Gothic Book"/>
        </w:rPr>
        <w:t>Summary of Counting Rules and Limitations</w:t>
      </w:r>
    </w:p>
    <w:tbl>
      <w:tblPr>
        <w:tblStyle w:val="Table"/>
        <w:tblW w:w="0" w:type="auto"/>
        <w:tblLook w:val="01E0" w:firstRow="1" w:lastRow="1" w:firstColumn="1" w:lastColumn="1" w:noHBand="0" w:noVBand="0"/>
      </w:tblPr>
      <w:tblGrid>
        <w:gridCol w:w="3150"/>
        <w:gridCol w:w="2764"/>
        <w:gridCol w:w="3102"/>
      </w:tblGrid>
      <w:tr w:rsidR="00165837" w:rsidRPr="0017084E" w14:paraId="42F1102B" w14:textId="77777777" w:rsidTr="0056573D">
        <w:trPr>
          <w:trHeight w:val="20"/>
          <w:tblHeader/>
        </w:trPr>
        <w:tc>
          <w:tcPr>
            <w:tcW w:w="0" w:type="auto"/>
          </w:tcPr>
          <w:p w14:paraId="059CA5D8" w14:textId="77777777" w:rsidR="00165837" w:rsidRPr="0017084E" w:rsidRDefault="00663922" w:rsidP="003F75C2">
            <w:pPr>
              <w:pStyle w:val="TableHeading"/>
              <w:rPr>
                <w:rFonts w:eastAsia="ITC Franklin Gothic Book"/>
              </w:rPr>
            </w:pPr>
            <w:r w:rsidRPr="0017084E">
              <w:rPr>
                <w:rFonts w:eastAsia="ITC Franklin Gothic Book"/>
              </w:rPr>
              <w:t>Court</w:t>
            </w:r>
          </w:p>
        </w:tc>
        <w:tc>
          <w:tcPr>
            <w:tcW w:w="0" w:type="auto"/>
          </w:tcPr>
          <w:p w14:paraId="65930A49" w14:textId="77777777" w:rsidR="00165837" w:rsidRPr="0017084E" w:rsidRDefault="00165837" w:rsidP="00BF5F7C">
            <w:pPr>
              <w:pStyle w:val="TableBody"/>
              <w:rPr>
                <w:rFonts w:eastAsia="ITC Franklin Gothic Book"/>
              </w:rPr>
            </w:pPr>
            <w:r w:rsidRPr="0017084E">
              <w:rPr>
                <w:rFonts w:eastAsia="ITC Franklin Gothic Book"/>
              </w:rPr>
              <w:t>Higher courts</w:t>
            </w:r>
          </w:p>
        </w:tc>
        <w:tc>
          <w:tcPr>
            <w:tcW w:w="0" w:type="auto"/>
          </w:tcPr>
          <w:p w14:paraId="54FE82E9" w14:textId="77777777" w:rsidR="00165837" w:rsidRPr="0017084E" w:rsidRDefault="00165837" w:rsidP="00BF5F7C">
            <w:pPr>
              <w:pStyle w:val="TableBody"/>
              <w:rPr>
                <w:rFonts w:eastAsia="ITC Franklin Gothic Book"/>
              </w:rPr>
            </w:pPr>
            <w:r w:rsidRPr="0017084E">
              <w:rPr>
                <w:rFonts w:eastAsia="ITC Franklin Gothic Book"/>
              </w:rPr>
              <w:t>Magistrates’ Court</w:t>
            </w:r>
          </w:p>
        </w:tc>
      </w:tr>
      <w:tr w:rsidR="00ED2BB6" w:rsidRPr="0017084E" w14:paraId="073E8105" w14:textId="77777777" w:rsidTr="0056573D">
        <w:trPr>
          <w:trHeight w:val="20"/>
          <w:tblHeader/>
        </w:trPr>
        <w:tc>
          <w:tcPr>
            <w:tcW w:w="0" w:type="auto"/>
          </w:tcPr>
          <w:p w14:paraId="35060E33" w14:textId="77777777" w:rsidR="00ED2BB6" w:rsidRPr="0017084E" w:rsidRDefault="00ED2BB6" w:rsidP="003F75C2">
            <w:pPr>
              <w:pStyle w:val="TableHeading"/>
              <w:rPr>
                <w:rFonts w:eastAsia="ITC Franklin Gothic Book"/>
              </w:rPr>
            </w:pPr>
            <w:r w:rsidRPr="0017084E">
              <w:rPr>
                <w:rFonts w:eastAsia="ITC Franklin Gothic Book"/>
              </w:rPr>
              <w:t>Reference period</w:t>
            </w:r>
          </w:p>
        </w:tc>
        <w:tc>
          <w:tcPr>
            <w:tcW w:w="0" w:type="auto"/>
          </w:tcPr>
          <w:p w14:paraId="445B866E" w14:textId="7F092742" w:rsidR="00ED2BB6" w:rsidRPr="0017084E" w:rsidRDefault="00ED2BB6" w:rsidP="00BF5F7C">
            <w:pPr>
              <w:pStyle w:val="TableBody"/>
              <w:rPr>
                <w:rFonts w:eastAsia="ITC Franklin Gothic Book"/>
              </w:rPr>
            </w:pPr>
            <w:r w:rsidRPr="0017084E">
              <w:rPr>
                <w:rFonts w:eastAsia="ITC Franklin Gothic Book"/>
              </w:rPr>
              <w:t xml:space="preserve">5 years to 30 June </w:t>
            </w:r>
            <w:r w:rsidR="004B6DFC">
              <w:rPr>
                <w:rFonts w:eastAsia="ITC Franklin Gothic Book"/>
              </w:rPr>
              <w:t>202</w:t>
            </w:r>
            <w:r w:rsidR="00F35292">
              <w:rPr>
                <w:rFonts w:eastAsia="ITC Franklin Gothic Book"/>
              </w:rPr>
              <w:t>1</w:t>
            </w:r>
            <w:r w:rsidR="001225CF">
              <w:rPr>
                <w:rFonts w:eastAsia="ITC Franklin Gothic Book"/>
              </w:rPr>
              <w:t xml:space="preserve"> </w:t>
            </w:r>
          </w:p>
        </w:tc>
        <w:tc>
          <w:tcPr>
            <w:tcW w:w="0" w:type="auto"/>
          </w:tcPr>
          <w:p w14:paraId="064103E1" w14:textId="25FA932C" w:rsidR="00ED2BB6" w:rsidRPr="0017084E" w:rsidRDefault="00ED2BB6" w:rsidP="00BF5F7C">
            <w:pPr>
              <w:pStyle w:val="TableBody"/>
              <w:rPr>
                <w:rFonts w:eastAsia="ITC Franklin Gothic Book"/>
              </w:rPr>
            </w:pPr>
            <w:r w:rsidRPr="0017084E">
              <w:rPr>
                <w:rFonts w:eastAsia="ITC Franklin Gothic Book"/>
              </w:rPr>
              <w:t>3 years to 30 June 20</w:t>
            </w:r>
            <w:r w:rsidR="00AD3296">
              <w:rPr>
                <w:rFonts w:eastAsia="ITC Franklin Gothic Book"/>
              </w:rPr>
              <w:t>21</w:t>
            </w:r>
          </w:p>
        </w:tc>
      </w:tr>
      <w:tr w:rsidR="00C45421" w:rsidRPr="0017084E" w14:paraId="511348B3" w14:textId="77777777" w:rsidTr="0056573D">
        <w:trPr>
          <w:trHeight w:val="20"/>
          <w:tblHeader/>
        </w:trPr>
        <w:tc>
          <w:tcPr>
            <w:tcW w:w="0" w:type="auto"/>
          </w:tcPr>
          <w:p w14:paraId="03E84BBA" w14:textId="77777777" w:rsidR="00C45421" w:rsidRPr="0017084E" w:rsidRDefault="00C45421" w:rsidP="003F75C2">
            <w:pPr>
              <w:pStyle w:val="TableHeading"/>
              <w:rPr>
                <w:rFonts w:eastAsia="ITC Franklin Gothic Book"/>
              </w:rPr>
            </w:pPr>
            <w:r w:rsidRPr="0017084E">
              <w:rPr>
                <w:rFonts w:eastAsia="ITC Franklin Gothic Book"/>
              </w:rPr>
              <w:t>Outcomes for charges of an offence</w:t>
            </w:r>
          </w:p>
        </w:tc>
        <w:tc>
          <w:tcPr>
            <w:tcW w:w="0" w:type="auto"/>
          </w:tcPr>
          <w:p w14:paraId="01ADC6D0" w14:textId="77777777" w:rsidR="00C45421" w:rsidRPr="0017084E" w:rsidRDefault="00C45421" w:rsidP="00BF5F7C">
            <w:pPr>
              <w:pStyle w:val="TableBody"/>
              <w:rPr>
                <w:rFonts w:eastAsia="ITC Franklin Gothic Book"/>
              </w:rPr>
            </w:pPr>
            <w:r w:rsidRPr="0017084E">
              <w:rPr>
                <w:rFonts w:eastAsia="ITC Franklin Gothic Book"/>
              </w:rPr>
              <w:t>Yes</w:t>
            </w:r>
          </w:p>
        </w:tc>
        <w:tc>
          <w:tcPr>
            <w:tcW w:w="0" w:type="auto"/>
          </w:tcPr>
          <w:p w14:paraId="02B0BB6F" w14:textId="77777777" w:rsidR="00C45421" w:rsidRPr="0017084E" w:rsidRDefault="00C45421" w:rsidP="00BF5F7C">
            <w:pPr>
              <w:pStyle w:val="TableBody"/>
              <w:rPr>
                <w:rFonts w:eastAsia="ITC Franklin Gothic Book"/>
              </w:rPr>
            </w:pPr>
            <w:r w:rsidRPr="0017084E">
              <w:rPr>
                <w:rFonts w:eastAsia="ITC Franklin Gothic Book"/>
              </w:rPr>
              <w:t>Yes</w:t>
            </w:r>
          </w:p>
        </w:tc>
      </w:tr>
      <w:tr w:rsidR="00ED2BB6" w:rsidRPr="0017084E" w14:paraId="1A31A973" w14:textId="77777777" w:rsidTr="0056573D">
        <w:trPr>
          <w:trHeight w:val="20"/>
          <w:tblHeader/>
        </w:trPr>
        <w:tc>
          <w:tcPr>
            <w:tcW w:w="0" w:type="auto"/>
          </w:tcPr>
          <w:p w14:paraId="6BD8CE6A" w14:textId="77777777" w:rsidR="00ED2BB6" w:rsidRPr="0017084E" w:rsidRDefault="00ED2BB6" w:rsidP="003F75C2">
            <w:pPr>
              <w:pStyle w:val="TableHeading"/>
              <w:rPr>
                <w:rFonts w:eastAsia="ITC Franklin Gothic Book"/>
              </w:rPr>
            </w:pPr>
            <w:r w:rsidRPr="0017084E">
              <w:rPr>
                <w:rFonts w:eastAsia="ITC Franklin Gothic Book"/>
              </w:rPr>
              <w:t>Outcomes for cases that include a charge of an offence</w:t>
            </w:r>
          </w:p>
        </w:tc>
        <w:tc>
          <w:tcPr>
            <w:tcW w:w="0" w:type="auto"/>
          </w:tcPr>
          <w:p w14:paraId="7773B76F" w14:textId="77777777" w:rsidR="00ED2BB6" w:rsidRPr="0017084E" w:rsidRDefault="00ED2BB6" w:rsidP="00BF5F7C">
            <w:pPr>
              <w:pStyle w:val="TableBody"/>
              <w:rPr>
                <w:rFonts w:eastAsia="ITC Franklin Gothic Book"/>
              </w:rPr>
            </w:pPr>
            <w:r w:rsidRPr="0017084E">
              <w:rPr>
                <w:rFonts w:eastAsia="ITC Franklin Gothic Book"/>
              </w:rPr>
              <w:t>Yes, based on principal proven offence</w:t>
            </w:r>
          </w:p>
        </w:tc>
        <w:tc>
          <w:tcPr>
            <w:tcW w:w="0" w:type="auto"/>
          </w:tcPr>
          <w:p w14:paraId="2D511224" w14:textId="77777777" w:rsidR="00ED2BB6" w:rsidRPr="0017084E" w:rsidRDefault="00ED2BB6" w:rsidP="00BF5F7C">
            <w:pPr>
              <w:pStyle w:val="TableBody"/>
              <w:rPr>
                <w:rFonts w:eastAsia="ITC Franklin Gothic Book"/>
              </w:rPr>
            </w:pPr>
            <w:r w:rsidRPr="0017084E">
              <w:rPr>
                <w:rFonts w:eastAsia="ITC Franklin Gothic Book"/>
              </w:rPr>
              <w:t>Yes, based on a charge of the offence being ‘anywhere in the case’</w:t>
            </w:r>
          </w:p>
        </w:tc>
      </w:tr>
      <w:tr w:rsidR="00527348" w:rsidRPr="0017084E" w14:paraId="45D16C72" w14:textId="77777777" w:rsidTr="0056573D">
        <w:trPr>
          <w:trHeight w:val="20"/>
          <w:tblHeader/>
        </w:trPr>
        <w:tc>
          <w:tcPr>
            <w:tcW w:w="0" w:type="auto"/>
          </w:tcPr>
          <w:p w14:paraId="7E3E675B" w14:textId="77777777" w:rsidR="00527348" w:rsidRPr="0017084E" w:rsidRDefault="00527348" w:rsidP="003F75C2">
            <w:pPr>
              <w:pStyle w:val="TableHeading"/>
              <w:rPr>
                <w:rFonts w:eastAsia="ITC Franklin Gothic Book"/>
              </w:rPr>
            </w:pPr>
            <w:r w:rsidRPr="0017084E">
              <w:rPr>
                <w:rFonts w:eastAsia="ITC Franklin Gothic Book"/>
              </w:rPr>
              <w:t>Aggregate sentence lengths</w:t>
            </w:r>
          </w:p>
        </w:tc>
        <w:tc>
          <w:tcPr>
            <w:tcW w:w="0" w:type="auto"/>
          </w:tcPr>
          <w:p w14:paraId="3B10124F" w14:textId="77777777" w:rsidR="00527348" w:rsidRPr="0017084E" w:rsidRDefault="00527348" w:rsidP="00BF5F7C">
            <w:pPr>
              <w:pStyle w:val="TableBody"/>
              <w:rPr>
                <w:rFonts w:eastAsia="ITC Franklin Gothic Book"/>
              </w:rPr>
            </w:pPr>
            <w:r w:rsidRPr="0017084E">
              <w:rPr>
                <w:rFonts w:eastAsia="ITC Franklin Gothic Book"/>
              </w:rPr>
              <w:t>No</w:t>
            </w:r>
          </w:p>
        </w:tc>
        <w:tc>
          <w:tcPr>
            <w:tcW w:w="0" w:type="auto"/>
          </w:tcPr>
          <w:p w14:paraId="729B2B1A" w14:textId="77777777" w:rsidR="00527348" w:rsidRPr="0017084E" w:rsidRDefault="00527348" w:rsidP="00BF5F7C">
            <w:pPr>
              <w:pStyle w:val="TableBody"/>
              <w:rPr>
                <w:rFonts w:eastAsia="ITC Franklin Gothic Book"/>
              </w:rPr>
            </w:pPr>
            <w:r w:rsidRPr="0017084E">
              <w:rPr>
                <w:rFonts w:eastAsia="ITC Franklin Gothic Book"/>
              </w:rPr>
              <w:t>Yes</w:t>
            </w:r>
          </w:p>
        </w:tc>
      </w:tr>
      <w:tr w:rsidR="00ED2BB6" w:rsidRPr="0017084E" w14:paraId="0790A80A" w14:textId="77777777" w:rsidTr="0056573D">
        <w:trPr>
          <w:trHeight w:val="20"/>
          <w:tblHeader/>
        </w:trPr>
        <w:tc>
          <w:tcPr>
            <w:tcW w:w="0" w:type="auto"/>
          </w:tcPr>
          <w:p w14:paraId="0E3A2FC1" w14:textId="77777777" w:rsidR="00ED2BB6" w:rsidRPr="0017084E" w:rsidRDefault="00ED2BB6" w:rsidP="003F75C2">
            <w:pPr>
              <w:pStyle w:val="TableHeading"/>
              <w:rPr>
                <w:rFonts w:eastAsia="ITC Franklin Gothic Book"/>
              </w:rPr>
            </w:pPr>
            <w:r w:rsidRPr="0017084E">
              <w:rPr>
                <w:rFonts w:eastAsia="ITC Franklin Gothic Book"/>
              </w:rPr>
              <w:t>Appeals against sentence or conviction</w:t>
            </w:r>
          </w:p>
        </w:tc>
        <w:tc>
          <w:tcPr>
            <w:tcW w:w="0" w:type="auto"/>
          </w:tcPr>
          <w:p w14:paraId="6946A686" w14:textId="77777777" w:rsidR="00ED2BB6" w:rsidRPr="0017084E" w:rsidRDefault="00ED2BB6" w:rsidP="00BF5F7C">
            <w:pPr>
              <w:pStyle w:val="TableBody"/>
              <w:rPr>
                <w:rFonts w:eastAsia="ITC Franklin Gothic Book"/>
              </w:rPr>
            </w:pPr>
            <w:r w:rsidRPr="0017084E">
              <w:rPr>
                <w:rFonts w:eastAsia="ITC Franklin Gothic Book"/>
              </w:rPr>
              <w:t>Yes</w:t>
            </w:r>
          </w:p>
        </w:tc>
        <w:tc>
          <w:tcPr>
            <w:tcW w:w="0" w:type="auto"/>
          </w:tcPr>
          <w:p w14:paraId="566F5159" w14:textId="77777777" w:rsidR="00ED2BB6" w:rsidRPr="0017084E" w:rsidRDefault="00ED2BB6" w:rsidP="00BF5F7C">
            <w:pPr>
              <w:pStyle w:val="TableBody"/>
              <w:rPr>
                <w:rFonts w:eastAsia="ITC Franklin Gothic Book"/>
              </w:rPr>
            </w:pPr>
            <w:r w:rsidRPr="0017084E">
              <w:rPr>
                <w:rFonts w:eastAsia="ITC Franklin Gothic Book"/>
              </w:rPr>
              <w:t>No</w:t>
            </w:r>
          </w:p>
        </w:tc>
      </w:tr>
      <w:tr w:rsidR="00165837" w:rsidRPr="0017084E" w14:paraId="193B5020" w14:textId="77777777" w:rsidTr="0056573D">
        <w:trPr>
          <w:trHeight w:val="20"/>
          <w:tblHeader/>
        </w:trPr>
        <w:tc>
          <w:tcPr>
            <w:tcW w:w="0" w:type="auto"/>
          </w:tcPr>
          <w:p w14:paraId="538B3FE7" w14:textId="77777777" w:rsidR="00165837" w:rsidRPr="0017084E" w:rsidRDefault="00F243D1" w:rsidP="003F75C2">
            <w:pPr>
              <w:pStyle w:val="TableHeading"/>
              <w:rPr>
                <w:rFonts w:eastAsia="ITC Franklin Gothic Book"/>
              </w:rPr>
            </w:pPr>
            <w:r w:rsidRPr="0017084E">
              <w:rPr>
                <w:rFonts w:eastAsia="ITC Franklin Gothic Book"/>
              </w:rPr>
              <w:t>Minimum number of charges/cases for inclusion in SACStat</w:t>
            </w:r>
          </w:p>
        </w:tc>
        <w:tc>
          <w:tcPr>
            <w:tcW w:w="0" w:type="auto"/>
          </w:tcPr>
          <w:p w14:paraId="201F6A92" w14:textId="77777777" w:rsidR="00165837" w:rsidRPr="0017084E" w:rsidRDefault="00F243D1" w:rsidP="00BF5F7C">
            <w:pPr>
              <w:pStyle w:val="TableBody"/>
              <w:rPr>
                <w:rFonts w:eastAsia="ITC Franklin Gothic Book"/>
              </w:rPr>
            </w:pPr>
            <w:r w:rsidRPr="0017084E">
              <w:rPr>
                <w:rFonts w:eastAsia="ITC Franklin Gothic Book"/>
              </w:rPr>
              <w:t>10 charges and/or cases over the 5 years</w:t>
            </w:r>
          </w:p>
        </w:tc>
        <w:tc>
          <w:tcPr>
            <w:tcW w:w="0" w:type="auto"/>
          </w:tcPr>
          <w:p w14:paraId="70481ADC" w14:textId="77777777" w:rsidR="00165837" w:rsidRPr="0017084E" w:rsidRDefault="00F243D1" w:rsidP="00BF5F7C">
            <w:pPr>
              <w:pStyle w:val="TableBody"/>
              <w:rPr>
                <w:rFonts w:eastAsia="ITC Franklin Gothic Book"/>
              </w:rPr>
            </w:pPr>
            <w:r w:rsidRPr="0017084E">
              <w:rPr>
                <w:rFonts w:eastAsia="ITC Franklin Gothic Book"/>
              </w:rPr>
              <w:t>40 charges over the 3 years</w:t>
            </w:r>
          </w:p>
        </w:tc>
      </w:tr>
      <w:tr w:rsidR="00ED2BB6" w:rsidRPr="0017084E" w14:paraId="7984E5C7" w14:textId="77777777" w:rsidTr="0056573D">
        <w:trPr>
          <w:trHeight w:val="20"/>
          <w:tblHeader/>
        </w:trPr>
        <w:tc>
          <w:tcPr>
            <w:tcW w:w="0" w:type="auto"/>
          </w:tcPr>
          <w:p w14:paraId="137DAC2D" w14:textId="77777777" w:rsidR="00ED2BB6" w:rsidRPr="0017084E" w:rsidRDefault="00ED2BB6" w:rsidP="003F75C2">
            <w:pPr>
              <w:pStyle w:val="TableHeading"/>
              <w:rPr>
                <w:rFonts w:eastAsia="ITC Franklin Gothic Book"/>
              </w:rPr>
            </w:pPr>
            <w:r w:rsidRPr="0017084E">
              <w:rPr>
                <w:rFonts w:eastAsia="ITC Franklin Gothic Book"/>
              </w:rPr>
              <w:t>Offence summary</w:t>
            </w:r>
          </w:p>
        </w:tc>
        <w:tc>
          <w:tcPr>
            <w:tcW w:w="0" w:type="auto"/>
          </w:tcPr>
          <w:p w14:paraId="5742F7F0" w14:textId="77777777" w:rsidR="00ED2BB6" w:rsidRPr="0017084E" w:rsidRDefault="00ED2BB6" w:rsidP="00BF5F7C">
            <w:pPr>
              <w:pStyle w:val="TableBody"/>
              <w:rPr>
                <w:rFonts w:eastAsia="ITC Franklin Gothic Book"/>
              </w:rPr>
            </w:pPr>
            <w:r w:rsidRPr="0017084E">
              <w:rPr>
                <w:rFonts w:eastAsia="ITC Franklin Gothic Book"/>
              </w:rPr>
              <w:t>Yes, for offences with 10 or more cases with imprisonment</w:t>
            </w:r>
          </w:p>
        </w:tc>
        <w:tc>
          <w:tcPr>
            <w:tcW w:w="0" w:type="auto"/>
          </w:tcPr>
          <w:p w14:paraId="3F2E97DE" w14:textId="77777777" w:rsidR="00ED2BB6" w:rsidRPr="0017084E" w:rsidRDefault="00ED2BB6" w:rsidP="00BF5F7C">
            <w:pPr>
              <w:pStyle w:val="TableBody"/>
              <w:rPr>
                <w:rFonts w:eastAsia="ITC Franklin Gothic Book"/>
              </w:rPr>
            </w:pPr>
            <w:r w:rsidRPr="0017084E">
              <w:rPr>
                <w:rFonts w:eastAsia="ITC Franklin Gothic Book"/>
              </w:rPr>
              <w:t>Yes, for all offences</w:t>
            </w:r>
          </w:p>
        </w:tc>
      </w:tr>
      <w:tr w:rsidR="00ED2BB6" w:rsidRPr="0017084E" w14:paraId="1B715077" w14:textId="77777777" w:rsidTr="0056573D">
        <w:trPr>
          <w:trHeight w:val="20"/>
          <w:tblHeader/>
        </w:trPr>
        <w:tc>
          <w:tcPr>
            <w:tcW w:w="0" w:type="auto"/>
          </w:tcPr>
          <w:p w14:paraId="7A700417" w14:textId="77777777" w:rsidR="00ED2BB6" w:rsidRPr="0017084E" w:rsidRDefault="00ED2BB6" w:rsidP="003F75C2">
            <w:pPr>
              <w:pStyle w:val="TableHeading"/>
              <w:rPr>
                <w:rFonts w:eastAsia="ITC Franklin Gothic Book"/>
              </w:rPr>
            </w:pPr>
            <w:r w:rsidRPr="0017084E">
              <w:rPr>
                <w:rFonts w:eastAsia="ITC Franklin Gothic Book"/>
              </w:rPr>
              <w:t>Excluded offences</w:t>
            </w:r>
          </w:p>
        </w:tc>
        <w:tc>
          <w:tcPr>
            <w:tcW w:w="0" w:type="auto"/>
          </w:tcPr>
          <w:p w14:paraId="3659EFDA" w14:textId="77777777" w:rsidR="00ED2BB6" w:rsidRPr="0017084E" w:rsidRDefault="00ED2BB6" w:rsidP="00BF5F7C">
            <w:pPr>
              <w:pStyle w:val="TableBody"/>
              <w:rPr>
                <w:rFonts w:eastAsia="ITC Franklin Gothic Book"/>
              </w:rPr>
            </w:pPr>
            <w:r w:rsidRPr="0017084E">
              <w:rPr>
                <w:rFonts w:eastAsia="ITC Franklin Gothic Book"/>
              </w:rPr>
              <w:t>None</w:t>
            </w:r>
          </w:p>
        </w:tc>
        <w:tc>
          <w:tcPr>
            <w:tcW w:w="0" w:type="auto"/>
          </w:tcPr>
          <w:p w14:paraId="33533DA9" w14:textId="77777777" w:rsidR="00ED2BB6" w:rsidRPr="0017084E" w:rsidRDefault="00ED2BB6" w:rsidP="00BF5F7C">
            <w:pPr>
              <w:pStyle w:val="TableBody"/>
              <w:rPr>
                <w:rFonts w:eastAsia="ITC Franklin Gothic Book"/>
              </w:rPr>
            </w:pPr>
            <w:r w:rsidRPr="0017084E">
              <w:rPr>
                <w:rFonts w:eastAsia="ITC Franklin Gothic Book"/>
              </w:rPr>
              <w:t>Commonwealth and local government offences</w:t>
            </w:r>
          </w:p>
        </w:tc>
      </w:tr>
    </w:tbl>
    <w:p w14:paraId="6528B76D" w14:textId="77777777" w:rsidR="00ED2BB6" w:rsidRPr="0017084E" w:rsidRDefault="00ED2BB6" w:rsidP="008A590E">
      <w:pPr>
        <w:pStyle w:val="Heading1"/>
        <w:rPr>
          <w:rFonts w:eastAsia="ITC Franklin Gothic Book"/>
        </w:rPr>
      </w:pPr>
      <w:r w:rsidRPr="0017084E">
        <w:rPr>
          <w:rFonts w:eastAsia="ITC Franklin Gothic Book"/>
        </w:rPr>
        <w:t>Queries and Problems</w:t>
      </w:r>
    </w:p>
    <w:p w14:paraId="6611B466" w14:textId="266BCE0C" w:rsidR="00ED2BB6" w:rsidRPr="0017084E" w:rsidRDefault="00ED2BB6" w:rsidP="008A590E">
      <w:pPr>
        <w:rPr>
          <w:rFonts w:eastAsia="ITC Franklin Gothic Book"/>
        </w:rPr>
      </w:pPr>
      <w:r w:rsidRPr="008F6449">
        <w:rPr>
          <w:rFonts w:eastAsia="ITC Franklin Gothic Book"/>
        </w:rPr>
        <w:t xml:space="preserve">If you have a query </w:t>
      </w:r>
      <w:r w:rsidR="00D45DC3">
        <w:rPr>
          <w:rFonts w:eastAsia="ITC Franklin Gothic Book"/>
        </w:rPr>
        <w:t>about</w:t>
      </w:r>
      <w:r w:rsidRPr="008F6449">
        <w:rPr>
          <w:rFonts w:eastAsia="ITC Franklin Gothic Book"/>
        </w:rPr>
        <w:t xml:space="preserve"> SACStat, try our </w:t>
      </w:r>
      <w:hyperlink r:id="rId10">
        <w:r w:rsidRPr="0017084E">
          <w:rPr>
            <w:rFonts w:eastAsia="ITC Franklin Gothic Book"/>
            <w:sz w:val="22"/>
            <w:szCs w:val="22"/>
            <w:u w:color="0562C1"/>
          </w:rPr>
          <w:t>How to Use SACStat</w:t>
        </w:r>
        <w:r w:rsidRPr="0017084E">
          <w:rPr>
            <w:rFonts w:eastAsia="ITC Franklin Gothic Book"/>
            <w:sz w:val="22"/>
            <w:szCs w:val="22"/>
          </w:rPr>
          <w:t xml:space="preserve"> </w:t>
        </w:r>
      </w:hyperlink>
      <w:r w:rsidRPr="008F6449">
        <w:rPr>
          <w:rFonts w:eastAsia="ITC Franklin Gothic Book"/>
        </w:rPr>
        <w:t xml:space="preserve">page, </w:t>
      </w:r>
      <w:hyperlink r:id="rId11">
        <w:r w:rsidRPr="0017084E">
          <w:rPr>
            <w:rFonts w:eastAsia="ITC Franklin Gothic Book"/>
            <w:sz w:val="22"/>
            <w:szCs w:val="22"/>
            <w:u w:color="0562C1"/>
          </w:rPr>
          <w:t>Technical Notes</w:t>
        </w:r>
        <w:r w:rsidRPr="0017084E">
          <w:rPr>
            <w:rFonts w:eastAsia="ITC Franklin Gothic Book"/>
            <w:sz w:val="22"/>
            <w:szCs w:val="22"/>
          </w:rPr>
          <w:t xml:space="preserve"> </w:t>
        </w:r>
      </w:hyperlink>
      <w:r w:rsidRPr="008F6449">
        <w:rPr>
          <w:rFonts w:eastAsia="ITC Franklin Gothic Book"/>
        </w:rPr>
        <w:t xml:space="preserve">or </w:t>
      </w:r>
      <w:hyperlink r:id="rId12">
        <w:r w:rsidRPr="0017084E">
          <w:rPr>
            <w:rFonts w:eastAsia="ITC Franklin Gothic Book"/>
            <w:sz w:val="22"/>
            <w:szCs w:val="22"/>
            <w:u w:color="0562C1"/>
          </w:rPr>
          <w:t>Glossary</w:t>
        </w:r>
      </w:hyperlink>
      <w:r w:rsidRPr="008F6449">
        <w:rPr>
          <w:rFonts w:eastAsia="ITC Franklin Gothic Book"/>
        </w:rPr>
        <w:t>. If you’re unable to resolve your query, please contact us.</w:t>
      </w:r>
    </w:p>
    <w:p w14:paraId="5042AB29" w14:textId="77777777" w:rsidR="00ED2BB6" w:rsidRPr="0017084E" w:rsidRDefault="00ED2BB6" w:rsidP="008A590E">
      <w:pPr>
        <w:pStyle w:val="Heading1"/>
        <w:rPr>
          <w:rFonts w:eastAsia="ITC Franklin Gothic Book"/>
        </w:rPr>
      </w:pPr>
      <w:r w:rsidRPr="0017084E">
        <w:rPr>
          <w:rFonts w:eastAsia="ITC Franklin Gothic Book"/>
        </w:rPr>
        <w:t>Education and Training</w:t>
      </w:r>
    </w:p>
    <w:p w14:paraId="28AD1245" w14:textId="2AD15B72" w:rsidR="00ED2BB6" w:rsidRPr="0017084E" w:rsidRDefault="00ED2BB6" w:rsidP="008A590E">
      <w:pPr>
        <w:rPr>
          <w:rFonts w:eastAsia="ITC Franklin Gothic Book"/>
        </w:rPr>
      </w:pPr>
      <w:r w:rsidRPr="0017084E">
        <w:rPr>
          <w:rFonts w:eastAsia="ITC Franklin Gothic Book"/>
        </w:rPr>
        <w:t xml:space="preserve">The Sentencing Advisory Council runs training sessions on </w:t>
      </w:r>
      <w:r w:rsidR="00D44B0D">
        <w:rPr>
          <w:rFonts w:eastAsia="ITC Franklin Gothic Book"/>
        </w:rPr>
        <w:t>finding and using sentencing statistics</w:t>
      </w:r>
      <w:r w:rsidRPr="0017084E">
        <w:rPr>
          <w:rFonts w:eastAsia="ITC Franklin Gothic Book"/>
        </w:rPr>
        <w:t>. We also provide introductory ‘You be the</w:t>
      </w:r>
      <w:r w:rsidR="008A590E" w:rsidRPr="0017084E">
        <w:rPr>
          <w:rFonts w:eastAsia="ITC Franklin Gothic Book"/>
        </w:rPr>
        <w:t xml:space="preserve"> </w:t>
      </w:r>
      <w:r w:rsidRPr="0017084E">
        <w:rPr>
          <w:rFonts w:eastAsia="ITC Franklin Gothic Book"/>
        </w:rPr>
        <w:t>Judge’ adult educational sessions on sentencing law and practice for general and specialist audiences.</w:t>
      </w:r>
      <w:r w:rsidR="00CC51BF">
        <w:rPr>
          <w:rFonts w:eastAsia="ITC Franklin Gothic Book"/>
        </w:rPr>
        <w:t xml:space="preserve"> Please contact us for more details.</w:t>
      </w:r>
    </w:p>
    <w:p w14:paraId="12A2BAC2" w14:textId="77777777" w:rsidR="00ED2BB6" w:rsidRPr="0017084E" w:rsidRDefault="00ED2BB6" w:rsidP="008A590E">
      <w:pPr>
        <w:pStyle w:val="Heading1"/>
        <w:rPr>
          <w:rFonts w:eastAsia="ITC Franklin Gothic Book"/>
        </w:rPr>
      </w:pPr>
      <w:r w:rsidRPr="0017084E">
        <w:rPr>
          <w:rFonts w:eastAsia="ITC Franklin Gothic Book"/>
        </w:rPr>
        <w:lastRenderedPageBreak/>
        <w:t>Contact Us</w:t>
      </w:r>
    </w:p>
    <w:p w14:paraId="07E36837" w14:textId="556B6326" w:rsidR="00ED2BB6" w:rsidRPr="0017084E" w:rsidRDefault="00ED2BB6" w:rsidP="008A590E">
      <w:pPr>
        <w:rPr>
          <w:rFonts w:eastAsia="ITC Franklin Gothic Book"/>
        </w:rPr>
      </w:pPr>
      <w:r w:rsidRPr="0017084E">
        <w:rPr>
          <w:rFonts w:eastAsia="ITC Franklin Gothic Book"/>
        </w:rPr>
        <w:t xml:space="preserve">To </w:t>
      </w:r>
      <w:r w:rsidR="007B615B" w:rsidRPr="0017084E">
        <w:rPr>
          <w:rFonts w:eastAsia="ITC Franklin Gothic Book"/>
        </w:rPr>
        <w:t>make an enquiry</w:t>
      </w:r>
      <w:r w:rsidR="007B615B">
        <w:rPr>
          <w:rFonts w:eastAsia="ITC Franklin Gothic Book"/>
        </w:rPr>
        <w:t xml:space="preserve"> or </w:t>
      </w:r>
      <w:r w:rsidRPr="0017084E">
        <w:rPr>
          <w:rFonts w:eastAsia="ITC Franklin Gothic Book"/>
        </w:rPr>
        <w:t>report technical problems with SACStat, please use the Contact Us form on our website</w:t>
      </w:r>
      <w:r w:rsidR="00A25557">
        <w:rPr>
          <w:rFonts w:eastAsia="ITC Franklin Gothic Book"/>
        </w:rPr>
        <w:t xml:space="preserve">. </w:t>
      </w:r>
      <w:r w:rsidR="00A25557" w:rsidRPr="004D010B">
        <w:rPr>
          <w:rFonts w:eastAsia="ITC Franklin Gothic Book"/>
        </w:rPr>
        <w:t>You can also</w:t>
      </w:r>
      <w:r w:rsidRPr="004D010B">
        <w:rPr>
          <w:rFonts w:eastAsia="ITC Franklin Gothic Book"/>
        </w:rPr>
        <w:t xml:space="preserve"> emai</w:t>
      </w:r>
      <w:r w:rsidR="00A25557" w:rsidRPr="004D010B">
        <w:rPr>
          <w:rFonts w:eastAsia="ITC Franklin Gothic Book"/>
        </w:rPr>
        <w:t>l us at contact@sentencingcouncil.vic.gov.a</w:t>
      </w:r>
      <w:r w:rsidRPr="004D010B">
        <w:rPr>
          <w:rFonts w:eastAsia="ITC Franklin Gothic Book"/>
        </w:rPr>
        <w:t>u</w:t>
      </w:r>
      <w:r w:rsidRPr="0017084E">
        <w:rPr>
          <w:rFonts w:eastAsia="ITC Franklin Gothic Book"/>
        </w:rPr>
        <w:t xml:space="preserve"> or phone us on 1300 363 196.</w:t>
      </w:r>
    </w:p>
    <w:sectPr w:rsidR="00ED2BB6" w:rsidRPr="0017084E" w:rsidSect="00ED2BB6">
      <w:headerReference w:type="even" r:id="rId13"/>
      <w:headerReference w:type="default" r:id="rId14"/>
      <w:footerReference w:type="even" r:id="rId15"/>
      <w:footerReference w:type="default" r:id="rId16"/>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7C13" w14:textId="77777777" w:rsidR="00B366E6" w:rsidRDefault="00B366E6">
      <w:pPr>
        <w:spacing w:after="0" w:line="240" w:lineRule="auto"/>
      </w:pPr>
      <w:r>
        <w:separator/>
      </w:r>
    </w:p>
  </w:endnote>
  <w:endnote w:type="continuationSeparator" w:id="0">
    <w:p w14:paraId="0863FBCE" w14:textId="77777777" w:rsidR="00B366E6" w:rsidRDefault="00B3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altName w:val="Times New Roman"/>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F84F" w14:textId="77777777" w:rsidR="00A03A42" w:rsidRDefault="00A03A42">
    <w:pPr>
      <w:pStyle w:val="Footer"/>
    </w:pPr>
  </w:p>
  <w:p w14:paraId="5CCEC35E" w14:textId="77777777" w:rsidR="00ED3ADC" w:rsidRDefault="00ED3A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58C4" w14:textId="77777777" w:rsidR="006A24A4" w:rsidRDefault="006A24A4" w:rsidP="006A24A4">
    <w:pPr>
      <w:pStyle w:val="Footer"/>
      <w:ind w:left="4513" w:hanging="4513"/>
      <w:jc w:val="center"/>
    </w:pPr>
    <w:r>
      <w:fldChar w:fldCharType="begin"/>
    </w:r>
    <w:r>
      <w:instrText xml:space="preserve"> PAGE   \* MERGEFORMAT </w:instrText>
    </w:r>
    <w:r>
      <w:fldChar w:fldCharType="separate"/>
    </w:r>
    <w:r w:rsidR="00EA154F">
      <w:rPr>
        <w:noProof/>
      </w:rPr>
      <w:t>3</w:t>
    </w:r>
    <w:r>
      <w:rPr>
        <w:noProof/>
      </w:rPr>
      <w:fldChar w:fldCharType="end"/>
    </w:r>
  </w:p>
  <w:p w14:paraId="110F584F" w14:textId="77777777" w:rsidR="00ED3ADC" w:rsidRDefault="00ED3A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E892" w14:textId="77777777" w:rsidR="00B366E6" w:rsidRDefault="00B366E6">
      <w:pPr>
        <w:spacing w:after="0" w:line="240" w:lineRule="auto"/>
      </w:pPr>
      <w:r>
        <w:separator/>
      </w:r>
    </w:p>
  </w:footnote>
  <w:footnote w:type="continuationSeparator" w:id="0">
    <w:p w14:paraId="5C7EBB98" w14:textId="77777777" w:rsidR="00B366E6" w:rsidRDefault="00B3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E4FD" w14:textId="77777777" w:rsidR="00A03A42" w:rsidRDefault="00A03A42">
    <w:pPr>
      <w:pStyle w:val="Header"/>
    </w:pPr>
  </w:p>
  <w:p w14:paraId="3E019341" w14:textId="77777777" w:rsidR="00ED3ADC" w:rsidRDefault="00ED3A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A12F" w14:textId="79C17D61" w:rsidR="00ED3ADC" w:rsidRPr="003B326C" w:rsidRDefault="002579C7" w:rsidP="003B326C">
    <w:pPr>
      <w:spacing w:after="360"/>
      <w:rPr>
        <w:sz w:val="20"/>
      </w:rPr>
    </w:pPr>
    <w:r>
      <w:rPr>
        <w:sz w:val="20"/>
      </w:rPr>
      <w:t xml:space="preserve">SACStat User Guide </w:t>
    </w:r>
    <w:r w:rsidR="0070601D">
      <w:rPr>
        <w:sz w:val="20"/>
      </w:rPr>
      <w:t>●</w:t>
    </w:r>
    <w:r>
      <w:rPr>
        <w:sz w:val="20"/>
      </w:rPr>
      <w:t xml:space="preserve"> </w:t>
    </w:r>
    <w:r w:rsidR="00320EB3">
      <w:rPr>
        <w:sz w:val="20"/>
      </w:rPr>
      <w:t>July</w:t>
    </w:r>
    <w:r w:rsidR="00055A2C">
      <w:rPr>
        <w:sz w:val="20"/>
      </w:rPr>
      <w:t xml:space="preserve"> 202</w:t>
    </w:r>
    <w:r w:rsidR="00773BD2">
      <w:rPr>
        <w:sz w:val="20"/>
      </w:rPr>
      <w:t>2</w:t>
    </w:r>
    <w:r w:rsidR="009B11BD">
      <w:rPr>
        <w:sz w:val="20"/>
      </w:rPr>
      <w:t xml:space="preserve"> </w:t>
    </w:r>
    <w:r w:rsidR="001E3774">
      <w:rPr>
        <w:sz w:val="20"/>
      </w:rPr>
      <w:t xml:space="preserve">● Sentencing Advisory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5566"/>
    <w:multiLevelType w:val="hybridMultilevel"/>
    <w:tmpl w:val="FB080CA0"/>
    <w:lvl w:ilvl="0" w:tplc="22962DA0">
      <w:numFmt w:val="bullet"/>
      <w:lvlText w:val="•"/>
      <w:lvlJc w:val="left"/>
      <w:pPr>
        <w:ind w:left="1080" w:hanging="360"/>
      </w:pPr>
      <w:rPr>
        <w:rFonts w:ascii="Verdana" w:eastAsia="ITC Franklin Gothic Book" w:hAnsi="Verdana" w:cs="Times New Roman" w:hint="default"/>
        <w:color w:val="28618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5A31AD"/>
    <w:multiLevelType w:val="hybridMultilevel"/>
    <w:tmpl w:val="EA9E383E"/>
    <w:lvl w:ilvl="0" w:tplc="B6348BB6">
      <w:start w:val="1"/>
      <w:numFmt w:val="bullet"/>
      <w:lvlText w:val=""/>
      <w:lvlJc w:val="left"/>
      <w:pPr>
        <w:ind w:left="1296" w:hanging="360"/>
      </w:pPr>
      <w:rPr>
        <w:rFonts w:ascii="Symbol" w:hAnsi="Symbol" w:hint="default"/>
      </w:rPr>
    </w:lvl>
    <w:lvl w:ilvl="1" w:tplc="0C090005">
      <w:start w:val="1"/>
      <w:numFmt w:val="bullet"/>
      <w:lvlText w:val=""/>
      <w:lvlJc w:val="left"/>
      <w:pPr>
        <w:ind w:left="2016" w:hanging="360"/>
      </w:pPr>
      <w:rPr>
        <w:rFonts w:ascii="Wingdings" w:hAnsi="Wingdings"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 w15:restartNumberingAfterBreak="0">
    <w:nsid w:val="2FBD2207"/>
    <w:multiLevelType w:val="hybridMultilevel"/>
    <w:tmpl w:val="B6E87812"/>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5" w15:restartNumberingAfterBreak="0">
    <w:nsid w:val="432C3490"/>
    <w:multiLevelType w:val="hybridMultilevel"/>
    <w:tmpl w:val="7CC614E6"/>
    <w:lvl w:ilvl="0" w:tplc="0542FBF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E0E0DEA"/>
    <w:multiLevelType w:val="hybridMultilevel"/>
    <w:tmpl w:val="D5D4DB30"/>
    <w:lvl w:ilvl="0" w:tplc="22962DA0">
      <w:numFmt w:val="bullet"/>
      <w:lvlText w:val="•"/>
      <w:lvlJc w:val="left"/>
      <w:pPr>
        <w:ind w:left="720" w:hanging="360"/>
      </w:pPr>
      <w:rPr>
        <w:rFonts w:ascii="Verdana" w:eastAsia="ITC Franklin Gothic Book" w:hAnsi="Verdana" w:cs="Times New Roman" w:hint="default"/>
        <w:color w:val="2861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FB2D9F"/>
    <w:multiLevelType w:val="hybridMultilevel"/>
    <w:tmpl w:val="E630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AC27B4"/>
    <w:multiLevelType w:val="hybridMultilevel"/>
    <w:tmpl w:val="DD7EB594"/>
    <w:lvl w:ilvl="0" w:tplc="22962DA0">
      <w:numFmt w:val="bullet"/>
      <w:lvlText w:val="•"/>
      <w:lvlJc w:val="left"/>
      <w:pPr>
        <w:ind w:left="720" w:hanging="360"/>
      </w:pPr>
      <w:rPr>
        <w:rFonts w:ascii="Verdana" w:eastAsia="ITC Franklin Gothic Book" w:hAnsi="Verdana" w:cs="Times New Roman" w:hint="default"/>
        <w:color w:val="2861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8"/>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bordersDoNotSurroundHeader/>
  <w:bordersDoNotSurroundFooter/>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B6"/>
    <w:rsid w:val="00007C8C"/>
    <w:rsid w:val="00014E52"/>
    <w:rsid w:val="00014F2C"/>
    <w:rsid w:val="00034AE6"/>
    <w:rsid w:val="00035413"/>
    <w:rsid w:val="00050EE9"/>
    <w:rsid w:val="00055A2C"/>
    <w:rsid w:val="00057C77"/>
    <w:rsid w:val="00066A46"/>
    <w:rsid w:val="00075ECD"/>
    <w:rsid w:val="000802AD"/>
    <w:rsid w:val="000B634A"/>
    <w:rsid w:val="000C5A4C"/>
    <w:rsid w:val="000F454E"/>
    <w:rsid w:val="00115942"/>
    <w:rsid w:val="00120E83"/>
    <w:rsid w:val="001225CF"/>
    <w:rsid w:val="00131244"/>
    <w:rsid w:val="00135C30"/>
    <w:rsid w:val="001463DE"/>
    <w:rsid w:val="00150C14"/>
    <w:rsid w:val="00150DBB"/>
    <w:rsid w:val="0015133D"/>
    <w:rsid w:val="00152192"/>
    <w:rsid w:val="00165837"/>
    <w:rsid w:val="0017084E"/>
    <w:rsid w:val="00173049"/>
    <w:rsid w:val="00175A75"/>
    <w:rsid w:val="00191E69"/>
    <w:rsid w:val="001A0831"/>
    <w:rsid w:val="001A72C5"/>
    <w:rsid w:val="001B255C"/>
    <w:rsid w:val="001B5410"/>
    <w:rsid w:val="001D3B29"/>
    <w:rsid w:val="001E0932"/>
    <w:rsid w:val="001E3774"/>
    <w:rsid w:val="001E4E27"/>
    <w:rsid w:val="00217FD7"/>
    <w:rsid w:val="00235C11"/>
    <w:rsid w:val="00236601"/>
    <w:rsid w:val="00237CDC"/>
    <w:rsid w:val="0025199A"/>
    <w:rsid w:val="002579C7"/>
    <w:rsid w:val="00263161"/>
    <w:rsid w:val="00266788"/>
    <w:rsid w:val="00283226"/>
    <w:rsid w:val="00287374"/>
    <w:rsid w:val="002940A2"/>
    <w:rsid w:val="00294202"/>
    <w:rsid w:val="00294D1D"/>
    <w:rsid w:val="002A466E"/>
    <w:rsid w:val="002B1984"/>
    <w:rsid w:val="002C2130"/>
    <w:rsid w:val="002D322E"/>
    <w:rsid w:val="002D3764"/>
    <w:rsid w:val="002E564C"/>
    <w:rsid w:val="002F7907"/>
    <w:rsid w:val="00307BF1"/>
    <w:rsid w:val="00315675"/>
    <w:rsid w:val="00320EB3"/>
    <w:rsid w:val="003220B1"/>
    <w:rsid w:val="003316F3"/>
    <w:rsid w:val="003330BE"/>
    <w:rsid w:val="00334D30"/>
    <w:rsid w:val="00347C2A"/>
    <w:rsid w:val="00365FDF"/>
    <w:rsid w:val="00370D1B"/>
    <w:rsid w:val="003948B9"/>
    <w:rsid w:val="00395F6D"/>
    <w:rsid w:val="003B1BD7"/>
    <w:rsid w:val="003B326C"/>
    <w:rsid w:val="003B442C"/>
    <w:rsid w:val="003C3218"/>
    <w:rsid w:val="003D5C43"/>
    <w:rsid w:val="003E45C2"/>
    <w:rsid w:val="003F75C2"/>
    <w:rsid w:val="004055B5"/>
    <w:rsid w:val="00415FFD"/>
    <w:rsid w:val="0042101E"/>
    <w:rsid w:val="00423332"/>
    <w:rsid w:val="00433B52"/>
    <w:rsid w:val="00457D97"/>
    <w:rsid w:val="004665B1"/>
    <w:rsid w:val="00480D98"/>
    <w:rsid w:val="00487F5F"/>
    <w:rsid w:val="00495415"/>
    <w:rsid w:val="004B068E"/>
    <w:rsid w:val="004B12EE"/>
    <w:rsid w:val="004B6DFC"/>
    <w:rsid w:val="004D010B"/>
    <w:rsid w:val="004D055D"/>
    <w:rsid w:val="004D5EE2"/>
    <w:rsid w:val="004D7804"/>
    <w:rsid w:val="004E6367"/>
    <w:rsid w:val="005033AB"/>
    <w:rsid w:val="00526D86"/>
    <w:rsid w:val="00527348"/>
    <w:rsid w:val="00542BCC"/>
    <w:rsid w:val="00552F69"/>
    <w:rsid w:val="0056002A"/>
    <w:rsid w:val="0056573D"/>
    <w:rsid w:val="005A1A70"/>
    <w:rsid w:val="005A2DD8"/>
    <w:rsid w:val="005A3FCE"/>
    <w:rsid w:val="005A5FC3"/>
    <w:rsid w:val="005B7138"/>
    <w:rsid w:val="005C16F8"/>
    <w:rsid w:val="005C7673"/>
    <w:rsid w:val="005D7FEE"/>
    <w:rsid w:val="005E1829"/>
    <w:rsid w:val="005E444F"/>
    <w:rsid w:val="00600D96"/>
    <w:rsid w:val="00603098"/>
    <w:rsid w:val="00631741"/>
    <w:rsid w:val="00632D14"/>
    <w:rsid w:val="00633044"/>
    <w:rsid w:val="0063308C"/>
    <w:rsid w:val="00636B72"/>
    <w:rsid w:val="00637285"/>
    <w:rsid w:val="00654B4A"/>
    <w:rsid w:val="00662E7C"/>
    <w:rsid w:val="00663922"/>
    <w:rsid w:val="00672D86"/>
    <w:rsid w:val="006A24A4"/>
    <w:rsid w:val="006B72F4"/>
    <w:rsid w:val="006D202C"/>
    <w:rsid w:val="006E77B6"/>
    <w:rsid w:val="006F6A5C"/>
    <w:rsid w:val="00703380"/>
    <w:rsid w:val="0070601D"/>
    <w:rsid w:val="0071116E"/>
    <w:rsid w:val="00720DFC"/>
    <w:rsid w:val="00721731"/>
    <w:rsid w:val="00735DF1"/>
    <w:rsid w:val="00737677"/>
    <w:rsid w:val="00740F93"/>
    <w:rsid w:val="00742CAD"/>
    <w:rsid w:val="00744633"/>
    <w:rsid w:val="007455E8"/>
    <w:rsid w:val="00750C7D"/>
    <w:rsid w:val="00764EE8"/>
    <w:rsid w:val="007715AB"/>
    <w:rsid w:val="00771DA7"/>
    <w:rsid w:val="00773BD2"/>
    <w:rsid w:val="00786CC9"/>
    <w:rsid w:val="00790C4F"/>
    <w:rsid w:val="0079653F"/>
    <w:rsid w:val="0079735B"/>
    <w:rsid w:val="007B298F"/>
    <w:rsid w:val="007B615B"/>
    <w:rsid w:val="007B7B5A"/>
    <w:rsid w:val="007C190B"/>
    <w:rsid w:val="007D1915"/>
    <w:rsid w:val="007E570C"/>
    <w:rsid w:val="007F25B8"/>
    <w:rsid w:val="007F788C"/>
    <w:rsid w:val="00814C4B"/>
    <w:rsid w:val="00822C6B"/>
    <w:rsid w:val="00831665"/>
    <w:rsid w:val="00831DDA"/>
    <w:rsid w:val="00852431"/>
    <w:rsid w:val="00854A59"/>
    <w:rsid w:val="00860690"/>
    <w:rsid w:val="00875A2F"/>
    <w:rsid w:val="00875E56"/>
    <w:rsid w:val="00896433"/>
    <w:rsid w:val="0089673C"/>
    <w:rsid w:val="008A365A"/>
    <w:rsid w:val="008A590E"/>
    <w:rsid w:val="008B2E75"/>
    <w:rsid w:val="008C0CC7"/>
    <w:rsid w:val="008C52BC"/>
    <w:rsid w:val="008E470B"/>
    <w:rsid w:val="008F0875"/>
    <w:rsid w:val="008F53E7"/>
    <w:rsid w:val="008F6449"/>
    <w:rsid w:val="00911956"/>
    <w:rsid w:val="009503C4"/>
    <w:rsid w:val="00951DEC"/>
    <w:rsid w:val="009603FA"/>
    <w:rsid w:val="00962ED1"/>
    <w:rsid w:val="00963820"/>
    <w:rsid w:val="00980DC2"/>
    <w:rsid w:val="00983D8C"/>
    <w:rsid w:val="009939F2"/>
    <w:rsid w:val="009967EC"/>
    <w:rsid w:val="009B11BD"/>
    <w:rsid w:val="009B171E"/>
    <w:rsid w:val="009C21E2"/>
    <w:rsid w:val="009C32E2"/>
    <w:rsid w:val="009D0FD7"/>
    <w:rsid w:val="009D1FE4"/>
    <w:rsid w:val="009E5334"/>
    <w:rsid w:val="009F489E"/>
    <w:rsid w:val="00A03A42"/>
    <w:rsid w:val="00A042E9"/>
    <w:rsid w:val="00A051EB"/>
    <w:rsid w:val="00A16780"/>
    <w:rsid w:val="00A25557"/>
    <w:rsid w:val="00A679FC"/>
    <w:rsid w:val="00A73E41"/>
    <w:rsid w:val="00A813A8"/>
    <w:rsid w:val="00A94AEB"/>
    <w:rsid w:val="00A96DDD"/>
    <w:rsid w:val="00AC09D3"/>
    <w:rsid w:val="00AC54F2"/>
    <w:rsid w:val="00AD3296"/>
    <w:rsid w:val="00AE0DB0"/>
    <w:rsid w:val="00AE163C"/>
    <w:rsid w:val="00AE239B"/>
    <w:rsid w:val="00AE709F"/>
    <w:rsid w:val="00AE75F2"/>
    <w:rsid w:val="00B046C4"/>
    <w:rsid w:val="00B052EE"/>
    <w:rsid w:val="00B060F0"/>
    <w:rsid w:val="00B07B3F"/>
    <w:rsid w:val="00B366E6"/>
    <w:rsid w:val="00B8362F"/>
    <w:rsid w:val="00B83836"/>
    <w:rsid w:val="00B84113"/>
    <w:rsid w:val="00B8510A"/>
    <w:rsid w:val="00B94173"/>
    <w:rsid w:val="00BB426A"/>
    <w:rsid w:val="00BF5F7C"/>
    <w:rsid w:val="00C0128D"/>
    <w:rsid w:val="00C0646D"/>
    <w:rsid w:val="00C22333"/>
    <w:rsid w:val="00C279BA"/>
    <w:rsid w:val="00C45421"/>
    <w:rsid w:val="00C54DC6"/>
    <w:rsid w:val="00C643FA"/>
    <w:rsid w:val="00C71FD8"/>
    <w:rsid w:val="00C821A8"/>
    <w:rsid w:val="00C90739"/>
    <w:rsid w:val="00CA4604"/>
    <w:rsid w:val="00CC48DF"/>
    <w:rsid w:val="00CC51BF"/>
    <w:rsid w:val="00CD484B"/>
    <w:rsid w:val="00CE02E1"/>
    <w:rsid w:val="00CE2625"/>
    <w:rsid w:val="00CE2DDE"/>
    <w:rsid w:val="00CE666D"/>
    <w:rsid w:val="00CE750F"/>
    <w:rsid w:val="00CF0E8D"/>
    <w:rsid w:val="00D02489"/>
    <w:rsid w:val="00D10620"/>
    <w:rsid w:val="00D22FF4"/>
    <w:rsid w:val="00D307AF"/>
    <w:rsid w:val="00D31FD8"/>
    <w:rsid w:val="00D44B0D"/>
    <w:rsid w:val="00D45DC3"/>
    <w:rsid w:val="00D53537"/>
    <w:rsid w:val="00D603F8"/>
    <w:rsid w:val="00D833C1"/>
    <w:rsid w:val="00D8626C"/>
    <w:rsid w:val="00D9381D"/>
    <w:rsid w:val="00DB57AC"/>
    <w:rsid w:val="00DC0AE0"/>
    <w:rsid w:val="00DC4EB8"/>
    <w:rsid w:val="00DF5EED"/>
    <w:rsid w:val="00E07D69"/>
    <w:rsid w:val="00E3033C"/>
    <w:rsid w:val="00E458E1"/>
    <w:rsid w:val="00E53ABC"/>
    <w:rsid w:val="00E705AE"/>
    <w:rsid w:val="00E736B3"/>
    <w:rsid w:val="00E90DBD"/>
    <w:rsid w:val="00EA154F"/>
    <w:rsid w:val="00EA4146"/>
    <w:rsid w:val="00EA5225"/>
    <w:rsid w:val="00EA52C4"/>
    <w:rsid w:val="00EC7E54"/>
    <w:rsid w:val="00ED2BB6"/>
    <w:rsid w:val="00ED3ADC"/>
    <w:rsid w:val="00ED7DF3"/>
    <w:rsid w:val="00EE2658"/>
    <w:rsid w:val="00EF6DA6"/>
    <w:rsid w:val="00EF7419"/>
    <w:rsid w:val="00F12469"/>
    <w:rsid w:val="00F243D1"/>
    <w:rsid w:val="00F27342"/>
    <w:rsid w:val="00F35292"/>
    <w:rsid w:val="00F42F27"/>
    <w:rsid w:val="00F54D6A"/>
    <w:rsid w:val="00F56A1A"/>
    <w:rsid w:val="00F62D45"/>
    <w:rsid w:val="00F72229"/>
    <w:rsid w:val="00F77CB3"/>
    <w:rsid w:val="00F838D7"/>
    <w:rsid w:val="00F91FF2"/>
    <w:rsid w:val="00F93D7F"/>
    <w:rsid w:val="00FA491F"/>
    <w:rsid w:val="00FC1272"/>
    <w:rsid w:val="00FC15FB"/>
    <w:rsid w:val="00FC23CF"/>
    <w:rsid w:val="00FE3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CC95E"/>
  <w14:defaultImageDpi w14:val="96"/>
  <w15:docId w15:val="{42B6B6E3-6628-4249-870B-F0686E6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0E"/>
    <w:pPr>
      <w:suppressAutoHyphens/>
      <w:spacing w:before="120" w:after="120" w:line="360" w:lineRule="auto"/>
    </w:pPr>
  </w:style>
  <w:style w:type="paragraph" w:styleId="Heading1">
    <w:name w:val="heading 1"/>
    <w:basedOn w:val="Normal"/>
    <w:next w:val="Normal"/>
    <w:link w:val="Heading1Char"/>
    <w:uiPriority w:val="99"/>
    <w:qFormat/>
    <w:rsid w:val="001B5410"/>
    <w:pPr>
      <w:keepNext/>
      <w:spacing w:before="240" w:line="240" w:lineRule="auto"/>
      <w:outlineLvl w:val="0"/>
    </w:pPr>
    <w:rPr>
      <w:b/>
      <w:bCs/>
      <w:kern w:val="32"/>
      <w:sz w:val="32"/>
      <w:szCs w:val="32"/>
    </w:rPr>
  </w:style>
  <w:style w:type="paragraph" w:styleId="Heading2">
    <w:name w:val="heading 2"/>
    <w:basedOn w:val="Normal"/>
    <w:next w:val="Normal"/>
    <w:link w:val="Heading2Char"/>
    <w:uiPriority w:val="99"/>
    <w:unhideWhenUsed/>
    <w:qFormat/>
    <w:rsid w:val="00552F69"/>
    <w:pPr>
      <w:keepNext/>
      <w:spacing w:before="240" w:line="240" w:lineRule="auto"/>
      <w:outlineLvl w:val="1"/>
    </w:pPr>
    <w:rPr>
      <w:b/>
      <w:bCs/>
      <w:iCs/>
      <w:sz w:val="28"/>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150DBB"/>
    <w:pPr>
      <w:keepNext/>
      <w:spacing w:before="240" w:after="60"/>
      <w:outlineLvl w:val="3"/>
    </w:pPr>
    <w:rPr>
      <w:rFonts w:ascii="Calibri" w:hAnsi="Calibri"/>
      <w:b/>
      <w:bCs/>
      <w:i/>
      <w:sz w:val="28"/>
      <w:szCs w:val="28"/>
    </w:rPr>
  </w:style>
  <w:style w:type="paragraph" w:styleId="Heading5">
    <w:name w:val="heading 5"/>
    <w:basedOn w:val="Normal"/>
    <w:next w:val="Normal"/>
    <w:link w:val="Heading5Char"/>
    <w:uiPriority w:val="9"/>
    <w:semiHidden/>
    <w:unhideWhenUsed/>
    <w:qFormat/>
    <w:rsid w:val="0070338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1B5410"/>
    <w:rPr>
      <w:b/>
      <w:bCs/>
      <w:kern w:val="32"/>
      <w:sz w:val="32"/>
      <w:szCs w:val="32"/>
    </w:rPr>
  </w:style>
  <w:style w:type="paragraph" w:styleId="Title">
    <w:name w:val="Title"/>
    <w:basedOn w:val="Normal"/>
    <w:next w:val="Normal"/>
    <w:link w:val="TitleChar"/>
    <w:uiPriority w:val="10"/>
    <w:qFormat/>
    <w:rsid w:val="00D53537"/>
    <w:pPr>
      <w:spacing w:after="240" w:line="240" w:lineRule="auto"/>
      <w:outlineLvl w:val="0"/>
    </w:pPr>
    <w:rPr>
      <w:b/>
      <w:bCs/>
      <w:kern w:val="28"/>
      <w:sz w:val="48"/>
      <w:szCs w:val="32"/>
    </w:rPr>
  </w:style>
  <w:style w:type="character" w:customStyle="1" w:styleId="TitleChar">
    <w:name w:val="Title Char"/>
    <w:link w:val="Title"/>
    <w:uiPriority w:val="10"/>
    <w:rsid w:val="00D53537"/>
    <w:rPr>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552F69"/>
    <w:rPr>
      <w:b/>
      <w:bCs/>
      <w:iCs/>
      <w:sz w:val="28"/>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4"/>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character" w:customStyle="1" w:styleId="Heading4Char">
    <w:name w:val="Heading 4 Char"/>
    <w:link w:val="Heading4"/>
    <w:uiPriority w:val="9"/>
    <w:rsid w:val="00150DBB"/>
    <w:rPr>
      <w:b/>
      <w:bCs/>
      <w:i/>
      <w:sz w:val="28"/>
      <w:szCs w:val="28"/>
    </w:rPr>
  </w:style>
  <w:style w:type="character" w:customStyle="1" w:styleId="Heading5Char">
    <w:name w:val="Heading 5 Char"/>
    <w:link w:val="Heading5"/>
    <w:uiPriority w:val="9"/>
    <w:semiHidden/>
    <w:rsid w:val="007033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b/>
      <w:bCs/>
      <w:kern w:val="32"/>
      <w:sz w:val="48"/>
      <w:szCs w:val="32"/>
    </w:rPr>
  </w:style>
  <w:style w:type="paragraph" w:customStyle="1" w:styleId="Bullets">
    <w:name w:val="Bullets"/>
    <w:basedOn w:val="Normal"/>
    <w:qFormat/>
    <w:rsid w:val="00951DEC"/>
    <w:pPr>
      <w:numPr>
        <w:numId w:val="6"/>
      </w:numPr>
      <w:spacing w:before="60" w:after="60"/>
      <w:ind w:left="1293" w:hanging="357"/>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ind w:left="1134"/>
    </w:pPr>
    <w:rPr>
      <w:iCs/>
      <w:sz w:val="22"/>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480D98"/>
    <w:pPr>
      <w:tabs>
        <w:tab w:val="left" w:pos="454"/>
      </w:tabs>
      <w:suppressAutoHyphens/>
      <w:ind w:left="454" w:hanging="454"/>
    </w:pPr>
    <w:rPr>
      <w:rFonts w:cs="Gill Sans Std Light"/>
      <w:color w:val="000000"/>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lang w:val="en-US" w:eastAsia="en-US"/>
    </w:rPr>
  </w:style>
  <w:style w:type="paragraph" w:styleId="TOC2">
    <w:name w:val="toc 2"/>
    <w:basedOn w:val="Normal"/>
    <w:next w:val="Normal"/>
    <w:autoRedefine/>
    <w:uiPriority w:val="39"/>
    <w:unhideWhenUsed/>
    <w:rsid w:val="00AE709F"/>
    <w:pPr>
      <w:spacing w:after="100"/>
      <w:ind w:left="220"/>
    </w:pPr>
    <w:rPr>
      <w:rFonts w:ascii="Calibri" w:hAnsi="Calibri"/>
      <w:sz w:val="22"/>
      <w:lang w:val="en-US" w:eastAsia="en-US"/>
    </w:rPr>
  </w:style>
  <w:style w:type="paragraph" w:styleId="TOC3">
    <w:name w:val="toc 3"/>
    <w:basedOn w:val="Normal"/>
    <w:next w:val="Normal"/>
    <w:autoRedefine/>
    <w:uiPriority w:val="39"/>
    <w:unhideWhenUsed/>
    <w:rsid w:val="00AE709F"/>
    <w:pPr>
      <w:spacing w:after="100"/>
      <w:ind w:left="440"/>
    </w:pPr>
    <w:rPr>
      <w:rFonts w:ascii="Calibri" w:hAnsi="Calibri"/>
      <w:sz w:val="22"/>
      <w:lang w:val="en-US" w:eastAsia="en-US"/>
    </w:rPr>
  </w:style>
  <w:style w:type="paragraph" w:styleId="ListParagraph">
    <w:name w:val="List Paragraph"/>
    <w:basedOn w:val="Normal"/>
    <w:uiPriority w:val="34"/>
    <w:qFormat/>
    <w:rsid w:val="008F53E7"/>
    <w:pPr>
      <w:numPr>
        <w:numId w:val="8"/>
      </w:numPr>
      <w:contextualSpacing/>
    </w:pPr>
    <w:rPr>
      <w:rFonts w:eastAsia="ITC Franklin Gothic Book"/>
      <w:spacing w:val="-1"/>
    </w:rPr>
  </w:style>
  <w:style w:type="character" w:styleId="CommentReference">
    <w:name w:val="annotation reference"/>
    <w:basedOn w:val="DefaultParagraphFont"/>
    <w:uiPriority w:val="99"/>
    <w:semiHidden/>
    <w:unhideWhenUsed/>
    <w:rsid w:val="001225CF"/>
    <w:rPr>
      <w:sz w:val="16"/>
      <w:szCs w:val="16"/>
    </w:rPr>
  </w:style>
  <w:style w:type="paragraph" w:styleId="CommentText">
    <w:name w:val="annotation text"/>
    <w:basedOn w:val="Normal"/>
    <w:link w:val="CommentTextChar"/>
    <w:uiPriority w:val="99"/>
    <w:semiHidden/>
    <w:unhideWhenUsed/>
    <w:rsid w:val="001225CF"/>
    <w:pPr>
      <w:spacing w:line="240" w:lineRule="auto"/>
    </w:pPr>
    <w:rPr>
      <w:sz w:val="20"/>
      <w:szCs w:val="20"/>
    </w:rPr>
  </w:style>
  <w:style w:type="character" w:customStyle="1" w:styleId="CommentTextChar">
    <w:name w:val="Comment Text Char"/>
    <w:basedOn w:val="DefaultParagraphFont"/>
    <w:link w:val="CommentText"/>
    <w:uiPriority w:val="99"/>
    <w:semiHidden/>
    <w:rsid w:val="001225CF"/>
    <w:rPr>
      <w:sz w:val="20"/>
      <w:szCs w:val="20"/>
    </w:rPr>
  </w:style>
  <w:style w:type="paragraph" w:styleId="CommentSubject">
    <w:name w:val="annotation subject"/>
    <w:basedOn w:val="CommentText"/>
    <w:next w:val="CommentText"/>
    <w:link w:val="CommentSubjectChar"/>
    <w:uiPriority w:val="99"/>
    <w:semiHidden/>
    <w:unhideWhenUsed/>
    <w:rsid w:val="001225CF"/>
    <w:rPr>
      <w:b/>
      <w:bCs/>
    </w:rPr>
  </w:style>
  <w:style w:type="character" w:customStyle="1" w:styleId="CommentSubjectChar">
    <w:name w:val="Comment Subject Char"/>
    <w:basedOn w:val="CommentTextChar"/>
    <w:link w:val="CommentSubject"/>
    <w:uiPriority w:val="99"/>
    <w:semiHidden/>
    <w:rsid w:val="001225CF"/>
    <w:rPr>
      <w:b/>
      <w:bCs/>
      <w:sz w:val="20"/>
      <w:szCs w:val="20"/>
    </w:rPr>
  </w:style>
  <w:style w:type="paragraph" w:styleId="BalloonText">
    <w:name w:val="Balloon Text"/>
    <w:basedOn w:val="Normal"/>
    <w:link w:val="BalloonTextChar"/>
    <w:uiPriority w:val="99"/>
    <w:semiHidden/>
    <w:unhideWhenUsed/>
    <w:rsid w:val="001225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CF"/>
    <w:rPr>
      <w:rFonts w:ascii="Segoe UI" w:hAnsi="Segoe UI" w:cs="Segoe UI"/>
      <w:sz w:val="18"/>
      <w:szCs w:val="18"/>
    </w:rPr>
  </w:style>
  <w:style w:type="character" w:styleId="UnresolvedMention">
    <w:name w:val="Unresolved Mention"/>
    <w:basedOn w:val="DefaultParagraphFont"/>
    <w:uiPriority w:val="99"/>
    <w:semiHidden/>
    <w:unhideWhenUsed/>
    <w:rsid w:val="00A2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tencingcouncil.vic.gov.au/sacstat/home.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ntencingcouncil.vic.gov.au/sacstat/user_information/glossar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tencingcouncil.vic.gov.au/sacstat/user_information/technical_not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entencingcouncil.vic.gov.au/sacstat/user_information/how_to_use_sacstat.html" TargetMode="External"/><Relationship Id="rId4" Type="http://schemas.openxmlformats.org/officeDocument/2006/relationships/settings" Target="settings.xml"/><Relationship Id="rId9" Type="http://schemas.openxmlformats.org/officeDocument/2006/relationships/hyperlink" Target="http://www.sentencingcouncil.vic.gov.au/sacstat/home.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7116-2B92-4F5B-BD3B-865E993A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5</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SACStat User Guide</vt:lpstr>
    </vt:vector>
  </TitlesOfParts>
  <Company/>
  <LinksUpToDate>false</LinksUpToDate>
  <CharactersWithSpaces>4763</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SACStat User Guide</dc:title>
  <dc:subject/>
  <dc:creator>Sentencing Advisory Council</dc:creator>
  <cp:keywords/>
  <dc:description/>
  <cp:lastModifiedBy>Catherine M Jeffreys (DJCS)</cp:lastModifiedBy>
  <cp:revision>21</cp:revision>
  <dcterms:created xsi:type="dcterms:W3CDTF">2020-10-11T23:02:00Z</dcterms:created>
  <dcterms:modified xsi:type="dcterms:W3CDTF">2022-06-14T01:40:00Z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