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D339" w14:textId="77777777" w:rsidR="009C3CC8" w:rsidRPr="00150549" w:rsidRDefault="009C3CC8" w:rsidP="00150549">
      <w:pPr>
        <w:pStyle w:val="Title"/>
      </w:pPr>
      <w:bookmarkStart w:id="0" w:name="_Toc112770330"/>
      <w:r w:rsidRPr="00150549">
        <w:t>Long-Term Sentencing Trends in Victoria</w:t>
      </w:r>
      <w:bookmarkEnd w:id="0"/>
    </w:p>
    <w:p w14:paraId="6CEADFF8" w14:textId="19DBF830" w:rsidR="00E62AE6" w:rsidRPr="00150549" w:rsidRDefault="00150549" w:rsidP="00980EEB">
      <w:pPr>
        <w:rPr>
          <w:b/>
          <w:bCs/>
        </w:rPr>
      </w:pPr>
      <w:r w:rsidRPr="00150549">
        <w:rPr>
          <w:b/>
          <w:bCs/>
        </w:rPr>
        <w:t>Sentencing Advisory Council, September 2022</w:t>
      </w:r>
    </w:p>
    <w:p w14:paraId="2A39C766" w14:textId="7538F41A" w:rsidR="00722FB8" w:rsidRDefault="00722FB8" w:rsidP="00CD4BE8">
      <w:pPr>
        <w:pStyle w:val="Heading1"/>
        <w:pageBreakBefore w:val="0"/>
      </w:pPr>
      <w:bookmarkStart w:id="1" w:name="_Toc112770331"/>
      <w:r>
        <w:t>Contents</w:t>
      </w:r>
      <w:bookmarkEnd w:id="1"/>
    </w:p>
    <w:p w14:paraId="270D89AE" w14:textId="520AF018" w:rsidR="00AA142B" w:rsidRDefault="00AA142B">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"1-1" \p " " \h \z \u </w:instrText>
      </w:r>
      <w:r>
        <w:fldChar w:fldCharType="separate"/>
      </w:r>
      <w:hyperlink w:anchor="_Toc112770332" w:history="1">
        <w:r w:rsidRPr="00D9026E">
          <w:rPr>
            <w:rStyle w:val="Hyperlink"/>
            <w:noProof/>
          </w:rPr>
          <w:t>Introduction</w:t>
        </w:r>
        <w:r>
          <w:rPr>
            <w:noProof/>
            <w:webHidden/>
          </w:rPr>
          <w:t xml:space="preserve"> </w:t>
        </w:r>
        <w:r>
          <w:rPr>
            <w:noProof/>
            <w:webHidden/>
          </w:rPr>
          <w:fldChar w:fldCharType="begin"/>
        </w:r>
        <w:r>
          <w:rPr>
            <w:noProof/>
            <w:webHidden/>
          </w:rPr>
          <w:instrText xml:space="preserve"> PAGEREF _Toc112770332 \h </w:instrText>
        </w:r>
        <w:r>
          <w:rPr>
            <w:noProof/>
            <w:webHidden/>
          </w:rPr>
        </w:r>
        <w:r>
          <w:rPr>
            <w:noProof/>
            <w:webHidden/>
          </w:rPr>
          <w:fldChar w:fldCharType="separate"/>
        </w:r>
        <w:r>
          <w:rPr>
            <w:noProof/>
            <w:webHidden/>
          </w:rPr>
          <w:t>2</w:t>
        </w:r>
        <w:r>
          <w:rPr>
            <w:noProof/>
            <w:webHidden/>
          </w:rPr>
          <w:fldChar w:fldCharType="end"/>
        </w:r>
      </w:hyperlink>
    </w:p>
    <w:p w14:paraId="4D679594" w14:textId="6ED17E8C" w:rsidR="00AA142B" w:rsidRDefault="00456CC5">
      <w:pPr>
        <w:pStyle w:val="TOC1"/>
        <w:tabs>
          <w:tab w:val="right" w:leader="dot" w:pos="9016"/>
        </w:tabs>
        <w:rPr>
          <w:rFonts w:asciiTheme="minorHAnsi" w:eastAsiaTheme="minorEastAsia" w:hAnsiTheme="minorHAnsi" w:cstheme="minorBidi"/>
          <w:noProof/>
          <w:sz w:val="22"/>
          <w:szCs w:val="22"/>
        </w:rPr>
      </w:pPr>
      <w:hyperlink w:anchor="_Toc112770333" w:history="1">
        <w:r w:rsidR="00AA142B" w:rsidRPr="00D9026E">
          <w:rPr>
            <w:rStyle w:val="Hyperlink"/>
            <w:noProof/>
          </w:rPr>
          <w:t>Sentencing practices in the higher courts</w:t>
        </w:r>
        <w:r w:rsidR="00AA142B">
          <w:rPr>
            <w:noProof/>
            <w:webHidden/>
          </w:rPr>
          <w:t xml:space="preserve"> </w:t>
        </w:r>
        <w:r w:rsidR="00AA142B">
          <w:rPr>
            <w:noProof/>
            <w:webHidden/>
          </w:rPr>
          <w:fldChar w:fldCharType="begin"/>
        </w:r>
        <w:r w:rsidR="00AA142B">
          <w:rPr>
            <w:noProof/>
            <w:webHidden/>
          </w:rPr>
          <w:instrText xml:space="preserve"> PAGEREF _Toc112770333 \h </w:instrText>
        </w:r>
        <w:r w:rsidR="00AA142B">
          <w:rPr>
            <w:noProof/>
            <w:webHidden/>
          </w:rPr>
        </w:r>
        <w:r w:rsidR="00AA142B">
          <w:rPr>
            <w:noProof/>
            <w:webHidden/>
          </w:rPr>
          <w:fldChar w:fldCharType="separate"/>
        </w:r>
        <w:r w:rsidR="00AA142B">
          <w:rPr>
            <w:noProof/>
            <w:webHidden/>
          </w:rPr>
          <w:t>4</w:t>
        </w:r>
        <w:r w:rsidR="00AA142B">
          <w:rPr>
            <w:noProof/>
            <w:webHidden/>
          </w:rPr>
          <w:fldChar w:fldCharType="end"/>
        </w:r>
      </w:hyperlink>
    </w:p>
    <w:p w14:paraId="19E21F8A" w14:textId="56ABE8ED" w:rsidR="00AA142B" w:rsidRDefault="00456CC5">
      <w:pPr>
        <w:pStyle w:val="TOC1"/>
        <w:tabs>
          <w:tab w:val="right" w:leader="dot" w:pos="9016"/>
        </w:tabs>
        <w:rPr>
          <w:rFonts w:asciiTheme="minorHAnsi" w:eastAsiaTheme="minorEastAsia" w:hAnsiTheme="minorHAnsi" w:cstheme="minorBidi"/>
          <w:noProof/>
          <w:sz w:val="22"/>
          <w:szCs w:val="22"/>
        </w:rPr>
      </w:pPr>
      <w:hyperlink w:anchor="_Toc112770334" w:history="1">
        <w:r w:rsidR="00AA142B" w:rsidRPr="00D9026E">
          <w:rPr>
            <w:rStyle w:val="Hyperlink"/>
            <w:noProof/>
          </w:rPr>
          <w:t>Homicide offences</w:t>
        </w:r>
        <w:r w:rsidR="00AA142B">
          <w:rPr>
            <w:noProof/>
            <w:webHidden/>
          </w:rPr>
          <w:t xml:space="preserve"> </w:t>
        </w:r>
        <w:r w:rsidR="00AA142B">
          <w:rPr>
            <w:noProof/>
            <w:webHidden/>
          </w:rPr>
          <w:fldChar w:fldCharType="begin"/>
        </w:r>
        <w:r w:rsidR="00AA142B">
          <w:rPr>
            <w:noProof/>
            <w:webHidden/>
          </w:rPr>
          <w:instrText xml:space="preserve"> PAGEREF _Toc112770334 \h </w:instrText>
        </w:r>
        <w:r w:rsidR="00AA142B">
          <w:rPr>
            <w:noProof/>
            <w:webHidden/>
          </w:rPr>
        </w:r>
        <w:r w:rsidR="00AA142B">
          <w:rPr>
            <w:noProof/>
            <w:webHidden/>
          </w:rPr>
          <w:fldChar w:fldCharType="separate"/>
        </w:r>
        <w:r w:rsidR="00AA142B">
          <w:rPr>
            <w:noProof/>
            <w:webHidden/>
          </w:rPr>
          <w:t>7</w:t>
        </w:r>
        <w:r w:rsidR="00AA142B">
          <w:rPr>
            <w:noProof/>
            <w:webHidden/>
          </w:rPr>
          <w:fldChar w:fldCharType="end"/>
        </w:r>
      </w:hyperlink>
    </w:p>
    <w:p w14:paraId="12E0C3A2" w14:textId="2334A9E3" w:rsidR="00AA142B" w:rsidRDefault="00456CC5">
      <w:pPr>
        <w:pStyle w:val="TOC1"/>
        <w:tabs>
          <w:tab w:val="right" w:leader="dot" w:pos="9016"/>
        </w:tabs>
        <w:rPr>
          <w:rFonts w:asciiTheme="minorHAnsi" w:eastAsiaTheme="minorEastAsia" w:hAnsiTheme="minorHAnsi" w:cstheme="minorBidi"/>
          <w:noProof/>
          <w:sz w:val="22"/>
          <w:szCs w:val="22"/>
        </w:rPr>
      </w:pPr>
      <w:hyperlink w:anchor="_Toc112770335" w:history="1">
        <w:r w:rsidR="00AA142B" w:rsidRPr="00D9026E">
          <w:rPr>
            <w:rStyle w:val="Hyperlink"/>
            <w:noProof/>
          </w:rPr>
          <w:t>Serious violent offences</w:t>
        </w:r>
        <w:r w:rsidR="00AA142B">
          <w:rPr>
            <w:noProof/>
            <w:webHidden/>
          </w:rPr>
          <w:t xml:space="preserve"> </w:t>
        </w:r>
        <w:r w:rsidR="00AA142B">
          <w:rPr>
            <w:noProof/>
            <w:webHidden/>
          </w:rPr>
          <w:fldChar w:fldCharType="begin"/>
        </w:r>
        <w:r w:rsidR="00AA142B">
          <w:rPr>
            <w:noProof/>
            <w:webHidden/>
          </w:rPr>
          <w:instrText xml:space="preserve"> PAGEREF _Toc112770335 \h </w:instrText>
        </w:r>
        <w:r w:rsidR="00AA142B">
          <w:rPr>
            <w:noProof/>
            <w:webHidden/>
          </w:rPr>
        </w:r>
        <w:r w:rsidR="00AA142B">
          <w:rPr>
            <w:noProof/>
            <w:webHidden/>
          </w:rPr>
          <w:fldChar w:fldCharType="separate"/>
        </w:r>
        <w:r w:rsidR="00AA142B">
          <w:rPr>
            <w:noProof/>
            <w:webHidden/>
          </w:rPr>
          <w:t>11</w:t>
        </w:r>
        <w:r w:rsidR="00AA142B">
          <w:rPr>
            <w:noProof/>
            <w:webHidden/>
          </w:rPr>
          <w:fldChar w:fldCharType="end"/>
        </w:r>
      </w:hyperlink>
    </w:p>
    <w:p w14:paraId="53BDD0CD" w14:textId="1ED36116" w:rsidR="00AA142B" w:rsidRDefault="00456CC5">
      <w:pPr>
        <w:pStyle w:val="TOC1"/>
        <w:tabs>
          <w:tab w:val="right" w:leader="dot" w:pos="9016"/>
        </w:tabs>
        <w:rPr>
          <w:rFonts w:asciiTheme="minorHAnsi" w:eastAsiaTheme="minorEastAsia" w:hAnsiTheme="minorHAnsi" w:cstheme="minorBidi"/>
          <w:noProof/>
          <w:sz w:val="22"/>
          <w:szCs w:val="22"/>
        </w:rPr>
      </w:pPr>
      <w:hyperlink w:anchor="_Toc112770336" w:history="1">
        <w:r w:rsidR="00AA142B" w:rsidRPr="00D9026E">
          <w:rPr>
            <w:rStyle w:val="Hyperlink"/>
            <w:noProof/>
          </w:rPr>
          <w:t>Serious drug offences</w:t>
        </w:r>
        <w:r w:rsidR="00AA142B">
          <w:rPr>
            <w:noProof/>
            <w:webHidden/>
          </w:rPr>
          <w:t xml:space="preserve"> </w:t>
        </w:r>
        <w:r w:rsidR="00AA142B">
          <w:rPr>
            <w:noProof/>
            <w:webHidden/>
          </w:rPr>
          <w:fldChar w:fldCharType="begin"/>
        </w:r>
        <w:r w:rsidR="00AA142B">
          <w:rPr>
            <w:noProof/>
            <w:webHidden/>
          </w:rPr>
          <w:instrText xml:space="preserve"> PAGEREF _Toc112770336 \h </w:instrText>
        </w:r>
        <w:r w:rsidR="00AA142B">
          <w:rPr>
            <w:noProof/>
            <w:webHidden/>
          </w:rPr>
        </w:r>
        <w:r w:rsidR="00AA142B">
          <w:rPr>
            <w:noProof/>
            <w:webHidden/>
          </w:rPr>
          <w:fldChar w:fldCharType="separate"/>
        </w:r>
        <w:r w:rsidR="00AA142B">
          <w:rPr>
            <w:noProof/>
            <w:webHidden/>
          </w:rPr>
          <w:t>15</w:t>
        </w:r>
        <w:r w:rsidR="00AA142B">
          <w:rPr>
            <w:noProof/>
            <w:webHidden/>
          </w:rPr>
          <w:fldChar w:fldCharType="end"/>
        </w:r>
      </w:hyperlink>
    </w:p>
    <w:p w14:paraId="34003618" w14:textId="08FCDE99" w:rsidR="00AA142B" w:rsidRDefault="00456CC5">
      <w:pPr>
        <w:pStyle w:val="TOC1"/>
        <w:tabs>
          <w:tab w:val="right" w:leader="dot" w:pos="9016"/>
        </w:tabs>
        <w:rPr>
          <w:rFonts w:asciiTheme="minorHAnsi" w:eastAsiaTheme="minorEastAsia" w:hAnsiTheme="minorHAnsi" w:cstheme="minorBidi"/>
          <w:noProof/>
          <w:sz w:val="22"/>
          <w:szCs w:val="22"/>
        </w:rPr>
      </w:pPr>
      <w:hyperlink w:anchor="_Toc112770337" w:history="1">
        <w:r w:rsidR="00AA142B" w:rsidRPr="00D9026E">
          <w:rPr>
            <w:rStyle w:val="Hyperlink"/>
            <w:noProof/>
          </w:rPr>
          <w:t>Serious sex offences</w:t>
        </w:r>
        <w:r w:rsidR="00AA142B">
          <w:rPr>
            <w:noProof/>
            <w:webHidden/>
          </w:rPr>
          <w:t xml:space="preserve"> </w:t>
        </w:r>
        <w:r w:rsidR="00AA142B">
          <w:rPr>
            <w:noProof/>
            <w:webHidden/>
          </w:rPr>
          <w:fldChar w:fldCharType="begin"/>
        </w:r>
        <w:r w:rsidR="00AA142B">
          <w:rPr>
            <w:noProof/>
            <w:webHidden/>
          </w:rPr>
          <w:instrText xml:space="preserve"> PAGEREF _Toc112770337 \h </w:instrText>
        </w:r>
        <w:r w:rsidR="00AA142B">
          <w:rPr>
            <w:noProof/>
            <w:webHidden/>
          </w:rPr>
        </w:r>
        <w:r w:rsidR="00AA142B">
          <w:rPr>
            <w:noProof/>
            <w:webHidden/>
          </w:rPr>
          <w:fldChar w:fldCharType="separate"/>
        </w:r>
        <w:r w:rsidR="00AA142B">
          <w:rPr>
            <w:noProof/>
            <w:webHidden/>
          </w:rPr>
          <w:t>18</w:t>
        </w:r>
        <w:r w:rsidR="00AA142B">
          <w:rPr>
            <w:noProof/>
            <w:webHidden/>
          </w:rPr>
          <w:fldChar w:fldCharType="end"/>
        </w:r>
      </w:hyperlink>
    </w:p>
    <w:p w14:paraId="07280699" w14:textId="1FCAFDB8" w:rsidR="00AA142B" w:rsidRDefault="00456CC5">
      <w:pPr>
        <w:pStyle w:val="TOC1"/>
        <w:tabs>
          <w:tab w:val="right" w:leader="dot" w:pos="9016"/>
        </w:tabs>
        <w:rPr>
          <w:rFonts w:asciiTheme="minorHAnsi" w:eastAsiaTheme="minorEastAsia" w:hAnsiTheme="minorHAnsi" w:cstheme="minorBidi"/>
          <w:noProof/>
          <w:sz w:val="22"/>
          <w:szCs w:val="22"/>
        </w:rPr>
      </w:pPr>
      <w:hyperlink w:anchor="_Toc112770338" w:history="1">
        <w:r w:rsidR="00AA142B" w:rsidRPr="00D9026E">
          <w:rPr>
            <w:rStyle w:val="Hyperlink"/>
            <w:noProof/>
          </w:rPr>
          <w:t>Conclusion</w:t>
        </w:r>
        <w:r w:rsidR="00AA142B">
          <w:rPr>
            <w:noProof/>
            <w:webHidden/>
          </w:rPr>
          <w:t xml:space="preserve"> </w:t>
        </w:r>
        <w:r w:rsidR="00AA142B">
          <w:rPr>
            <w:noProof/>
            <w:webHidden/>
          </w:rPr>
          <w:fldChar w:fldCharType="begin"/>
        </w:r>
        <w:r w:rsidR="00AA142B">
          <w:rPr>
            <w:noProof/>
            <w:webHidden/>
          </w:rPr>
          <w:instrText xml:space="preserve"> PAGEREF _Toc112770338 \h </w:instrText>
        </w:r>
        <w:r w:rsidR="00AA142B">
          <w:rPr>
            <w:noProof/>
            <w:webHidden/>
          </w:rPr>
        </w:r>
        <w:r w:rsidR="00AA142B">
          <w:rPr>
            <w:noProof/>
            <w:webHidden/>
          </w:rPr>
          <w:fldChar w:fldCharType="separate"/>
        </w:r>
        <w:r w:rsidR="00AA142B">
          <w:rPr>
            <w:noProof/>
            <w:webHidden/>
          </w:rPr>
          <w:t>22</w:t>
        </w:r>
        <w:r w:rsidR="00AA142B">
          <w:rPr>
            <w:noProof/>
            <w:webHidden/>
          </w:rPr>
          <w:fldChar w:fldCharType="end"/>
        </w:r>
      </w:hyperlink>
    </w:p>
    <w:p w14:paraId="2591C0D3" w14:textId="6E230F32" w:rsidR="00AA142B" w:rsidRDefault="00456CC5">
      <w:pPr>
        <w:pStyle w:val="TOC1"/>
        <w:tabs>
          <w:tab w:val="right" w:leader="dot" w:pos="9016"/>
        </w:tabs>
        <w:rPr>
          <w:rFonts w:asciiTheme="minorHAnsi" w:eastAsiaTheme="minorEastAsia" w:hAnsiTheme="minorHAnsi" w:cstheme="minorBidi"/>
          <w:noProof/>
          <w:sz w:val="22"/>
          <w:szCs w:val="22"/>
        </w:rPr>
      </w:pPr>
      <w:hyperlink w:anchor="_Toc112770339" w:history="1">
        <w:r w:rsidR="00AA142B" w:rsidRPr="00D9026E">
          <w:rPr>
            <w:rStyle w:val="Hyperlink"/>
            <w:noProof/>
          </w:rPr>
          <w:t>References</w:t>
        </w:r>
        <w:r w:rsidR="00AA142B">
          <w:rPr>
            <w:noProof/>
            <w:webHidden/>
          </w:rPr>
          <w:t xml:space="preserve"> </w:t>
        </w:r>
        <w:r w:rsidR="00AA142B">
          <w:rPr>
            <w:noProof/>
            <w:webHidden/>
          </w:rPr>
          <w:fldChar w:fldCharType="begin"/>
        </w:r>
        <w:r w:rsidR="00AA142B">
          <w:rPr>
            <w:noProof/>
            <w:webHidden/>
          </w:rPr>
          <w:instrText xml:space="preserve"> PAGEREF _Toc112770339 \h </w:instrText>
        </w:r>
        <w:r w:rsidR="00AA142B">
          <w:rPr>
            <w:noProof/>
            <w:webHidden/>
          </w:rPr>
        </w:r>
        <w:r w:rsidR="00AA142B">
          <w:rPr>
            <w:noProof/>
            <w:webHidden/>
          </w:rPr>
          <w:fldChar w:fldCharType="separate"/>
        </w:r>
        <w:r w:rsidR="00AA142B">
          <w:rPr>
            <w:noProof/>
            <w:webHidden/>
          </w:rPr>
          <w:t>24</w:t>
        </w:r>
        <w:r w:rsidR="00AA142B">
          <w:rPr>
            <w:noProof/>
            <w:webHidden/>
          </w:rPr>
          <w:fldChar w:fldCharType="end"/>
        </w:r>
      </w:hyperlink>
    </w:p>
    <w:p w14:paraId="24F98E12" w14:textId="639F1CB1" w:rsidR="00AA142B" w:rsidRPr="00AA142B" w:rsidRDefault="00AA142B" w:rsidP="00AA142B">
      <w:r>
        <w:fldChar w:fldCharType="end"/>
      </w:r>
    </w:p>
    <w:p w14:paraId="5C4A385D" w14:textId="77777777" w:rsidR="00E62AE6" w:rsidRPr="00E62AE6" w:rsidRDefault="00E62AE6" w:rsidP="00CD4BE8">
      <w:pPr>
        <w:pStyle w:val="Heading1"/>
      </w:pPr>
      <w:bookmarkStart w:id="2" w:name="_Toc112770332"/>
      <w:r w:rsidRPr="00E62AE6">
        <w:lastRenderedPageBreak/>
        <w:t>Introduction</w:t>
      </w:r>
      <w:bookmarkEnd w:id="2"/>
    </w:p>
    <w:p w14:paraId="26612BAB" w14:textId="77777777" w:rsidR="00E62AE6" w:rsidRPr="0031029F" w:rsidRDefault="00E62AE6" w:rsidP="0031029F">
      <w:r w:rsidRPr="0031029F">
        <w:t>The Sentencing Advisory Council was established in 2004, with one of its statutory functions being the provision of sentencing statistics to the judiciary and other interested persons.</w:t>
      </w:r>
      <w:r w:rsidRPr="00E62AE6">
        <w:rPr>
          <w:rStyle w:val="Superscript"/>
        </w:rPr>
        <w:footnoteReference w:id="1"/>
      </w:r>
      <w:r w:rsidRPr="0031029F">
        <w:t xml:space="preserve"> One of the ways that the Council achieves this is by publishing </w:t>
      </w:r>
      <w:r w:rsidRPr="00E62AE6">
        <w:rPr>
          <w:rStyle w:val="Italic"/>
        </w:rPr>
        <w:t>Sentencing Snapshots</w:t>
      </w:r>
      <w:r w:rsidRPr="0031029F">
        <w:t xml:space="preserve">, each of which provides an overview of how a certain serious offence was sentenced in the higher courts (the County and Supreme Courts) in the most recent five-year period. Currently, 25 </w:t>
      </w:r>
      <w:r w:rsidRPr="00E62AE6">
        <w:rPr>
          <w:rStyle w:val="Italic"/>
        </w:rPr>
        <w:t xml:space="preserve">Snapshots </w:t>
      </w:r>
      <w:r w:rsidRPr="0031029F">
        <w:t xml:space="preserve">are published every two years. The first publicly available </w:t>
      </w:r>
      <w:r w:rsidRPr="00E62AE6">
        <w:rPr>
          <w:rStyle w:val="Italic"/>
        </w:rPr>
        <w:t xml:space="preserve">Snapshot </w:t>
      </w:r>
      <w:r w:rsidRPr="0031029F">
        <w:t xml:space="preserve">related to murder and how that offence was sentenced from 1998–99 to 2003–04. Each </w:t>
      </w:r>
      <w:r w:rsidRPr="00E62AE6">
        <w:rPr>
          <w:rStyle w:val="Italic"/>
        </w:rPr>
        <w:t xml:space="preserve">Snapshot </w:t>
      </w:r>
      <w:r w:rsidRPr="0031029F">
        <w:t xml:space="preserve">is based on original court data and since 2014 accounts for subsequent successful conviction and sentence appeals. Given that there is now over 20 years’ worth of </w:t>
      </w:r>
      <w:r w:rsidRPr="00E62AE6">
        <w:rPr>
          <w:rStyle w:val="Italic"/>
        </w:rPr>
        <w:t xml:space="preserve">Snapshots </w:t>
      </w:r>
      <w:r w:rsidRPr="0031029F">
        <w:t>sentencing data available, now seems an opportune time to review whether there have been noticeable changes in sentencing practices for serious offences in Victoria and, if so, whether those changes have been more pronounced for some offences than for others.</w:t>
      </w:r>
      <w:r w:rsidRPr="00E62AE6">
        <w:rPr>
          <w:rStyle w:val="Superscript"/>
        </w:rPr>
        <w:footnoteReference w:id="2"/>
      </w:r>
    </w:p>
    <w:p w14:paraId="78D4F777" w14:textId="77777777" w:rsidR="00E62AE6" w:rsidRPr="00E62AE6" w:rsidRDefault="00E62AE6" w:rsidP="0031029F">
      <w:r w:rsidRPr="00E62AE6">
        <w:t xml:space="preserve">To that end, this report examines changes in sentencing for a select number of homicide offences, serious violent offences, serious drug offences and serious sex offences. While </w:t>
      </w:r>
      <w:r w:rsidRPr="00E62AE6">
        <w:rPr>
          <w:rStyle w:val="Italic"/>
        </w:rPr>
        <w:t xml:space="preserve">Snapshots </w:t>
      </w:r>
      <w:r w:rsidRPr="00E62AE6">
        <w:t>include a broader range of data than what is discussed here, the focus of this report is to identify long-term changes in:</w:t>
      </w:r>
    </w:p>
    <w:p w14:paraId="1D2680DA" w14:textId="77777777" w:rsidR="00E62AE6" w:rsidRPr="00E62AE6" w:rsidRDefault="00E62AE6" w:rsidP="00240841">
      <w:pPr>
        <w:pStyle w:val="Bullets"/>
        <w:keepNext/>
      </w:pPr>
      <w:r w:rsidRPr="0031029F">
        <w:lastRenderedPageBreak/>
        <w:t>the number of people sentenced for each offence;</w:t>
      </w:r>
      <w:r w:rsidRPr="00E62AE6">
        <w:rPr>
          <w:rStyle w:val="Superscript"/>
        </w:rPr>
        <w:footnoteReference w:id="3"/>
      </w:r>
    </w:p>
    <w:p w14:paraId="6929DEF8" w14:textId="77777777" w:rsidR="00E62AE6" w:rsidRPr="00E62AE6" w:rsidRDefault="00E62AE6" w:rsidP="0031029F">
      <w:pPr>
        <w:pStyle w:val="Bullets"/>
      </w:pPr>
      <w:r w:rsidRPr="00E62AE6">
        <w:t>the proportion of people receiving an immediate custodial sentence;</w:t>
      </w:r>
      <w:r w:rsidRPr="00E62AE6">
        <w:rPr>
          <w:rStyle w:val="Superscript"/>
        </w:rPr>
        <w:footnoteReference w:id="4"/>
      </w:r>
    </w:p>
    <w:p w14:paraId="065BBDA5" w14:textId="77777777" w:rsidR="00E62AE6" w:rsidRPr="00E62AE6" w:rsidRDefault="00E62AE6" w:rsidP="0031029F">
      <w:pPr>
        <w:pStyle w:val="Bullets"/>
      </w:pPr>
      <w:r w:rsidRPr="00E62AE6">
        <w:t>the average length of prison sentences imposed for each offence (‘charge-level sentences’);</w:t>
      </w:r>
      <w:r w:rsidRPr="00E62AE6">
        <w:rPr>
          <w:rStyle w:val="Superscript"/>
        </w:rPr>
        <w:footnoteReference w:id="5"/>
      </w:r>
    </w:p>
    <w:p w14:paraId="0887057D" w14:textId="77777777" w:rsidR="00E62AE6" w:rsidRPr="00E62AE6" w:rsidRDefault="00E62AE6" w:rsidP="0031029F">
      <w:pPr>
        <w:pStyle w:val="Bullets"/>
      </w:pPr>
      <w:r w:rsidRPr="00E62AE6">
        <w:t>the average length of total effective sentences of imprisonment imposed on each person (‘case-level sentences’);</w:t>
      </w:r>
      <w:r w:rsidRPr="00E62AE6">
        <w:rPr>
          <w:rStyle w:val="Superscript"/>
        </w:rPr>
        <w:footnoteReference w:id="6"/>
      </w:r>
      <w:r w:rsidRPr="00E62AE6">
        <w:t xml:space="preserve"> and</w:t>
      </w:r>
    </w:p>
    <w:p w14:paraId="3EEA35C5" w14:textId="77777777" w:rsidR="00E62AE6" w:rsidRPr="00E62AE6" w:rsidRDefault="00E62AE6" w:rsidP="0031029F">
      <w:pPr>
        <w:pStyle w:val="Bullets"/>
      </w:pPr>
      <w:r w:rsidRPr="00E62AE6">
        <w:t>the average length of non-parole periods imposed on each person.</w:t>
      </w:r>
      <w:r w:rsidRPr="00E62AE6">
        <w:rPr>
          <w:rStyle w:val="Superscript"/>
        </w:rPr>
        <w:footnoteReference w:id="7"/>
      </w:r>
    </w:p>
    <w:p w14:paraId="3A1DAA99" w14:textId="77777777" w:rsidR="00E62AE6" w:rsidRPr="00E62AE6" w:rsidRDefault="00E62AE6" w:rsidP="00D815EC">
      <w:pPr>
        <w:keepNext/>
      </w:pPr>
      <w:r w:rsidRPr="00E62AE6">
        <w:lastRenderedPageBreak/>
        <w:t xml:space="preserve">The </w:t>
      </w:r>
      <w:r w:rsidRPr="00E5783B">
        <w:rPr>
          <w:b/>
          <w:bCs/>
        </w:rPr>
        <w:t>key findings</w:t>
      </w:r>
      <w:r w:rsidRPr="00E62AE6">
        <w:t xml:space="preserve"> of this report are that in the last 20 years:</w:t>
      </w:r>
    </w:p>
    <w:p w14:paraId="1F2675DE" w14:textId="77777777" w:rsidR="00E62AE6" w:rsidRPr="00E62AE6" w:rsidRDefault="00E62AE6" w:rsidP="0031029F">
      <w:pPr>
        <w:pStyle w:val="Bullets"/>
      </w:pPr>
      <w:r w:rsidRPr="00E62AE6">
        <w:t>the number of serious offences sentenced in the higher courts has decreased;</w:t>
      </w:r>
    </w:p>
    <w:p w14:paraId="218487AA" w14:textId="77777777" w:rsidR="00E62AE6" w:rsidRPr="00E62AE6" w:rsidRDefault="00E62AE6" w:rsidP="0031029F">
      <w:pPr>
        <w:pStyle w:val="Bullets"/>
      </w:pPr>
      <w:r w:rsidRPr="00E62AE6">
        <w:t>the rate of imprisonment for serious offences has increased, particularly in the last five years; and</w:t>
      </w:r>
    </w:p>
    <w:p w14:paraId="74553934" w14:textId="77777777" w:rsidR="00E62AE6" w:rsidRPr="00E62AE6" w:rsidRDefault="00E62AE6" w:rsidP="0031029F">
      <w:pPr>
        <w:pStyle w:val="Bullets"/>
      </w:pPr>
      <w:r w:rsidRPr="00E62AE6">
        <w:t>the lengths of prison sentences for serious offences have also increased, and this seems to have been a long-term trend for the last two decades.</w:t>
      </w:r>
    </w:p>
    <w:p w14:paraId="048085CB" w14:textId="77777777" w:rsidR="00E62AE6" w:rsidRPr="00E62AE6" w:rsidRDefault="00E62AE6" w:rsidP="00CD4BE8">
      <w:pPr>
        <w:pStyle w:val="Heading1"/>
      </w:pPr>
      <w:bookmarkStart w:id="3" w:name="_Toc112770333"/>
      <w:r w:rsidRPr="00E62AE6">
        <w:lastRenderedPageBreak/>
        <w:t>Sentencing practices in the higher courts</w:t>
      </w:r>
      <w:bookmarkEnd w:id="3"/>
    </w:p>
    <w:p w14:paraId="519960A3" w14:textId="77777777" w:rsidR="00E62AE6" w:rsidRPr="0031029F" w:rsidRDefault="00E62AE6" w:rsidP="0031029F">
      <w:r w:rsidRPr="0031029F">
        <w:t xml:space="preserve">Before examining the specific offences covered by </w:t>
      </w:r>
      <w:r w:rsidRPr="00E62AE6">
        <w:rPr>
          <w:rStyle w:val="Italic"/>
        </w:rPr>
        <w:t>Snapshots</w:t>
      </w:r>
      <w:r w:rsidRPr="0031029F">
        <w:t>, it is useful to contextualise that analysis with the more general long-term trends in the higher courts. Figure 1 shows that there has been a relatively consistent trend of fewer cases being sentenced in the higher courts each year since 2004–05.</w:t>
      </w:r>
      <w:r w:rsidRPr="00E62AE6">
        <w:rPr>
          <w:rStyle w:val="Superscript"/>
        </w:rPr>
        <w:footnoteReference w:id="8"/>
      </w:r>
      <w:r w:rsidRPr="0031029F">
        <w:t xml:space="preserve"> This represents more than just a decrease in the number of cases. Victoria’s total population increased from 4.9 million in 2004 to 6.7 million in 2020.</w:t>
      </w:r>
      <w:r w:rsidRPr="00E62AE6">
        <w:rPr>
          <w:rStyle w:val="Superscript"/>
        </w:rPr>
        <w:footnoteReference w:id="9"/>
      </w:r>
      <w:r w:rsidRPr="0031029F">
        <w:t xml:space="preserve"> Therefore, whereas 41.8 in every 100,000 Victorians were sentenced in the higher courts in 2004–05, that rate had halved to 20.7 by 2019–20.</w:t>
      </w:r>
    </w:p>
    <w:p w14:paraId="041D2748" w14:textId="77777777" w:rsidR="00E62AE6" w:rsidRPr="00E62AE6" w:rsidRDefault="00E62AE6" w:rsidP="00E5783B">
      <w:pPr>
        <w:pStyle w:val="Caption"/>
      </w:pPr>
      <w:r w:rsidRPr="00E62AE6">
        <w:t>Figure 1: Number of cases sentenced in the higher courts, 2004–05 to 2019–20</w:t>
      </w:r>
    </w:p>
    <w:tbl>
      <w:tblPr>
        <w:tblStyle w:val="Table"/>
        <w:tblW w:w="0" w:type="auto"/>
        <w:tblLook w:val="04A0" w:firstRow="1" w:lastRow="0" w:firstColumn="1" w:lastColumn="0" w:noHBand="0" w:noVBand="1"/>
      </w:tblPr>
      <w:tblGrid>
        <w:gridCol w:w="1786"/>
        <w:gridCol w:w="2092"/>
      </w:tblGrid>
      <w:tr w:rsidR="002B5CF3" w:rsidRPr="002B5CF3" w14:paraId="77F614F4" w14:textId="77777777" w:rsidTr="002B12E2">
        <w:trPr>
          <w:trHeight w:val="288"/>
          <w:tblHeader/>
        </w:trPr>
        <w:tc>
          <w:tcPr>
            <w:tcW w:w="0" w:type="auto"/>
            <w:noWrap/>
            <w:hideMark/>
          </w:tcPr>
          <w:p w14:paraId="24D204A5" w14:textId="77777777" w:rsidR="002B5CF3" w:rsidRPr="002B5CF3" w:rsidRDefault="002B5CF3" w:rsidP="00E40129">
            <w:pPr>
              <w:pStyle w:val="TableHeading"/>
            </w:pPr>
            <w:r w:rsidRPr="002B5CF3">
              <w:t>Financial year</w:t>
            </w:r>
          </w:p>
        </w:tc>
        <w:tc>
          <w:tcPr>
            <w:tcW w:w="0" w:type="auto"/>
            <w:noWrap/>
            <w:hideMark/>
          </w:tcPr>
          <w:p w14:paraId="2808E2EB" w14:textId="77777777" w:rsidR="002B5CF3" w:rsidRPr="002B5CF3" w:rsidRDefault="002B5CF3" w:rsidP="00E40129">
            <w:pPr>
              <w:pStyle w:val="TableHeadingRight"/>
            </w:pPr>
            <w:r w:rsidRPr="002B5CF3">
              <w:t>Number of cases</w:t>
            </w:r>
          </w:p>
        </w:tc>
      </w:tr>
      <w:tr w:rsidR="002B5CF3" w:rsidRPr="002B5CF3" w14:paraId="51BA174E" w14:textId="77777777" w:rsidTr="00EF4D2F">
        <w:trPr>
          <w:trHeight w:val="288"/>
        </w:trPr>
        <w:tc>
          <w:tcPr>
            <w:tcW w:w="0" w:type="auto"/>
            <w:noWrap/>
            <w:hideMark/>
          </w:tcPr>
          <w:p w14:paraId="368ECEB3" w14:textId="77777777" w:rsidR="002B5CF3" w:rsidRPr="002B5CF3" w:rsidRDefault="002B5CF3" w:rsidP="001F550D">
            <w:pPr>
              <w:pStyle w:val="TableBody"/>
            </w:pPr>
            <w:r w:rsidRPr="002B5CF3">
              <w:t>2004-05</w:t>
            </w:r>
          </w:p>
        </w:tc>
        <w:tc>
          <w:tcPr>
            <w:tcW w:w="0" w:type="auto"/>
            <w:noWrap/>
            <w:hideMark/>
          </w:tcPr>
          <w:p w14:paraId="1F9C7ED3" w14:textId="77777777" w:rsidR="002B5CF3" w:rsidRPr="002B5CF3" w:rsidRDefault="002B5CF3" w:rsidP="001F550D">
            <w:pPr>
              <w:pStyle w:val="TableBodyRight"/>
            </w:pPr>
            <w:r w:rsidRPr="002B5CF3">
              <w:t>2,058</w:t>
            </w:r>
          </w:p>
        </w:tc>
      </w:tr>
      <w:tr w:rsidR="002B5CF3" w:rsidRPr="002B5CF3" w14:paraId="1C950A2B" w14:textId="77777777" w:rsidTr="00EF4D2F">
        <w:trPr>
          <w:trHeight w:val="288"/>
        </w:trPr>
        <w:tc>
          <w:tcPr>
            <w:tcW w:w="0" w:type="auto"/>
            <w:noWrap/>
            <w:hideMark/>
          </w:tcPr>
          <w:p w14:paraId="6B1CDD15" w14:textId="77777777" w:rsidR="002B5CF3" w:rsidRPr="002B5CF3" w:rsidRDefault="002B5CF3" w:rsidP="001F550D">
            <w:pPr>
              <w:pStyle w:val="TableBody"/>
            </w:pPr>
            <w:r w:rsidRPr="002B5CF3">
              <w:t>2005-06</w:t>
            </w:r>
          </w:p>
        </w:tc>
        <w:tc>
          <w:tcPr>
            <w:tcW w:w="0" w:type="auto"/>
            <w:noWrap/>
            <w:hideMark/>
          </w:tcPr>
          <w:p w14:paraId="4D5A4EFC" w14:textId="77777777" w:rsidR="002B5CF3" w:rsidRPr="002B5CF3" w:rsidRDefault="002B5CF3" w:rsidP="001F550D">
            <w:pPr>
              <w:pStyle w:val="TableBodyRight"/>
            </w:pPr>
            <w:r w:rsidRPr="002B5CF3">
              <w:t>2,021</w:t>
            </w:r>
          </w:p>
        </w:tc>
      </w:tr>
      <w:tr w:rsidR="002B5CF3" w:rsidRPr="002B5CF3" w14:paraId="6C73922C" w14:textId="77777777" w:rsidTr="00EF4D2F">
        <w:trPr>
          <w:trHeight w:val="288"/>
        </w:trPr>
        <w:tc>
          <w:tcPr>
            <w:tcW w:w="0" w:type="auto"/>
            <w:noWrap/>
            <w:hideMark/>
          </w:tcPr>
          <w:p w14:paraId="1CB3C753" w14:textId="77777777" w:rsidR="002B5CF3" w:rsidRPr="002B5CF3" w:rsidRDefault="002B5CF3" w:rsidP="001F550D">
            <w:pPr>
              <w:pStyle w:val="TableBody"/>
            </w:pPr>
            <w:r w:rsidRPr="002B5CF3">
              <w:t>2006-07</w:t>
            </w:r>
          </w:p>
        </w:tc>
        <w:tc>
          <w:tcPr>
            <w:tcW w:w="0" w:type="auto"/>
            <w:noWrap/>
            <w:hideMark/>
          </w:tcPr>
          <w:p w14:paraId="37F27B5E" w14:textId="77777777" w:rsidR="002B5CF3" w:rsidRPr="002B5CF3" w:rsidRDefault="002B5CF3" w:rsidP="001F550D">
            <w:pPr>
              <w:pStyle w:val="TableBodyRight"/>
            </w:pPr>
            <w:r w:rsidRPr="002B5CF3">
              <w:t>2,095</w:t>
            </w:r>
          </w:p>
        </w:tc>
      </w:tr>
      <w:tr w:rsidR="002B5CF3" w:rsidRPr="002B5CF3" w14:paraId="7B354BBC" w14:textId="77777777" w:rsidTr="00EF4D2F">
        <w:trPr>
          <w:trHeight w:val="288"/>
        </w:trPr>
        <w:tc>
          <w:tcPr>
            <w:tcW w:w="0" w:type="auto"/>
            <w:noWrap/>
            <w:hideMark/>
          </w:tcPr>
          <w:p w14:paraId="28BB97B3" w14:textId="77777777" w:rsidR="002B5CF3" w:rsidRPr="002B5CF3" w:rsidRDefault="002B5CF3" w:rsidP="001F550D">
            <w:pPr>
              <w:pStyle w:val="TableBody"/>
            </w:pPr>
            <w:r w:rsidRPr="002B5CF3">
              <w:t>2007-08</w:t>
            </w:r>
          </w:p>
        </w:tc>
        <w:tc>
          <w:tcPr>
            <w:tcW w:w="0" w:type="auto"/>
            <w:noWrap/>
            <w:hideMark/>
          </w:tcPr>
          <w:p w14:paraId="3FB76F4A" w14:textId="77777777" w:rsidR="002B5CF3" w:rsidRPr="002B5CF3" w:rsidRDefault="002B5CF3" w:rsidP="001F550D">
            <w:pPr>
              <w:pStyle w:val="TableBodyRight"/>
            </w:pPr>
            <w:r w:rsidRPr="002B5CF3">
              <w:t>2,200</w:t>
            </w:r>
          </w:p>
        </w:tc>
      </w:tr>
      <w:tr w:rsidR="002B5CF3" w:rsidRPr="002B5CF3" w14:paraId="39837BC8" w14:textId="77777777" w:rsidTr="00EF4D2F">
        <w:trPr>
          <w:trHeight w:val="288"/>
        </w:trPr>
        <w:tc>
          <w:tcPr>
            <w:tcW w:w="0" w:type="auto"/>
            <w:noWrap/>
            <w:hideMark/>
          </w:tcPr>
          <w:p w14:paraId="46A7740A" w14:textId="77777777" w:rsidR="002B5CF3" w:rsidRPr="002B5CF3" w:rsidRDefault="002B5CF3" w:rsidP="001F550D">
            <w:pPr>
              <w:pStyle w:val="TableBody"/>
            </w:pPr>
            <w:r w:rsidRPr="002B5CF3">
              <w:t>2008-09</w:t>
            </w:r>
          </w:p>
        </w:tc>
        <w:tc>
          <w:tcPr>
            <w:tcW w:w="0" w:type="auto"/>
            <w:noWrap/>
            <w:hideMark/>
          </w:tcPr>
          <w:p w14:paraId="211B9081" w14:textId="77777777" w:rsidR="002B5CF3" w:rsidRPr="002B5CF3" w:rsidRDefault="002B5CF3" w:rsidP="001F550D">
            <w:pPr>
              <w:pStyle w:val="TableBodyRight"/>
            </w:pPr>
            <w:r w:rsidRPr="002B5CF3">
              <w:t>1,960</w:t>
            </w:r>
          </w:p>
        </w:tc>
      </w:tr>
      <w:tr w:rsidR="002B5CF3" w:rsidRPr="002B5CF3" w14:paraId="0E771D36" w14:textId="77777777" w:rsidTr="00EF4D2F">
        <w:trPr>
          <w:trHeight w:val="288"/>
        </w:trPr>
        <w:tc>
          <w:tcPr>
            <w:tcW w:w="0" w:type="auto"/>
            <w:noWrap/>
            <w:hideMark/>
          </w:tcPr>
          <w:p w14:paraId="0430761C" w14:textId="77777777" w:rsidR="002B5CF3" w:rsidRPr="002B5CF3" w:rsidRDefault="002B5CF3" w:rsidP="001F550D">
            <w:pPr>
              <w:pStyle w:val="TableBody"/>
            </w:pPr>
            <w:r w:rsidRPr="002B5CF3">
              <w:t>2009-10</w:t>
            </w:r>
          </w:p>
        </w:tc>
        <w:tc>
          <w:tcPr>
            <w:tcW w:w="0" w:type="auto"/>
            <w:noWrap/>
            <w:hideMark/>
          </w:tcPr>
          <w:p w14:paraId="522FCA77" w14:textId="77777777" w:rsidR="002B5CF3" w:rsidRPr="002B5CF3" w:rsidRDefault="002B5CF3" w:rsidP="001F550D">
            <w:pPr>
              <w:pStyle w:val="TableBodyRight"/>
            </w:pPr>
            <w:r w:rsidRPr="002B5CF3">
              <w:t>1,903</w:t>
            </w:r>
          </w:p>
        </w:tc>
      </w:tr>
      <w:tr w:rsidR="002B5CF3" w:rsidRPr="002B5CF3" w14:paraId="23F761CD" w14:textId="77777777" w:rsidTr="00EF4D2F">
        <w:trPr>
          <w:trHeight w:val="288"/>
        </w:trPr>
        <w:tc>
          <w:tcPr>
            <w:tcW w:w="0" w:type="auto"/>
            <w:noWrap/>
            <w:hideMark/>
          </w:tcPr>
          <w:p w14:paraId="0AA85C44" w14:textId="77777777" w:rsidR="002B5CF3" w:rsidRPr="002B5CF3" w:rsidRDefault="002B5CF3" w:rsidP="001F550D">
            <w:pPr>
              <w:pStyle w:val="TableBody"/>
            </w:pPr>
            <w:r w:rsidRPr="002B5CF3">
              <w:t>2010-11</w:t>
            </w:r>
          </w:p>
        </w:tc>
        <w:tc>
          <w:tcPr>
            <w:tcW w:w="0" w:type="auto"/>
            <w:noWrap/>
            <w:hideMark/>
          </w:tcPr>
          <w:p w14:paraId="77E8404A" w14:textId="77777777" w:rsidR="002B5CF3" w:rsidRPr="002B5CF3" w:rsidRDefault="002B5CF3" w:rsidP="001F550D">
            <w:pPr>
              <w:pStyle w:val="TableBodyRight"/>
            </w:pPr>
            <w:r w:rsidRPr="002B5CF3">
              <w:t>1,992</w:t>
            </w:r>
          </w:p>
        </w:tc>
      </w:tr>
      <w:tr w:rsidR="002B5CF3" w:rsidRPr="002B5CF3" w14:paraId="495ABFCE" w14:textId="77777777" w:rsidTr="00EF4D2F">
        <w:trPr>
          <w:trHeight w:val="288"/>
        </w:trPr>
        <w:tc>
          <w:tcPr>
            <w:tcW w:w="0" w:type="auto"/>
            <w:noWrap/>
            <w:hideMark/>
          </w:tcPr>
          <w:p w14:paraId="646FC652" w14:textId="77777777" w:rsidR="002B5CF3" w:rsidRPr="002B5CF3" w:rsidRDefault="002B5CF3" w:rsidP="001F550D">
            <w:pPr>
              <w:pStyle w:val="TableBody"/>
            </w:pPr>
            <w:r w:rsidRPr="002B5CF3">
              <w:t>2011-12</w:t>
            </w:r>
          </w:p>
        </w:tc>
        <w:tc>
          <w:tcPr>
            <w:tcW w:w="0" w:type="auto"/>
            <w:noWrap/>
            <w:hideMark/>
          </w:tcPr>
          <w:p w14:paraId="2F181141" w14:textId="77777777" w:rsidR="002B5CF3" w:rsidRPr="002B5CF3" w:rsidRDefault="002B5CF3" w:rsidP="001F550D">
            <w:pPr>
              <w:pStyle w:val="TableBodyRight"/>
            </w:pPr>
            <w:r w:rsidRPr="002B5CF3">
              <w:t>1,951</w:t>
            </w:r>
          </w:p>
        </w:tc>
      </w:tr>
      <w:tr w:rsidR="002B5CF3" w:rsidRPr="002B5CF3" w14:paraId="3D8E454B" w14:textId="77777777" w:rsidTr="00EF4D2F">
        <w:trPr>
          <w:trHeight w:val="288"/>
        </w:trPr>
        <w:tc>
          <w:tcPr>
            <w:tcW w:w="0" w:type="auto"/>
            <w:noWrap/>
            <w:hideMark/>
          </w:tcPr>
          <w:p w14:paraId="397D2FD5" w14:textId="77777777" w:rsidR="002B5CF3" w:rsidRPr="002B5CF3" w:rsidRDefault="002B5CF3" w:rsidP="001F550D">
            <w:pPr>
              <w:pStyle w:val="TableBody"/>
            </w:pPr>
            <w:r w:rsidRPr="002B5CF3">
              <w:t>2012-13</w:t>
            </w:r>
          </w:p>
        </w:tc>
        <w:tc>
          <w:tcPr>
            <w:tcW w:w="0" w:type="auto"/>
            <w:noWrap/>
            <w:hideMark/>
          </w:tcPr>
          <w:p w14:paraId="12A0CABC" w14:textId="77777777" w:rsidR="002B5CF3" w:rsidRPr="002B5CF3" w:rsidRDefault="002B5CF3" w:rsidP="001F550D">
            <w:pPr>
              <w:pStyle w:val="TableBodyRight"/>
            </w:pPr>
            <w:r w:rsidRPr="002B5CF3">
              <w:t>1,918</w:t>
            </w:r>
          </w:p>
        </w:tc>
      </w:tr>
      <w:tr w:rsidR="002B5CF3" w:rsidRPr="002B5CF3" w14:paraId="468BEDFF" w14:textId="77777777" w:rsidTr="00EF4D2F">
        <w:trPr>
          <w:trHeight w:val="288"/>
        </w:trPr>
        <w:tc>
          <w:tcPr>
            <w:tcW w:w="0" w:type="auto"/>
            <w:noWrap/>
            <w:hideMark/>
          </w:tcPr>
          <w:p w14:paraId="16053487" w14:textId="77777777" w:rsidR="002B5CF3" w:rsidRPr="002B5CF3" w:rsidRDefault="002B5CF3" w:rsidP="001F550D">
            <w:pPr>
              <w:pStyle w:val="TableBody"/>
            </w:pPr>
            <w:r w:rsidRPr="002B5CF3">
              <w:t>2013-14</w:t>
            </w:r>
          </w:p>
        </w:tc>
        <w:tc>
          <w:tcPr>
            <w:tcW w:w="0" w:type="auto"/>
            <w:noWrap/>
            <w:hideMark/>
          </w:tcPr>
          <w:p w14:paraId="60BCD032" w14:textId="77777777" w:rsidR="002B5CF3" w:rsidRPr="002B5CF3" w:rsidRDefault="002B5CF3" w:rsidP="001F550D">
            <w:pPr>
              <w:pStyle w:val="TableBodyRight"/>
            </w:pPr>
            <w:r w:rsidRPr="002B5CF3">
              <w:t>1,938</w:t>
            </w:r>
          </w:p>
        </w:tc>
      </w:tr>
      <w:tr w:rsidR="002B5CF3" w:rsidRPr="002B5CF3" w14:paraId="50D59BD7" w14:textId="77777777" w:rsidTr="00EF4D2F">
        <w:trPr>
          <w:trHeight w:val="288"/>
        </w:trPr>
        <w:tc>
          <w:tcPr>
            <w:tcW w:w="0" w:type="auto"/>
            <w:noWrap/>
            <w:hideMark/>
          </w:tcPr>
          <w:p w14:paraId="013635B1" w14:textId="77777777" w:rsidR="002B5CF3" w:rsidRPr="002B5CF3" w:rsidRDefault="002B5CF3" w:rsidP="001F550D">
            <w:pPr>
              <w:pStyle w:val="TableBody"/>
            </w:pPr>
            <w:r w:rsidRPr="002B5CF3">
              <w:t>2014-15</w:t>
            </w:r>
          </w:p>
        </w:tc>
        <w:tc>
          <w:tcPr>
            <w:tcW w:w="0" w:type="auto"/>
            <w:noWrap/>
            <w:hideMark/>
          </w:tcPr>
          <w:p w14:paraId="17B689EA" w14:textId="77777777" w:rsidR="002B5CF3" w:rsidRPr="002B5CF3" w:rsidRDefault="002B5CF3" w:rsidP="001F550D">
            <w:pPr>
              <w:pStyle w:val="TableBodyRight"/>
            </w:pPr>
            <w:r w:rsidRPr="002B5CF3">
              <w:t>1,804</w:t>
            </w:r>
          </w:p>
        </w:tc>
      </w:tr>
      <w:tr w:rsidR="002B5CF3" w:rsidRPr="002B5CF3" w14:paraId="26387ADB" w14:textId="77777777" w:rsidTr="00EF4D2F">
        <w:trPr>
          <w:trHeight w:val="288"/>
        </w:trPr>
        <w:tc>
          <w:tcPr>
            <w:tcW w:w="0" w:type="auto"/>
            <w:noWrap/>
            <w:hideMark/>
          </w:tcPr>
          <w:p w14:paraId="2DC87789" w14:textId="77777777" w:rsidR="002B5CF3" w:rsidRPr="002B5CF3" w:rsidRDefault="002B5CF3" w:rsidP="001F550D">
            <w:pPr>
              <w:pStyle w:val="TableBody"/>
            </w:pPr>
            <w:r w:rsidRPr="002B5CF3">
              <w:t>2015-16</w:t>
            </w:r>
          </w:p>
        </w:tc>
        <w:tc>
          <w:tcPr>
            <w:tcW w:w="0" w:type="auto"/>
            <w:noWrap/>
            <w:hideMark/>
          </w:tcPr>
          <w:p w14:paraId="7E9E9EA1" w14:textId="77777777" w:rsidR="002B5CF3" w:rsidRPr="002B5CF3" w:rsidRDefault="002B5CF3" w:rsidP="001F550D">
            <w:pPr>
              <w:pStyle w:val="TableBodyRight"/>
            </w:pPr>
            <w:r w:rsidRPr="002B5CF3">
              <w:t>1,774</w:t>
            </w:r>
          </w:p>
        </w:tc>
      </w:tr>
      <w:tr w:rsidR="002B5CF3" w:rsidRPr="002B5CF3" w14:paraId="73920EE8" w14:textId="77777777" w:rsidTr="00EF4D2F">
        <w:trPr>
          <w:trHeight w:val="288"/>
        </w:trPr>
        <w:tc>
          <w:tcPr>
            <w:tcW w:w="0" w:type="auto"/>
            <w:noWrap/>
            <w:hideMark/>
          </w:tcPr>
          <w:p w14:paraId="5FCDDA7B" w14:textId="77777777" w:rsidR="002B5CF3" w:rsidRPr="002B5CF3" w:rsidRDefault="002B5CF3" w:rsidP="001F550D">
            <w:pPr>
              <w:pStyle w:val="TableBody"/>
            </w:pPr>
            <w:r w:rsidRPr="002B5CF3">
              <w:t>2016-17</w:t>
            </w:r>
          </w:p>
        </w:tc>
        <w:tc>
          <w:tcPr>
            <w:tcW w:w="0" w:type="auto"/>
            <w:noWrap/>
            <w:hideMark/>
          </w:tcPr>
          <w:p w14:paraId="77437FFD" w14:textId="77777777" w:rsidR="002B5CF3" w:rsidRPr="002B5CF3" w:rsidRDefault="002B5CF3" w:rsidP="001F550D">
            <w:pPr>
              <w:pStyle w:val="TableBodyRight"/>
            </w:pPr>
            <w:r w:rsidRPr="002B5CF3">
              <w:t>1,730</w:t>
            </w:r>
          </w:p>
        </w:tc>
      </w:tr>
      <w:tr w:rsidR="002B5CF3" w:rsidRPr="002B5CF3" w14:paraId="1A9DF3CC" w14:textId="77777777" w:rsidTr="00EF4D2F">
        <w:trPr>
          <w:trHeight w:val="288"/>
        </w:trPr>
        <w:tc>
          <w:tcPr>
            <w:tcW w:w="0" w:type="auto"/>
            <w:noWrap/>
            <w:hideMark/>
          </w:tcPr>
          <w:p w14:paraId="4552E02E" w14:textId="77777777" w:rsidR="002B5CF3" w:rsidRPr="002B5CF3" w:rsidRDefault="002B5CF3" w:rsidP="001F550D">
            <w:pPr>
              <w:pStyle w:val="TableBody"/>
            </w:pPr>
            <w:r w:rsidRPr="002B5CF3">
              <w:t>2017-18</w:t>
            </w:r>
          </w:p>
        </w:tc>
        <w:tc>
          <w:tcPr>
            <w:tcW w:w="0" w:type="auto"/>
            <w:noWrap/>
            <w:hideMark/>
          </w:tcPr>
          <w:p w14:paraId="176F0EF8" w14:textId="77777777" w:rsidR="002B5CF3" w:rsidRPr="002B5CF3" w:rsidRDefault="002B5CF3" w:rsidP="001F550D">
            <w:pPr>
              <w:pStyle w:val="TableBodyRight"/>
            </w:pPr>
            <w:r w:rsidRPr="002B5CF3">
              <w:t>1,729</w:t>
            </w:r>
          </w:p>
        </w:tc>
      </w:tr>
      <w:tr w:rsidR="002B5CF3" w:rsidRPr="002B5CF3" w14:paraId="64C7FE0F" w14:textId="77777777" w:rsidTr="00EF4D2F">
        <w:trPr>
          <w:trHeight w:val="288"/>
        </w:trPr>
        <w:tc>
          <w:tcPr>
            <w:tcW w:w="0" w:type="auto"/>
            <w:noWrap/>
            <w:hideMark/>
          </w:tcPr>
          <w:p w14:paraId="389E9953" w14:textId="77777777" w:rsidR="002B5CF3" w:rsidRPr="002B5CF3" w:rsidRDefault="002B5CF3" w:rsidP="001F550D">
            <w:pPr>
              <w:pStyle w:val="TableBody"/>
            </w:pPr>
            <w:r w:rsidRPr="002B5CF3">
              <w:t>2018-19</w:t>
            </w:r>
          </w:p>
        </w:tc>
        <w:tc>
          <w:tcPr>
            <w:tcW w:w="0" w:type="auto"/>
            <w:noWrap/>
            <w:hideMark/>
          </w:tcPr>
          <w:p w14:paraId="376CD22E" w14:textId="77777777" w:rsidR="002B5CF3" w:rsidRPr="002B5CF3" w:rsidRDefault="002B5CF3" w:rsidP="001F550D">
            <w:pPr>
              <w:pStyle w:val="TableBodyRight"/>
            </w:pPr>
            <w:r w:rsidRPr="002B5CF3">
              <w:t>1,897</w:t>
            </w:r>
          </w:p>
        </w:tc>
      </w:tr>
      <w:tr w:rsidR="002B5CF3" w:rsidRPr="002B5CF3" w14:paraId="6F3EB1F7" w14:textId="77777777" w:rsidTr="00EF4D2F">
        <w:trPr>
          <w:trHeight w:val="288"/>
        </w:trPr>
        <w:tc>
          <w:tcPr>
            <w:tcW w:w="0" w:type="auto"/>
            <w:noWrap/>
            <w:hideMark/>
          </w:tcPr>
          <w:p w14:paraId="676A6CFF" w14:textId="77777777" w:rsidR="002B5CF3" w:rsidRPr="002B5CF3" w:rsidRDefault="002B5CF3" w:rsidP="001F550D">
            <w:pPr>
              <w:pStyle w:val="TableBody"/>
            </w:pPr>
            <w:r w:rsidRPr="002B5CF3">
              <w:t>2019-20</w:t>
            </w:r>
          </w:p>
        </w:tc>
        <w:tc>
          <w:tcPr>
            <w:tcW w:w="0" w:type="auto"/>
            <w:noWrap/>
            <w:hideMark/>
          </w:tcPr>
          <w:p w14:paraId="78E473E3" w14:textId="77777777" w:rsidR="002B5CF3" w:rsidRPr="002B5CF3" w:rsidRDefault="002B5CF3" w:rsidP="001F550D">
            <w:pPr>
              <w:pStyle w:val="TableBodyRight"/>
            </w:pPr>
            <w:r w:rsidRPr="002B5CF3">
              <w:t>1,773</w:t>
            </w:r>
          </w:p>
        </w:tc>
      </w:tr>
    </w:tbl>
    <w:p w14:paraId="4AD2CA8A" w14:textId="25C96CEA" w:rsidR="00E62AE6" w:rsidRPr="0031029F" w:rsidRDefault="00E62AE6" w:rsidP="0031029F">
      <w:r w:rsidRPr="0031029F">
        <w:t xml:space="preserve">Alongside the moderate decline in the number of cases sentenced in the higher courts each year (about 14% over 16 years), there have been </w:t>
      </w:r>
      <w:r w:rsidRPr="0031029F">
        <w:lastRenderedPageBreak/>
        <w:t>significant changes in the types of sentences imposed (Figure 2).</w:t>
      </w:r>
      <w:r w:rsidRPr="00E62AE6">
        <w:rPr>
          <w:rStyle w:val="Superscript"/>
        </w:rPr>
        <w:footnoteReference w:id="10"/>
      </w:r>
      <w:r w:rsidRPr="0031029F">
        <w:t xml:space="preserve"> The rate of imprisonment has almost doubled, from 39.6% to 75.1%. The rate of community orders decreased to 2009–10, then increased to 2015–16,</w:t>
      </w:r>
      <w:r w:rsidRPr="00E62AE6">
        <w:rPr>
          <w:rStyle w:val="Superscript"/>
        </w:rPr>
        <w:footnoteReference w:id="11"/>
      </w:r>
      <w:r w:rsidRPr="0031029F">
        <w:t xml:space="preserve"> and has decreased again since then. The rate of wholly and partially suspended sentences decreased significantly, from 34.5% of all outcomes to 2.0%. Some of these changes are attributable to legislative developments, most </w:t>
      </w:r>
      <w:r w:rsidRPr="00E5783B">
        <w:t>notably the abolition of suspended sentences.</w:t>
      </w:r>
      <w:r w:rsidRPr="00E606B5">
        <w:rPr>
          <w:rStyle w:val="Superscript"/>
        </w:rPr>
        <w:footnoteReference w:id="12"/>
      </w:r>
      <w:r w:rsidRPr="00E5783B">
        <w:t xml:space="preserve"> Others are attributable to non-legislative developments</w:t>
      </w:r>
      <w:r w:rsidRPr="0031029F">
        <w:t>, such as the Court of Appeal’s guideline judgment in 2014 encouraging increased use of community correction orders</w:t>
      </w:r>
      <w:r w:rsidRPr="00E62AE6">
        <w:rPr>
          <w:rStyle w:val="Superscript"/>
        </w:rPr>
        <w:footnoteReference w:id="13"/>
      </w:r>
      <w:r w:rsidRPr="0031029F">
        <w:t xml:space="preserve"> (though the effect of that encouragement seems to have been short-lived). The doubling of imprisonment cases is likely to be due to a combination of factors, such as more cases now being finalised in the summary jurisdiction,</w:t>
      </w:r>
      <w:r w:rsidRPr="00E62AE6">
        <w:rPr>
          <w:rStyle w:val="Superscript"/>
        </w:rPr>
        <w:footnoteReference w:id="14"/>
      </w:r>
      <w:r w:rsidRPr="0031029F">
        <w:t xml:space="preserve"> changes to Victoria’s bail laws leading to a significant increase in time served prison sentences</w:t>
      </w:r>
      <w:r w:rsidRPr="00E62AE6">
        <w:rPr>
          <w:rStyle w:val="Superscript"/>
        </w:rPr>
        <w:footnoteReference w:id="15"/>
      </w:r>
      <w:r w:rsidRPr="0031029F">
        <w:t xml:space="preserve"> and various sentencing schemes – such as category 1 and 2 offence </w:t>
      </w:r>
      <w:r w:rsidRPr="0031029F">
        <w:lastRenderedPageBreak/>
        <w:t>classification, standard sentence offences and the serious offender provisions – reducing judicial discretion.</w:t>
      </w:r>
    </w:p>
    <w:p w14:paraId="13B0DF7C" w14:textId="77777777" w:rsidR="00E62AE6" w:rsidRPr="00E62AE6" w:rsidRDefault="00E62AE6" w:rsidP="00E5783B">
      <w:pPr>
        <w:pStyle w:val="Caption"/>
      </w:pPr>
      <w:r w:rsidRPr="00E62AE6">
        <w:t>Figure 2: Sentencing outcomes in the higher courts, 2004–05 to 2019–20</w:t>
      </w:r>
      <w:r w:rsidRPr="00E62AE6">
        <w:rPr>
          <w:rStyle w:val="Superscript"/>
        </w:rPr>
        <w:footnoteReference w:id="16"/>
      </w:r>
    </w:p>
    <w:tbl>
      <w:tblPr>
        <w:tblStyle w:val="Table"/>
        <w:tblW w:w="5038" w:type="pct"/>
        <w:tblLayout w:type="fixed"/>
        <w:tblLook w:val="04A0" w:firstRow="1" w:lastRow="0" w:firstColumn="1" w:lastColumn="0" w:noHBand="0" w:noVBand="1"/>
      </w:tblPr>
      <w:tblGrid>
        <w:gridCol w:w="1805"/>
        <w:gridCol w:w="1873"/>
        <w:gridCol w:w="1803"/>
        <w:gridCol w:w="1802"/>
        <w:gridCol w:w="1802"/>
      </w:tblGrid>
      <w:tr w:rsidR="00794E58" w:rsidRPr="00FF6666" w14:paraId="0977F836" w14:textId="77777777" w:rsidTr="00794E58">
        <w:trPr>
          <w:trHeight w:val="288"/>
          <w:tblHeader/>
        </w:trPr>
        <w:tc>
          <w:tcPr>
            <w:tcW w:w="993" w:type="pct"/>
            <w:noWrap/>
            <w:hideMark/>
          </w:tcPr>
          <w:p w14:paraId="23B28792" w14:textId="77777777" w:rsidR="00FF6666" w:rsidRPr="00FF6666" w:rsidRDefault="00FF6666" w:rsidP="0050226F">
            <w:pPr>
              <w:pStyle w:val="TableHeading"/>
            </w:pPr>
            <w:r w:rsidRPr="00FF6666">
              <w:t>Financial year</w:t>
            </w:r>
          </w:p>
        </w:tc>
        <w:tc>
          <w:tcPr>
            <w:tcW w:w="1030" w:type="pct"/>
            <w:noWrap/>
            <w:hideMark/>
          </w:tcPr>
          <w:p w14:paraId="1307BBB1" w14:textId="77777777" w:rsidR="00FF6666" w:rsidRPr="00FF6666" w:rsidRDefault="00FF6666" w:rsidP="0050226F">
            <w:pPr>
              <w:pStyle w:val="TableHeadingRight"/>
            </w:pPr>
            <w:r w:rsidRPr="00FF6666">
              <w:t>Imprisonment</w:t>
            </w:r>
          </w:p>
        </w:tc>
        <w:tc>
          <w:tcPr>
            <w:tcW w:w="992" w:type="pct"/>
            <w:noWrap/>
            <w:hideMark/>
          </w:tcPr>
          <w:p w14:paraId="2AB82C00" w14:textId="77777777" w:rsidR="00FF6666" w:rsidRPr="00FF6666" w:rsidRDefault="00FF6666" w:rsidP="0050226F">
            <w:pPr>
              <w:pStyle w:val="TableHeadingRight"/>
            </w:pPr>
            <w:r w:rsidRPr="00FF6666">
              <w:t>Suspended sentence</w:t>
            </w:r>
          </w:p>
        </w:tc>
        <w:tc>
          <w:tcPr>
            <w:tcW w:w="992" w:type="pct"/>
            <w:noWrap/>
            <w:hideMark/>
          </w:tcPr>
          <w:p w14:paraId="767CC667" w14:textId="77777777" w:rsidR="00FF6666" w:rsidRPr="00FF6666" w:rsidRDefault="00FF6666" w:rsidP="0050226F">
            <w:pPr>
              <w:pStyle w:val="TableHeadingRight"/>
            </w:pPr>
            <w:r w:rsidRPr="00FF6666">
              <w:t>Community order</w:t>
            </w:r>
          </w:p>
        </w:tc>
        <w:tc>
          <w:tcPr>
            <w:tcW w:w="992" w:type="pct"/>
            <w:noWrap/>
            <w:hideMark/>
          </w:tcPr>
          <w:p w14:paraId="2BD4456C" w14:textId="77777777" w:rsidR="00FF6666" w:rsidRPr="00FF6666" w:rsidRDefault="00FF6666" w:rsidP="0050226F">
            <w:pPr>
              <w:pStyle w:val="TableHeadingRight"/>
            </w:pPr>
            <w:r w:rsidRPr="00FF6666">
              <w:t>Other</w:t>
            </w:r>
          </w:p>
        </w:tc>
      </w:tr>
      <w:tr w:rsidR="00794E58" w:rsidRPr="00FF6666" w14:paraId="0CF8BE4A" w14:textId="77777777" w:rsidTr="00794E58">
        <w:trPr>
          <w:trHeight w:val="288"/>
        </w:trPr>
        <w:tc>
          <w:tcPr>
            <w:tcW w:w="993" w:type="pct"/>
            <w:noWrap/>
            <w:hideMark/>
          </w:tcPr>
          <w:p w14:paraId="5A79D707" w14:textId="77777777" w:rsidR="00FF6666" w:rsidRPr="00FF6666" w:rsidRDefault="00FF6666" w:rsidP="001F550D">
            <w:pPr>
              <w:pStyle w:val="TableBody"/>
            </w:pPr>
            <w:r w:rsidRPr="00FF6666">
              <w:t>2004-05</w:t>
            </w:r>
          </w:p>
        </w:tc>
        <w:tc>
          <w:tcPr>
            <w:tcW w:w="1030" w:type="pct"/>
            <w:noWrap/>
            <w:hideMark/>
          </w:tcPr>
          <w:p w14:paraId="0F3B1637" w14:textId="77777777" w:rsidR="00FF6666" w:rsidRPr="00FF6666" w:rsidRDefault="00FF6666" w:rsidP="0050226F">
            <w:pPr>
              <w:pStyle w:val="TableBodyRight"/>
            </w:pPr>
            <w:r w:rsidRPr="00FF6666">
              <w:t>39.6%</w:t>
            </w:r>
          </w:p>
        </w:tc>
        <w:tc>
          <w:tcPr>
            <w:tcW w:w="992" w:type="pct"/>
            <w:noWrap/>
            <w:hideMark/>
          </w:tcPr>
          <w:p w14:paraId="68CFFA52" w14:textId="77777777" w:rsidR="00FF6666" w:rsidRPr="00FF6666" w:rsidRDefault="00FF6666" w:rsidP="0050226F">
            <w:pPr>
              <w:pStyle w:val="TableBodyRight"/>
            </w:pPr>
            <w:r w:rsidRPr="00FF6666">
              <w:t>34.5%</w:t>
            </w:r>
          </w:p>
        </w:tc>
        <w:tc>
          <w:tcPr>
            <w:tcW w:w="992" w:type="pct"/>
            <w:noWrap/>
            <w:hideMark/>
          </w:tcPr>
          <w:p w14:paraId="0DC2FA6D" w14:textId="77777777" w:rsidR="00FF6666" w:rsidRPr="00FF6666" w:rsidRDefault="00FF6666" w:rsidP="0050226F">
            <w:pPr>
              <w:pStyle w:val="TableBodyRight"/>
            </w:pPr>
            <w:r w:rsidRPr="00FF6666">
              <w:t>10.3%</w:t>
            </w:r>
          </w:p>
        </w:tc>
        <w:tc>
          <w:tcPr>
            <w:tcW w:w="992" w:type="pct"/>
            <w:noWrap/>
            <w:hideMark/>
          </w:tcPr>
          <w:p w14:paraId="0C0DEAE3" w14:textId="77777777" w:rsidR="00FF6666" w:rsidRPr="00FF6666" w:rsidRDefault="00FF6666" w:rsidP="0050226F">
            <w:pPr>
              <w:pStyle w:val="TableBodyRight"/>
            </w:pPr>
            <w:r w:rsidRPr="00FF6666">
              <w:t>15.6%</w:t>
            </w:r>
          </w:p>
        </w:tc>
      </w:tr>
      <w:tr w:rsidR="00794E58" w:rsidRPr="00FF6666" w14:paraId="101989BE" w14:textId="77777777" w:rsidTr="00794E58">
        <w:trPr>
          <w:trHeight w:val="288"/>
        </w:trPr>
        <w:tc>
          <w:tcPr>
            <w:tcW w:w="993" w:type="pct"/>
            <w:noWrap/>
            <w:hideMark/>
          </w:tcPr>
          <w:p w14:paraId="3DA8DCB9" w14:textId="77777777" w:rsidR="00FF6666" w:rsidRPr="00FF6666" w:rsidRDefault="00FF6666" w:rsidP="001F550D">
            <w:pPr>
              <w:pStyle w:val="TableBody"/>
            </w:pPr>
            <w:r w:rsidRPr="00FF6666">
              <w:t>2005-06</w:t>
            </w:r>
          </w:p>
        </w:tc>
        <w:tc>
          <w:tcPr>
            <w:tcW w:w="1030" w:type="pct"/>
            <w:noWrap/>
            <w:hideMark/>
          </w:tcPr>
          <w:p w14:paraId="122875C2" w14:textId="77777777" w:rsidR="00FF6666" w:rsidRPr="00FF6666" w:rsidRDefault="00FF6666" w:rsidP="0050226F">
            <w:pPr>
              <w:pStyle w:val="TableBodyRight"/>
            </w:pPr>
            <w:r w:rsidRPr="00FF6666">
              <w:t>43.6%</w:t>
            </w:r>
          </w:p>
        </w:tc>
        <w:tc>
          <w:tcPr>
            <w:tcW w:w="992" w:type="pct"/>
            <w:noWrap/>
            <w:hideMark/>
          </w:tcPr>
          <w:p w14:paraId="353A5112" w14:textId="77777777" w:rsidR="00FF6666" w:rsidRPr="00FF6666" w:rsidRDefault="00FF6666" w:rsidP="0050226F">
            <w:pPr>
              <w:pStyle w:val="TableBodyRight"/>
            </w:pPr>
            <w:r w:rsidRPr="00FF6666">
              <w:t>30.9%</w:t>
            </w:r>
          </w:p>
        </w:tc>
        <w:tc>
          <w:tcPr>
            <w:tcW w:w="992" w:type="pct"/>
            <w:noWrap/>
            <w:hideMark/>
          </w:tcPr>
          <w:p w14:paraId="1944DEDB" w14:textId="77777777" w:rsidR="00FF6666" w:rsidRPr="00FF6666" w:rsidRDefault="00FF6666" w:rsidP="0050226F">
            <w:pPr>
              <w:pStyle w:val="TableBodyRight"/>
            </w:pPr>
            <w:r w:rsidRPr="00FF6666">
              <w:t>8.9%</w:t>
            </w:r>
          </w:p>
        </w:tc>
        <w:tc>
          <w:tcPr>
            <w:tcW w:w="992" w:type="pct"/>
            <w:noWrap/>
            <w:hideMark/>
          </w:tcPr>
          <w:p w14:paraId="02263DB2" w14:textId="77777777" w:rsidR="00FF6666" w:rsidRPr="00FF6666" w:rsidRDefault="00FF6666" w:rsidP="0050226F">
            <w:pPr>
              <w:pStyle w:val="TableBodyRight"/>
            </w:pPr>
            <w:r w:rsidRPr="00FF6666">
              <w:t>16.6%</w:t>
            </w:r>
          </w:p>
        </w:tc>
      </w:tr>
      <w:tr w:rsidR="00794E58" w:rsidRPr="00FF6666" w14:paraId="3900B405" w14:textId="77777777" w:rsidTr="00794E58">
        <w:trPr>
          <w:trHeight w:val="288"/>
        </w:trPr>
        <w:tc>
          <w:tcPr>
            <w:tcW w:w="993" w:type="pct"/>
            <w:noWrap/>
            <w:hideMark/>
          </w:tcPr>
          <w:p w14:paraId="3EC5FAB8" w14:textId="77777777" w:rsidR="00FF6666" w:rsidRPr="00FF6666" w:rsidRDefault="00FF6666" w:rsidP="001F550D">
            <w:pPr>
              <w:pStyle w:val="TableBody"/>
            </w:pPr>
            <w:r w:rsidRPr="00FF6666">
              <w:t>2006-07</w:t>
            </w:r>
          </w:p>
        </w:tc>
        <w:tc>
          <w:tcPr>
            <w:tcW w:w="1030" w:type="pct"/>
            <w:noWrap/>
            <w:hideMark/>
          </w:tcPr>
          <w:p w14:paraId="4C303444" w14:textId="77777777" w:rsidR="00FF6666" w:rsidRPr="00FF6666" w:rsidRDefault="00FF6666" w:rsidP="0050226F">
            <w:pPr>
              <w:pStyle w:val="TableBodyRight"/>
            </w:pPr>
            <w:r w:rsidRPr="00FF6666">
              <w:t>45.8%</w:t>
            </w:r>
          </w:p>
        </w:tc>
        <w:tc>
          <w:tcPr>
            <w:tcW w:w="992" w:type="pct"/>
            <w:noWrap/>
            <w:hideMark/>
          </w:tcPr>
          <w:p w14:paraId="70520338" w14:textId="77777777" w:rsidR="00FF6666" w:rsidRPr="00FF6666" w:rsidRDefault="00FF6666" w:rsidP="0050226F">
            <w:pPr>
              <w:pStyle w:val="TableBodyRight"/>
            </w:pPr>
            <w:r w:rsidRPr="00FF6666">
              <w:t>27.3%</w:t>
            </w:r>
          </w:p>
        </w:tc>
        <w:tc>
          <w:tcPr>
            <w:tcW w:w="992" w:type="pct"/>
            <w:noWrap/>
            <w:hideMark/>
          </w:tcPr>
          <w:p w14:paraId="1552787A" w14:textId="77777777" w:rsidR="00FF6666" w:rsidRPr="00FF6666" w:rsidRDefault="00FF6666" w:rsidP="0050226F">
            <w:pPr>
              <w:pStyle w:val="TableBodyRight"/>
            </w:pPr>
            <w:r w:rsidRPr="00FF6666">
              <w:t>10.0%</w:t>
            </w:r>
          </w:p>
        </w:tc>
        <w:tc>
          <w:tcPr>
            <w:tcW w:w="992" w:type="pct"/>
            <w:noWrap/>
            <w:hideMark/>
          </w:tcPr>
          <w:p w14:paraId="17E4A0FC" w14:textId="77777777" w:rsidR="00FF6666" w:rsidRPr="00FF6666" w:rsidRDefault="00FF6666" w:rsidP="0050226F">
            <w:pPr>
              <w:pStyle w:val="TableBodyRight"/>
            </w:pPr>
            <w:r w:rsidRPr="00FF6666">
              <w:t>16.9%</w:t>
            </w:r>
          </w:p>
        </w:tc>
      </w:tr>
      <w:tr w:rsidR="00794E58" w:rsidRPr="00FF6666" w14:paraId="0613239C" w14:textId="77777777" w:rsidTr="00794E58">
        <w:trPr>
          <w:trHeight w:val="288"/>
        </w:trPr>
        <w:tc>
          <w:tcPr>
            <w:tcW w:w="993" w:type="pct"/>
            <w:noWrap/>
            <w:hideMark/>
          </w:tcPr>
          <w:p w14:paraId="6B0700CD" w14:textId="77777777" w:rsidR="00FF6666" w:rsidRPr="00FF6666" w:rsidRDefault="00FF6666" w:rsidP="001F550D">
            <w:pPr>
              <w:pStyle w:val="TableBody"/>
            </w:pPr>
            <w:r w:rsidRPr="00FF6666">
              <w:t>2007-08</w:t>
            </w:r>
          </w:p>
        </w:tc>
        <w:tc>
          <w:tcPr>
            <w:tcW w:w="1030" w:type="pct"/>
            <w:noWrap/>
            <w:hideMark/>
          </w:tcPr>
          <w:p w14:paraId="06B6A246" w14:textId="77777777" w:rsidR="00FF6666" w:rsidRPr="00FF6666" w:rsidRDefault="00FF6666" w:rsidP="0050226F">
            <w:pPr>
              <w:pStyle w:val="TableBodyRight"/>
            </w:pPr>
            <w:r w:rsidRPr="00FF6666">
              <w:t>45.4%</w:t>
            </w:r>
          </w:p>
        </w:tc>
        <w:tc>
          <w:tcPr>
            <w:tcW w:w="992" w:type="pct"/>
            <w:noWrap/>
            <w:hideMark/>
          </w:tcPr>
          <w:p w14:paraId="277C1D31" w14:textId="77777777" w:rsidR="00FF6666" w:rsidRPr="00FF6666" w:rsidRDefault="00FF6666" w:rsidP="0050226F">
            <w:pPr>
              <w:pStyle w:val="TableBodyRight"/>
            </w:pPr>
            <w:r w:rsidRPr="00FF6666">
              <w:t>29.6%</w:t>
            </w:r>
          </w:p>
        </w:tc>
        <w:tc>
          <w:tcPr>
            <w:tcW w:w="992" w:type="pct"/>
            <w:noWrap/>
            <w:hideMark/>
          </w:tcPr>
          <w:p w14:paraId="5F789865" w14:textId="77777777" w:rsidR="00FF6666" w:rsidRPr="00FF6666" w:rsidRDefault="00FF6666" w:rsidP="0050226F">
            <w:pPr>
              <w:pStyle w:val="TableBodyRight"/>
            </w:pPr>
            <w:r w:rsidRPr="00FF6666">
              <w:t>9.6%</w:t>
            </w:r>
          </w:p>
        </w:tc>
        <w:tc>
          <w:tcPr>
            <w:tcW w:w="992" w:type="pct"/>
            <w:noWrap/>
            <w:hideMark/>
          </w:tcPr>
          <w:p w14:paraId="307B525A" w14:textId="77777777" w:rsidR="00FF6666" w:rsidRPr="00FF6666" w:rsidRDefault="00FF6666" w:rsidP="0050226F">
            <w:pPr>
              <w:pStyle w:val="TableBodyRight"/>
            </w:pPr>
            <w:r w:rsidRPr="00FF6666">
              <w:t>15.4%</w:t>
            </w:r>
          </w:p>
        </w:tc>
      </w:tr>
      <w:tr w:rsidR="00794E58" w:rsidRPr="00FF6666" w14:paraId="17A04BF6" w14:textId="77777777" w:rsidTr="00794E58">
        <w:trPr>
          <w:trHeight w:val="288"/>
        </w:trPr>
        <w:tc>
          <w:tcPr>
            <w:tcW w:w="993" w:type="pct"/>
            <w:noWrap/>
            <w:hideMark/>
          </w:tcPr>
          <w:p w14:paraId="2749D424" w14:textId="77777777" w:rsidR="00FF6666" w:rsidRPr="00FF6666" w:rsidRDefault="00FF6666" w:rsidP="001F550D">
            <w:pPr>
              <w:pStyle w:val="TableBody"/>
            </w:pPr>
            <w:r w:rsidRPr="00FF6666">
              <w:t>2008-09</w:t>
            </w:r>
          </w:p>
        </w:tc>
        <w:tc>
          <w:tcPr>
            <w:tcW w:w="1030" w:type="pct"/>
            <w:noWrap/>
            <w:hideMark/>
          </w:tcPr>
          <w:p w14:paraId="565C32F5" w14:textId="77777777" w:rsidR="00FF6666" w:rsidRPr="00FF6666" w:rsidRDefault="00FF6666" w:rsidP="0050226F">
            <w:pPr>
              <w:pStyle w:val="TableBodyRight"/>
            </w:pPr>
            <w:r w:rsidRPr="00FF6666">
              <w:t>47.9%</w:t>
            </w:r>
          </w:p>
        </w:tc>
        <w:tc>
          <w:tcPr>
            <w:tcW w:w="992" w:type="pct"/>
            <w:noWrap/>
            <w:hideMark/>
          </w:tcPr>
          <w:p w14:paraId="2A1BBE97" w14:textId="77777777" w:rsidR="00FF6666" w:rsidRPr="00FF6666" w:rsidRDefault="00FF6666" w:rsidP="0050226F">
            <w:pPr>
              <w:pStyle w:val="TableBodyRight"/>
            </w:pPr>
            <w:r w:rsidRPr="00FF6666">
              <w:t>31.9%</w:t>
            </w:r>
          </w:p>
        </w:tc>
        <w:tc>
          <w:tcPr>
            <w:tcW w:w="992" w:type="pct"/>
            <w:noWrap/>
            <w:hideMark/>
          </w:tcPr>
          <w:p w14:paraId="056B7BAE" w14:textId="77777777" w:rsidR="00FF6666" w:rsidRPr="00FF6666" w:rsidRDefault="00FF6666" w:rsidP="0050226F">
            <w:pPr>
              <w:pStyle w:val="TableBodyRight"/>
            </w:pPr>
            <w:r w:rsidRPr="00FF6666">
              <w:t>6.3%</w:t>
            </w:r>
          </w:p>
        </w:tc>
        <w:tc>
          <w:tcPr>
            <w:tcW w:w="992" w:type="pct"/>
            <w:noWrap/>
            <w:hideMark/>
          </w:tcPr>
          <w:p w14:paraId="07746701" w14:textId="77777777" w:rsidR="00FF6666" w:rsidRPr="00FF6666" w:rsidRDefault="00FF6666" w:rsidP="0050226F">
            <w:pPr>
              <w:pStyle w:val="TableBodyRight"/>
            </w:pPr>
            <w:r w:rsidRPr="00FF6666">
              <w:t>13.9%</w:t>
            </w:r>
          </w:p>
        </w:tc>
      </w:tr>
      <w:tr w:rsidR="00794E58" w:rsidRPr="00FF6666" w14:paraId="76CEBFE9" w14:textId="77777777" w:rsidTr="00794E58">
        <w:trPr>
          <w:trHeight w:val="288"/>
        </w:trPr>
        <w:tc>
          <w:tcPr>
            <w:tcW w:w="993" w:type="pct"/>
            <w:noWrap/>
            <w:hideMark/>
          </w:tcPr>
          <w:p w14:paraId="7B8ED17D" w14:textId="77777777" w:rsidR="00FF6666" w:rsidRPr="00FF6666" w:rsidRDefault="00FF6666" w:rsidP="001F550D">
            <w:pPr>
              <w:pStyle w:val="TableBody"/>
            </w:pPr>
            <w:r w:rsidRPr="00FF6666">
              <w:t>2009-10</w:t>
            </w:r>
          </w:p>
        </w:tc>
        <w:tc>
          <w:tcPr>
            <w:tcW w:w="1030" w:type="pct"/>
            <w:noWrap/>
            <w:hideMark/>
          </w:tcPr>
          <w:p w14:paraId="3107A04C" w14:textId="77777777" w:rsidR="00FF6666" w:rsidRPr="00FF6666" w:rsidRDefault="00FF6666" w:rsidP="0050226F">
            <w:pPr>
              <w:pStyle w:val="TableBodyRight"/>
            </w:pPr>
            <w:r w:rsidRPr="00FF6666">
              <w:t>53.2%</w:t>
            </w:r>
          </w:p>
        </w:tc>
        <w:tc>
          <w:tcPr>
            <w:tcW w:w="992" w:type="pct"/>
            <w:noWrap/>
            <w:hideMark/>
          </w:tcPr>
          <w:p w14:paraId="0C9D4F11" w14:textId="77777777" w:rsidR="00FF6666" w:rsidRPr="00FF6666" w:rsidRDefault="00FF6666" w:rsidP="0050226F">
            <w:pPr>
              <w:pStyle w:val="TableBodyRight"/>
            </w:pPr>
            <w:r w:rsidRPr="00FF6666">
              <w:t>29.0%</w:t>
            </w:r>
          </w:p>
        </w:tc>
        <w:tc>
          <w:tcPr>
            <w:tcW w:w="992" w:type="pct"/>
            <w:noWrap/>
            <w:hideMark/>
          </w:tcPr>
          <w:p w14:paraId="09EEEF49" w14:textId="77777777" w:rsidR="00FF6666" w:rsidRPr="00FF6666" w:rsidRDefault="00FF6666" w:rsidP="0050226F">
            <w:pPr>
              <w:pStyle w:val="TableBodyRight"/>
            </w:pPr>
            <w:r w:rsidRPr="00FF6666">
              <w:t>4.8%</w:t>
            </w:r>
          </w:p>
        </w:tc>
        <w:tc>
          <w:tcPr>
            <w:tcW w:w="992" w:type="pct"/>
            <w:noWrap/>
            <w:hideMark/>
          </w:tcPr>
          <w:p w14:paraId="2E5E6829" w14:textId="77777777" w:rsidR="00FF6666" w:rsidRPr="00FF6666" w:rsidRDefault="00FF6666" w:rsidP="0050226F">
            <w:pPr>
              <w:pStyle w:val="TableBodyRight"/>
            </w:pPr>
            <w:r w:rsidRPr="00FF6666">
              <w:t>13.0%</w:t>
            </w:r>
          </w:p>
        </w:tc>
      </w:tr>
      <w:tr w:rsidR="00794E58" w:rsidRPr="00FF6666" w14:paraId="20B60A20" w14:textId="77777777" w:rsidTr="00794E58">
        <w:trPr>
          <w:trHeight w:val="288"/>
        </w:trPr>
        <w:tc>
          <w:tcPr>
            <w:tcW w:w="993" w:type="pct"/>
            <w:noWrap/>
            <w:hideMark/>
          </w:tcPr>
          <w:p w14:paraId="74A557BC" w14:textId="77777777" w:rsidR="00FF6666" w:rsidRPr="00FF6666" w:rsidRDefault="00FF6666" w:rsidP="001F550D">
            <w:pPr>
              <w:pStyle w:val="TableBody"/>
            </w:pPr>
            <w:r w:rsidRPr="00FF6666">
              <w:t>2010-11</w:t>
            </w:r>
          </w:p>
        </w:tc>
        <w:tc>
          <w:tcPr>
            <w:tcW w:w="1030" w:type="pct"/>
            <w:noWrap/>
            <w:hideMark/>
          </w:tcPr>
          <w:p w14:paraId="0623BE83" w14:textId="77777777" w:rsidR="00FF6666" w:rsidRPr="00FF6666" w:rsidRDefault="00FF6666" w:rsidP="0050226F">
            <w:pPr>
              <w:pStyle w:val="TableBodyRight"/>
            </w:pPr>
            <w:r w:rsidRPr="00FF6666">
              <w:t>52.6%</w:t>
            </w:r>
          </w:p>
        </w:tc>
        <w:tc>
          <w:tcPr>
            <w:tcW w:w="992" w:type="pct"/>
            <w:noWrap/>
            <w:hideMark/>
          </w:tcPr>
          <w:p w14:paraId="24505AC5" w14:textId="77777777" w:rsidR="00FF6666" w:rsidRPr="00FF6666" w:rsidRDefault="00FF6666" w:rsidP="0050226F">
            <w:pPr>
              <w:pStyle w:val="TableBodyRight"/>
            </w:pPr>
            <w:r w:rsidRPr="00FF6666">
              <w:t>28.2%</w:t>
            </w:r>
          </w:p>
        </w:tc>
        <w:tc>
          <w:tcPr>
            <w:tcW w:w="992" w:type="pct"/>
            <w:noWrap/>
            <w:hideMark/>
          </w:tcPr>
          <w:p w14:paraId="39B6ED5E" w14:textId="77777777" w:rsidR="00FF6666" w:rsidRPr="00FF6666" w:rsidRDefault="00FF6666" w:rsidP="0050226F">
            <w:pPr>
              <w:pStyle w:val="TableBodyRight"/>
            </w:pPr>
            <w:r w:rsidRPr="00FF6666">
              <w:t>6.5%</w:t>
            </w:r>
          </w:p>
        </w:tc>
        <w:tc>
          <w:tcPr>
            <w:tcW w:w="992" w:type="pct"/>
            <w:noWrap/>
            <w:hideMark/>
          </w:tcPr>
          <w:p w14:paraId="39BCF2A9" w14:textId="77777777" w:rsidR="00FF6666" w:rsidRPr="00FF6666" w:rsidRDefault="00FF6666" w:rsidP="0050226F">
            <w:pPr>
              <w:pStyle w:val="TableBodyRight"/>
            </w:pPr>
            <w:r w:rsidRPr="00FF6666">
              <w:t>12.7%</w:t>
            </w:r>
          </w:p>
        </w:tc>
      </w:tr>
      <w:tr w:rsidR="00794E58" w:rsidRPr="00FF6666" w14:paraId="4DEC8E61" w14:textId="77777777" w:rsidTr="00794E58">
        <w:trPr>
          <w:trHeight w:val="288"/>
        </w:trPr>
        <w:tc>
          <w:tcPr>
            <w:tcW w:w="993" w:type="pct"/>
            <w:noWrap/>
            <w:hideMark/>
          </w:tcPr>
          <w:p w14:paraId="02AF211B" w14:textId="77777777" w:rsidR="00FF6666" w:rsidRPr="00FF6666" w:rsidRDefault="00FF6666" w:rsidP="001F550D">
            <w:pPr>
              <w:pStyle w:val="TableBody"/>
            </w:pPr>
            <w:r w:rsidRPr="00FF6666">
              <w:t>2011-12</w:t>
            </w:r>
          </w:p>
        </w:tc>
        <w:tc>
          <w:tcPr>
            <w:tcW w:w="1030" w:type="pct"/>
            <w:noWrap/>
            <w:hideMark/>
          </w:tcPr>
          <w:p w14:paraId="1395B41F" w14:textId="77777777" w:rsidR="00FF6666" w:rsidRPr="00FF6666" w:rsidRDefault="00FF6666" w:rsidP="0050226F">
            <w:pPr>
              <w:pStyle w:val="TableBodyRight"/>
            </w:pPr>
            <w:r w:rsidRPr="00FF6666">
              <w:t>53.2%</w:t>
            </w:r>
          </w:p>
        </w:tc>
        <w:tc>
          <w:tcPr>
            <w:tcW w:w="992" w:type="pct"/>
            <w:noWrap/>
            <w:hideMark/>
          </w:tcPr>
          <w:p w14:paraId="712BBC4A" w14:textId="77777777" w:rsidR="00FF6666" w:rsidRPr="00FF6666" w:rsidRDefault="00FF6666" w:rsidP="0050226F">
            <w:pPr>
              <w:pStyle w:val="TableBodyRight"/>
            </w:pPr>
            <w:r w:rsidRPr="00FF6666">
              <w:t>23.4%</w:t>
            </w:r>
          </w:p>
        </w:tc>
        <w:tc>
          <w:tcPr>
            <w:tcW w:w="992" w:type="pct"/>
            <w:noWrap/>
            <w:hideMark/>
          </w:tcPr>
          <w:p w14:paraId="35E3481D" w14:textId="77777777" w:rsidR="00FF6666" w:rsidRPr="00FF6666" w:rsidRDefault="00FF6666" w:rsidP="0050226F">
            <w:pPr>
              <w:pStyle w:val="TableBodyRight"/>
            </w:pPr>
            <w:r w:rsidRPr="00FF6666">
              <w:t>9.9%</w:t>
            </w:r>
          </w:p>
        </w:tc>
        <w:tc>
          <w:tcPr>
            <w:tcW w:w="992" w:type="pct"/>
            <w:noWrap/>
            <w:hideMark/>
          </w:tcPr>
          <w:p w14:paraId="6B52434B" w14:textId="77777777" w:rsidR="00FF6666" w:rsidRPr="00FF6666" w:rsidRDefault="00FF6666" w:rsidP="0050226F">
            <w:pPr>
              <w:pStyle w:val="TableBodyRight"/>
            </w:pPr>
            <w:r w:rsidRPr="00FF6666">
              <w:t>13.5%</w:t>
            </w:r>
          </w:p>
        </w:tc>
      </w:tr>
      <w:tr w:rsidR="00794E58" w:rsidRPr="00FF6666" w14:paraId="6385B0DA" w14:textId="77777777" w:rsidTr="00794E58">
        <w:trPr>
          <w:trHeight w:val="288"/>
        </w:trPr>
        <w:tc>
          <w:tcPr>
            <w:tcW w:w="993" w:type="pct"/>
            <w:noWrap/>
            <w:hideMark/>
          </w:tcPr>
          <w:p w14:paraId="071EFC14" w14:textId="77777777" w:rsidR="00FF6666" w:rsidRPr="00FF6666" w:rsidRDefault="00FF6666" w:rsidP="001F550D">
            <w:pPr>
              <w:pStyle w:val="TableBody"/>
            </w:pPr>
            <w:r w:rsidRPr="00FF6666">
              <w:t>2012-13</w:t>
            </w:r>
          </w:p>
        </w:tc>
        <w:tc>
          <w:tcPr>
            <w:tcW w:w="1030" w:type="pct"/>
            <w:noWrap/>
            <w:hideMark/>
          </w:tcPr>
          <w:p w14:paraId="4AB940C4" w14:textId="77777777" w:rsidR="00FF6666" w:rsidRPr="00FF6666" w:rsidRDefault="00FF6666" w:rsidP="0050226F">
            <w:pPr>
              <w:pStyle w:val="TableBodyRight"/>
            </w:pPr>
            <w:r w:rsidRPr="00FF6666">
              <w:t>60.0%</w:t>
            </w:r>
          </w:p>
        </w:tc>
        <w:tc>
          <w:tcPr>
            <w:tcW w:w="992" w:type="pct"/>
            <w:noWrap/>
            <w:hideMark/>
          </w:tcPr>
          <w:p w14:paraId="3FF66D34" w14:textId="77777777" w:rsidR="00FF6666" w:rsidRPr="00FF6666" w:rsidRDefault="00FF6666" w:rsidP="0050226F">
            <w:pPr>
              <w:pStyle w:val="TableBodyRight"/>
            </w:pPr>
            <w:r w:rsidRPr="00FF6666">
              <w:t>14.0%</w:t>
            </w:r>
          </w:p>
        </w:tc>
        <w:tc>
          <w:tcPr>
            <w:tcW w:w="992" w:type="pct"/>
            <w:noWrap/>
            <w:hideMark/>
          </w:tcPr>
          <w:p w14:paraId="6BC84119" w14:textId="77777777" w:rsidR="00FF6666" w:rsidRPr="00FF6666" w:rsidRDefault="00FF6666" w:rsidP="0050226F">
            <w:pPr>
              <w:pStyle w:val="TableBodyRight"/>
            </w:pPr>
            <w:r w:rsidRPr="00FF6666">
              <w:t>13.1%</w:t>
            </w:r>
          </w:p>
        </w:tc>
        <w:tc>
          <w:tcPr>
            <w:tcW w:w="992" w:type="pct"/>
            <w:noWrap/>
            <w:hideMark/>
          </w:tcPr>
          <w:p w14:paraId="7C765AC8" w14:textId="77777777" w:rsidR="00FF6666" w:rsidRPr="00FF6666" w:rsidRDefault="00FF6666" w:rsidP="0050226F">
            <w:pPr>
              <w:pStyle w:val="TableBodyRight"/>
            </w:pPr>
            <w:r w:rsidRPr="00FF6666">
              <w:t>12.9%</w:t>
            </w:r>
          </w:p>
        </w:tc>
      </w:tr>
      <w:tr w:rsidR="00794E58" w:rsidRPr="00FF6666" w14:paraId="51E1C6FE" w14:textId="77777777" w:rsidTr="00794E58">
        <w:trPr>
          <w:trHeight w:val="288"/>
        </w:trPr>
        <w:tc>
          <w:tcPr>
            <w:tcW w:w="993" w:type="pct"/>
            <w:noWrap/>
            <w:hideMark/>
          </w:tcPr>
          <w:p w14:paraId="1ADE8153" w14:textId="77777777" w:rsidR="00FF6666" w:rsidRPr="00FF6666" w:rsidRDefault="00FF6666" w:rsidP="001F550D">
            <w:pPr>
              <w:pStyle w:val="TableBody"/>
            </w:pPr>
            <w:r w:rsidRPr="00FF6666">
              <w:t>2013-14</w:t>
            </w:r>
          </w:p>
        </w:tc>
        <w:tc>
          <w:tcPr>
            <w:tcW w:w="1030" w:type="pct"/>
            <w:noWrap/>
            <w:hideMark/>
          </w:tcPr>
          <w:p w14:paraId="651416BB" w14:textId="77777777" w:rsidR="00FF6666" w:rsidRPr="00FF6666" w:rsidRDefault="00FF6666" w:rsidP="0050226F">
            <w:pPr>
              <w:pStyle w:val="TableBodyRight"/>
            </w:pPr>
            <w:r w:rsidRPr="00FF6666">
              <w:t>59.8%</w:t>
            </w:r>
          </w:p>
        </w:tc>
        <w:tc>
          <w:tcPr>
            <w:tcW w:w="992" w:type="pct"/>
            <w:noWrap/>
            <w:hideMark/>
          </w:tcPr>
          <w:p w14:paraId="4EB8EC02" w14:textId="77777777" w:rsidR="00FF6666" w:rsidRPr="00FF6666" w:rsidRDefault="00FF6666" w:rsidP="0050226F">
            <w:pPr>
              <w:pStyle w:val="TableBodyRight"/>
            </w:pPr>
            <w:r w:rsidRPr="00FF6666">
              <w:t>12.4%</w:t>
            </w:r>
          </w:p>
        </w:tc>
        <w:tc>
          <w:tcPr>
            <w:tcW w:w="992" w:type="pct"/>
            <w:noWrap/>
            <w:hideMark/>
          </w:tcPr>
          <w:p w14:paraId="2742EE08" w14:textId="77777777" w:rsidR="00FF6666" w:rsidRPr="00FF6666" w:rsidRDefault="00FF6666" w:rsidP="0050226F">
            <w:pPr>
              <w:pStyle w:val="TableBodyRight"/>
            </w:pPr>
            <w:r w:rsidRPr="00FF6666">
              <w:t>15.5%</w:t>
            </w:r>
          </w:p>
        </w:tc>
        <w:tc>
          <w:tcPr>
            <w:tcW w:w="992" w:type="pct"/>
            <w:noWrap/>
            <w:hideMark/>
          </w:tcPr>
          <w:p w14:paraId="4DB2728F" w14:textId="77777777" w:rsidR="00FF6666" w:rsidRPr="00FF6666" w:rsidRDefault="00FF6666" w:rsidP="0050226F">
            <w:pPr>
              <w:pStyle w:val="TableBodyRight"/>
            </w:pPr>
            <w:r w:rsidRPr="00FF6666">
              <w:t>12.3%</w:t>
            </w:r>
          </w:p>
        </w:tc>
      </w:tr>
      <w:tr w:rsidR="00794E58" w:rsidRPr="00FF6666" w14:paraId="7133F0AE" w14:textId="77777777" w:rsidTr="00794E58">
        <w:trPr>
          <w:trHeight w:val="288"/>
        </w:trPr>
        <w:tc>
          <w:tcPr>
            <w:tcW w:w="993" w:type="pct"/>
            <w:noWrap/>
            <w:hideMark/>
          </w:tcPr>
          <w:p w14:paraId="5D9BDF74" w14:textId="77777777" w:rsidR="00FF6666" w:rsidRPr="00FF6666" w:rsidRDefault="00FF6666" w:rsidP="001F550D">
            <w:pPr>
              <w:pStyle w:val="TableBody"/>
            </w:pPr>
            <w:r w:rsidRPr="00FF6666">
              <w:t>2014-15</w:t>
            </w:r>
          </w:p>
        </w:tc>
        <w:tc>
          <w:tcPr>
            <w:tcW w:w="1030" w:type="pct"/>
            <w:noWrap/>
            <w:hideMark/>
          </w:tcPr>
          <w:p w14:paraId="3FD85589" w14:textId="77777777" w:rsidR="00FF6666" w:rsidRPr="00FF6666" w:rsidRDefault="00FF6666" w:rsidP="0050226F">
            <w:pPr>
              <w:pStyle w:val="TableBodyRight"/>
            </w:pPr>
            <w:r w:rsidRPr="00FF6666">
              <w:t>60.7%</w:t>
            </w:r>
          </w:p>
        </w:tc>
        <w:tc>
          <w:tcPr>
            <w:tcW w:w="992" w:type="pct"/>
            <w:noWrap/>
            <w:hideMark/>
          </w:tcPr>
          <w:p w14:paraId="69562DED" w14:textId="77777777" w:rsidR="00FF6666" w:rsidRPr="00FF6666" w:rsidRDefault="00FF6666" w:rsidP="0050226F">
            <w:pPr>
              <w:pStyle w:val="TableBodyRight"/>
            </w:pPr>
            <w:r w:rsidRPr="00FF6666">
              <w:t>5.8%</w:t>
            </w:r>
          </w:p>
        </w:tc>
        <w:tc>
          <w:tcPr>
            <w:tcW w:w="992" w:type="pct"/>
            <w:noWrap/>
            <w:hideMark/>
          </w:tcPr>
          <w:p w14:paraId="2A2CD00A" w14:textId="77777777" w:rsidR="00FF6666" w:rsidRPr="00FF6666" w:rsidRDefault="00FF6666" w:rsidP="0050226F">
            <w:pPr>
              <w:pStyle w:val="TableBodyRight"/>
            </w:pPr>
            <w:r w:rsidRPr="00FF6666">
              <w:t>20.6%</w:t>
            </w:r>
          </w:p>
        </w:tc>
        <w:tc>
          <w:tcPr>
            <w:tcW w:w="992" w:type="pct"/>
            <w:noWrap/>
            <w:hideMark/>
          </w:tcPr>
          <w:p w14:paraId="1435DB8A" w14:textId="77777777" w:rsidR="00FF6666" w:rsidRPr="00FF6666" w:rsidRDefault="00FF6666" w:rsidP="0050226F">
            <w:pPr>
              <w:pStyle w:val="TableBodyRight"/>
            </w:pPr>
            <w:r w:rsidRPr="00FF6666">
              <w:t>12.9%</w:t>
            </w:r>
          </w:p>
        </w:tc>
      </w:tr>
      <w:tr w:rsidR="00794E58" w:rsidRPr="00FF6666" w14:paraId="43722F35" w14:textId="77777777" w:rsidTr="00794E58">
        <w:trPr>
          <w:trHeight w:val="288"/>
        </w:trPr>
        <w:tc>
          <w:tcPr>
            <w:tcW w:w="993" w:type="pct"/>
            <w:noWrap/>
            <w:hideMark/>
          </w:tcPr>
          <w:p w14:paraId="70A54236" w14:textId="77777777" w:rsidR="00FF6666" w:rsidRPr="00FF6666" w:rsidRDefault="00FF6666" w:rsidP="001F550D">
            <w:pPr>
              <w:pStyle w:val="TableBody"/>
            </w:pPr>
            <w:r w:rsidRPr="00FF6666">
              <w:t>2015-16</w:t>
            </w:r>
          </w:p>
        </w:tc>
        <w:tc>
          <w:tcPr>
            <w:tcW w:w="1030" w:type="pct"/>
            <w:noWrap/>
            <w:hideMark/>
          </w:tcPr>
          <w:p w14:paraId="0EEA0D54" w14:textId="77777777" w:rsidR="00FF6666" w:rsidRPr="00FF6666" w:rsidRDefault="00FF6666" w:rsidP="0050226F">
            <w:pPr>
              <w:pStyle w:val="TableBodyRight"/>
            </w:pPr>
            <w:r w:rsidRPr="00FF6666">
              <w:t>64.6%</w:t>
            </w:r>
          </w:p>
        </w:tc>
        <w:tc>
          <w:tcPr>
            <w:tcW w:w="992" w:type="pct"/>
            <w:noWrap/>
            <w:hideMark/>
          </w:tcPr>
          <w:p w14:paraId="440DFECC" w14:textId="77777777" w:rsidR="00FF6666" w:rsidRPr="00FF6666" w:rsidRDefault="00FF6666" w:rsidP="0050226F">
            <w:pPr>
              <w:pStyle w:val="TableBodyRight"/>
            </w:pPr>
            <w:r w:rsidRPr="00FF6666">
              <w:t>2.3%</w:t>
            </w:r>
          </w:p>
        </w:tc>
        <w:tc>
          <w:tcPr>
            <w:tcW w:w="992" w:type="pct"/>
            <w:noWrap/>
            <w:hideMark/>
          </w:tcPr>
          <w:p w14:paraId="67F4A32F" w14:textId="77777777" w:rsidR="00FF6666" w:rsidRPr="00FF6666" w:rsidRDefault="00FF6666" w:rsidP="0050226F">
            <w:pPr>
              <w:pStyle w:val="TableBodyRight"/>
            </w:pPr>
            <w:r w:rsidRPr="00FF6666">
              <w:t>20.9%</w:t>
            </w:r>
          </w:p>
        </w:tc>
        <w:tc>
          <w:tcPr>
            <w:tcW w:w="992" w:type="pct"/>
            <w:noWrap/>
            <w:hideMark/>
          </w:tcPr>
          <w:p w14:paraId="2F25426D" w14:textId="77777777" w:rsidR="00FF6666" w:rsidRPr="00FF6666" w:rsidRDefault="00FF6666" w:rsidP="0050226F">
            <w:pPr>
              <w:pStyle w:val="TableBodyRight"/>
            </w:pPr>
            <w:r w:rsidRPr="00FF6666">
              <w:t>12.2%</w:t>
            </w:r>
          </w:p>
        </w:tc>
      </w:tr>
      <w:tr w:rsidR="00794E58" w:rsidRPr="00FF6666" w14:paraId="5011E013" w14:textId="77777777" w:rsidTr="00794E58">
        <w:trPr>
          <w:trHeight w:val="288"/>
        </w:trPr>
        <w:tc>
          <w:tcPr>
            <w:tcW w:w="993" w:type="pct"/>
            <w:noWrap/>
            <w:hideMark/>
          </w:tcPr>
          <w:p w14:paraId="0E89D568" w14:textId="77777777" w:rsidR="00FF6666" w:rsidRPr="00FF6666" w:rsidRDefault="00FF6666" w:rsidP="001F550D">
            <w:pPr>
              <w:pStyle w:val="TableBody"/>
            </w:pPr>
            <w:r w:rsidRPr="00FF6666">
              <w:t>2016-17</w:t>
            </w:r>
          </w:p>
        </w:tc>
        <w:tc>
          <w:tcPr>
            <w:tcW w:w="1030" w:type="pct"/>
            <w:noWrap/>
            <w:hideMark/>
          </w:tcPr>
          <w:p w14:paraId="58CC9F64" w14:textId="77777777" w:rsidR="00FF6666" w:rsidRPr="00FF6666" w:rsidRDefault="00FF6666" w:rsidP="0050226F">
            <w:pPr>
              <w:pStyle w:val="TableBodyRight"/>
            </w:pPr>
            <w:r w:rsidRPr="00FF6666">
              <w:t>73.2%</w:t>
            </w:r>
          </w:p>
        </w:tc>
        <w:tc>
          <w:tcPr>
            <w:tcW w:w="992" w:type="pct"/>
            <w:noWrap/>
            <w:hideMark/>
          </w:tcPr>
          <w:p w14:paraId="3D0BAA67" w14:textId="77777777" w:rsidR="00FF6666" w:rsidRPr="00FF6666" w:rsidRDefault="00FF6666" w:rsidP="0050226F">
            <w:pPr>
              <w:pStyle w:val="TableBodyRight"/>
            </w:pPr>
            <w:r w:rsidRPr="00FF6666">
              <w:t>2.6%</w:t>
            </w:r>
          </w:p>
        </w:tc>
        <w:tc>
          <w:tcPr>
            <w:tcW w:w="992" w:type="pct"/>
            <w:noWrap/>
            <w:hideMark/>
          </w:tcPr>
          <w:p w14:paraId="0394FA8D" w14:textId="77777777" w:rsidR="00FF6666" w:rsidRPr="00FF6666" w:rsidRDefault="00FF6666" w:rsidP="0050226F">
            <w:pPr>
              <w:pStyle w:val="TableBodyRight"/>
            </w:pPr>
            <w:r w:rsidRPr="00FF6666">
              <w:t>13.8%</w:t>
            </w:r>
          </w:p>
        </w:tc>
        <w:tc>
          <w:tcPr>
            <w:tcW w:w="992" w:type="pct"/>
            <w:noWrap/>
            <w:hideMark/>
          </w:tcPr>
          <w:p w14:paraId="055CB17E" w14:textId="77777777" w:rsidR="00FF6666" w:rsidRPr="00FF6666" w:rsidRDefault="00FF6666" w:rsidP="0050226F">
            <w:pPr>
              <w:pStyle w:val="TableBodyRight"/>
            </w:pPr>
            <w:r w:rsidRPr="00FF6666">
              <w:t>10.4%</w:t>
            </w:r>
          </w:p>
        </w:tc>
      </w:tr>
      <w:tr w:rsidR="00794E58" w:rsidRPr="00FF6666" w14:paraId="0D95A5C8" w14:textId="77777777" w:rsidTr="00794E58">
        <w:trPr>
          <w:trHeight w:val="288"/>
        </w:trPr>
        <w:tc>
          <w:tcPr>
            <w:tcW w:w="993" w:type="pct"/>
            <w:noWrap/>
            <w:hideMark/>
          </w:tcPr>
          <w:p w14:paraId="58CE26AC" w14:textId="77777777" w:rsidR="00FF6666" w:rsidRPr="00FF6666" w:rsidRDefault="00FF6666" w:rsidP="001F550D">
            <w:pPr>
              <w:pStyle w:val="TableBody"/>
            </w:pPr>
            <w:r w:rsidRPr="00FF6666">
              <w:t>2017-18</w:t>
            </w:r>
          </w:p>
        </w:tc>
        <w:tc>
          <w:tcPr>
            <w:tcW w:w="1030" w:type="pct"/>
            <w:noWrap/>
            <w:hideMark/>
          </w:tcPr>
          <w:p w14:paraId="77AE724B" w14:textId="77777777" w:rsidR="00FF6666" w:rsidRPr="00FF6666" w:rsidRDefault="00FF6666" w:rsidP="0050226F">
            <w:pPr>
              <w:pStyle w:val="TableBodyRight"/>
            </w:pPr>
            <w:r w:rsidRPr="00FF6666">
              <w:t>72.2%</w:t>
            </w:r>
          </w:p>
        </w:tc>
        <w:tc>
          <w:tcPr>
            <w:tcW w:w="992" w:type="pct"/>
            <w:noWrap/>
            <w:hideMark/>
          </w:tcPr>
          <w:p w14:paraId="7A6390F7" w14:textId="77777777" w:rsidR="00FF6666" w:rsidRPr="00FF6666" w:rsidRDefault="00FF6666" w:rsidP="0050226F">
            <w:pPr>
              <w:pStyle w:val="TableBodyRight"/>
            </w:pPr>
            <w:r w:rsidRPr="00FF6666">
              <w:t>2.5%</w:t>
            </w:r>
          </w:p>
        </w:tc>
        <w:tc>
          <w:tcPr>
            <w:tcW w:w="992" w:type="pct"/>
            <w:noWrap/>
            <w:hideMark/>
          </w:tcPr>
          <w:p w14:paraId="58BD5F52" w14:textId="77777777" w:rsidR="00FF6666" w:rsidRPr="00FF6666" w:rsidRDefault="00FF6666" w:rsidP="0050226F">
            <w:pPr>
              <w:pStyle w:val="TableBodyRight"/>
            </w:pPr>
            <w:r w:rsidRPr="00FF6666">
              <w:t>13.6%</w:t>
            </w:r>
          </w:p>
        </w:tc>
        <w:tc>
          <w:tcPr>
            <w:tcW w:w="992" w:type="pct"/>
            <w:noWrap/>
            <w:hideMark/>
          </w:tcPr>
          <w:p w14:paraId="73FEB5E9" w14:textId="77777777" w:rsidR="00FF6666" w:rsidRPr="00FF6666" w:rsidRDefault="00FF6666" w:rsidP="0050226F">
            <w:pPr>
              <w:pStyle w:val="TableBodyRight"/>
            </w:pPr>
            <w:r w:rsidRPr="00FF6666">
              <w:t>11.7%</w:t>
            </w:r>
          </w:p>
        </w:tc>
      </w:tr>
      <w:tr w:rsidR="00794E58" w:rsidRPr="00FF6666" w14:paraId="6E09D9BD" w14:textId="77777777" w:rsidTr="00794E58">
        <w:trPr>
          <w:trHeight w:val="288"/>
        </w:trPr>
        <w:tc>
          <w:tcPr>
            <w:tcW w:w="993" w:type="pct"/>
            <w:noWrap/>
            <w:hideMark/>
          </w:tcPr>
          <w:p w14:paraId="4105A021" w14:textId="77777777" w:rsidR="00FF6666" w:rsidRPr="00FF6666" w:rsidRDefault="00FF6666" w:rsidP="001F550D">
            <w:pPr>
              <w:pStyle w:val="TableBody"/>
            </w:pPr>
            <w:r w:rsidRPr="00FF6666">
              <w:t>2018-19</w:t>
            </w:r>
          </w:p>
        </w:tc>
        <w:tc>
          <w:tcPr>
            <w:tcW w:w="1030" w:type="pct"/>
            <w:noWrap/>
            <w:hideMark/>
          </w:tcPr>
          <w:p w14:paraId="0FDCEDDB" w14:textId="77777777" w:rsidR="00FF6666" w:rsidRPr="00FF6666" w:rsidRDefault="00FF6666" w:rsidP="0050226F">
            <w:pPr>
              <w:pStyle w:val="TableBodyRight"/>
            </w:pPr>
            <w:r w:rsidRPr="00FF6666">
              <w:t>74.2%</w:t>
            </w:r>
          </w:p>
        </w:tc>
        <w:tc>
          <w:tcPr>
            <w:tcW w:w="992" w:type="pct"/>
            <w:noWrap/>
            <w:hideMark/>
          </w:tcPr>
          <w:p w14:paraId="299D9233" w14:textId="77777777" w:rsidR="00FF6666" w:rsidRPr="00FF6666" w:rsidRDefault="00FF6666" w:rsidP="0050226F">
            <w:pPr>
              <w:pStyle w:val="TableBodyRight"/>
            </w:pPr>
            <w:r w:rsidRPr="00FF6666">
              <w:t>2.4%</w:t>
            </w:r>
          </w:p>
        </w:tc>
        <w:tc>
          <w:tcPr>
            <w:tcW w:w="992" w:type="pct"/>
            <w:noWrap/>
            <w:hideMark/>
          </w:tcPr>
          <w:p w14:paraId="1CFE6561" w14:textId="77777777" w:rsidR="00FF6666" w:rsidRPr="00FF6666" w:rsidRDefault="00FF6666" w:rsidP="0050226F">
            <w:pPr>
              <w:pStyle w:val="TableBodyRight"/>
            </w:pPr>
            <w:r w:rsidRPr="00FF6666">
              <w:t>13.1%</w:t>
            </w:r>
          </w:p>
        </w:tc>
        <w:tc>
          <w:tcPr>
            <w:tcW w:w="992" w:type="pct"/>
            <w:noWrap/>
            <w:hideMark/>
          </w:tcPr>
          <w:p w14:paraId="6683EC37" w14:textId="77777777" w:rsidR="00FF6666" w:rsidRPr="00FF6666" w:rsidRDefault="00FF6666" w:rsidP="0050226F">
            <w:pPr>
              <w:pStyle w:val="TableBodyRight"/>
            </w:pPr>
            <w:r w:rsidRPr="00FF6666">
              <w:t>10.3%</w:t>
            </w:r>
          </w:p>
        </w:tc>
      </w:tr>
      <w:tr w:rsidR="00794E58" w:rsidRPr="00FF6666" w14:paraId="4D057B79" w14:textId="77777777" w:rsidTr="00794E58">
        <w:trPr>
          <w:trHeight w:val="288"/>
        </w:trPr>
        <w:tc>
          <w:tcPr>
            <w:tcW w:w="993" w:type="pct"/>
            <w:noWrap/>
            <w:hideMark/>
          </w:tcPr>
          <w:p w14:paraId="0AF306BF" w14:textId="77777777" w:rsidR="00FF6666" w:rsidRPr="00FF6666" w:rsidRDefault="00FF6666" w:rsidP="001F550D">
            <w:pPr>
              <w:pStyle w:val="TableBody"/>
            </w:pPr>
            <w:r w:rsidRPr="00FF6666">
              <w:t>2019-20</w:t>
            </w:r>
          </w:p>
        </w:tc>
        <w:tc>
          <w:tcPr>
            <w:tcW w:w="1030" w:type="pct"/>
            <w:noWrap/>
            <w:hideMark/>
          </w:tcPr>
          <w:p w14:paraId="28569432" w14:textId="77777777" w:rsidR="00FF6666" w:rsidRPr="00FF6666" w:rsidRDefault="00FF6666" w:rsidP="0050226F">
            <w:pPr>
              <w:pStyle w:val="TableBodyRight"/>
            </w:pPr>
            <w:r w:rsidRPr="00FF6666">
              <w:t>75.1%</w:t>
            </w:r>
          </w:p>
        </w:tc>
        <w:tc>
          <w:tcPr>
            <w:tcW w:w="992" w:type="pct"/>
            <w:noWrap/>
            <w:hideMark/>
          </w:tcPr>
          <w:p w14:paraId="1C800E98" w14:textId="77777777" w:rsidR="00FF6666" w:rsidRPr="00FF6666" w:rsidRDefault="00FF6666" w:rsidP="0050226F">
            <w:pPr>
              <w:pStyle w:val="TableBodyRight"/>
            </w:pPr>
            <w:r w:rsidRPr="00FF6666">
              <w:t>2.0%</w:t>
            </w:r>
          </w:p>
        </w:tc>
        <w:tc>
          <w:tcPr>
            <w:tcW w:w="992" w:type="pct"/>
            <w:noWrap/>
            <w:hideMark/>
          </w:tcPr>
          <w:p w14:paraId="77BC9B2E" w14:textId="77777777" w:rsidR="00FF6666" w:rsidRPr="00FF6666" w:rsidRDefault="00FF6666" w:rsidP="0050226F">
            <w:pPr>
              <w:pStyle w:val="TableBodyRight"/>
            </w:pPr>
            <w:r w:rsidRPr="00FF6666">
              <w:t>12.2%</w:t>
            </w:r>
          </w:p>
        </w:tc>
        <w:tc>
          <w:tcPr>
            <w:tcW w:w="992" w:type="pct"/>
            <w:noWrap/>
            <w:hideMark/>
          </w:tcPr>
          <w:p w14:paraId="199A3C3C" w14:textId="77777777" w:rsidR="00FF6666" w:rsidRPr="00FF6666" w:rsidRDefault="00FF6666" w:rsidP="0050226F">
            <w:pPr>
              <w:pStyle w:val="TableBodyRight"/>
            </w:pPr>
            <w:r w:rsidRPr="00FF6666">
              <w:t>10.7%</w:t>
            </w:r>
          </w:p>
        </w:tc>
      </w:tr>
    </w:tbl>
    <w:p w14:paraId="07BE2DB0" w14:textId="77777777" w:rsidR="00E62AE6" w:rsidRPr="00E62AE6" w:rsidRDefault="00E62AE6" w:rsidP="0031029F">
      <w:r w:rsidRPr="00E62AE6">
        <w:t>Any changes in long-term trends for the offences below must therefore be understood in the context of a moderate decline in the number of cases dealt with in the higher courts each year and a significant increase in the rate of prison sentences (mostly, it seems, replacing suspended sentences).</w:t>
      </w:r>
    </w:p>
    <w:p w14:paraId="25EB7914" w14:textId="77777777" w:rsidR="00E62AE6" w:rsidRPr="00E62AE6" w:rsidRDefault="00E62AE6" w:rsidP="00CD4BE8">
      <w:pPr>
        <w:pStyle w:val="Heading1"/>
      </w:pPr>
      <w:bookmarkStart w:id="4" w:name="_Toc112770334"/>
      <w:r w:rsidRPr="00E62AE6">
        <w:lastRenderedPageBreak/>
        <w:t>Homicide offences</w:t>
      </w:r>
      <w:bookmarkEnd w:id="4"/>
    </w:p>
    <w:p w14:paraId="5590BA53" w14:textId="77777777" w:rsidR="00E62AE6" w:rsidRPr="0031029F" w:rsidRDefault="00E62AE6" w:rsidP="0031029F">
      <w:r w:rsidRPr="00E62AE6">
        <w:rPr>
          <w:rStyle w:val="Italic"/>
        </w:rPr>
        <w:t>Snapshots</w:t>
      </w:r>
      <w:r w:rsidRPr="0031029F">
        <w:t xml:space="preserve"> cover three homicide offences: murder, manslaughter and culpable driving causing death. As shown in Figure 3, there were (with two minor exceptions) more people sentenced for murder each year than there were people sentenced for either manslaughter or culpable driving causing death. Further, while the number of people sentenced for murder and manslaughter each year did not show any particular trend, there has been a decrease in the number of people sentenced for culpable driving causing death over the 20-year period. </w:t>
      </w:r>
    </w:p>
    <w:p w14:paraId="2C48D5A0" w14:textId="77777777" w:rsidR="00E62AE6" w:rsidRPr="00E62AE6" w:rsidRDefault="00E62AE6" w:rsidP="00E5783B">
      <w:pPr>
        <w:pStyle w:val="Caption"/>
      </w:pPr>
      <w:r w:rsidRPr="00E62AE6">
        <w:t>Figure 3: Number of people sentenced for homicide offences, 2001–02 to 2019–20</w:t>
      </w:r>
    </w:p>
    <w:tbl>
      <w:tblPr>
        <w:tblStyle w:val="Table"/>
        <w:tblW w:w="5000" w:type="pct"/>
        <w:tblLook w:val="04A0" w:firstRow="1" w:lastRow="0" w:firstColumn="1" w:lastColumn="0" w:noHBand="0" w:noVBand="1"/>
      </w:tblPr>
      <w:tblGrid>
        <w:gridCol w:w="1955"/>
        <w:gridCol w:w="1116"/>
        <w:gridCol w:w="1917"/>
        <w:gridCol w:w="4028"/>
      </w:tblGrid>
      <w:tr w:rsidR="00FF6666" w:rsidRPr="00FF6666" w14:paraId="4AE7C62A" w14:textId="77777777" w:rsidTr="001D0105">
        <w:trPr>
          <w:trHeight w:val="288"/>
          <w:tblHeader/>
        </w:trPr>
        <w:tc>
          <w:tcPr>
            <w:tcW w:w="1084" w:type="pct"/>
            <w:noWrap/>
            <w:hideMark/>
          </w:tcPr>
          <w:p w14:paraId="0695B382" w14:textId="77777777" w:rsidR="00FF6666" w:rsidRPr="00FF6666" w:rsidRDefault="00FF6666" w:rsidP="00F055AE">
            <w:pPr>
              <w:pStyle w:val="TableHeading"/>
            </w:pPr>
            <w:r w:rsidRPr="00FF6666">
              <w:t>Financial year</w:t>
            </w:r>
          </w:p>
        </w:tc>
        <w:tc>
          <w:tcPr>
            <w:tcW w:w="619" w:type="pct"/>
            <w:noWrap/>
            <w:hideMark/>
          </w:tcPr>
          <w:p w14:paraId="381434F4" w14:textId="77777777" w:rsidR="00FF6666" w:rsidRPr="00FF6666" w:rsidRDefault="00FF6666" w:rsidP="00F055AE">
            <w:pPr>
              <w:pStyle w:val="TableHeadingRight"/>
            </w:pPr>
            <w:r w:rsidRPr="00FF6666">
              <w:t>Murder</w:t>
            </w:r>
          </w:p>
        </w:tc>
        <w:tc>
          <w:tcPr>
            <w:tcW w:w="1063" w:type="pct"/>
            <w:noWrap/>
            <w:hideMark/>
          </w:tcPr>
          <w:p w14:paraId="7A404D5A" w14:textId="77777777" w:rsidR="00FF6666" w:rsidRPr="00FF6666" w:rsidRDefault="00FF6666" w:rsidP="00F055AE">
            <w:pPr>
              <w:pStyle w:val="TableHeadingRight"/>
            </w:pPr>
            <w:r w:rsidRPr="00FF6666">
              <w:t>Manslaughter</w:t>
            </w:r>
          </w:p>
        </w:tc>
        <w:tc>
          <w:tcPr>
            <w:tcW w:w="2235" w:type="pct"/>
            <w:noWrap/>
            <w:hideMark/>
          </w:tcPr>
          <w:p w14:paraId="0FE4784C" w14:textId="77777777" w:rsidR="00FF6666" w:rsidRPr="00FF6666" w:rsidRDefault="00FF6666" w:rsidP="00F055AE">
            <w:pPr>
              <w:pStyle w:val="TableHeadingRight"/>
            </w:pPr>
            <w:r w:rsidRPr="00FF6666">
              <w:t>Culpable driving causing death</w:t>
            </w:r>
          </w:p>
        </w:tc>
      </w:tr>
      <w:tr w:rsidR="00FF6666" w:rsidRPr="00FF6666" w14:paraId="0C69B38F" w14:textId="77777777" w:rsidTr="00F055AE">
        <w:trPr>
          <w:trHeight w:val="288"/>
        </w:trPr>
        <w:tc>
          <w:tcPr>
            <w:tcW w:w="1084" w:type="pct"/>
            <w:noWrap/>
            <w:hideMark/>
          </w:tcPr>
          <w:p w14:paraId="38AA08D5" w14:textId="77777777" w:rsidR="00FF6666" w:rsidRPr="00FF6666" w:rsidRDefault="00FF6666" w:rsidP="001F550D">
            <w:pPr>
              <w:pStyle w:val="TableBody"/>
            </w:pPr>
            <w:r w:rsidRPr="00FF6666">
              <w:t>2001-02</w:t>
            </w:r>
          </w:p>
        </w:tc>
        <w:tc>
          <w:tcPr>
            <w:tcW w:w="619" w:type="pct"/>
            <w:noWrap/>
            <w:hideMark/>
          </w:tcPr>
          <w:p w14:paraId="6E21A978" w14:textId="77777777" w:rsidR="00FF6666" w:rsidRPr="00FF6666" w:rsidRDefault="00FF6666" w:rsidP="00F055AE">
            <w:pPr>
              <w:pStyle w:val="TableBodyRight"/>
            </w:pPr>
            <w:r w:rsidRPr="00FF6666">
              <w:t>22</w:t>
            </w:r>
          </w:p>
        </w:tc>
        <w:tc>
          <w:tcPr>
            <w:tcW w:w="1063" w:type="pct"/>
            <w:noWrap/>
            <w:hideMark/>
          </w:tcPr>
          <w:p w14:paraId="1C6F557C" w14:textId="77777777" w:rsidR="00FF6666" w:rsidRPr="00FF6666" w:rsidRDefault="00FF6666" w:rsidP="00F055AE">
            <w:pPr>
              <w:pStyle w:val="TableBodyRight"/>
            </w:pPr>
            <w:r w:rsidRPr="00FF6666">
              <w:t>22</w:t>
            </w:r>
          </w:p>
        </w:tc>
        <w:tc>
          <w:tcPr>
            <w:tcW w:w="2235" w:type="pct"/>
            <w:noWrap/>
            <w:hideMark/>
          </w:tcPr>
          <w:p w14:paraId="762F374E" w14:textId="77777777" w:rsidR="00FF6666" w:rsidRPr="00FF6666" w:rsidRDefault="00FF6666" w:rsidP="00F055AE">
            <w:pPr>
              <w:pStyle w:val="TableBodyRight"/>
            </w:pPr>
            <w:r w:rsidRPr="00FF6666">
              <w:t>27</w:t>
            </w:r>
          </w:p>
        </w:tc>
      </w:tr>
      <w:tr w:rsidR="00FF6666" w:rsidRPr="00FF6666" w14:paraId="66F4C17D" w14:textId="77777777" w:rsidTr="00F055AE">
        <w:trPr>
          <w:trHeight w:val="288"/>
        </w:trPr>
        <w:tc>
          <w:tcPr>
            <w:tcW w:w="1084" w:type="pct"/>
            <w:noWrap/>
            <w:hideMark/>
          </w:tcPr>
          <w:p w14:paraId="4E1A311E" w14:textId="77777777" w:rsidR="00FF6666" w:rsidRPr="00FF6666" w:rsidRDefault="00FF6666" w:rsidP="001F550D">
            <w:pPr>
              <w:pStyle w:val="TableBody"/>
            </w:pPr>
            <w:r w:rsidRPr="00FF6666">
              <w:t>2002-03</w:t>
            </w:r>
          </w:p>
        </w:tc>
        <w:tc>
          <w:tcPr>
            <w:tcW w:w="619" w:type="pct"/>
            <w:noWrap/>
            <w:hideMark/>
          </w:tcPr>
          <w:p w14:paraId="5DDB2044" w14:textId="77777777" w:rsidR="00FF6666" w:rsidRPr="00FF6666" w:rsidRDefault="00FF6666" w:rsidP="00F055AE">
            <w:pPr>
              <w:pStyle w:val="TableBodyRight"/>
            </w:pPr>
            <w:r w:rsidRPr="00FF6666">
              <w:t>33</w:t>
            </w:r>
          </w:p>
        </w:tc>
        <w:tc>
          <w:tcPr>
            <w:tcW w:w="1063" w:type="pct"/>
            <w:noWrap/>
            <w:hideMark/>
          </w:tcPr>
          <w:p w14:paraId="3A71BEC6" w14:textId="77777777" w:rsidR="00FF6666" w:rsidRPr="00FF6666" w:rsidRDefault="00FF6666" w:rsidP="00F055AE">
            <w:pPr>
              <w:pStyle w:val="TableBodyRight"/>
            </w:pPr>
            <w:r w:rsidRPr="00FF6666">
              <w:t>18</w:t>
            </w:r>
          </w:p>
        </w:tc>
        <w:tc>
          <w:tcPr>
            <w:tcW w:w="2235" w:type="pct"/>
            <w:noWrap/>
            <w:hideMark/>
          </w:tcPr>
          <w:p w14:paraId="38B08540" w14:textId="77777777" w:rsidR="00FF6666" w:rsidRPr="00FF6666" w:rsidRDefault="00FF6666" w:rsidP="00F055AE">
            <w:pPr>
              <w:pStyle w:val="TableBodyRight"/>
            </w:pPr>
            <w:r w:rsidRPr="00FF6666">
              <w:t>26</w:t>
            </w:r>
          </w:p>
        </w:tc>
      </w:tr>
      <w:tr w:rsidR="00FF6666" w:rsidRPr="00FF6666" w14:paraId="6BEC710C" w14:textId="77777777" w:rsidTr="00F055AE">
        <w:trPr>
          <w:trHeight w:val="288"/>
        </w:trPr>
        <w:tc>
          <w:tcPr>
            <w:tcW w:w="1084" w:type="pct"/>
            <w:noWrap/>
            <w:hideMark/>
          </w:tcPr>
          <w:p w14:paraId="56AFBF10" w14:textId="77777777" w:rsidR="00FF6666" w:rsidRPr="00FF6666" w:rsidRDefault="00FF6666" w:rsidP="001F550D">
            <w:pPr>
              <w:pStyle w:val="TableBody"/>
            </w:pPr>
            <w:r w:rsidRPr="00FF6666">
              <w:t>2003-04</w:t>
            </w:r>
          </w:p>
        </w:tc>
        <w:tc>
          <w:tcPr>
            <w:tcW w:w="619" w:type="pct"/>
            <w:noWrap/>
            <w:hideMark/>
          </w:tcPr>
          <w:p w14:paraId="2F419CCF" w14:textId="77777777" w:rsidR="00FF6666" w:rsidRPr="00FF6666" w:rsidRDefault="00FF6666" w:rsidP="00F055AE">
            <w:pPr>
              <w:pStyle w:val="TableBodyRight"/>
            </w:pPr>
            <w:r w:rsidRPr="00FF6666">
              <w:t>28</w:t>
            </w:r>
          </w:p>
        </w:tc>
        <w:tc>
          <w:tcPr>
            <w:tcW w:w="1063" w:type="pct"/>
            <w:noWrap/>
            <w:hideMark/>
          </w:tcPr>
          <w:p w14:paraId="03297C6E" w14:textId="77777777" w:rsidR="00FF6666" w:rsidRPr="00FF6666" w:rsidRDefault="00FF6666" w:rsidP="00F055AE">
            <w:pPr>
              <w:pStyle w:val="TableBodyRight"/>
            </w:pPr>
            <w:r w:rsidRPr="00FF6666">
              <w:t>13</w:t>
            </w:r>
          </w:p>
        </w:tc>
        <w:tc>
          <w:tcPr>
            <w:tcW w:w="2235" w:type="pct"/>
            <w:noWrap/>
            <w:hideMark/>
          </w:tcPr>
          <w:p w14:paraId="69974985" w14:textId="77777777" w:rsidR="00FF6666" w:rsidRPr="00FF6666" w:rsidRDefault="00FF6666" w:rsidP="00F055AE">
            <w:pPr>
              <w:pStyle w:val="TableBodyRight"/>
            </w:pPr>
            <w:r w:rsidRPr="00FF6666">
              <w:t>27</w:t>
            </w:r>
          </w:p>
        </w:tc>
      </w:tr>
      <w:tr w:rsidR="00FF6666" w:rsidRPr="00FF6666" w14:paraId="53323994" w14:textId="77777777" w:rsidTr="00F055AE">
        <w:trPr>
          <w:trHeight w:val="288"/>
        </w:trPr>
        <w:tc>
          <w:tcPr>
            <w:tcW w:w="1084" w:type="pct"/>
            <w:noWrap/>
            <w:hideMark/>
          </w:tcPr>
          <w:p w14:paraId="68B9C242" w14:textId="77777777" w:rsidR="00FF6666" w:rsidRPr="00FF6666" w:rsidRDefault="00FF6666" w:rsidP="001F550D">
            <w:pPr>
              <w:pStyle w:val="TableBody"/>
            </w:pPr>
            <w:r w:rsidRPr="00FF6666">
              <w:t>2004-05</w:t>
            </w:r>
          </w:p>
        </w:tc>
        <w:tc>
          <w:tcPr>
            <w:tcW w:w="619" w:type="pct"/>
            <w:noWrap/>
            <w:hideMark/>
          </w:tcPr>
          <w:p w14:paraId="395E4335" w14:textId="77777777" w:rsidR="00FF6666" w:rsidRPr="00FF6666" w:rsidRDefault="00FF6666" w:rsidP="00F055AE">
            <w:pPr>
              <w:pStyle w:val="TableBodyRight"/>
            </w:pPr>
            <w:r w:rsidRPr="00FF6666">
              <w:t>31</w:t>
            </w:r>
          </w:p>
        </w:tc>
        <w:tc>
          <w:tcPr>
            <w:tcW w:w="1063" w:type="pct"/>
            <w:noWrap/>
            <w:hideMark/>
          </w:tcPr>
          <w:p w14:paraId="70450AF0" w14:textId="77777777" w:rsidR="00FF6666" w:rsidRPr="00FF6666" w:rsidRDefault="00FF6666" w:rsidP="00F055AE">
            <w:pPr>
              <w:pStyle w:val="TableBodyRight"/>
            </w:pPr>
            <w:r w:rsidRPr="00FF6666">
              <w:t>21</w:t>
            </w:r>
          </w:p>
        </w:tc>
        <w:tc>
          <w:tcPr>
            <w:tcW w:w="2235" w:type="pct"/>
            <w:noWrap/>
            <w:hideMark/>
          </w:tcPr>
          <w:p w14:paraId="23C18C5B" w14:textId="77777777" w:rsidR="00FF6666" w:rsidRPr="00FF6666" w:rsidRDefault="00FF6666" w:rsidP="00F055AE">
            <w:pPr>
              <w:pStyle w:val="TableBodyRight"/>
            </w:pPr>
            <w:r w:rsidRPr="00FF6666">
              <w:t>26</w:t>
            </w:r>
          </w:p>
        </w:tc>
      </w:tr>
      <w:tr w:rsidR="00FF6666" w:rsidRPr="00FF6666" w14:paraId="779BEB1D" w14:textId="77777777" w:rsidTr="00F055AE">
        <w:trPr>
          <w:trHeight w:val="288"/>
        </w:trPr>
        <w:tc>
          <w:tcPr>
            <w:tcW w:w="1084" w:type="pct"/>
            <w:noWrap/>
            <w:hideMark/>
          </w:tcPr>
          <w:p w14:paraId="48D7B749" w14:textId="77777777" w:rsidR="00FF6666" w:rsidRPr="00FF6666" w:rsidRDefault="00FF6666" w:rsidP="001F550D">
            <w:pPr>
              <w:pStyle w:val="TableBody"/>
            </w:pPr>
            <w:r w:rsidRPr="00FF6666">
              <w:t>2005-06</w:t>
            </w:r>
          </w:p>
        </w:tc>
        <w:tc>
          <w:tcPr>
            <w:tcW w:w="619" w:type="pct"/>
            <w:noWrap/>
            <w:hideMark/>
          </w:tcPr>
          <w:p w14:paraId="169F412A" w14:textId="77777777" w:rsidR="00FF6666" w:rsidRPr="00FF6666" w:rsidRDefault="00FF6666" w:rsidP="00F055AE">
            <w:pPr>
              <w:pStyle w:val="TableBodyRight"/>
            </w:pPr>
            <w:r w:rsidRPr="00FF6666">
              <w:t>38</w:t>
            </w:r>
          </w:p>
        </w:tc>
        <w:tc>
          <w:tcPr>
            <w:tcW w:w="1063" w:type="pct"/>
            <w:noWrap/>
            <w:hideMark/>
          </w:tcPr>
          <w:p w14:paraId="7693B355" w14:textId="77777777" w:rsidR="00FF6666" w:rsidRPr="00FF6666" w:rsidRDefault="00FF6666" w:rsidP="00F055AE">
            <w:pPr>
              <w:pStyle w:val="TableBodyRight"/>
            </w:pPr>
            <w:r w:rsidRPr="00FF6666">
              <w:t>16</w:t>
            </w:r>
          </w:p>
        </w:tc>
        <w:tc>
          <w:tcPr>
            <w:tcW w:w="2235" w:type="pct"/>
            <w:noWrap/>
            <w:hideMark/>
          </w:tcPr>
          <w:p w14:paraId="1B53C43C" w14:textId="77777777" w:rsidR="00FF6666" w:rsidRPr="00FF6666" w:rsidRDefault="00FF6666" w:rsidP="00F055AE">
            <w:pPr>
              <w:pStyle w:val="TableBodyRight"/>
            </w:pPr>
            <w:r w:rsidRPr="00FF6666">
              <w:t>28</w:t>
            </w:r>
          </w:p>
        </w:tc>
      </w:tr>
      <w:tr w:rsidR="00FF6666" w:rsidRPr="00FF6666" w14:paraId="3FCB0183" w14:textId="77777777" w:rsidTr="00F055AE">
        <w:trPr>
          <w:trHeight w:val="288"/>
        </w:trPr>
        <w:tc>
          <w:tcPr>
            <w:tcW w:w="1084" w:type="pct"/>
            <w:noWrap/>
            <w:hideMark/>
          </w:tcPr>
          <w:p w14:paraId="3397B604" w14:textId="77777777" w:rsidR="00FF6666" w:rsidRPr="00FF6666" w:rsidRDefault="00FF6666" w:rsidP="001F550D">
            <w:pPr>
              <w:pStyle w:val="TableBody"/>
            </w:pPr>
            <w:r w:rsidRPr="00FF6666">
              <w:t>2006-07</w:t>
            </w:r>
          </w:p>
        </w:tc>
        <w:tc>
          <w:tcPr>
            <w:tcW w:w="619" w:type="pct"/>
            <w:noWrap/>
            <w:hideMark/>
          </w:tcPr>
          <w:p w14:paraId="5E2E824E" w14:textId="77777777" w:rsidR="00FF6666" w:rsidRPr="00FF6666" w:rsidRDefault="00FF6666" w:rsidP="00F055AE">
            <w:pPr>
              <w:pStyle w:val="TableBodyRight"/>
            </w:pPr>
            <w:r w:rsidRPr="00FF6666">
              <w:t>24</w:t>
            </w:r>
          </w:p>
        </w:tc>
        <w:tc>
          <w:tcPr>
            <w:tcW w:w="1063" w:type="pct"/>
            <w:noWrap/>
            <w:hideMark/>
          </w:tcPr>
          <w:p w14:paraId="3949D5C9" w14:textId="77777777" w:rsidR="00FF6666" w:rsidRPr="00FF6666" w:rsidRDefault="00FF6666" w:rsidP="00F055AE">
            <w:pPr>
              <w:pStyle w:val="TableBodyRight"/>
            </w:pPr>
            <w:r w:rsidRPr="00FF6666">
              <w:t>22</w:t>
            </w:r>
          </w:p>
        </w:tc>
        <w:tc>
          <w:tcPr>
            <w:tcW w:w="2235" w:type="pct"/>
            <w:noWrap/>
            <w:hideMark/>
          </w:tcPr>
          <w:p w14:paraId="609B45A0" w14:textId="77777777" w:rsidR="00FF6666" w:rsidRPr="00FF6666" w:rsidRDefault="00FF6666" w:rsidP="00F055AE">
            <w:pPr>
              <w:pStyle w:val="TableBodyRight"/>
            </w:pPr>
            <w:r w:rsidRPr="00FF6666">
              <w:t>19</w:t>
            </w:r>
          </w:p>
        </w:tc>
      </w:tr>
      <w:tr w:rsidR="00FF6666" w:rsidRPr="00FF6666" w14:paraId="036DC4E7" w14:textId="77777777" w:rsidTr="00F055AE">
        <w:trPr>
          <w:trHeight w:val="288"/>
        </w:trPr>
        <w:tc>
          <w:tcPr>
            <w:tcW w:w="1084" w:type="pct"/>
            <w:noWrap/>
            <w:hideMark/>
          </w:tcPr>
          <w:p w14:paraId="6A05D820" w14:textId="77777777" w:rsidR="00FF6666" w:rsidRPr="00FF6666" w:rsidRDefault="00FF6666" w:rsidP="001F550D">
            <w:pPr>
              <w:pStyle w:val="TableBody"/>
            </w:pPr>
            <w:r w:rsidRPr="00FF6666">
              <w:t>2007-08</w:t>
            </w:r>
          </w:p>
        </w:tc>
        <w:tc>
          <w:tcPr>
            <w:tcW w:w="619" w:type="pct"/>
            <w:noWrap/>
            <w:hideMark/>
          </w:tcPr>
          <w:p w14:paraId="7D414626" w14:textId="77777777" w:rsidR="00FF6666" w:rsidRPr="00FF6666" w:rsidRDefault="00FF6666" w:rsidP="00F055AE">
            <w:pPr>
              <w:pStyle w:val="TableBodyRight"/>
            </w:pPr>
            <w:r w:rsidRPr="00FF6666">
              <w:t>21</w:t>
            </w:r>
          </w:p>
        </w:tc>
        <w:tc>
          <w:tcPr>
            <w:tcW w:w="1063" w:type="pct"/>
            <w:noWrap/>
            <w:hideMark/>
          </w:tcPr>
          <w:p w14:paraId="4C2D09AE" w14:textId="77777777" w:rsidR="00FF6666" w:rsidRPr="00FF6666" w:rsidRDefault="00FF6666" w:rsidP="00F055AE">
            <w:pPr>
              <w:pStyle w:val="TableBodyRight"/>
            </w:pPr>
            <w:r w:rsidRPr="00FF6666">
              <w:t>18</w:t>
            </w:r>
          </w:p>
        </w:tc>
        <w:tc>
          <w:tcPr>
            <w:tcW w:w="2235" w:type="pct"/>
            <w:noWrap/>
            <w:hideMark/>
          </w:tcPr>
          <w:p w14:paraId="76D92502" w14:textId="77777777" w:rsidR="00FF6666" w:rsidRPr="00FF6666" w:rsidRDefault="00FF6666" w:rsidP="00F055AE">
            <w:pPr>
              <w:pStyle w:val="TableBodyRight"/>
            </w:pPr>
            <w:r w:rsidRPr="00FF6666">
              <w:t>25</w:t>
            </w:r>
          </w:p>
        </w:tc>
      </w:tr>
      <w:tr w:rsidR="00FF6666" w:rsidRPr="00FF6666" w14:paraId="745CC082" w14:textId="77777777" w:rsidTr="00F055AE">
        <w:trPr>
          <w:trHeight w:val="288"/>
        </w:trPr>
        <w:tc>
          <w:tcPr>
            <w:tcW w:w="1084" w:type="pct"/>
            <w:noWrap/>
            <w:hideMark/>
          </w:tcPr>
          <w:p w14:paraId="2527791C" w14:textId="77777777" w:rsidR="00FF6666" w:rsidRPr="00FF6666" w:rsidRDefault="00FF6666" w:rsidP="001F550D">
            <w:pPr>
              <w:pStyle w:val="TableBody"/>
            </w:pPr>
            <w:r w:rsidRPr="00FF6666">
              <w:t>2008-09</w:t>
            </w:r>
          </w:p>
        </w:tc>
        <w:tc>
          <w:tcPr>
            <w:tcW w:w="619" w:type="pct"/>
            <w:noWrap/>
            <w:hideMark/>
          </w:tcPr>
          <w:p w14:paraId="765DDA92" w14:textId="77777777" w:rsidR="00FF6666" w:rsidRPr="00FF6666" w:rsidRDefault="00FF6666" w:rsidP="00F055AE">
            <w:pPr>
              <w:pStyle w:val="TableBodyRight"/>
            </w:pPr>
            <w:r w:rsidRPr="00FF6666">
              <w:t>25</w:t>
            </w:r>
          </w:p>
        </w:tc>
        <w:tc>
          <w:tcPr>
            <w:tcW w:w="1063" w:type="pct"/>
            <w:noWrap/>
            <w:hideMark/>
          </w:tcPr>
          <w:p w14:paraId="0997041C" w14:textId="77777777" w:rsidR="00FF6666" w:rsidRPr="00FF6666" w:rsidRDefault="00FF6666" w:rsidP="00F055AE">
            <w:pPr>
              <w:pStyle w:val="TableBodyRight"/>
            </w:pPr>
            <w:r w:rsidRPr="00FF6666">
              <w:t>21</w:t>
            </w:r>
          </w:p>
        </w:tc>
        <w:tc>
          <w:tcPr>
            <w:tcW w:w="2235" w:type="pct"/>
            <w:noWrap/>
            <w:hideMark/>
          </w:tcPr>
          <w:p w14:paraId="01855D66" w14:textId="77777777" w:rsidR="00FF6666" w:rsidRPr="00FF6666" w:rsidRDefault="00FF6666" w:rsidP="00F055AE">
            <w:pPr>
              <w:pStyle w:val="TableBodyRight"/>
            </w:pPr>
            <w:r w:rsidRPr="00FF6666">
              <w:t>18</w:t>
            </w:r>
          </w:p>
        </w:tc>
      </w:tr>
      <w:tr w:rsidR="00FF6666" w:rsidRPr="00FF6666" w14:paraId="0F2FC09D" w14:textId="77777777" w:rsidTr="00F055AE">
        <w:trPr>
          <w:trHeight w:val="288"/>
        </w:trPr>
        <w:tc>
          <w:tcPr>
            <w:tcW w:w="1084" w:type="pct"/>
            <w:noWrap/>
            <w:hideMark/>
          </w:tcPr>
          <w:p w14:paraId="25522CBF" w14:textId="77777777" w:rsidR="00FF6666" w:rsidRPr="00FF6666" w:rsidRDefault="00FF6666" w:rsidP="001F550D">
            <w:pPr>
              <w:pStyle w:val="TableBody"/>
            </w:pPr>
            <w:r w:rsidRPr="00FF6666">
              <w:t>2009-10</w:t>
            </w:r>
          </w:p>
        </w:tc>
        <w:tc>
          <w:tcPr>
            <w:tcW w:w="619" w:type="pct"/>
            <w:noWrap/>
            <w:hideMark/>
          </w:tcPr>
          <w:p w14:paraId="5C8B6198" w14:textId="77777777" w:rsidR="00FF6666" w:rsidRPr="00FF6666" w:rsidRDefault="00FF6666" w:rsidP="00F055AE">
            <w:pPr>
              <w:pStyle w:val="TableBodyRight"/>
            </w:pPr>
            <w:r w:rsidRPr="00FF6666">
              <w:t>25</w:t>
            </w:r>
          </w:p>
        </w:tc>
        <w:tc>
          <w:tcPr>
            <w:tcW w:w="1063" w:type="pct"/>
            <w:noWrap/>
            <w:hideMark/>
          </w:tcPr>
          <w:p w14:paraId="6A2BE5A0" w14:textId="77777777" w:rsidR="00FF6666" w:rsidRPr="00FF6666" w:rsidRDefault="00FF6666" w:rsidP="00F055AE">
            <w:pPr>
              <w:pStyle w:val="TableBodyRight"/>
            </w:pPr>
            <w:r w:rsidRPr="00FF6666">
              <w:t>17</w:t>
            </w:r>
          </w:p>
        </w:tc>
        <w:tc>
          <w:tcPr>
            <w:tcW w:w="2235" w:type="pct"/>
            <w:noWrap/>
            <w:hideMark/>
          </w:tcPr>
          <w:p w14:paraId="31150A0F" w14:textId="77777777" w:rsidR="00FF6666" w:rsidRPr="00FF6666" w:rsidRDefault="00FF6666" w:rsidP="00F055AE">
            <w:pPr>
              <w:pStyle w:val="TableBodyRight"/>
            </w:pPr>
            <w:r w:rsidRPr="00FF6666">
              <w:t>15</w:t>
            </w:r>
          </w:p>
        </w:tc>
      </w:tr>
      <w:tr w:rsidR="00FF6666" w:rsidRPr="00FF6666" w14:paraId="24BF3EDF" w14:textId="77777777" w:rsidTr="00F055AE">
        <w:trPr>
          <w:trHeight w:val="288"/>
        </w:trPr>
        <w:tc>
          <w:tcPr>
            <w:tcW w:w="1084" w:type="pct"/>
            <w:noWrap/>
            <w:hideMark/>
          </w:tcPr>
          <w:p w14:paraId="35FCEE60" w14:textId="77777777" w:rsidR="00FF6666" w:rsidRPr="00FF6666" w:rsidRDefault="00FF6666" w:rsidP="001F550D">
            <w:pPr>
              <w:pStyle w:val="TableBody"/>
            </w:pPr>
            <w:r w:rsidRPr="00FF6666">
              <w:t>2010-11</w:t>
            </w:r>
          </w:p>
        </w:tc>
        <w:tc>
          <w:tcPr>
            <w:tcW w:w="619" w:type="pct"/>
            <w:noWrap/>
            <w:hideMark/>
          </w:tcPr>
          <w:p w14:paraId="43519A36" w14:textId="77777777" w:rsidR="00FF6666" w:rsidRPr="00FF6666" w:rsidRDefault="00FF6666" w:rsidP="00F055AE">
            <w:pPr>
              <w:pStyle w:val="TableBodyRight"/>
            </w:pPr>
            <w:r w:rsidRPr="00FF6666">
              <w:t>28</w:t>
            </w:r>
          </w:p>
        </w:tc>
        <w:tc>
          <w:tcPr>
            <w:tcW w:w="1063" w:type="pct"/>
            <w:noWrap/>
            <w:hideMark/>
          </w:tcPr>
          <w:p w14:paraId="2C95F272" w14:textId="77777777" w:rsidR="00FF6666" w:rsidRPr="00FF6666" w:rsidRDefault="00FF6666" w:rsidP="00F055AE">
            <w:pPr>
              <w:pStyle w:val="TableBodyRight"/>
            </w:pPr>
            <w:r w:rsidRPr="00FF6666">
              <w:t>29</w:t>
            </w:r>
          </w:p>
        </w:tc>
        <w:tc>
          <w:tcPr>
            <w:tcW w:w="2235" w:type="pct"/>
            <w:noWrap/>
            <w:hideMark/>
          </w:tcPr>
          <w:p w14:paraId="0F82B750" w14:textId="77777777" w:rsidR="00FF6666" w:rsidRPr="00FF6666" w:rsidRDefault="00FF6666" w:rsidP="00F055AE">
            <w:pPr>
              <w:pStyle w:val="TableBodyRight"/>
            </w:pPr>
            <w:r w:rsidRPr="00FF6666">
              <w:t>9</w:t>
            </w:r>
          </w:p>
        </w:tc>
      </w:tr>
      <w:tr w:rsidR="00FF6666" w:rsidRPr="00FF6666" w14:paraId="5F2C099F" w14:textId="77777777" w:rsidTr="00F055AE">
        <w:trPr>
          <w:trHeight w:val="288"/>
        </w:trPr>
        <w:tc>
          <w:tcPr>
            <w:tcW w:w="1084" w:type="pct"/>
            <w:noWrap/>
            <w:hideMark/>
          </w:tcPr>
          <w:p w14:paraId="57DBBD70" w14:textId="77777777" w:rsidR="00FF6666" w:rsidRPr="00FF6666" w:rsidRDefault="00FF6666" w:rsidP="001F550D">
            <w:pPr>
              <w:pStyle w:val="TableBody"/>
            </w:pPr>
            <w:r w:rsidRPr="00FF6666">
              <w:t>2011-12</w:t>
            </w:r>
          </w:p>
        </w:tc>
        <w:tc>
          <w:tcPr>
            <w:tcW w:w="619" w:type="pct"/>
            <w:noWrap/>
            <w:hideMark/>
          </w:tcPr>
          <w:p w14:paraId="23FF5605" w14:textId="77777777" w:rsidR="00FF6666" w:rsidRPr="00FF6666" w:rsidRDefault="00FF6666" w:rsidP="00F055AE">
            <w:pPr>
              <w:pStyle w:val="TableBodyRight"/>
            </w:pPr>
            <w:r w:rsidRPr="00FF6666">
              <w:t>26</w:t>
            </w:r>
          </w:p>
        </w:tc>
        <w:tc>
          <w:tcPr>
            <w:tcW w:w="1063" w:type="pct"/>
            <w:noWrap/>
            <w:hideMark/>
          </w:tcPr>
          <w:p w14:paraId="1593B99D" w14:textId="77777777" w:rsidR="00FF6666" w:rsidRPr="00FF6666" w:rsidRDefault="00FF6666" w:rsidP="00F055AE">
            <w:pPr>
              <w:pStyle w:val="TableBodyRight"/>
            </w:pPr>
            <w:r w:rsidRPr="00FF6666">
              <w:t>13</w:t>
            </w:r>
          </w:p>
        </w:tc>
        <w:tc>
          <w:tcPr>
            <w:tcW w:w="2235" w:type="pct"/>
            <w:noWrap/>
            <w:hideMark/>
          </w:tcPr>
          <w:p w14:paraId="5F446D90" w14:textId="77777777" w:rsidR="00FF6666" w:rsidRPr="00FF6666" w:rsidRDefault="00FF6666" w:rsidP="00F055AE">
            <w:pPr>
              <w:pStyle w:val="TableBodyRight"/>
            </w:pPr>
            <w:r w:rsidRPr="00FF6666">
              <w:t>9</w:t>
            </w:r>
          </w:p>
        </w:tc>
      </w:tr>
      <w:tr w:rsidR="00FF6666" w:rsidRPr="00FF6666" w14:paraId="670FD805" w14:textId="77777777" w:rsidTr="00F055AE">
        <w:trPr>
          <w:trHeight w:val="288"/>
        </w:trPr>
        <w:tc>
          <w:tcPr>
            <w:tcW w:w="1084" w:type="pct"/>
            <w:noWrap/>
            <w:hideMark/>
          </w:tcPr>
          <w:p w14:paraId="377A1093" w14:textId="77777777" w:rsidR="00FF6666" w:rsidRPr="00FF6666" w:rsidRDefault="00FF6666" w:rsidP="001F550D">
            <w:pPr>
              <w:pStyle w:val="TableBody"/>
            </w:pPr>
            <w:r w:rsidRPr="00FF6666">
              <w:t>2012-13</w:t>
            </w:r>
          </w:p>
        </w:tc>
        <w:tc>
          <w:tcPr>
            <w:tcW w:w="619" w:type="pct"/>
            <w:noWrap/>
            <w:hideMark/>
          </w:tcPr>
          <w:p w14:paraId="60DA9BE3" w14:textId="77777777" w:rsidR="00FF6666" w:rsidRPr="00FF6666" w:rsidRDefault="00FF6666" w:rsidP="00F055AE">
            <w:pPr>
              <w:pStyle w:val="TableBodyRight"/>
            </w:pPr>
            <w:r w:rsidRPr="00FF6666">
              <w:t>27</w:t>
            </w:r>
          </w:p>
        </w:tc>
        <w:tc>
          <w:tcPr>
            <w:tcW w:w="1063" w:type="pct"/>
            <w:noWrap/>
            <w:hideMark/>
          </w:tcPr>
          <w:p w14:paraId="3D9B2E0E" w14:textId="77777777" w:rsidR="00FF6666" w:rsidRPr="00FF6666" w:rsidRDefault="00FF6666" w:rsidP="00F055AE">
            <w:pPr>
              <w:pStyle w:val="TableBodyRight"/>
            </w:pPr>
            <w:r w:rsidRPr="00FF6666">
              <w:t>19</w:t>
            </w:r>
          </w:p>
        </w:tc>
        <w:tc>
          <w:tcPr>
            <w:tcW w:w="2235" w:type="pct"/>
            <w:noWrap/>
            <w:hideMark/>
          </w:tcPr>
          <w:p w14:paraId="054299B8" w14:textId="77777777" w:rsidR="00FF6666" w:rsidRPr="00FF6666" w:rsidRDefault="00FF6666" w:rsidP="00F055AE">
            <w:pPr>
              <w:pStyle w:val="TableBodyRight"/>
            </w:pPr>
            <w:r w:rsidRPr="00FF6666">
              <w:t>18</w:t>
            </w:r>
          </w:p>
        </w:tc>
      </w:tr>
      <w:tr w:rsidR="00FF6666" w:rsidRPr="00FF6666" w14:paraId="5E42B809" w14:textId="77777777" w:rsidTr="00F055AE">
        <w:trPr>
          <w:trHeight w:val="288"/>
        </w:trPr>
        <w:tc>
          <w:tcPr>
            <w:tcW w:w="1084" w:type="pct"/>
            <w:noWrap/>
            <w:hideMark/>
          </w:tcPr>
          <w:p w14:paraId="65DF3026" w14:textId="77777777" w:rsidR="00FF6666" w:rsidRPr="00FF6666" w:rsidRDefault="00FF6666" w:rsidP="001F550D">
            <w:pPr>
              <w:pStyle w:val="TableBody"/>
            </w:pPr>
            <w:r w:rsidRPr="00FF6666">
              <w:t>2013-14</w:t>
            </w:r>
          </w:p>
        </w:tc>
        <w:tc>
          <w:tcPr>
            <w:tcW w:w="619" w:type="pct"/>
            <w:noWrap/>
            <w:hideMark/>
          </w:tcPr>
          <w:p w14:paraId="3E471711" w14:textId="77777777" w:rsidR="00FF6666" w:rsidRPr="00FF6666" w:rsidRDefault="00FF6666" w:rsidP="00F055AE">
            <w:pPr>
              <w:pStyle w:val="TableBodyRight"/>
            </w:pPr>
            <w:r w:rsidRPr="00FF6666">
              <w:t>21</w:t>
            </w:r>
          </w:p>
        </w:tc>
        <w:tc>
          <w:tcPr>
            <w:tcW w:w="1063" w:type="pct"/>
            <w:noWrap/>
            <w:hideMark/>
          </w:tcPr>
          <w:p w14:paraId="484CCB48" w14:textId="77777777" w:rsidR="00FF6666" w:rsidRPr="00FF6666" w:rsidRDefault="00FF6666" w:rsidP="00F055AE">
            <w:pPr>
              <w:pStyle w:val="TableBodyRight"/>
            </w:pPr>
            <w:r w:rsidRPr="00FF6666">
              <w:t>12</w:t>
            </w:r>
          </w:p>
        </w:tc>
        <w:tc>
          <w:tcPr>
            <w:tcW w:w="2235" w:type="pct"/>
            <w:noWrap/>
            <w:hideMark/>
          </w:tcPr>
          <w:p w14:paraId="451F5668" w14:textId="77777777" w:rsidR="00FF6666" w:rsidRPr="00FF6666" w:rsidRDefault="00FF6666" w:rsidP="00F055AE">
            <w:pPr>
              <w:pStyle w:val="TableBodyRight"/>
            </w:pPr>
            <w:r w:rsidRPr="00FF6666">
              <w:t>16</w:t>
            </w:r>
          </w:p>
        </w:tc>
      </w:tr>
      <w:tr w:rsidR="00FF6666" w:rsidRPr="00FF6666" w14:paraId="492FC933" w14:textId="77777777" w:rsidTr="00F055AE">
        <w:trPr>
          <w:trHeight w:val="288"/>
        </w:trPr>
        <w:tc>
          <w:tcPr>
            <w:tcW w:w="1084" w:type="pct"/>
            <w:noWrap/>
            <w:hideMark/>
          </w:tcPr>
          <w:p w14:paraId="409B0C75" w14:textId="77777777" w:rsidR="00FF6666" w:rsidRPr="00FF6666" w:rsidRDefault="00FF6666" w:rsidP="001F550D">
            <w:pPr>
              <w:pStyle w:val="TableBody"/>
            </w:pPr>
            <w:r w:rsidRPr="00FF6666">
              <w:t>2014-15</w:t>
            </w:r>
          </w:p>
        </w:tc>
        <w:tc>
          <w:tcPr>
            <w:tcW w:w="619" w:type="pct"/>
            <w:noWrap/>
            <w:hideMark/>
          </w:tcPr>
          <w:p w14:paraId="1739C085" w14:textId="77777777" w:rsidR="00FF6666" w:rsidRPr="00FF6666" w:rsidRDefault="00FF6666" w:rsidP="00F055AE">
            <w:pPr>
              <w:pStyle w:val="TableBodyRight"/>
            </w:pPr>
            <w:r w:rsidRPr="00FF6666">
              <w:t>15</w:t>
            </w:r>
          </w:p>
        </w:tc>
        <w:tc>
          <w:tcPr>
            <w:tcW w:w="1063" w:type="pct"/>
            <w:noWrap/>
            <w:hideMark/>
          </w:tcPr>
          <w:p w14:paraId="1D9B63E4" w14:textId="77777777" w:rsidR="00FF6666" w:rsidRPr="00FF6666" w:rsidRDefault="00FF6666" w:rsidP="00F055AE">
            <w:pPr>
              <w:pStyle w:val="TableBodyRight"/>
            </w:pPr>
            <w:r w:rsidRPr="00FF6666">
              <w:t>10</w:t>
            </w:r>
          </w:p>
        </w:tc>
        <w:tc>
          <w:tcPr>
            <w:tcW w:w="2235" w:type="pct"/>
            <w:noWrap/>
            <w:hideMark/>
          </w:tcPr>
          <w:p w14:paraId="6D53F6CB" w14:textId="77777777" w:rsidR="00FF6666" w:rsidRPr="00FF6666" w:rsidRDefault="00FF6666" w:rsidP="00F055AE">
            <w:pPr>
              <w:pStyle w:val="TableBodyRight"/>
            </w:pPr>
            <w:r w:rsidRPr="00FF6666">
              <w:t>7</w:t>
            </w:r>
          </w:p>
        </w:tc>
      </w:tr>
      <w:tr w:rsidR="00FF6666" w:rsidRPr="00FF6666" w14:paraId="5FB49946" w14:textId="77777777" w:rsidTr="00F055AE">
        <w:trPr>
          <w:trHeight w:val="288"/>
        </w:trPr>
        <w:tc>
          <w:tcPr>
            <w:tcW w:w="1084" w:type="pct"/>
            <w:noWrap/>
            <w:hideMark/>
          </w:tcPr>
          <w:p w14:paraId="49468251" w14:textId="77777777" w:rsidR="00FF6666" w:rsidRPr="00FF6666" w:rsidRDefault="00FF6666" w:rsidP="001F550D">
            <w:pPr>
              <w:pStyle w:val="TableBody"/>
            </w:pPr>
            <w:r w:rsidRPr="00FF6666">
              <w:t>2015-16</w:t>
            </w:r>
          </w:p>
        </w:tc>
        <w:tc>
          <w:tcPr>
            <w:tcW w:w="619" w:type="pct"/>
            <w:noWrap/>
            <w:hideMark/>
          </w:tcPr>
          <w:p w14:paraId="310240A2" w14:textId="77777777" w:rsidR="00FF6666" w:rsidRPr="00FF6666" w:rsidRDefault="00FF6666" w:rsidP="00F055AE">
            <w:pPr>
              <w:pStyle w:val="TableBodyRight"/>
            </w:pPr>
            <w:r w:rsidRPr="00FF6666">
              <w:t>34</w:t>
            </w:r>
          </w:p>
        </w:tc>
        <w:tc>
          <w:tcPr>
            <w:tcW w:w="1063" w:type="pct"/>
            <w:noWrap/>
            <w:hideMark/>
          </w:tcPr>
          <w:p w14:paraId="3E764D36" w14:textId="77777777" w:rsidR="00FF6666" w:rsidRPr="00FF6666" w:rsidRDefault="00FF6666" w:rsidP="00F055AE">
            <w:pPr>
              <w:pStyle w:val="TableBodyRight"/>
            </w:pPr>
            <w:r w:rsidRPr="00FF6666">
              <w:t>19</w:t>
            </w:r>
          </w:p>
        </w:tc>
        <w:tc>
          <w:tcPr>
            <w:tcW w:w="2235" w:type="pct"/>
            <w:noWrap/>
            <w:hideMark/>
          </w:tcPr>
          <w:p w14:paraId="5B7CD999" w14:textId="77777777" w:rsidR="00FF6666" w:rsidRPr="00FF6666" w:rsidRDefault="00FF6666" w:rsidP="00F055AE">
            <w:pPr>
              <w:pStyle w:val="TableBodyRight"/>
            </w:pPr>
            <w:r w:rsidRPr="00FF6666">
              <w:t>6</w:t>
            </w:r>
          </w:p>
        </w:tc>
      </w:tr>
      <w:tr w:rsidR="00FF6666" w:rsidRPr="00FF6666" w14:paraId="77111AEA" w14:textId="77777777" w:rsidTr="00F055AE">
        <w:trPr>
          <w:trHeight w:val="288"/>
        </w:trPr>
        <w:tc>
          <w:tcPr>
            <w:tcW w:w="1084" w:type="pct"/>
            <w:noWrap/>
            <w:hideMark/>
          </w:tcPr>
          <w:p w14:paraId="2E68F257" w14:textId="77777777" w:rsidR="00FF6666" w:rsidRPr="00FF6666" w:rsidRDefault="00FF6666" w:rsidP="001F550D">
            <w:pPr>
              <w:pStyle w:val="TableBody"/>
            </w:pPr>
            <w:r w:rsidRPr="00FF6666">
              <w:t>2016-17</w:t>
            </w:r>
          </w:p>
        </w:tc>
        <w:tc>
          <w:tcPr>
            <w:tcW w:w="619" w:type="pct"/>
            <w:noWrap/>
            <w:hideMark/>
          </w:tcPr>
          <w:p w14:paraId="0B25BA44" w14:textId="77777777" w:rsidR="00FF6666" w:rsidRPr="00FF6666" w:rsidRDefault="00FF6666" w:rsidP="00F055AE">
            <w:pPr>
              <w:pStyle w:val="TableBodyRight"/>
            </w:pPr>
            <w:r w:rsidRPr="00FF6666">
              <w:t>36</w:t>
            </w:r>
          </w:p>
        </w:tc>
        <w:tc>
          <w:tcPr>
            <w:tcW w:w="1063" w:type="pct"/>
            <w:noWrap/>
            <w:hideMark/>
          </w:tcPr>
          <w:p w14:paraId="41678132" w14:textId="77777777" w:rsidR="00FF6666" w:rsidRPr="00FF6666" w:rsidRDefault="00FF6666" w:rsidP="00F055AE">
            <w:pPr>
              <w:pStyle w:val="TableBodyRight"/>
            </w:pPr>
            <w:r w:rsidRPr="00FF6666">
              <w:t>15</w:t>
            </w:r>
          </w:p>
        </w:tc>
        <w:tc>
          <w:tcPr>
            <w:tcW w:w="2235" w:type="pct"/>
            <w:noWrap/>
            <w:hideMark/>
          </w:tcPr>
          <w:p w14:paraId="3AD4215F" w14:textId="77777777" w:rsidR="00FF6666" w:rsidRPr="00FF6666" w:rsidRDefault="00FF6666" w:rsidP="00F055AE">
            <w:pPr>
              <w:pStyle w:val="TableBodyRight"/>
            </w:pPr>
            <w:r w:rsidRPr="00FF6666">
              <w:t>15</w:t>
            </w:r>
          </w:p>
        </w:tc>
      </w:tr>
      <w:tr w:rsidR="00FF6666" w:rsidRPr="00FF6666" w14:paraId="3731AD27" w14:textId="77777777" w:rsidTr="00F055AE">
        <w:trPr>
          <w:trHeight w:val="288"/>
        </w:trPr>
        <w:tc>
          <w:tcPr>
            <w:tcW w:w="1084" w:type="pct"/>
            <w:noWrap/>
            <w:hideMark/>
          </w:tcPr>
          <w:p w14:paraId="6642884E" w14:textId="77777777" w:rsidR="00FF6666" w:rsidRPr="00FF6666" w:rsidRDefault="00FF6666" w:rsidP="001F550D">
            <w:pPr>
              <w:pStyle w:val="TableBody"/>
            </w:pPr>
            <w:r w:rsidRPr="00FF6666">
              <w:t>2017-18</w:t>
            </w:r>
          </w:p>
        </w:tc>
        <w:tc>
          <w:tcPr>
            <w:tcW w:w="619" w:type="pct"/>
            <w:noWrap/>
            <w:hideMark/>
          </w:tcPr>
          <w:p w14:paraId="2173F792" w14:textId="77777777" w:rsidR="00FF6666" w:rsidRPr="00FF6666" w:rsidRDefault="00FF6666" w:rsidP="00F055AE">
            <w:pPr>
              <w:pStyle w:val="TableBodyRight"/>
            </w:pPr>
            <w:r w:rsidRPr="00FF6666">
              <w:t>27</w:t>
            </w:r>
          </w:p>
        </w:tc>
        <w:tc>
          <w:tcPr>
            <w:tcW w:w="1063" w:type="pct"/>
            <w:noWrap/>
            <w:hideMark/>
          </w:tcPr>
          <w:p w14:paraId="78ED70B4" w14:textId="77777777" w:rsidR="00FF6666" w:rsidRPr="00FF6666" w:rsidRDefault="00FF6666" w:rsidP="00F055AE">
            <w:pPr>
              <w:pStyle w:val="TableBodyRight"/>
            </w:pPr>
            <w:r w:rsidRPr="00FF6666">
              <w:t>15</w:t>
            </w:r>
          </w:p>
        </w:tc>
        <w:tc>
          <w:tcPr>
            <w:tcW w:w="2235" w:type="pct"/>
            <w:noWrap/>
            <w:hideMark/>
          </w:tcPr>
          <w:p w14:paraId="4809B355" w14:textId="77777777" w:rsidR="00FF6666" w:rsidRPr="00FF6666" w:rsidRDefault="00FF6666" w:rsidP="00F055AE">
            <w:pPr>
              <w:pStyle w:val="TableBodyRight"/>
            </w:pPr>
            <w:r w:rsidRPr="00FF6666">
              <w:t>14</w:t>
            </w:r>
          </w:p>
        </w:tc>
      </w:tr>
      <w:tr w:rsidR="00FF6666" w:rsidRPr="00FF6666" w14:paraId="1377EF27" w14:textId="77777777" w:rsidTr="00F055AE">
        <w:trPr>
          <w:trHeight w:val="288"/>
        </w:trPr>
        <w:tc>
          <w:tcPr>
            <w:tcW w:w="1084" w:type="pct"/>
            <w:noWrap/>
            <w:hideMark/>
          </w:tcPr>
          <w:p w14:paraId="07CC92E1" w14:textId="77777777" w:rsidR="00FF6666" w:rsidRPr="00FF6666" w:rsidRDefault="00FF6666" w:rsidP="001F550D">
            <w:pPr>
              <w:pStyle w:val="TableBody"/>
            </w:pPr>
            <w:r w:rsidRPr="00FF6666">
              <w:t>2018-19</w:t>
            </w:r>
          </w:p>
        </w:tc>
        <w:tc>
          <w:tcPr>
            <w:tcW w:w="619" w:type="pct"/>
            <w:noWrap/>
            <w:hideMark/>
          </w:tcPr>
          <w:p w14:paraId="4E2B6FD2" w14:textId="77777777" w:rsidR="00FF6666" w:rsidRPr="00FF6666" w:rsidRDefault="00FF6666" w:rsidP="00F055AE">
            <w:pPr>
              <w:pStyle w:val="TableBodyRight"/>
            </w:pPr>
            <w:r w:rsidRPr="00FF6666">
              <w:t>25</w:t>
            </w:r>
          </w:p>
        </w:tc>
        <w:tc>
          <w:tcPr>
            <w:tcW w:w="1063" w:type="pct"/>
            <w:noWrap/>
            <w:hideMark/>
          </w:tcPr>
          <w:p w14:paraId="736D99F6" w14:textId="77777777" w:rsidR="00FF6666" w:rsidRPr="00FF6666" w:rsidRDefault="00FF6666" w:rsidP="00F055AE">
            <w:pPr>
              <w:pStyle w:val="TableBodyRight"/>
            </w:pPr>
            <w:r w:rsidRPr="00FF6666">
              <w:t>23</w:t>
            </w:r>
          </w:p>
        </w:tc>
        <w:tc>
          <w:tcPr>
            <w:tcW w:w="2235" w:type="pct"/>
            <w:noWrap/>
            <w:hideMark/>
          </w:tcPr>
          <w:p w14:paraId="4EB867EE" w14:textId="77777777" w:rsidR="00FF6666" w:rsidRPr="00FF6666" w:rsidRDefault="00FF6666" w:rsidP="00F055AE">
            <w:pPr>
              <w:pStyle w:val="TableBodyRight"/>
            </w:pPr>
            <w:r w:rsidRPr="00FF6666">
              <w:t>19</w:t>
            </w:r>
          </w:p>
        </w:tc>
      </w:tr>
      <w:tr w:rsidR="00FF6666" w:rsidRPr="00FF6666" w14:paraId="07F0EF5F" w14:textId="77777777" w:rsidTr="00F055AE">
        <w:trPr>
          <w:trHeight w:val="288"/>
        </w:trPr>
        <w:tc>
          <w:tcPr>
            <w:tcW w:w="1084" w:type="pct"/>
            <w:noWrap/>
            <w:hideMark/>
          </w:tcPr>
          <w:p w14:paraId="7B1E6EE6" w14:textId="77777777" w:rsidR="00FF6666" w:rsidRPr="00FF6666" w:rsidRDefault="00FF6666" w:rsidP="001F550D">
            <w:pPr>
              <w:pStyle w:val="TableBody"/>
            </w:pPr>
            <w:r w:rsidRPr="00FF6666">
              <w:t>2019-20</w:t>
            </w:r>
          </w:p>
        </w:tc>
        <w:tc>
          <w:tcPr>
            <w:tcW w:w="619" w:type="pct"/>
            <w:noWrap/>
            <w:hideMark/>
          </w:tcPr>
          <w:p w14:paraId="5991758C" w14:textId="77777777" w:rsidR="00FF6666" w:rsidRPr="00FF6666" w:rsidRDefault="00FF6666" w:rsidP="001F550D">
            <w:pPr>
              <w:pStyle w:val="TableBodyRight"/>
            </w:pPr>
            <w:r w:rsidRPr="00FF6666">
              <w:t>24</w:t>
            </w:r>
          </w:p>
        </w:tc>
        <w:tc>
          <w:tcPr>
            <w:tcW w:w="1063" w:type="pct"/>
            <w:noWrap/>
            <w:hideMark/>
          </w:tcPr>
          <w:p w14:paraId="3C576FC6" w14:textId="77777777" w:rsidR="00FF6666" w:rsidRPr="00FF6666" w:rsidRDefault="00FF6666" w:rsidP="001F550D">
            <w:pPr>
              <w:pStyle w:val="TableBodyRight"/>
            </w:pPr>
            <w:r w:rsidRPr="00FF6666">
              <w:t>15</w:t>
            </w:r>
          </w:p>
        </w:tc>
        <w:tc>
          <w:tcPr>
            <w:tcW w:w="2235" w:type="pct"/>
            <w:noWrap/>
            <w:hideMark/>
          </w:tcPr>
          <w:p w14:paraId="0167D8B3" w14:textId="77777777" w:rsidR="00FF6666" w:rsidRPr="00FF6666" w:rsidRDefault="00FF6666" w:rsidP="001F550D">
            <w:pPr>
              <w:pStyle w:val="TableBodyRight"/>
            </w:pPr>
            <w:r w:rsidRPr="00FF6666">
              <w:t>12</w:t>
            </w:r>
          </w:p>
        </w:tc>
      </w:tr>
    </w:tbl>
    <w:p w14:paraId="6094A498" w14:textId="77777777" w:rsidR="00E62AE6" w:rsidRPr="0031029F" w:rsidRDefault="00E62AE6" w:rsidP="0031029F">
      <w:r w:rsidRPr="0031029F">
        <w:t xml:space="preserve">As would be expected for homicide offences, there was a very high rate of immediate custodial sentences for each offence (Figure 4): 99.6% for </w:t>
      </w:r>
      <w:r w:rsidRPr="0031029F">
        <w:lastRenderedPageBreak/>
        <w:t>murder,</w:t>
      </w:r>
      <w:r w:rsidRPr="00E62AE6">
        <w:rPr>
          <w:rStyle w:val="Superscript"/>
        </w:rPr>
        <w:footnoteReference w:id="17"/>
      </w:r>
      <w:r w:rsidRPr="0031029F">
        <w:t xml:space="preserve"> 95.9% for manslaughter</w:t>
      </w:r>
      <w:r w:rsidRPr="00E62AE6">
        <w:rPr>
          <w:rStyle w:val="Superscript"/>
        </w:rPr>
        <w:footnoteReference w:id="18"/>
      </w:r>
      <w:r w:rsidRPr="0031029F">
        <w:t xml:space="preserve"> and 94.0% for culpable driving causing death.</w:t>
      </w:r>
      <w:r w:rsidRPr="00E62AE6">
        <w:rPr>
          <w:rStyle w:val="Superscript"/>
        </w:rPr>
        <w:footnoteReference w:id="19"/>
      </w:r>
      <w:r w:rsidRPr="0031029F">
        <w:t xml:space="preserve"> With one exception (in 2017–18 someone with a mental illness received a non-custodial supervision order for murder), everyone sentenced for a homicide offence in the most recent four years received an immediate custodial sentence. This may be attributable to these three offences being classified as either category 1 or category 2 offences since 2017 (for murder and manslaughter) and 2018 (for culpable driving causing death), such that courts must always (except in rare circumstances) impose an immediate custodial sentence.</w:t>
      </w:r>
      <w:r w:rsidRPr="00E62AE6">
        <w:rPr>
          <w:rStyle w:val="Superscript"/>
        </w:rPr>
        <w:footnoteReference w:id="20"/>
      </w:r>
    </w:p>
    <w:p w14:paraId="417B5654" w14:textId="68143D25" w:rsidR="00E62AE6" w:rsidRDefault="00E62AE6" w:rsidP="00E5783B">
      <w:pPr>
        <w:pStyle w:val="Caption"/>
      </w:pPr>
      <w:r w:rsidRPr="00E62AE6">
        <w:t>Figure 4: Percentage of people receiving immediate custodial sentences for homicide offences, 2001–02 to 2019–20</w:t>
      </w:r>
    </w:p>
    <w:tbl>
      <w:tblPr>
        <w:tblStyle w:val="Table"/>
        <w:tblW w:w="5000" w:type="pct"/>
        <w:tblLook w:val="04A0" w:firstRow="1" w:lastRow="0" w:firstColumn="1" w:lastColumn="0" w:noHBand="0" w:noVBand="1"/>
      </w:tblPr>
      <w:tblGrid>
        <w:gridCol w:w="1955"/>
        <w:gridCol w:w="1116"/>
        <w:gridCol w:w="1917"/>
        <w:gridCol w:w="4028"/>
      </w:tblGrid>
      <w:tr w:rsidR="00D5422B" w:rsidRPr="00FD6356" w14:paraId="0153EC57" w14:textId="77777777" w:rsidTr="00D5422B">
        <w:trPr>
          <w:trHeight w:val="288"/>
          <w:tblHeader/>
        </w:trPr>
        <w:tc>
          <w:tcPr>
            <w:tcW w:w="1084" w:type="pct"/>
            <w:noWrap/>
            <w:hideMark/>
          </w:tcPr>
          <w:p w14:paraId="57FECE56" w14:textId="77777777" w:rsidR="001B7D9F" w:rsidRPr="00FD6356" w:rsidRDefault="001B7D9F" w:rsidP="00D5422B">
            <w:pPr>
              <w:pStyle w:val="TableHeading"/>
            </w:pPr>
            <w:r w:rsidRPr="00FD6356">
              <w:t>Financial year</w:t>
            </w:r>
          </w:p>
        </w:tc>
        <w:tc>
          <w:tcPr>
            <w:tcW w:w="619" w:type="pct"/>
            <w:noWrap/>
            <w:hideMark/>
          </w:tcPr>
          <w:p w14:paraId="653E9687" w14:textId="77777777" w:rsidR="001B7D9F" w:rsidRPr="00FD6356" w:rsidRDefault="001B7D9F" w:rsidP="00D5422B">
            <w:pPr>
              <w:pStyle w:val="TableHeadingRight"/>
            </w:pPr>
            <w:r w:rsidRPr="00FD6356">
              <w:t>Murder</w:t>
            </w:r>
          </w:p>
        </w:tc>
        <w:tc>
          <w:tcPr>
            <w:tcW w:w="1063" w:type="pct"/>
            <w:noWrap/>
            <w:hideMark/>
          </w:tcPr>
          <w:p w14:paraId="2D21985A" w14:textId="77777777" w:rsidR="001B7D9F" w:rsidRPr="00FD6356" w:rsidRDefault="001B7D9F" w:rsidP="00D5422B">
            <w:pPr>
              <w:pStyle w:val="TableHeadingRight"/>
            </w:pPr>
            <w:r w:rsidRPr="00FD6356">
              <w:t>Manslaughter</w:t>
            </w:r>
          </w:p>
        </w:tc>
        <w:tc>
          <w:tcPr>
            <w:tcW w:w="2235" w:type="pct"/>
            <w:noWrap/>
            <w:hideMark/>
          </w:tcPr>
          <w:p w14:paraId="7CDE9054" w14:textId="77777777" w:rsidR="001B7D9F" w:rsidRPr="00FD6356" w:rsidRDefault="001B7D9F" w:rsidP="00D5422B">
            <w:pPr>
              <w:pStyle w:val="TableHeadingRight"/>
            </w:pPr>
            <w:r w:rsidRPr="00FD6356">
              <w:t>Culpable driving causing death</w:t>
            </w:r>
          </w:p>
        </w:tc>
      </w:tr>
      <w:tr w:rsidR="00D5422B" w:rsidRPr="00FD6356" w14:paraId="20F8E439" w14:textId="77777777" w:rsidTr="00D5422B">
        <w:trPr>
          <w:trHeight w:val="288"/>
        </w:trPr>
        <w:tc>
          <w:tcPr>
            <w:tcW w:w="1084" w:type="pct"/>
            <w:noWrap/>
            <w:hideMark/>
          </w:tcPr>
          <w:p w14:paraId="0B9E88F8" w14:textId="77777777" w:rsidR="001B7D9F" w:rsidRPr="00FD6356" w:rsidRDefault="001B7D9F" w:rsidP="00D5422B">
            <w:pPr>
              <w:pStyle w:val="TableBody"/>
            </w:pPr>
            <w:r w:rsidRPr="00FD6356">
              <w:t>2001-02</w:t>
            </w:r>
          </w:p>
        </w:tc>
        <w:tc>
          <w:tcPr>
            <w:tcW w:w="619" w:type="pct"/>
            <w:noWrap/>
            <w:hideMark/>
          </w:tcPr>
          <w:p w14:paraId="5BF950E2" w14:textId="77777777" w:rsidR="001B7D9F" w:rsidRPr="00FD6356" w:rsidRDefault="001B7D9F" w:rsidP="00D5422B">
            <w:pPr>
              <w:pStyle w:val="TableBodyRight"/>
            </w:pPr>
            <w:r w:rsidRPr="00FD6356">
              <w:t>100.0%</w:t>
            </w:r>
          </w:p>
        </w:tc>
        <w:tc>
          <w:tcPr>
            <w:tcW w:w="1063" w:type="pct"/>
            <w:noWrap/>
            <w:hideMark/>
          </w:tcPr>
          <w:p w14:paraId="06A0DBB0" w14:textId="77777777" w:rsidR="001B7D9F" w:rsidRPr="00FD6356" w:rsidRDefault="001B7D9F" w:rsidP="00D5422B">
            <w:pPr>
              <w:pStyle w:val="TableBodyRight"/>
            </w:pPr>
            <w:r w:rsidRPr="00FD6356">
              <w:t>90.9%</w:t>
            </w:r>
          </w:p>
        </w:tc>
        <w:tc>
          <w:tcPr>
            <w:tcW w:w="2235" w:type="pct"/>
            <w:noWrap/>
            <w:hideMark/>
          </w:tcPr>
          <w:p w14:paraId="6418A82E" w14:textId="77777777" w:rsidR="001B7D9F" w:rsidRPr="00FD6356" w:rsidRDefault="001B7D9F" w:rsidP="00D5422B">
            <w:pPr>
              <w:pStyle w:val="TableBodyRight"/>
            </w:pPr>
            <w:r w:rsidRPr="00FD6356">
              <w:t>92.6%</w:t>
            </w:r>
          </w:p>
        </w:tc>
      </w:tr>
      <w:tr w:rsidR="00D5422B" w:rsidRPr="00FD6356" w14:paraId="5480D07D" w14:textId="77777777" w:rsidTr="00D5422B">
        <w:trPr>
          <w:trHeight w:val="288"/>
        </w:trPr>
        <w:tc>
          <w:tcPr>
            <w:tcW w:w="1084" w:type="pct"/>
            <w:noWrap/>
            <w:hideMark/>
          </w:tcPr>
          <w:p w14:paraId="07582DAF" w14:textId="77777777" w:rsidR="001B7D9F" w:rsidRPr="00FD6356" w:rsidRDefault="001B7D9F" w:rsidP="00D5422B">
            <w:pPr>
              <w:pStyle w:val="TableBody"/>
            </w:pPr>
            <w:r w:rsidRPr="00FD6356">
              <w:t>2002-03</w:t>
            </w:r>
          </w:p>
        </w:tc>
        <w:tc>
          <w:tcPr>
            <w:tcW w:w="619" w:type="pct"/>
            <w:noWrap/>
            <w:hideMark/>
          </w:tcPr>
          <w:p w14:paraId="5CDD5748" w14:textId="77777777" w:rsidR="001B7D9F" w:rsidRPr="00FD6356" w:rsidRDefault="001B7D9F" w:rsidP="00D5422B">
            <w:pPr>
              <w:pStyle w:val="TableBodyRight"/>
            </w:pPr>
            <w:r w:rsidRPr="00FD6356">
              <w:t>100.0%</w:t>
            </w:r>
          </w:p>
        </w:tc>
        <w:tc>
          <w:tcPr>
            <w:tcW w:w="1063" w:type="pct"/>
            <w:noWrap/>
            <w:hideMark/>
          </w:tcPr>
          <w:p w14:paraId="326A54A7" w14:textId="77777777" w:rsidR="001B7D9F" w:rsidRPr="00FD6356" w:rsidRDefault="001B7D9F" w:rsidP="00D5422B">
            <w:pPr>
              <w:pStyle w:val="TableBodyRight"/>
            </w:pPr>
            <w:r w:rsidRPr="00FD6356">
              <w:t>83.3%</w:t>
            </w:r>
          </w:p>
        </w:tc>
        <w:tc>
          <w:tcPr>
            <w:tcW w:w="2235" w:type="pct"/>
            <w:noWrap/>
            <w:hideMark/>
          </w:tcPr>
          <w:p w14:paraId="343E48EF" w14:textId="77777777" w:rsidR="001B7D9F" w:rsidRPr="00FD6356" w:rsidRDefault="001B7D9F" w:rsidP="00D5422B">
            <w:pPr>
              <w:pStyle w:val="TableBodyRight"/>
            </w:pPr>
            <w:r w:rsidRPr="00FD6356">
              <w:t>100.0%</w:t>
            </w:r>
          </w:p>
        </w:tc>
      </w:tr>
      <w:tr w:rsidR="00D5422B" w:rsidRPr="00FD6356" w14:paraId="594A4019" w14:textId="77777777" w:rsidTr="00D5422B">
        <w:trPr>
          <w:trHeight w:val="288"/>
        </w:trPr>
        <w:tc>
          <w:tcPr>
            <w:tcW w:w="1084" w:type="pct"/>
            <w:noWrap/>
            <w:hideMark/>
          </w:tcPr>
          <w:p w14:paraId="6CCB392D" w14:textId="77777777" w:rsidR="001B7D9F" w:rsidRPr="00FD6356" w:rsidRDefault="001B7D9F" w:rsidP="00D5422B">
            <w:pPr>
              <w:pStyle w:val="TableBody"/>
            </w:pPr>
            <w:r w:rsidRPr="00FD6356">
              <w:t>2003-04</w:t>
            </w:r>
          </w:p>
        </w:tc>
        <w:tc>
          <w:tcPr>
            <w:tcW w:w="619" w:type="pct"/>
            <w:noWrap/>
            <w:hideMark/>
          </w:tcPr>
          <w:p w14:paraId="4B5D7785" w14:textId="77777777" w:rsidR="001B7D9F" w:rsidRPr="00FD6356" w:rsidRDefault="001B7D9F" w:rsidP="00D5422B">
            <w:pPr>
              <w:pStyle w:val="TableBodyRight"/>
            </w:pPr>
            <w:r w:rsidRPr="00FD6356">
              <w:t>100.0%</w:t>
            </w:r>
          </w:p>
        </w:tc>
        <w:tc>
          <w:tcPr>
            <w:tcW w:w="1063" w:type="pct"/>
            <w:noWrap/>
            <w:hideMark/>
          </w:tcPr>
          <w:p w14:paraId="5BBF130A" w14:textId="77777777" w:rsidR="001B7D9F" w:rsidRPr="00FD6356" w:rsidRDefault="001B7D9F" w:rsidP="00D5422B">
            <w:pPr>
              <w:pStyle w:val="TableBodyRight"/>
            </w:pPr>
            <w:r w:rsidRPr="00FD6356">
              <w:t>84.6%</w:t>
            </w:r>
          </w:p>
        </w:tc>
        <w:tc>
          <w:tcPr>
            <w:tcW w:w="2235" w:type="pct"/>
            <w:noWrap/>
            <w:hideMark/>
          </w:tcPr>
          <w:p w14:paraId="4C4A4BC9" w14:textId="77777777" w:rsidR="001B7D9F" w:rsidRPr="00FD6356" w:rsidRDefault="001B7D9F" w:rsidP="00D5422B">
            <w:pPr>
              <w:pStyle w:val="TableBodyRight"/>
            </w:pPr>
            <w:r w:rsidRPr="00FD6356">
              <w:t>85.2%</w:t>
            </w:r>
          </w:p>
        </w:tc>
      </w:tr>
      <w:tr w:rsidR="00D5422B" w:rsidRPr="00FD6356" w14:paraId="778FFB62" w14:textId="77777777" w:rsidTr="00D5422B">
        <w:trPr>
          <w:trHeight w:val="288"/>
        </w:trPr>
        <w:tc>
          <w:tcPr>
            <w:tcW w:w="1084" w:type="pct"/>
            <w:noWrap/>
            <w:hideMark/>
          </w:tcPr>
          <w:p w14:paraId="1089F65F" w14:textId="77777777" w:rsidR="001B7D9F" w:rsidRPr="00FD6356" w:rsidRDefault="001B7D9F" w:rsidP="00D5422B">
            <w:pPr>
              <w:pStyle w:val="TableBody"/>
            </w:pPr>
            <w:r w:rsidRPr="00FD6356">
              <w:t>2004-05</w:t>
            </w:r>
          </w:p>
        </w:tc>
        <w:tc>
          <w:tcPr>
            <w:tcW w:w="619" w:type="pct"/>
            <w:noWrap/>
            <w:hideMark/>
          </w:tcPr>
          <w:p w14:paraId="17BD5495" w14:textId="77777777" w:rsidR="001B7D9F" w:rsidRPr="00FD6356" w:rsidRDefault="001B7D9F" w:rsidP="00D5422B">
            <w:pPr>
              <w:pStyle w:val="TableBodyRight"/>
            </w:pPr>
            <w:r w:rsidRPr="00FD6356">
              <w:t>100.0%</w:t>
            </w:r>
          </w:p>
        </w:tc>
        <w:tc>
          <w:tcPr>
            <w:tcW w:w="1063" w:type="pct"/>
            <w:noWrap/>
            <w:hideMark/>
          </w:tcPr>
          <w:p w14:paraId="5562A933" w14:textId="77777777" w:rsidR="001B7D9F" w:rsidRPr="00FD6356" w:rsidRDefault="001B7D9F" w:rsidP="00D5422B">
            <w:pPr>
              <w:pStyle w:val="TableBodyRight"/>
            </w:pPr>
            <w:r w:rsidRPr="00FD6356">
              <w:t>95.2%</w:t>
            </w:r>
          </w:p>
        </w:tc>
        <w:tc>
          <w:tcPr>
            <w:tcW w:w="2235" w:type="pct"/>
            <w:noWrap/>
            <w:hideMark/>
          </w:tcPr>
          <w:p w14:paraId="4501F7E6" w14:textId="77777777" w:rsidR="001B7D9F" w:rsidRPr="00FD6356" w:rsidRDefault="001B7D9F" w:rsidP="00D5422B">
            <w:pPr>
              <w:pStyle w:val="TableBodyRight"/>
            </w:pPr>
            <w:r w:rsidRPr="00FD6356">
              <w:t>96.2%</w:t>
            </w:r>
          </w:p>
        </w:tc>
      </w:tr>
      <w:tr w:rsidR="00D5422B" w:rsidRPr="00FD6356" w14:paraId="391C56B1" w14:textId="77777777" w:rsidTr="00D5422B">
        <w:trPr>
          <w:trHeight w:val="288"/>
        </w:trPr>
        <w:tc>
          <w:tcPr>
            <w:tcW w:w="1084" w:type="pct"/>
            <w:noWrap/>
            <w:hideMark/>
          </w:tcPr>
          <w:p w14:paraId="69ABCDB8" w14:textId="77777777" w:rsidR="001B7D9F" w:rsidRPr="00FD6356" w:rsidRDefault="001B7D9F" w:rsidP="00D5422B">
            <w:pPr>
              <w:pStyle w:val="TableBody"/>
            </w:pPr>
            <w:r w:rsidRPr="00FD6356">
              <w:t>2005-06</w:t>
            </w:r>
          </w:p>
        </w:tc>
        <w:tc>
          <w:tcPr>
            <w:tcW w:w="619" w:type="pct"/>
            <w:noWrap/>
            <w:hideMark/>
          </w:tcPr>
          <w:p w14:paraId="7EFFF411" w14:textId="77777777" w:rsidR="001B7D9F" w:rsidRPr="00FD6356" w:rsidRDefault="001B7D9F" w:rsidP="00D5422B">
            <w:pPr>
              <w:pStyle w:val="TableBodyRight"/>
            </w:pPr>
            <w:r w:rsidRPr="00FD6356">
              <w:t>100.0%</w:t>
            </w:r>
          </w:p>
        </w:tc>
        <w:tc>
          <w:tcPr>
            <w:tcW w:w="1063" w:type="pct"/>
            <w:noWrap/>
            <w:hideMark/>
          </w:tcPr>
          <w:p w14:paraId="3C43236B" w14:textId="77777777" w:rsidR="001B7D9F" w:rsidRPr="00FD6356" w:rsidRDefault="001B7D9F" w:rsidP="00D5422B">
            <w:pPr>
              <w:pStyle w:val="TableBodyRight"/>
            </w:pPr>
            <w:r w:rsidRPr="00FD6356">
              <w:t>100.0%</w:t>
            </w:r>
          </w:p>
        </w:tc>
        <w:tc>
          <w:tcPr>
            <w:tcW w:w="2235" w:type="pct"/>
            <w:noWrap/>
            <w:hideMark/>
          </w:tcPr>
          <w:p w14:paraId="76B2816E" w14:textId="77777777" w:rsidR="001B7D9F" w:rsidRPr="00FD6356" w:rsidRDefault="001B7D9F" w:rsidP="00D5422B">
            <w:pPr>
              <w:pStyle w:val="TableBodyRight"/>
            </w:pPr>
            <w:r w:rsidRPr="00FD6356">
              <w:t>96.4%</w:t>
            </w:r>
          </w:p>
        </w:tc>
      </w:tr>
      <w:tr w:rsidR="00D5422B" w:rsidRPr="00FD6356" w14:paraId="0AB467B7" w14:textId="77777777" w:rsidTr="00D5422B">
        <w:trPr>
          <w:trHeight w:val="288"/>
        </w:trPr>
        <w:tc>
          <w:tcPr>
            <w:tcW w:w="1084" w:type="pct"/>
            <w:noWrap/>
            <w:hideMark/>
          </w:tcPr>
          <w:p w14:paraId="0F36965A" w14:textId="77777777" w:rsidR="001B7D9F" w:rsidRPr="00FD6356" w:rsidRDefault="001B7D9F" w:rsidP="00D5422B">
            <w:pPr>
              <w:pStyle w:val="TableBody"/>
            </w:pPr>
            <w:r w:rsidRPr="00FD6356">
              <w:t>2006-07</w:t>
            </w:r>
          </w:p>
        </w:tc>
        <w:tc>
          <w:tcPr>
            <w:tcW w:w="619" w:type="pct"/>
            <w:noWrap/>
            <w:hideMark/>
          </w:tcPr>
          <w:p w14:paraId="3C32AA33" w14:textId="77777777" w:rsidR="001B7D9F" w:rsidRPr="00FD6356" w:rsidRDefault="001B7D9F" w:rsidP="00D5422B">
            <w:pPr>
              <w:pStyle w:val="TableBodyRight"/>
            </w:pPr>
            <w:r w:rsidRPr="00FD6356">
              <w:t>100.0%</w:t>
            </w:r>
          </w:p>
        </w:tc>
        <w:tc>
          <w:tcPr>
            <w:tcW w:w="1063" w:type="pct"/>
            <w:noWrap/>
            <w:hideMark/>
          </w:tcPr>
          <w:p w14:paraId="7EB84682" w14:textId="77777777" w:rsidR="001B7D9F" w:rsidRPr="00FD6356" w:rsidRDefault="001B7D9F" w:rsidP="00D5422B">
            <w:pPr>
              <w:pStyle w:val="TableBodyRight"/>
            </w:pPr>
            <w:r w:rsidRPr="00FD6356">
              <w:t>95.5%</w:t>
            </w:r>
          </w:p>
        </w:tc>
        <w:tc>
          <w:tcPr>
            <w:tcW w:w="2235" w:type="pct"/>
            <w:noWrap/>
            <w:hideMark/>
          </w:tcPr>
          <w:p w14:paraId="7E75DD36" w14:textId="77777777" w:rsidR="001B7D9F" w:rsidRPr="00FD6356" w:rsidRDefault="001B7D9F" w:rsidP="00D5422B">
            <w:pPr>
              <w:pStyle w:val="TableBodyRight"/>
            </w:pPr>
            <w:r w:rsidRPr="00FD6356">
              <w:t>89.5%</w:t>
            </w:r>
          </w:p>
        </w:tc>
      </w:tr>
      <w:tr w:rsidR="00D5422B" w:rsidRPr="00FD6356" w14:paraId="6990B22E" w14:textId="77777777" w:rsidTr="00D5422B">
        <w:trPr>
          <w:trHeight w:val="288"/>
        </w:trPr>
        <w:tc>
          <w:tcPr>
            <w:tcW w:w="1084" w:type="pct"/>
            <w:noWrap/>
            <w:hideMark/>
          </w:tcPr>
          <w:p w14:paraId="45FB9E23" w14:textId="77777777" w:rsidR="001B7D9F" w:rsidRPr="00FD6356" w:rsidRDefault="001B7D9F" w:rsidP="00D5422B">
            <w:pPr>
              <w:pStyle w:val="TableBody"/>
            </w:pPr>
            <w:r w:rsidRPr="00FD6356">
              <w:t>2007-08</w:t>
            </w:r>
          </w:p>
        </w:tc>
        <w:tc>
          <w:tcPr>
            <w:tcW w:w="619" w:type="pct"/>
            <w:noWrap/>
            <w:hideMark/>
          </w:tcPr>
          <w:p w14:paraId="60EE8991" w14:textId="77777777" w:rsidR="001B7D9F" w:rsidRPr="00FD6356" w:rsidRDefault="001B7D9F" w:rsidP="00D5422B">
            <w:pPr>
              <w:pStyle w:val="TableBodyRight"/>
            </w:pPr>
            <w:r w:rsidRPr="00FD6356">
              <w:t>100.0%</w:t>
            </w:r>
          </w:p>
        </w:tc>
        <w:tc>
          <w:tcPr>
            <w:tcW w:w="1063" w:type="pct"/>
            <w:noWrap/>
            <w:hideMark/>
          </w:tcPr>
          <w:p w14:paraId="3A206C3F" w14:textId="77777777" w:rsidR="001B7D9F" w:rsidRPr="00FD6356" w:rsidRDefault="001B7D9F" w:rsidP="00D5422B">
            <w:pPr>
              <w:pStyle w:val="TableBodyRight"/>
            </w:pPr>
            <w:r w:rsidRPr="00FD6356">
              <w:t>100.0%</w:t>
            </w:r>
          </w:p>
        </w:tc>
        <w:tc>
          <w:tcPr>
            <w:tcW w:w="2235" w:type="pct"/>
            <w:noWrap/>
            <w:hideMark/>
          </w:tcPr>
          <w:p w14:paraId="08E58E4C" w14:textId="77777777" w:rsidR="001B7D9F" w:rsidRPr="00FD6356" w:rsidRDefault="001B7D9F" w:rsidP="00D5422B">
            <w:pPr>
              <w:pStyle w:val="TableBodyRight"/>
            </w:pPr>
            <w:r w:rsidRPr="00FD6356">
              <w:t>92.0%</w:t>
            </w:r>
          </w:p>
        </w:tc>
      </w:tr>
      <w:tr w:rsidR="00D5422B" w:rsidRPr="00FD6356" w14:paraId="3BCC89E7" w14:textId="77777777" w:rsidTr="00D5422B">
        <w:trPr>
          <w:trHeight w:val="288"/>
        </w:trPr>
        <w:tc>
          <w:tcPr>
            <w:tcW w:w="1084" w:type="pct"/>
            <w:noWrap/>
            <w:hideMark/>
          </w:tcPr>
          <w:p w14:paraId="6F106DDE" w14:textId="77777777" w:rsidR="001B7D9F" w:rsidRPr="00FD6356" w:rsidRDefault="001B7D9F" w:rsidP="00D5422B">
            <w:pPr>
              <w:pStyle w:val="TableBody"/>
            </w:pPr>
            <w:r w:rsidRPr="00FD6356">
              <w:t>2008-09</w:t>
            </w:r>
          </w:p>
        </w:tc>
        <w:tc>
          <w:tcPr>
            <w:tcW w:w="619" w:type="pct"/>
            <w:noWrap/>
            <w:hideMark/>
          </w:tcPr>
          <w:p w14:paraId="6453D1B6" w14:textId="77777777" w:rsidR="001B7D9F" w:rsidRPr="00FD6356" w:rsidRDefault="001B7D9F" w:rsidP="00D5422B">
            <w:pPr>
              <w:pStyle w:val="TableBodyRight"/>
            </w:pPr>
            <w:r w:rsidRPr="00FD6356">
              <w:t>100.0%</w:t>
            </w:r>
          </w:p>
        </w:tc>
        <w:tc>
          <w:tcPr>
            <w:tcW w:w="1063" w:type="pct"/>
            <w:noWrap/>
            <w:hideMark/>
          </w:tcPr>
          <w:p w14:paraId="7EA11AE4" w14:textId="77777777" w:rsidR="001B7D9F" w:rsidRPr="00FD6356" w:rsidRDefault="001B7D9F" w:rsidP="00D5422B">
            <w:pPr>
              <w:pStyle w:val="TableBodyRight"/>
            </w:pPr>
            <w:r w:rsidRPr="00FD6356">
              <w:t>90.5%</w:t>
            </w:r>
          </w:p>
        </w:tc>
        <w:tc>
          <w:tcPr>
            <w:tcW w:w="2235" w:type="pct"/>
            <w:noWrap/>
            <w:hideMark/>
          </w:tcPr>
          <w:p w14:paraId="05918CA0" w14:textId="77777777" w:rsidR="001B7D9F" w:rsidRPr="00FD6356" w:rsidRDefault="001B7D9F" w:rsidP="00D5422B">
            <w:pPr>
              <w:pStyle w:val="TableBodyRight"/>
            </w:pPr>
            <w:r w:rsidRPr="00FD6356">
              <w:t>88.9%</w:t>
            </w:r>
          </w:p>
        </w:tc>
      </w:tr>
      <w:tr w:rsidR="00D5422B" w:rsidRPr="00FD6356" w14:paraId="31097C47" w14:textId="77777777" w:rsidTr="00D5422B">
        <w:trPr>
          <w:trHeight w:val="288"/>
        </w:trPr>
        <w:tc>
          <w:tcPr>
            <w:tcW w:w="1084" w:type="pct"/>
            <w:noWrap/>
            <w:hideMark/>
          </w:tcPr>
          <w:p w14:paraId="30D32A1A" w14:textId="77777777" w:rsidR="001B7D9F" w:rsidRPr="00FD6356" w:rsidRDefault="001B7D9F" w:rsidP="00D5422B">
            <w:pPr>
              <w:pStyle w:val="TableBody"/>
            </w:pPr>
            <w:r w:rsidRPr="00FD6356">
              <w:t>2009-10</w:t>
            </w:r>
          </w:p>
        </w:tc>
        <w:tc>
          <w:tcPr>
            <w:tcW w:w="619" w:type="pct"/>
            <w:noWrap/>
            <w:hideMark/>
          </w:tcPr>
          <w:p w14:paraId="3002F05A" w14:textId="77777777" w:rsidR="001B7D9F" w:rsidRPr="00FD6356" w:rsidRDefault="001B7D9F" w:rsidP="00D5422B">
            <w:pPr>
              <w:pStyle w:val="TableBodyRight"/>
            </w:pPr>
            <w:r w:rsidRPr="00FD6356">
              <w:t>100.0%</w:t>
            </w:r>
          </w:p>
        </w:tc>
        <w:tc>
          <w:tcPr>
            <w:tcW w:w="1063" w:type="pct"/>
            <w:noWrap/>
            <w:hideMark/>
          </w:tcPr>
          <w:p w14:paraId="7BCB7C6A" w14:textId="77777777" w:rsidR="001B7D9F" w:rsidRPr="00FD6356" w:rsidRDefault="001B7D9F" w:rsidP="00D5422B">
            <w:pPr>
              <w:pStyle w:val="TableBodyRight"/>
            </w:pPr>
            <w:r w:rsidRPr="00FD6356">
              <w:t>94.1%</w:t>
            </w:r>
          </w:p>
        </w:tc>
        <w:tc>
          <w:tcPr>
            <w:tcW w:w="2235" w:type="pct"/>
            <w:noWrap/>
            <w:hideMark/>
          </w:tcPr>
          <w:p w14:paraId="4870F8E6" w14:textId="77777777" w:rsidR="001B7D9F" w:rsidRPr="00FD6356" w:rsidRDefault="001B7D9F" w:rsidP="00D5422B">
            <w:pPr>
              <w:pStyle w:val="TableBodyRight"/>
            </w:pPr>
            <w:r w:rsidRPr="00FD6356">
              <w:t>100.0%</w:t>
            </w:r>
          </w:p>
        </w:tc>
      </w:tr>
      <w:tr w:rsidR="00D5422B" w:rsidRPr="00FD6356" w14:paraId="38C89002" w14:textId="77777777" w:rsidTr="00D5422B">
        <w:trPr>
          <w:trHeight w:val="288"/>
        </w:trPr>
        <w:tc>
          <w:tcPr>
            <w:tcW w:w="1084" w:type="pct"/>
            <w:noWrap/>
            <w:hideMark/>
          </w:tcPr>
          <w:p w14:paraId="53F178C6" w14:textId="77777777" w:rsidR="001B7D9F" w:rsidRPr="00FD6356" w:rsidRDefault="001B7D9F" w:rsidP="00D5422B">
            <w:pPr>
              <w:pStyle w:val="TableBody"/>
            </w:pPr>
            <w:r w:rsidRPr="00FD6356">
              <w:t>2010-11</w:t>
            </w:r>
          </w:p>
        </w:tc>
        <w:tc>
          <w:tcPr>
            <w:tcW w:w="619" w:type="pct"/>
            <w:noWrap/>
            <w:hideMark/>
          </w:tcPr>
          <w:p w14:paraId="71B31A9E" w14:textId="77777777" w:rsidR="001B7D9F" w:rsidRPr="00FD6356" w:rsidRDefault="001B7D9F" w:rsidP="00D5422B">
            <w:pPr>
              <w:pStyle w:val="TableBodyRight"/>
            </w:pPr>
            <w:r w:rsidRPr="00FD6356">
              <w:t>96.4%</w:t>
            </w:r>
          </w:p>
        </w:tc>
        <w:tc>
          <w:tcPr>
            <w:tcW w:w="1063" w:type="pct"/>
            <w:noWrap/>
            <w:hideMark/>
          </w:tcPr>
          <w:p w14:paraId="7F1125AB" w14:textId="77777777" w:rsidR="001B7D9F" w:rsidRPr="00FD6356" w:rsidRDefault="001B7D9F" w:rsidP="00D5422B">
            <w:pPr>
              <w:pStyle w:val="TableBodyRight"/>
            </w:pPr>
            <w:r w:rsidRPr="00FD6356">
              <w:t>100.0%</w:t>
            </w:r>
          </w:p>
        </w:tc>
        <w:tc>
          <w:tcPr>
            <w:tcW w:w="2235" w:type="pct"/>
            <w:noWrap/>
            <w:hideMark/>
          </w:tcPr>
          <w:p w14:paraId="4FDEFE24" w14:textId="77777777" w:rsidR="001B7D9F" w:rsidRPr="00FD6356" w:rsidRDefault="001B7D9F" w:rsidP="00D5422B">
            <w:pPr>
              <w:pStyle w:val="TableBodyRight"/>
            </w:pPr>
            <w:r w:rsidRPr="00FD6356">
              <w:t>88.9%</w:t>
            </w:r>
          </w:p>
        </w:tc>
      </w:tr>
      <w:tr w:rsidR="00D5422B" w:rsidRPr="00FD6356" w14:paraId="102EF0CE" w14:textId="77777777" w:rsidTr="00D5422B">
        <w:trPr>
          <w:trHeight w:val="288"/>
        </w:trPr>
        <w:tc>
          <w:tcPr>
            <w:tcW w:w="1084" w:type="pct"/>
            <w:noWrap/>
            <w:hideMark/>
          </w:tcPr>
          <w:p w14:paraId="014969E8" w14:textId="77777777" w:rsidR="001B7D9F" w:rsidRPr="00FD6356" w:rsidRDefault="001B7D9F" w:rsidP="00D5422B">
            <w:pPr>
              <w:pStyle w:val="TableBody"/>
            </w:pPr>
            <w:r w:rsidRPr="00FD6356">
              <w:t>2011-12</w:t>
            </w:r>
          </w:p>
        </w:tc>
        <w:tc>
          <w:tcPr>
            <w:tcW w:w="619" w:type="pct"/>
            <w:noWrap/>
            <w:hideMark/>
          </w:tcPr>
          <w:p w14:paraId="7870A033" w14:textId="77777777" w:rsidR="001B7D9F" w:rsidRPr="00FD6356" w:rsidRDefault="001B7D9F" w:rsidP="00D5422B">
            <w:pPr>
              <w:pStyle w:val="TableBodyRight"/>
            </w:pPr>
            <w:r w:rsidRPr="00FD6356">
              <w:t>100.0%</w:t>
            </w:r>
          </w:p>
        </w:tc>
        <w:tc>
          <w:tcPr>
            <w:tcW w:w="1063" w:type="pct"/>
            <w:noWrap/>
            <w:hideMark/>
          </w:tcPr>
          <w:p w14:paraId="13BECA34" w14:textId="77777777" w:rsidR="001B7D9F" w:rsidRPr="00FD6356" w:rsidRDefault="001B7D9F" w:rsidP="00D5422B">
            <w:pPr>
              <w:pStyle w:val="TableBodyRight"/>
            </w:pPr>
            <w:r w:rsidRPr="00FD6356">
              <w:t>100.0%</w:t>
            </w:r>
          </w:p>
        </w:tc>
        <w:tc>
          <w:tcPr>
            <w:tcW w:w="2235" w:type="pct"/>
            <w:noWrap/>
            <w:hideMark/>
          </w:tcPr>
          <w:p w14:paraId="195FEDB5" w14:textId="77777777" w:rsidR="001B7D9F" w:rsidRPr="00FD6356" w:rsidRDefault="001B7D9F" w:rsidP="00D5422B">
            <w:pPr>
              <w:pStyle w:val="TableBodyRight"/>
            </w:pPr>
            <w:r w:rsidRPr="00FD6356">
              <w:t>88.9%</w:t>
            </w:r>
          </w:p>
        </w:tc>
      </w:tr>
      <w:tr w:rsidR="00D5422B" w:rsidRPr="00FD6356" w14:paraId="764CC0B2" w14:textId="77777777" w:rsidTr="00D5422B">
        <w:trPr>
          <w:trHeight w:val="288"/>
        </w:trPr>
        <w:tc>
          <w:tcPr>
            <w:tcW w:w="1084" w:type="pct"/>
            <w:noWrap/>
            <w:hideMark/>
          </w:tcPr>
          <w:p w14:paraId="73D8BD37" w14:textId="77777777" w:rsidR="001B7D9F" w:rsidRPr="00FD6356" w:rsidRDefault="001B7D9F" w:rsidP="00D5422B">
            <w:pPr>
              <w:pStyle w:val="TableBody"/>
            </w:pPr>
            <w:r w:rsidRPr="00FD6356">
              <w:t>2012-13</w:t>
            </w:r>
          </w:p>
        </w:tc>
        <w:tc>
          <w:tcPr>
            <w:tcW w:w="619" w:type="pct"/>
            <w:noWrap/>
            <w:hideMark/>
          </w:tcPr>
          <w:p w14:paraId="5CDFD187" w14:textId="77777777" w:rsidR="001B7D9F" w:rsidRPr="00FD6356" w:rsidRDefault="001B7D9F" w:rsidP="00D5422B">
            <w:pPr>
              <w:pStyle w:val="TableBodyRight"/>
            </w:pPr>
            <w:r w:rsidRPr="00FD6356">
              <w:t>100.0%</w:t>
            </w:r>
          </w:p>
        </w:tc>
        <w:tc>
          <w:tcPr>
            <w:tcW w:w="1063" w:type="pct"/>
            <w:noWrap/>
            <w:hideMark/>
          </w:tcPr>
          <w:p w14:paraId="11760D46" w14:textId="77777777" w:rsidR="001B7D9F" w:rsidRPr="00FD6356" w:rsidRDefault="001B7D9F" w:rsidP="00D5422B">
            <w:pPr>
              <w:pStyle w:val="TableBodyRight"/>
            </w:pPr>
            <w:r w:rsidRPr="00FD6356">
              <w:t>94.7%</w:t>
            </w:r>
          </w:p>
        </w:tc>
        <w:tc>
          <w:tcPr>
            <w:tcW w:w="2235" w:type="pct"/>
            <w:noWrap/>
            <w:hideMark/>
          </w:tcPr>
          <w:p w14:paraId="78E7F91D" w14:textId="77777777" w:rsidR="001B7D9F" w:rsidRPr="00FD6356" w:rsidRDefault="001B7D9F" w:rsidP="00D5422B">
            <w:pPr>
              <w:pStyle w:val="TableBodyRight"/>
            </w:pPr>
            <w:r w:rsidRPr="00FD6356">
              <w:t>88.9%</w:t>
            </w:r>
          </w:p>
        </w:tc>
      </w:tr>
      <w:tr w:rsidR="00D5422B" w:rsidRPr="00FD6356" w14:paraId="5FB550B8" w14:textId="77777777" w:rsidTr="00D5422B">
        <w:trPr>
          <w:trHeight w:val="288"/>
        </w:trPr>
        <w:tc>
          <w:tcPr>
            <w:tcW w:w="1084" w:type="pct"/>
            <w:noWrap/>
            <w:hideMark/>
          </w:tcPr>
          <w:p w14:paraId="798973E8" w14:textId="77777777" w:rsidR="001B7D9F" w:rsidRPr="00FD6356" w:rsidRDefault="001B7D9F" w:rsidP="00D5422B">
            <w:pPr>
              <w:pStyle w:val="TableBody"/>
            </w:pPr>
            <w:r w:rsidRPr="00FD6356">
              <w:t>2013-14</w:t>
            </w:r>
          </w:p>
        </w:tc>
        <w:tc>
          <w:tcPr>
            <w:tcW w:w="619" w:type="pct"/>
            <w:noWrap/>
            <w:hideMark/>
          </w:tcPr>
          <w:p w14:paraId="2930863E" w14:textId="77777777" w:rsidR="001B7D9F" w:rsidRPr="00FD6356" w:rsidRDefault="001B7D9F" w:rsidP="00D5422B">
            <w:pPr>
              <w:pStyle w:val="TableBodyRight"/>
            </w:pPr>
            <w:r w:rsidRPr="00FD6356">
              <w:t>100.0%</w:t>
            </w:r>
          </w:p>
        </w:tc>
        <w:tc>
          <w:tcPr>
            <w:tcW w:w="1063" w:type="pct"/>
            <w:noWrap/>
            <w:hideMark/>
          </w:tcPr>
          <w:p w14:paraId="459AAED9" w14:textId="77777777" w:rsidR="001B7D9F" w:rsidRPr="00FD6356" w:rsidRDefault="001B7D9F" w:rsidP="00D5422B">
            <w:pPr>
              <w:pStyle w:val="TableBodyRight"/>
            </w:pPr>
            <w:r w:rsidRPr="00FD6356">
              <w:t>91.7%</w:t>
            </w:r>
          </w:p>
        </w:tc>
        <w:tc>
          <w:tcPr>
            <w:tcW w:w="2235" w:type="pct"/>
            <w:noWrap/>
            <w:hideMark/>
          </w:tcPr>
          <w:p w14:paraId="5A3288C2" w14:textId="77777777" w:rsidR="001B7D9F" w:rsidRPr="00FD6356" w:rsidRDefault="001B7D9F" w:rsidP="00D5422B">
            <w:pPr>
              <w:pStyle w:val="TableBodyRight"/>
            </w:pPr>
            <w:r w:rsidRPr="00FD6356">
              <w:t>93.8%</w:t>
            </w:r>
          </w:p>
        </w:tc>
      </w:tr>
      <w:tr w:rsidR="00D5422B" w:rsidRPr="00FD6356" w14:paraId="6F07F47B" w14:textId="77777777" w:rsidTr="00D5422B">
        <w:trPr>
          <w:trHeight w:val="288"/>
        </w:trPr>
        <w:tc>
          <w:tcPr>
            <w:tcW w:w="1084" w:type="pct"/>
            <w:noWrap/>
            <w:hideMark/>
          </w:tcPr>
          <w:p w14:paraId="49E67F4E" w14:textId="77777777" w:rsidR="001B7D9F" w:rsidRPr="00FD6356" w:rsidRDefault="001B7D9F" w:rsidP="00D5422B">
            <w:pPr>
              <w:pStyle w:val="TableBody"/>
            </w:pPr>
            <w:r w:rsidRPr="00FD6356">
              <w:t>2014-15</w:t>
            </w:r>
          </w:p>
        </w:tc>
        <w:tc>
          <w:tcPr>
            <w:tcW w:w="619" w:type="pct"/>
            <w:noWrap/>
            <w:hideMark/>
          </w:tcPr>
          <w:p w14:paraId="2AAEB2B9" w14:textId="77777777" w:rsidR="001B7D9F" w:rsidRPr="00FD6356" w:rsidRDefault="001B7D9F" w:rsidP="00D5422B">
            <w:pPr>
              <w:pStyle w:val="TableBodyRight"/>
            </w:pPr>
            <w:r w:rsidRPr="00FD6356">
              <w:t>100.0%</w:t>
            </w:r>
          </w:p>
        </w:tc>
        <w:tc>
          <w:tcPr>
            <w:tcW w:w="1063" w:type="pct"/>
            <w:noWrap/>
            <w:hideMark/>
          </w:tcPr>
          <w:p w14:paraId="0B0B1F74" w14:textId="77777777" w:rsidR="001B7D9F" w:rsidRPr="00FD6356" w:rsidRDefault="001B7D9F" w:rsidP="00D5422B">
            <w:pPr>
              <w:pStyle w:val="TableBodyRight"/>
            </w:pPr>
            <w:r w:rsidRPr="00FD6356">
              <w:t>100.0%</w:t>
            </w:r>
          </w:p>
        </w:tc>
        <w:tc>
          <w:tcPr>
            <w:tcW w:w="2235" w:type="pct"/>
            <w:noWrap/>
            <w:hideMark/>
          </w:tcPr>
          <w:p w14:paraId="44C25A1D" w14:textId="77777777" w:rsidR="001B7D9F" w:rsidRPr="00FD6356" w:rsidRDefault="001B7D9F" w:rsidP="00D5422B">
            <w:pPr>
              <w:pStyle w:val="TableBodyRight"/>
            </w:pPr>
            <w:r w:rsidRPr="00FD6356">
              <w:t>100.0%</w:t>
            </w:r>
          </w:p>
        </w:tc>
      </w:tr>
      <w:tr w:rsidR="00D5422B" w:rsidRPr="00FD6356" w14:paraId="5DCF62F7" w14:textId="77777777" w:rsidTr="00D5422B">
        <w:trPr>
          <w:trHeight w:val="288"/>
        </w:trPr>
        <w:tc>
          <w:tcPr>
            <w:tcW w:w="1084" w:type="pct"/>
            <w:noWrap/>
            <w:hideMark/>
          </w:tcPr>
          <w:p w14:paraId="1F3B0CBE" w14:textId="77777777" w:rsidR="001B7D9F" w:rsidRPr="00FD6356" w:rsidRDefault="001B7D9F" w:rsidP="00D5422B">
            <w:pPr>
              <w:pStyle w:val="TableBody"/>
            </w:pPr>
            <w:r w:rsidRPr="00FD6356">
              <w:t>2015-16</w:t>
            </w:r>
          </w:p>
        </w:tc>
        <w:tc>
          <w:tcPr>
            <w:tcW w:w="619" w:type="pct"/>
            <w:noWrap/>
            <w:hideMark/>
          </w:tcPr>
          <w:p w14:paraId="3764AAD1" w14:textId="77777777" w:rsidR="001B7D9F" w:rsidRPr="00FD6356" w:rsidRDefault="001B7D9F" w:rsidP="00D5422B">
            <w:pPr>
              <w:pStyle w:val="TableBodyRight"/>
            </w:pPr>
            <w:r w:rsidRPr="00FD6356">
              <w:t>100.0%</w:t>
            </w:r>
          </w:p>
        </w:tc>
        <w:tc>
          <w:tcPr>
            <w:tcW w:w="1063" w:type="pct"/>
            <w:noWrap/>
            <w:hideMark/>
          </w:tcPr>
          <w:p w14:paraId="2BF9ECF1" w14:textId="77777777" w:rsidR="001B7D9F" w:rsidRPr="00FD6356" w:rsidRDefault="001B7D9F" w:rsidP="00D5422B">
            <w:pPr>
              <w:pStyle w:val="TableBodyRight"/>
            </w:pPr>
            <w:r w:rsidRPr="00FD6356">
              <w:t>100.0%</w:t>
            </w:r>
          </w:p>
        </w:tc>
        <w:tc>
          <w:tcPr>
            <w:tcW w:w="2235" w:type="pct"/>
            <w:noWrap/>
            <w:hideMark/>
          </w:tcPr>
          <w:p w14:paraId="2E03AB4D" w14:textId="77777777" w:rsidR="001B7D9F" w:rsidRPr="00FD6356" w:rsidRDefault="001B7D9F" w:rsidP="00D5422B">
            <w:pPr>
              <w:pStyle w:val="TableBodyRight"/>
            </w:pPr>
            <w:r w:rsidRPr="00FD6356">
              <w:t>83.3%</w:t>
            </w:r>
          </w:p>
        </w:tc>
      </w:tr>
      <w:tr w:rsidR="00D5422B" w:rsidRPr="00FD6356" w14:paraId="2223BC55" w14:textId="77777777" w:rsidTr="00D5422B">
        <w:trPr>
          <w:trHeight w:val="288"/>
        </w:trPr>
        <w:tc>
          <w:tcPr>
            <w:tcW w:w="1084" w:type="pct"/>
            <w:noWrap/>
            <w:hideMark/>
          </w:tcPr>
          <w:p w14:paraId="78148E32" w14:textId="77777777" w:rsidR="001B7D9F" w:rsidRPr="00FD6356" w:rsidRDefault="001B7D9F" w:rsidP="00D5422B">
            <w:pPr>
              <w:pStyle w:val="TableBody"/>
            </w:pPr>
            <w:r w:rsidRPr="00FD6356">
              <w:t>2016-17</w:t>
            </w:r>
          </w:p>
        </w:tc>
        <w:tc>
          <w:tcPr>
            <w:tcW w:w="619" w:type="pct"/>
            <w:noWrap/>
            <w:hideMark/>
          </w:tcPr>
          <w:p w14:paraId="47A006A8" w14:textId="77777777" w:rsidR="001B7D9F" w:rsidRPr="00FD6356" w:rsidRDefault="001B7D9F" w:rsidP="00D5422B">
            <w:pPr>
              <w:pStyle w:val="TableBodyRight"/>
            </w:pPr>
            <w:r w:rsidRPr="00FD6356">
              <w:t>100.0%</w:t>
            </w:r>
          </w:p>
        </w:tc>
        <w:tc>
          <w:tcPr>
            <w:tcW w:w="1063" w:type="pct"/>
            <w:noWrap/>
            <w:hideMark/>
          </w:tcPr>
          <w:p w14:paraId="612C237C" w14:textId="77777777" w:rsidR="001B7D9F" w:rsidRPr="00FD6356" w:rsidRDefault="001B7D9F" w:rsidP="00D5422B">
            <w:pPr>
              <w:pStyle w:val="TableBodyRight"/>
            </w:pPr>
            <w:r w:rsidRPr="00FD6356">
              <w:t>100.0%</w:t>
            </w:r>
          </w:p>
        </w:tc>
        <w:tc>
          <w:tcPr>
            <w:tcW w:w="2235" w:type="pct"/>
            <w:noWrap/>
            <w:hideMark/>
          </w:tcPr>
          <w:p w14:paraId="755A3EAF" w14:textId="77777777" w:rsidR="001B7D9F" w:rsidRPr="00FD6356" w:rsidRDefault="001B7D9F" w:rsidP="00D5422B">
            <w:pPr>
              <w:pStyle w:val="TableBodyRight"/>
            </w:pPr>
            <w:r w:rsidRPr="00FD6356">
              <w:t>100.0%</w:t>
            </w:r>
          </w:p>
        </w:tc>
      </w:tr>
      <w:tr w:rsidR="00D5422B" w:rsidRPr="00FD6356" w14:paraId="1DCD75E9" w14:textId="77777777" w:rsidTr="00D5422B">
        <w:trPr>
          <w:trHeight w:val="288"/>
        </w:trPr>
        <w:tc>
          <w:tcPr>
            <w:tcW w:w="1084" w:type="pct"/>
            <w:noWrap/>
            <w:hideMark/>
          </w:tcPr>
          <w:p w14:paraId="4FFCCCFD" w14:textId="77777777" w:rsidR="001B7D9F" w:rsidRPr="00FD6356" w:rsidRDefault="001B7D9F" w:rsidP="00D5422B">
            <w:pPr>
              <w:pStyle w:val="TableBody"/>
            </w:pPr>
            <w:r w:rsidRPr="00FD6356">
              <w:t>2017-18</w:t>
            </w:r>
          </w:p>
        </w:tc>
        <w:tc>
          <w:tcPr>
            <w:tcW w:w="619" w:type="pct"/>
            <w:noWrap/>
            <w:hideMark/>
          </w:tcPr>
          <w:p w14:paraId="3050E405" w14:textId="77777777" w:rsidR="001B7D9F" w:rsidRPr="00FD6356" w:rsidRDefault="001B7D9F" w:rsidP="00D5422B">
            <w:pPr>
              <w:pStyle w:val="TableBodyRight"/>
            </w:pPr>
            <w:r w:rsidRPr="00FD6356">
              <w:t>96.3%</w:t>
            </w:r>
          </w:p>
        </w:tc>
        <w:tc>
          <w:tcPr>
            <w:tcW w:w="1063" w:type="pct"/>
            <w:noWrap/>
            <w:hideMark/>
          </w:tcPr>
          <w:p w14:paraId="2A48730D" w14:textId="77777777" w:rsidR="001B7D9F" w:rsidRPr="00FD6356" w:rsidRDefault="001B7D9F" w:rsidP="00D5422B">
            <w:pPr>
              <w:pStyle w:val="TableBodyRight"/>
            </w:pPr>
            <w:r w:rsidRPr="00FD6356">
              <w:t>100.0%</w:t>
            </w:r>
          </w:p>
        </w:tc>
        <w:tc>
          <w:tcPr>
            <w:tcW w:w="2235" w:type="pct"/>
            <w:noWrap/>
            <w:hideMark/>
          </w:tcPr>
          <w:p w14:paraId="38728E64" w14:textId="77777777" w:rsidR="001B7D9F" w:rsidRPr="00FD6356" w:rsidRDefault="001B7D9F" w:rsidP="00D5422B">
            <w:pPr>
              <w:pStyle w:val="TableBodyRight"/>
            </w:pPr>
            <w:r w:rsidRPr="00FD6356">
              <w:t>100.0%</w:t>
            </w:r>
          </w:p>
        </w:tc>
      </w:tr>
      <w:tr w:rsidR="00D5422B" w:rsidRPr="00FD6356" w14:paraId="7269F069" w14:textId="77777777" w:rsidTr="00D5422B">
        <w:trPr>
          <w:trHeight w:val="288"/>
        </w:trPr>
        <w:tc>
          <w:tcPr>
            <w:tcW w:w="1084" w:type="pct"/>
            <w:noWrap/>
            <w:hideMark/>
          </w:tcPr>
          <w:p w14:paraId="6E312E7A" w14:textId="77777777" w:rsidR="001B7D9F" w:rsidRPr="00FD6356" w:rsidRDefault="001B7D9F" w:rsidP="00D5422B">
            <w:pPr>
              <w:pStyle w:val="TableBody"/>
            </w:pPr>
            <w:r w:rsidRPr="00FD6356">
              <w:lastRenderedPageBreak/>
              <w:t>2018-19</w:t>
            </w:r>
          </w:p>
        </w:tc>
        <w:tc>
          <w:tcPr>
            <w:tcW w:w="619" w:type="pct"/>
            <w:noWrap/>
            <w:hideMark/>
          </w:tcPr>
          <w:p w14:paraId="6FD0FF6B" w14:textId="77777777" w:rsidR="001B7D9F" w:rsidRPr="00FD6356" w:rsidRDefault="001B7D9F" w:rsidP="00D5422B">
            <w:pPr>
              <w:pStyle w:val="TableBodyRight"/>
            </w:pPr>
            <w:r w:rsidRPr="00FD6356">
              <w:t>100.0%</w:t>
            </w:r>
          </w:p>
        </w:tc>
        <w:tc>
          <w:tcPr>
            <w:tcW w:w="1063" w:type="pct"/>
            <w:noWrap/>
            <w:hideMark/>
          </w:tcPr>
          <w:p w14:paraId="3FE3AAE0" w14:textId="77777777" w:rsidR="001B7D9F" w:rsidRPr="00FD6356" w:rsidRDefault="001B7D9F" w:rsidP="00D5422B">
            <w:pPr>
              <w:pStyle w:val="TableBodyRight"/>
            </w:pPr>
            <w:r w:rsidRPr="00FD6356">
              <w:t>100.0%</w:t>
            </w:r>
          </w:p>
        </w:tc>
        <w:tc>
          <w:tcPr>
            <w:tcW w:w="2235" w:type="pct"/>
            <w:noWrap/>
            <w:hideMark/>
          </w:tcPr>
          <w:p w14:paraId="1C1F28B9" w14:textId="77777777" w:rsidR="001B7D9F" w:rsidRPr="00FD6356" w:rsidRDefault="001B7D9F" w:rsidP="00D5422B">
            <w:pPr>
              <w:pStyle w:val="TableBodyRight"/>
            </w:pPr>
            <w:r w:rsidRPr="00FD6356">
              <w:t>100.0%</w:t>
            </w:r>
          </w:p>
        </w:tc>
      </w:tr>
      <w:tr w:rsidR="00D5422B" w:rsidRPr="00FD6356" w14:paraId="3B9D69A1" w14:textId="77777777" w:rsidTr="00D5422B">
        <w:trPr>
          <w:trHeight w:val="288"/>
        </w:trPr>
        <w:tc>
          <w:tcPr>
            <w:tcW w:w="1084" w:type="pct"/>
            <w:noWrap/>
            <w:hideMark/>
          </w:tcPr>
          <w:p w14:paraId="6538D69E" w14:textId="77777777" w:rsidR="001B7D9F" w:rsidRPr="00FD6356" w:rsidRDefault="001B7D9F" w:rsidP="00D5422B">
            <w:pPr>
              <w:pStyle w:val="TableBody"/>
            </w:pPr>
            <w:r w:rsidRPr="00FD6356">
              <w:t>2019-20</w:t>
            </w:r>
          </w:p>
        </w:tc>
        <w:tc>
          <w:tcPr>
            <w:tcW w:w="619" w:type="pct"/>
            <w:noWrap/>
            <w:hideMark/>
          </w:tcPr>
          <w:p w14:paraId="508E4995" w14:textId="77777777" w:rsidR="001B7D9F" w:rsidRPr="00FD6356" w:rsidRDefault="001B7D9F" w:rsidP="00D5422B">
            <w:pPr>
              <w:pStyle w:val="TableBodyRight"/>
            </w:pPr>
            <w:r w:rsidRPr="00FD6356">
              <w:t>100.0%</w:t>
            </w:r>
          </w:p>
        </w:tc>
        <w:tc>
          <w:tcPr>
            <w:tcW w:w="1063" w:type="pct"/>
            <w:noWrap/>
            <w:hideMark/>
          </w:tcPr>
          <w:p w14:paraId="7DA9BF54" w14:textId="77777777" w:rsidR="001B7D9F" w:rsidRPr="00FD6356" w:rsidRDefault="001B7D9F" w:rsidP="00D5422B">
            <w:pPr>
              <w:pStyle w:val="TableBodyRight"/>
            </w:pPr>
            <w:r w:rsidRPr="00FD6356">
              <w:t>100.0%</w:t>
            </w:r>
          </w:p>
        </w:tc>
        <w:tc>
          <w:tcPr>
            <w:tcW w:w="2235" w:type="pct"/>
            <w:noWrap/>
            <w:hideMark/>
          </w:tcPr>
          <w:p w14:paraId="741DF06D" w14:textId="77777777" w:rsidR="001B7D9F" w:rsidRPr="00FD6356" w:rsidRDefault="001B7D9F" w:rsidP="00D5422B">
            <w:pPr>
              <w:pStyle w:val="TableBodyRight"/>
            </w:pPr>
            <w:r w:rsidRPr="00FD6356">
              <w:t>100.0%</w:t>
            </w:r>
          </w:p>
        </w:tc>
      </w:tr>
    </w:tbl>
    <w:p w14:paraId="5AC5BC51" w14:textId="08352F92" w:rsidR="00E62AE6" w:rsidRPr="0031029F" w:rsidRDefault="00E62AE6" w:rsidP="0031029F">
      <w:r w:rsidRPr="0031029F">
        <w:t>The lengths of prison sentences for each of the three homicide offences increased steadily and significantly (Figure</w:t>
      </w:r>
      <w:r w:rsidR="00842802">
        <w:t>s</w:t>
      </w:r>
      <w:r w:rsidRPr="0031029F">
        <w:t xml:space="preserve"> 5 and 6), especially for culpable driving causing death. The charge-level sentences increased by 25.5% for murder,</w:t>
      </w:r>
      <w:r w:rsidRPr="00E62AE6">
        <w:rPr>
          <w:rStyle w:val="Superscript"/>
        </w:rPr>
        <w:footnoteReference w:id="21"/>
      </w:r>
      <w:r w:rsidRPr="0031029F">
        <w:t xml:space="preserve"> 33.8% for manslaughter and 60.3% for culpable driving causing death. Total effective sentences for the three offences increased by 26.2%, 30.0% and 73.8% respectively. And non-parole periods increased by 22.0%, 51.2% and 108.8% respectively. Given the concurrent decrease in the number of cases of culpable driving causing death (an average of 23.4 cases per year in the nine years to 2009–10 and 12.5 cases per year since), it is possible that the longer average prison sentences for that offence are due – perhaps because of plea negotiations</w:t>
      </w:r>
      <w:r w:rsidRPr="00E62AE6">
        <w:rPr>
          <w:rStyle w:val="Superscript"/>
        </w:rPr>
        <w:footnoteReference w:id="22"/>
      </w:r>
      <w:r w:rsidRPr="0031029F">
        <w:t xml:space="preserve"> – to more of these cases being finalised as the less serious offence of dangerous driving causing death,</w:t>
      </w:r>
      <w:r w:rsidRPr="00E62AE6">
        <w:rPr>
          <w:rStyle w:val="Superscript"/>
        </w:rPr>
        <w:footnoteReference w:id="23"/>
      </w:r>
      <w:r w:rsidRPr="0031029F">
        <w:t xml:space="preserve"> which came into effect in October 2004.</w:t>
      </w:r>
      <w:r w:rsidRPr="00E62AE6">
        <w:rPr>
          <w:rStyle w:val="Superscript"/>
        </w:rPr>
        <w:footnoteReference w:id="24"/>
      </w:r>
      <w:r w:rsidRPr="0031029F">
        <w:t xml:space="preserve"> </w:t>
      </w:r>
    </w:p>
    <w:p w14:paraId="6ED66031" w14:textId="50A14A16" w:rsidR="00E62AE6" w:rsidRPr="00E62AE6" w:rsidRDefault="00E62AE6" w:rsidP="00E5783B">
      <w:pPr>
        <w:pStyle w:val="Caption"/>
      </w:pPr>
      <w:r w:rsidRPr="00E62AE6">
        <w:lastRenderedPageBreak/>
        <w:t>Figure 5: Average length</w:t>
      </w:r>
      <w:r w:rsidR="00370C49">
        <w:t xml:space="preserve"> (years)</w:t>
      </w:r>
      <w:r w:rsidRPr="00E62AE6">
        <w:t xml:space="preserve"> of charge-level prison sentences for homicide offences, 2001–02 to 2019–20 </w:t>
      </w:r>
    </w:p>
    <w:tbl>
      <w:tblPr>
        <w:tblStyle w:val="Table"/>
        <w:tblW w:w="5000" w:type="pct"/>
        <w:tblLook w:val="04A0" w:firstRow="1" w:lastRow="0" w:firstColumn="1" w:lastColumn="0" w:noHBand="0" w:noVBand="1"/>
      </w:tblPr>
      <w:tblGrid>
        <w:gridCol w:w="1955"/>
        <w:gridCol w:w="1116"/>
        <w:gridCol w:w="1917"/>
        <w:gridCol w:w="4028"/>
      </w:tblGrid>
      <w:tr w:rsidR="00D815EC" w:rsidRPr="006411AF" w14:paraId="2BA81672" w14:textId="77777777" w:rsidTr="009A6FB4">
        <w:trPr>
          <w:trHeight w:val="288"/>
          <w:tblHeader/>
        </w:trPr>
        <w:tc>
          <w:tcPr>
            <w:tcW w:w="1084" w:type="pct"/>
            <w:noWrap/>
            <w:hideMark/>
          </w:tcPr>
          <w:p w14:paraId="027923EA" w14:textId="77777777" w:rsidR="006411AF" w:rsidRPr="006411AF" w:rsidRDefault="006411AF" w:rsidP="0076536F">
            <w:pPr>
              <w:pStyle w:val="TableHeading"/>
            </w:pPr>
            <w:r w:rsidRPr="006411AF">
              <w:t>Financial year</w:t>
            </w:r>
          </w:p>
        </w:tc>
        <w:tc>
          <w:tcPr>
            <w:tcW w:w="619" w:type="pct"/>
            <w:noWrap/>
            <w:hideMark/>
          </w:tcPr>
          <w:p w14:paraId="7C637EDA" w14:textId="77777777" w:rsidR="006411AF" w:rsidRPr="006411AF" w:rsidRDefault="006411AF" w:rsidP="0076536F">
            <w:pPr>
              <w:pStyle w:val="TableHeadingRight"/>
            </w:pPr>
            <w:r w:rsidRPr="006411AF">
              <w:t>Murder</w:t>
            </w:r>
          </w:p>
        </w:tc>
        <w:tc>
          <w:tcPr>
            <w:tcW w:w="1063" w:type="pct"/>
            <w:noWrap/>
            <w:hideMark/>
          </w:tcPr>
          <w:p w14:paraId="10066FE8" w14:textId="77777777" w:rsidR="006411AF" w:rsidRPr="006411AF" w:rsidRDefault="006411AF" w:rsidP="0076536F">
            <w:pPr>
              <w:pStyle w:val="TableHeadingRight"/>
            </w:pPr>
            <w:r w:rsidRPr="006411AF">
              <w:t>Manslaughter</w:t>
            </w:r>
          </w:p>
        </w:tc>
        <w:tc>
          <w:tcPr>
            <w:tcW w:w="2235" w:type="pct"/>
            <w:noWrap/>
            <w:hideMark/>
          </w:tcPr>
          <w:p w14:paraId="61FFC150" w14:textId="77777777" w:rsidR="006411AF" w:rsidRPr="006411AF" w:rsidRDefault="006411AF" w:rsidP="0076536F">
            <w:pPr>
              <w:pStyle w:val="TableHeadingRight"/>
            </w:pPr>
            <w:r w:rsidRPr="006411AF">
              <w:t>Culpable driving causing death</w:t>
            </w:r>
          </w:p>
        </w:tc>
      </w:tr>
      <w:tr w:rsidR="00D815EC" w:rsidRPr="006411AF" w14:paraId="6D1EE1BA" w14:textId="77777777" w:rsidTr="009A6FB4">
        <w:trPr>
          <w:trHeight w:val="288"/>
        </w:trPr>
        <w:tc>
          <w:tcPr>
            <w:tcW w:w="1084" w:type="pct"/>
            <w:noWrap/>
            <w:hideMark/>
          </w:tcPr>
          <w:p w14:paraId="6A71DAF8" w14:textId="77777777" w:rsidR="006411AF" w:rsidRPr="006411AF" w:rsidRDefault="006411AF" w:rsidP="001F550D">
            <w:pPr>
              <w:pStyle w:val="TableBody"/>
            </w:pPr>
            <w:r w:rsidRPr="006411AF">
              <w:t>2001-02</w:t>
            </w:r>
          </w:p>
        </w:tc>
        <w:tc>
          <w:tcPr>
            <w:tcW w:w="619" w:type="pct"/>
            <w:noWrap/>
            <w:hideMark/>
          </w:tcPr>
          <w:p w14:paraId="2CEA47D8" w14:textId="77777777" w:rsidR="006411AF" w:rsidRPr="006411AF" w:rsidRDefault="006411AF" w:rsidP="001F550D">
            <w:pPr>
              <w:pStyle w:val="TableBodyRight"/>
            </w:pPr>
            <w:r w:rsidRPr="006411AF">
              <w:t>19.3</w:t>
            </w:r>
          </w:p>
        </w:tc>
        <w:tc>
          <w:tcPr>
            <w:tcW w:w="1063" w:type="pct"/>
            <w:noWrap/>
            <w:hideMark/>
          </w:tcPr>
          <w:p w14:paraId="32D2E497" w14:textId="77777777" w:rsidR="006411AF" w:rsidRPr="006411AF" w:rsidRDefault="006411AF" w:rsidP="001F550D">
            <w:pPr>
              <w:pStyle w:val="TableBodyRight"/>
            </w:pPr>
            <w:r w:rsidRPr="006411AF">
              <w:t>5.7</w:t>
            </w:r>
          </w:p>
        </w:tc>
        <w:tc>
          <w:tcPr>
            <w:tcW w:w="2235" w:type="pct"/>
            <w:noWrap/>
            <w:hideMark/>
          </w:tcPr>
          <w:p w14:paraId="5F983465" w14:textId="77777777" w:rsidR="006411AF" w:rsidRPr="006411AF" w:rsidRDefault="006411AF" w:rsidP="001F550D">
            <w:pPr>
              <w:pStyle w:val="TableBodyRight"/>
            </w:pPr>
            <w:r w:rsidRPr="006411AF">
              <w:t>4.8</w:t>
            </w:r>
          </w:p>
        </w:tc>
      </w:tr>
      <w:tr w:rsidR="00D815EC" w:rsidRPr="006411AF" w14:paraId="414281D2" w14:textId="77777777" w:rsidTr="009A6FB4">
        <w:trPr>
          <w:trHeight w:val="288"/>
        </w:trPr>
        <w:tc>
          <w:tcPr>
            <w:tcW w:w="1084" w:type="pct"/>
            <w:noWrap/>
            <w:hideMark/>
          </w:tcPr>
          <w:p w14:paraId="54C69102" w14:textId="77777777" w:rsidR="006411AF" w:rsidRPr="006411AF" w:rsidRDefault="006411AF" w:rsidP="001F550D">
            <w:pPr>
              <w:pStyle w:val="TableBody"/>
            </w:pPr>
            <w:r w:rsidRPr="006411AF">
              <w:t>2002-03</w:t>
            </w:r>
          </w:p>
        </w:tc>
        <w:tc>
          <w:tcPr>
            <w:tcW w:w="619" w:type="pct"/>
            <w:noWrap/>
            <w:hideMark/>
          </w:tcPr>
          <w:p w14:paraId="60B5DE0E" w14:textId="77777777" w:rsidR="006411AF" w:rsidRPr="006411AF" w:rsidRDefault="006411AF" w:rsidP="001F550D">
            <w:pPr>
              <w:pStyle w:val="TableBodyRight"/>
            </w:pPr>
            <w:r w:rsidRPr="006411AF">
              <w:t>18.3</w:t>
            </w:r>
          </w:p>
        </w:tc>
        <w:tc>
          <w:tcPr>
            <w:tcW w:w="1063" w:type="pct"/>
            <w:noWrap/>
            <w:hideMark/>
          </w:tcPr>
          <w:p w14:paraId="3C14A13E" w14:textId="77777777" w:rsidR="006411AF" w:rsidRPr="006411AF" w:rsidRDefault="006411AF" w:rsidP="001F550D">
            <w:pPr>
              <w:pStyle w:val="TableBodyRight"/>
            </w:pPr>
            <w:r w:rsidRPr="006411AF">
              <w:t>6.2</w:t>
            </w:r>
          </w:p>
        </w:tc>
        <w:tc>
          <w:tcPr>
            <w:tcW w:w="2235" w:type="pct"/>
            <w:noWrap/>
            <w:hideMark/>
          </w:tcPr>
          <w:p w14:paraId="7E7A9F69" w14:textId="77777777" w:rsidR="006411AF" w:rsidRPr="006411AF" w:rsidRDefault="006411AF" w:rsidP="001F550D">
            <w:pPr>
              <w:pStyle w:val="TableBodyRight"/>
            </w:pPr>
            <w:r w:rsidRPr="006411AF">
              <w:t>5.7</w:t>
            </w:r>
          </w:p>
        </w:tc>
      </w:tr>
      <w:tr w:rsidR="00D815EC" w:rsidRPr="006411AF" w14:paraId="1A1DD650" w14:textId="77777777" w:rsidTr="009A6FB4">
        <w:trPr>
          <w:trHeight w:val="288"/>
        </w:trPr>
        <w:tc>
          <w:tcPr>
            <w:tcW w:w="1084" w:type="pct"/>
            <w:noWrap/>
            <w:hideMark/>
          </w:tcPr>
          <w:p w14:paraId="2F7B26BD" w14:textId="77777777" w:rsidR="006411AF" w:rsidRPr="006411AF" w:rsidRDefault="006411AF" w:rsidP="001F550D">
            <w:pPr>
              <w:pStyle w:val="TableBody"/>
            </w:pPr>
            <w:r w:rsidRPr="006411AF">
              <w:t>2003-04</w:t>
            </w:r>
          </w:p>
        </w:tc>
        <w:tc>
          <w:tcPr>
            <w:tcW w:w="619" w:type="pct"/>
            <w:noWrap/>
            <w:hideMark/>
          </w:tcPr>
          <w:p w14:paraId="2289E526" w14:textId="77777777" w:rsidR="006411AF" w:rsidRPr="006411AF" w:rsidRDefault="006411AF" w:rsidP="001F550D">
            <w:pPr>
              <w:pStyle w:val="TableBodyRight"/>
            </w:pPr>
            <w:r w:rsidRPr="006411AF">
              <w:t>19.1</w:t>
            </w:r>
          </w:p>
        </w:tc>
        <w:tc>
          <w:tcPr>
            <w:tcW w:w="1063" w:type="pct"/>
            <w:noWrap/>
            <w:hideMark/>
          </w:tcPr>
          <w:p w14:paraId="1F289708" w14:textId="77777777" w:rsidR="006411AF" w:rsidRPr="006411AF" w:rsidRDefault="006411AF" w:rsidP="001F550D">
            <w:pPr>
              <w:pStyle w:val="TableBodyRight"/>
            </w:pPr>
            <w:r w:rsidRPr="006411AF">
              <w:t>6.0</w:t>
            </w:r>
          </w:p>
        </w:tc>
        <w:tc>
          <w:tcPr>
            <w:tcW w:w="2235" w:type="pct"/>
            <w:noWrap/>
            <w:hideMark/>
          </w:tcPr>
          <w:p w14:paraId="7336D888" w14:textId="77777777" w:rsidR="006411AF" w:rsidRPr="006411AF" w:rsidRDefault="006411AF" w:rsidP="001F550D">
            <w:pPr>
              <w:pStyle w:val="TableBodyRight"/>
            </w:pPr>
            <w:r w:rsidRPr="006411AF">
              <w:t>5.0</w:t>
            </w:r>
          </w:p>
        </w:tc>
      </w:tr>
      <w:tr w:rsidR="00D815EC" w:rsidRPr="006411AF" w14:paraId="0FE251EA" w14:textId="77777777" w:rsidTr="009A6FB4">
        <w:trPr>
          <w:trHeight w:val="288"/>
        </w:trPr>
        <w:tc>
          <w:tcPr>
            <w:tcW w:w="1084" w:type="pct"/>
            <w:noWrap/>
            <w:hideMark/>
          </w:tcPr>
          <w:p w14:paraId="05B38D1D" w14:textId="77777777" w:rsidR="006411AF" w:rsidRPr="006411AF" w:rsidRDefault="006411AF" w:rsidP="001F550D">
            <w:pPr>
              <w:pStyle w:val="TableBody"/>
            </w:pPr>
            <w:r w:rsidRPr="006411AF">
              <w:t>2004-05</w:t>
            </w:r>
          </w:p>
        </w:tc>
        <w:tc>
          <w:tcPr>
            <w:tcW w:w="619" w:type="pct"/>
            <w:noWrap/>
            <w:hideMark/>
          </w:tcPr>
          <w:p w14:paraId="5439410A" w14:textId="77777777" w:rsidR="006411AF" w:rsidRPr="006411AF" w:rsidRDefault="006411AF" w:rsidP="001F550D">
            <w:pPr>
              <w:pStyle w:val="TableBodyRight"/>
            </w:pPr>
            <w:r w:rsidRPr="006411AF">
              <w:t>18.8</w:t>
            </w:r>
          </w:p>
        </w:tc>
        <w:tc>
          <w:tcPr>
            <w:tcW w:w="1063" w:type="pct"/>
            <w:noWrap/>
            <w:hideMark/>
          </w:tcPr>
          <w:p w14:paraId="3380FC9E" w14:textId="77777777" w:rsidR="006411AF" w:rsidRPr="006411AF" w:rsidRDefault="006411AF" w:rsidP="001F550D">
            <w:pPr>
              <w:pStyle w:val="TableBodyRight"/>
            </w:pPr>
            <w:r w:rsidRPr="006411AF">
              <w:t>7.3</w:t>
            </w:r>
          </w:p>
        </w:tc>
        <w:tc>
          <w:tcPr>
            <w:tcW w:w="2235" w:type="pct"/>
            <w:noWrap/>
            <w:hideMark/>
          </w:tcPr>
          <w:p w14:paraId="76680705" w14:textId="77777777" w:rsidR="006411AF" w:rsidRPr="006411AF" w:rsidRDefault="006411AF" w:rsidP="001F550D">
            <w:pPr>
              <w:pStyle w:val="TableBodyRight"/>
            </w:pPr>
            <w:r w:rsidRPr="006411AF">
              <w:t>5.4</w:t>
            </w:r>
          </w:p>
        </w:tc>
      </w:tr>
      <w:tr w:rsidR="00D815EC" w:rsidRPr="006411AF" w14:paraId="6B46CB2D" w14:textId="77777777" w:rsidTr="009A6FB4">
        <w:trPr>
          <w:trHeight w:val="288"/>
        </w:trPr>
        <w:tc>
          <w:tcPr>
            <w:tcW w:w="1084" w:type="pct"/>
            <w:noWrap/>
            <w:hideMark/>
          </w:tcPr>
          <w:p w14:paraId="786D44A9" w14:textId="77777777" w:rsidR="006411AF" w:rsidRPr="006411AF" w:rsidRDefault="006411AF" w:rsidP="001F550D">
            <w:pPr>
              <w:pStyle w:val="TableBody"/>
            </w:pPr>
            <w:r w:rsidRPr="006411AF">
              <w:t>2005-06</w:t>
            </w:r>
          </w:p>
        </w:tc>
        <w:tc>
          <w:tcPr>
            <w:tcW w:w="619" w:type="pct"/>
            <w:noWrap/>
            <w:hideMark/>
          </w:tcPr>
          <w:p w14:paraId="12F0129D" w14:textId="77777777" w:rsidR="006411AF" w:rsidRPr="006411AF" w:rsidRDefault="006411AF" w:rsidP="001F550D">
            <w:pPr>
              <w:pStyle w:val="TableBodyRight"/>
            </w:pPr>
            <w:r w:rsidRPr="006411AF">
              <w:t>18.4</w:t>
            </w:r>
          </w:p>
        </w:tc>
        <w:tc>
          <w:tcPr>
            <w:tcW w:w="1063" w:type="pct"/>
            <w:noWrap/>
            <w:hideMark/>
          </w:tcPr>
          <w:p w14:paraId="1F06D765" w14:textId="77777777" w:rsidR="006411AF" w:rsidRPr="006411AF" w:rsidRDefault="006411AF" w:rsidP="001F550D">
            <w:pPr>
              <w:pStyle w:val="TableBodyRight"/>
            </w:pPr>
            <w:r w:rsidRPr="006411AF">
              <w:t>7.8</w:t>
            </w:r>
          </w:p>
        </w:tc>
        <w:tc>
          <w:tcPr>
            <w:tcW w:w="2235" w:type="pct"/>
            <w:noWrap/>
            <w:hideMark/>
          </w:tcPr>
          <w:p w14:paraId="648206AB" w14:textId="77777777" w:rsidR="006411AF" w:rsidRPr="006411AF" w:rsidRDefault="006411AF" w:rsidP="001F550D">
            <w:pPr>
              <w:pStyle w:val="TableBodyRight"/>
            </w:pPr>
            <w:r w:rsidRPr="006411AF">
              <w:t>5.5</w:t>
            </w:r>
          </w:p>
        </w:tc>
      </w:tr>
      <w:tr w:rsidR="00D815EC" w:rsidRPr="006411AF" w14:paraId="1C10F1C7" w14:textId="77777777" w:rsidTr="009A6FB4">
        <w:trPr>
          <w:trHeight w:val="288"/>
        </w:trPr>
        <w:tc>
          <w:tcPr>
            <w:tcW w:w="1084" w:type="pct"/>
            <w:noWrap/>
            <w:hideMark/>
          </w:tcPr>
          <w:p w14:paraId="15ED5D42" w14:textId="77777777" w:rsidR="006411AF" w:rsidRPr="006411AF" w:rsidRDefault="006411AF" w:rsidP="001F550D">
            <w:pPr>
              <w:pStyle w:val="TableBody"/>
            </w:pPr>
            <w:r w:rsidRPr="006411AF">
              <w:t>2006-07</w:t>
            </w:r>
          </w:p>
        </w:tc>
        <w:tc>
          <w:tcPr>
            <w:tcW w:w="619" w:type="pct"/>
            <w:noWrap/>
            <w:hideMark/>
          </w:tcPr>
          <w:p w14:paraId="4E1F73A2" w14:textId="77777777" w:rsidR="006411AF" w:rsidRPr="006411AF" w:rsidRDefault="006411AF" w:rsidP="001F550D">
            <w:pPr>
              <w:pStyle w:val="TableBodyRight"/>
            </w:pPr>
            <w:r w:rsidRPr="006411AF">
              <w:t>18.0</w:t>
            </w:r>
          </w:p>
        </w:tc>
        <w:tc>
          <w:tcPr>
            <w:tcW w:w="1063" w:type="pct"/>
            <w:noWrap/>
            <w:hideMark/>
          </w:tcPr>
          <w:p w14:paraId="27A3F2B5" w14:textId="77777777" w:rsidR="006411AF" w:rsidRPr="006411AF" w:rsidRDefault="006411AF" w:rsidP="001F550D">
            <w:pPr>
              <w:pStyle w:val="TableBodyRight"/>
            </w:pPr>
            <w:r w:rsidRPr="006411AF">
              <w:t>7.1</w:t>
            </w:r>
          </w:p>
        </w:tc>
        <w:tc>
          <w:tcPr>
            <w:tcW w:w="2235" w:type="pct"/>
            <w:noWrap/>
            <w:hideMark/>
          </w:tcPr>
          <w:p w14:paraId="57A2CFF6" w14:textId="77777777" w:rsidR="006411AF" w:rsidRPr="006411AF" w:rsidRDefault="006411AF" w:rsidP="001F550D">
            <w:pPr>
              <w:pStyle w:val="TableBodyRight"/>
            </w:pPr>
            <w:r w:rsidRPr="006411AF">
              <w:t>5.3</w:t>
            </w:r>
          </w:p>
        </w:tc>
      </w:tr>
      <w:tr w:rsidR="00D815EC" w:rsidRPr="006411AF" w14:paraId="7A62199E" w14:textId="77777777" w:rsidTr="009A6FB4">
        <w:trPr>
          <w:trHeight w:val="288"/>
        </w:trPr>
        <w:tc>
          <w:tcPr>
            <w:tcW w:w="1084" w:type="pct"/>
            <w:noWrap/>
            <w:hideMark/>
          </w:tcPr>
          <w:p w14:paraId="511817DD" w14:textId="77777777" w:rsidR="006411AF" w:rsidRPr="006411AF" w:rsidRDefault="006411AF" w:rsidP="001F550D">
            <w:pPr>
              <w:pStyle w:val="TableBody"/>
            </w:pPr>
            <w:r w:rsidRPr="006411AF">
              <w:t>2007-08</w:t>
            </w:r>
          </w:p>
        </w:tc>
        <w:tc>
          <w:tcPr>
            <w:tcW w:w="619" w:type="pct"/>
            <w:noWrap/>
            <w:hideMark/>
          </w:tcPr>
          <w:p w14:paraId="24585872" w14:textId="77777777" w:rsidR="006411AF" w:rsidRPr="006411AF" w:rsidRDefault="006411AF" w:rsidP="001F550D">
            <w:pPr>
              <w:pStyle w:val="TableBodyRight"/>
            </w:pPr>
            <w:r w:rsidRPr="006411AF">
              <w:t>20.2</w:t>
            </w:r>
          </w:p>
        </w:tc>
        <w:tc>
          <w:tcPr>
            <w:tcW w:w="1063" w:type="pct"/>
            <w:noWrap/>
            <w:hideMark/>
          </w:tcPr>
          <w:p w14:paraId="6C45DB1D" w14:textId="77777777" w:rsidR="006411AF" w:rsidRPr="006411AF" w:rsidRDefault="006411AF" w:rsidP="001F550D">
            <w:pPr>
              <w:pStyle w:val="TableBodyRight"/>
            </w:pPr>
            <w:r w:rsidRPr="006411AF">
              <w:t>8.0</w:t>
            </w:r>
          </w:p>
        </w:tc>
        <w:tc>
          <w:tcPr>
            <w:tcW w:w="2235" w:type="pct"/>
            <w:noWrap/>
            <w:hideMark/>
          </w:tcPr>
          <w:p w14:paraId="4EF3CF3C" w14:textId="77777777" w:rsidR="006411AF" w:rsidRPr="006411AF" w:rsidRDefault="006411AF" w:rsidP="001F550D">
            <w:pPr>
              <w:pStyle w:val="TableBodyRight"/>
            </w:pPr>
            <w:r w:rsidRPr="006411AF">
              <w:t>5.3</w:t>
            </w:r>
          </w:p>
        </w:tc>
      </w:tr>
      <w:tr w:rsidR="00D815EC" w:rsidRPr="006411AF" w14:paraId="5E366799" w14:textId="77777777" w:rsidTr="009A6FB4">
        <w:trPr>
          <w:trHeight w:val="288"/>
        </w:trPr>
        <w:tc>
          <w:tcPr>
            <w:tcW w:w="1084" w:type="pct"/>
            <w:noWrap/>
            <w:hideMark/>
          </w:tcPr>
          <w:p w14:paraId="207DC706" w14:textId="77777777" w:rsidR="006411AF" w:rsidRPr="006411AF" w:rsidRDefault="006411AF" w:rsidP="001F550D">
            <w:pPr>
              <w:pStyle w:val="TableBody"/>
            </w:pPr>
            <w:r w:rsidRPr="006411AF">
              <w:t>2008-09</w:t>
            </w:r>
          </w:p>
        </w:tc>
        <w:tc>
          <w:tcPr>
            <w:tcW w:w="619" w:type="pct"/>
            <w:noWrap/>
            <w:hideMark/>
          </w:tcPr>
          <w:p w14:paraId="1448F824" w14:textId="77777777" w:rsidR="006411AF" w:rsidRPr="006411AF" w:rsidRDefault="006411AF" w:rsidP="001F550D">
            <w:pPr>
              <w:pStyle w:val="TableBodyRight"/>
            </w:pPr>
            <w:r w:rsidRPr="006411AF">
              <w:t>18.5</w:t>
            </w:r>
          </w:p>
        </w:tc>
        <w:tc>
          <w:tcPr>
            <w:tcW w:w="1063" w:type="pct"/>
            <w:noWrap/>
            <w:hideMark/>
          </w:tcPr>
          <w:p w14:paraId="4E643114" w14:textId="77777777" w:rsidR="006411AF" w:rsidRPr="006411AF" w:rsidRDefault="006411AF" w:rsidP="001F550D">
            <w:pPr>
              <w:pStyle w:val="TableBodyRight"/>
            </w:pPr>
            <w:r w:rsidRPr="006411AF">
              <w:t>8.1</w:t>
            </w:r>
          </w:p>
        </w:tc>
        <w:tc>
          <w:tcPr>
            <w:tcW w:w="2235" w:type="pct"/>
            <w:noWrap/>
            <w:hideMark/>
          </w:tcPr>
          <w:p w14:paraId="74BBA859" w14:textId="77777777" w:rsidR="006411AF" w:rsidRPr="006411AF" w:rsidRDefault="006411AF" w:rsidP="001F550D">
            <w:pPr>
              <w:pStyle w:val="TableBodyRight"/>
            </w:pPr>
            <w:r w:rsidRPr="006411AF">
              <w:t>5.2</w:t>
            </w:r>
          </w:p>
        </w:tc>
      </w:tr>
      <w:tr w:rsidR="00D815EC" w:rsidRPr="006411AF" w14:paraId="4591B584" w14:textId="77777777" w:rsidTr="009A6FB4">
        <w:trPr>
          <w:trHeight w:val="288"/>
        </w:trPr>
        <w:tc>
          <w:tcPr>
            <w:tcW w:w="1084" w:type="pct"/>
            <w:noWrap/>
            <w:hideMark/>
          </w:tcPr>
          <w:p w14:paraId="68314FCA" w14:textId="77777777" w:rsidR="006411AF" w:rsidRPr="006411AF" w:rsidRDefault="006411AF" w:rsidP="001F550D">
            <w:pPr>
              <w:pStyle w:val="TableBody"/>
            </w:pPr>
            <w:r w:rsidRPr="006411AF">
              <w:t>2009-10</w:t>
            </w:r>
          </w:p>
        </w:tc>
        <w:tc>
          <w:tcPr>
            <w:tcW w:w="619" w:type="pct"/>
            <w:noWrap/>
            <w:hideMark/>
          </w:tcPr>
          <w:p w14:paraId="46CEF836" w14:textId="77777777" w:rsidR="006411AF" w:rsidRPr="006411AF" w:rsidRDefault="006411AF" w:rsidP="001F550D">
            <w:pPr>
              <w:pStyle w:val="TableBodyRight"/>
            </w:pPr>
            <w:r w:rsidRPr="006411AF">
              <w:t>18.4</w:t>
            </w:r>
          </w:p>
        </w:tc>
        <w:tc>
          <w:tcPr>
            <w:tcW w:w="1063" w:type="pct"/>
            <w:noWrap/>
            <w:hideMark/>
          </w:tcPr>
          <w:p w14:paraId="0D1504D0" w14:textId="77777777" w:rsidR="006411AF" w:rsidRPr="006411AF" w:rsidRDefault="006411AF" w:rsidP="001F550D">
            <w:pPr>
              <w:pStyle w:val="TableBodyRight"/>
            </w:pPr>
            <w:r w:rsidRPr="006411AF">
              <w:t>8.1</w:t>
            </w:r>
          </w:p>
        </w:tc>
        <w:tc>
          <w:tcPr>
            <w:tcW w:w="2235" w:type="pct"/>
            <w:noWrap/>
            <w:hideMark/>
          </w:tcPr>
          <w:p w14:paraId="7A666731" w14:textId="77777777" w:rsidR="006411AF" w:rsidRPr="006411AF" w:rsidRDefault="006411AF" w:rsidP="001F550D">
            <w:pPr>
              <w:pStyle w:val="TableBodyRight"/>
            </w:pPr>
            <w:r w:rsidRPr="006411AF">
              <w:t>6.2</w:t>
            </w:r>
          </w:p>
        </w:tc>
      </w:tr>
      <w:tr w:rsidR="00D815EC" w:rsidRPr="006411AF" w14:paraId="3E5C2180" w14:textId="77777777" w:rsidTr="009A6FB4">
        <w:trPr>
          <w:trHeight w:val="288"/>
        </w:trPr>
        <w:tc>
          <w:tcPr>
            <w:tcW w:w="1084" w:type="pct"/>
            <w:noWrap/>
            <w:hideMark/>
          </w:tcPr>
          <w:p w14:paraId="01ED6665" w14:textId="77777777" w:rsidR="006411AF" w:rsidRPr="006411AF" w:rsidRDefault="006411AF" w:rsidP="001F550D">
            <w:pPr>
              <w:pStyle w:val="TableBody"/>
            </w:pPr>
            <w:r w:rsidRPr="006411AF">
              <w:t>2010-11</w:t>
            </w:r>
          </w:p>
        </w:tc>
        <w:tc>
          <w:tcPr>
            <w:tcW w:w="619" w:type="pct"/>
            <w:noWrap/>
            <w:hideMark/>
          </w:tcPr>
          <w:p w14:paraId="0B7DD137" w14:textId="77777777" w:rsidR="006411AF" w:rsidRPr="006411AF" w:rsidRDefault="006411AF" w:rsidP="001F550D">
            <w:pPr>
              <w:pStyle w:val="TableBodyRight"/>
            </w:pPr>
            <w:r w:rsidRPr="006411AF">
              <w:t>19.0</w:t>
            </w:r>
          </w:p>
        </w:tc>
        <w:tc>
          <w:tcPr>
            <w:tcW w:w="1063" w:type="pct"/>
            <w:noWrap/>
            <w:hideMark/>
          </w:tcPr>
          <w:p w14:paraId="74CFD803" w14:textId="77777777" w:rsidR="006411AF" w:rsidRPr="006411AF" w:rsidRDefault="006411AF" w:rsidP="001F550D">
            <w:pPr>
              <w:pStyle w:val="TableBodyRight"/>
            </w:pPr>
            <w:r w:rsidRPr="006411AF">
              <w:t>7.3</w:t>
            </w:r>
          </w:p>
        </w:tc>
        <w:tc>
          <w:tcPr>
            <w:tcW w:w="2235" w:type="pct"/>
            <w:noWrap/>
            <w:hideMark/>
          </w:tcPr>
          <w:p w14:paraId="649EE24A" w14:textId="77777777" w:rsidR="006411AF" w:rsidRPr="006411AF" w:rsidRDefault="006411AF" w:rsidP="001F550D">
            <w:pPr>
              <w:pStyle w:val="TableBodyRight"/>
            </w:pPr>
            <w:r w:rsidRPr="006411AF">
              <w:t>6.1</w:t>
            </w:r>
          </w:p>
        </w:tc>
      </w:tr>
      <w:tr w:rsidR="00D815EC" w:rsidRPr="006411AF" w14:paraId="5AE59BB9" w14:textId="77777777" w:rsidTr="009A6FB4">
        <w:trPr>
          <w:trHeight w:val="288"/>
        </w:trPr>
        <w:tc>
          <w:tcPr>
            <w:tcW w:w="1084" w:type="pct"/>
            <w:noWrap/>
            <w:hideMark/>
          </w:tcPr>
          <w:p w14:paraId="6F7E0590" w14:textId="77777777" w:rsidR="006411AF" w:rsidRPr="006411AF" w:rsidRDefault="006411AF" w:rsidP="001F550D">
            <w:pPr>
              <w:pStyle w:val="TableBody"/>
            </w:pPr>
            <w:r w:rsidRPr="006411AF">
              <w:t>2011-12</w:t>
            </w:r>
          </w:p>
        </w:tc>
        <w:tc>
          <w:tcPr>
            <w:tcW w:w="619" w:type="pct"/>
            <w:noWrap/>
            <w:hideMark/>
          </w:tcPr>
          <w:p w14:paraId="50A84BE3" w14:textId="77777777" w:rsidR="006411AF" w:rsidRPr="006411AF" w:rsidRDefault="006411AF" w:rsidP="001F550D">
            <w:pPr>
              <w:pStyle w:val="TableBodyRight"/>
            </w:pPr>
            <w:r w:rsidRPr="006411AF">
              <w:t>20.1</w:t>
            </w:r>
          </w:p>
        </w:tc>
        <w:tc>
          <w:tcPr>
            <w:tcW w:w="1063" w:type="pct"/>
            <w:noWrap/>
            <w:hideMark/>
          </w:tcPr>
          <w:p w14:paraId="637436ED" w14:textId="77777777" w:rsidR="006411AF" w:rsidRPr="006411AF" w:rsidRDefault="006411AF" w:rsidP="001F550D">
            <w:pPr>
              <w:pStyle w:val="TableBodyRight"/>
            </w:pPr>
            <w:r w:rsidRPr="006411AF">
              <w:t>7.5</w:t>
            </w:r>
          </w:p>
        </w:tc>
        <w:tc>
          <w:tcPr>
            <w:tcW w:w="2235" w:type="pct"/>
            <w:noWrap/>
            <w:hideMark/>
          </w:tcPr>
          <w:p w14:paraId="7C6C1EC6" w14:textId="77777777" w:rsidR="006411AF" w:rsidRPr="006411AF" w:rsidRDefault="006411AF" w:rsidP="001F550D">
            <w:pPr>
              <w:pStyle w:val="TableBodyRight"/>
            </w:pPr>
            <w:r w:rsidRPr="006411AF">
              <w:t>5.8</w:t>
            </w:r>
          </w:p>
        </w:tc>
      </w:tr>
      <w:tr w:rsidR="00D815EC" w:rsidRPr="006411AF" w14:paraId="4A1381E0" w14:textId="77777777" w:rsidTr="009A6FB4">
        <w:trPr>
          <w:trHeight w:val="288"/>
        </w:trPr>
        <w:tc>
          <w:tcPr>
            <w:tcW w:w="1084" w:type="pct"/>
            <w:noWrap/>
            <w:hideMark/>
          </w:tcPr>
          <w:p w14:paraId="3593E38C" w14:textId="77777777" w:rsidR="006411AF" w:rsidRPr="006411AF" w:rsidRDefault="006411AF" w:rsidP="001F550D">
            <w:pPr>
              <w:pStyle w:val="TableBody"/>
            </w:pPr>
            <w:r w:rsidRPr="006411AF">
              <w:t>2012-13</w:t>
            </w:r>
          </w:p>
        </w:tc>
        <w:tc>
          <w:tcPr>
            <w:tcW w:w="619" w:type="pct"/>
            <w:noWrap/>
            <w:hideMark/>
          </w:tcPr>
          <w:p w14:paraId="058D3573" w14:textId="77777777" w:rsidR="006411AF" w:rsidRPr="006411AF" w:rsidRDefault="006411AF" w:rsidP="001F550D">
            <w:pPr>
              <w:pStyle w:val="TableBodyRight"/>
            </w:pPr>
            <w:r w:rsidRPr="006411AF">
              <w:t>19.6</w:t>
            </w:r>
          </w:p>
        </w:tc>
        <w:tc>
          <w:tcPr>
            <w:tcW w:w="1063" w:type="pct"/>
            <w:noWrap/>
            <w:hideMark/>
          </w:tcPr>
          <w:p w14:paraId="15482A1D" w14:textId="77777777" w:rsidR="006411AF" w:rsidRPr="006411AF" w:rsidRDefault="006411AF" w:rsidP="001F550D">
            <w:pPr>
              <w:pStyle w:val="TableBodyRight"/>
            </w:pPr>
            <w:r w:rsidRPr="006411AF">
              <w:t>8.3</w:t>
            </w:r>
          </w:p>
        </w:tc>
        <w:tc>
          <w:tcPr>
            <w:tcW w:w="2235" w:type="pct"/>
            <w:noWrap/>
            <w:hideMark/>
          </w:tcPr>
          <w:p w14:paraId="0C8449E5" w14:textId="77777777" w:rsidR="006411AF" w:rsidRPr="006411AF" w:rsidRDefault="006411AF" w:rsidP="001F550D">
            <w:pPr>
              <w:pStyle w:val="TableBodyRight"/>
            </w:pPr>
            <w:r w:rsidRPr="006411AF">
              <w:t>5.7</w:t>
            </w:r>
          </w:p>
        </w:tc>
      </w:tr>
      <w:tr w:rsidR="00D815EC" w:rsidRPr="006411AF" w14:paraId="5E3ACE0B" w14:textId="77777777" w:rsidTr="009A6FB4">
        <w:trPr>
          <w:trHeight w:val="288"/>
        </w:trPr>
        <w:tc>
          <w:tcPr>
            <w:tcW w:w="1084" w:type="pct"/>
            <w:noWrap/>
            <w:hideMark/>
          </w:tcPr>
          <w:p w14:paraId="696A443E" w14:textId="77777777" w:rsidR="006411AF" w:rsidRPr="006411AF" w:rsidRDefault="006411AF" w:rsidP="001F550D">
            <w:pPr>
              <w:pStyle w:val="TableBody"/>
            </w:pPr>
            <w:r w:rsidRPr="006411AF">
              <w:t>2013-14</w:t>
            </w:r>
          </w:p>
        </w:tc>
        <w:tc>
          <w:tcPr>
            <w:tcW w:w="619" w:type="pct"/>
            <w:noWrap/>
            <w:hideMark/>
          </w:tcPr>
          <w:p w14:paraId="2CC8DE82" w14:textId="77777777" w:rsidR="006411AF" w:rsidRPr="006411AF" w:rsidRDefault="006411AF" w:rsidP="001F550D">
            <w:pPr>
              <w:pStyle w:val="TableBodyRight"/>
            </w:pPr>
            <w:r w:rsidRPr="006411AF">
              <w:t>21.9</w:t>
            </w:r>
          </w:p>
        </w:tc>
        <w:tc>
          <w:tcPr>
            <w:tcW w:w="1063" w:type="pct"/>
            <w:noWrap/>
            <w:hideMark/>
          </w:tcPr>
          <w:p w14:paraId="310CEEDA" w14:textId="77777777" w:rsidR="006411AF" w:rsidRPr="006411AF" w:rsidRDefault="006411AF" w:rsidP="001F550D">
            <w:pPr>
              <w:pStyle w:val="TableBodyRight"/>
            </w:pPr>
            <w:r w:rsidRPr="006411AF">
              <w:t>6.9</w:t>
            </w:r>
          </w:p>
        </w:tc>
        <w:tc>
          <w:tcPr>
            <w:tcW w:w="2235" w:type="pct"/>
            <w:noWrap/>
            <w:hideMark/>
          </w:tcPr>
          <w:p w14:paraId="583401ED" w14:textId="77777777" w:rsidR="006411AF" w:rsidRPr="006411AF" w:rsidRDefault="006411AF" w:rsidP="001F550D">
            <w:pPr>
              <w:pStyle w:val="TableBodyRight"/>
            </w:pPr>
            <w:r w:rsidRPr="006411AF">
              <w:t>5.9</w:t>
            </w:r>
          </w:p>
        </w:tc>
      </w:tr>
      <w:tr w:rsidR="00D815EC" w:rsidRPr="006411AF" w14:paraId="57FFEA55" w14:textId="77777777" w:rsidTr="009A6FB4">
        <w:trPr>
          <w:trHeight w:val="288"/>
        </w:trPr>
        <w:tc>
          <w:tcPr>
            <w:tcW w:w="1084" w:type="pct"/>
            <w:noWrap/>
            <w:hideMark/>
          </w:tcPr>
          <w:p w14:paraId="10FF59E2" w14:textId="77777777" w:rsidR="006411AF" w:rsidRPr="006411AF" w:rsidRDefault="006411AF" w:rsidP="001F550D">
            <w:pPr>
              <w:pStyle w:val="TableBody"/>
            </w:pPr>
            <w:r w:rsidRPr="006411AF">
              <w:t>2014-15</w:t>
            </w:r>
          </w:p>
        </w:tc>
        <w:tc>
          <w:tcPr>
            <w:tcW w:w="619" w:type="pct"/>
            <w:noWrap/>
            <w:hideMark/>
          </w:tcPr>
          <w:p w14:paraId="2F27FD6F" w14:textId="77777777" w:rsidR="006411AF" w:rsidRPr="006411AF" w:rsidRDefault="006411AF" w:rsidP="001F550D">
            <w:pPr>
              <w:pStyle w:val="TableBodyRight"/>
            </w:pPr>
            <w:r w:rsidRPr="006411AF">
              <w:t>20.8</w:t>
            </w:r>
          </w:p>
        </w:tc>
        <w:tc>
          <w:tcPr>
            <w:tcW w:w="1063" w:type="pct"/>
            <w:noWrap/>
            <w:hideMark/>
          </w:tcPr>
          <w:p w14:paraId="2C3245FF" w14:textId="77777777" w:rsidR="006411AF" w:rsidRPr="006411AF" w:rsidRDefault="006411AF" w:rsidP="001F550D">
            <w:pPr>
              <w:pStyle w:val="TableBodyRight"/>
            </w:pPr>
            <w:r w:rsidRPr="006411AF">
              <w:t>8.9</w:t>
            </w:r>
          </w:p>
        </w:tc>
        <w:tc>
          <w:tcPr>
            <w:tcW w:w="2235" w:type="pct"/>
            <w:noWrap/>
            <w:hideMark/>
          </w:tcPr>
          <w:p w14:paraId="1FB403BB" w14:textId="77777777" w:rsidR="006411AF" w:rsidRPr="006411AF" w:rsidRDefault="006411AF" w:rsidP="001F550D">
            <w:pPr>
              <w:pStyle w:val="TableBodyRight"/>
            </w:pPr>
            <w:r w:rsidRPr="006411AF">
              <w:t>6.2</w:t>
            </w:r>
          </w:p>
        </w:tc>
      </w:tr>
      <w:tr w:rsidR="00D815EC" w:rsidRPr="006411AF" w14:paraId="5CD16FD7" w14:textId="77777777" w:rsidTr="009A6FB4">
        <w:trPr>
          <w:trHeight w:val="288"/>
        </w:trPr>
        <w:tc>
          <w:tcPr>
            <w:tcW w:w="1084" w:type="pct"/>
            <w:noWrap/>
            <w:hideMark/>
          </w:tcPr>
          <w:p w14:paraId="0FCDB113" w14:textId="77777777" w:rsidR="006411AF" w:rsidRPr="006411AF" w:rsidRDefault="006411AF" w:rsidP="001F550D">
            <w:pPr>
              <w:pStyle w:val="TableBody"/>
            </w:pPr>
            <w:r w:rsidRPr="006411AF">
              <w:t>2015-16</w:t>
            </w:r>
          </w:p>
        </w:tc>
        <w:tc>
          <w:tcPr>
            <w:tcW w:w="619" w:type="pct"/>
            <w:noWrap/>
            <w:hideMark/>
          </w:tcPr>
          <w:p w14:paraId="610ED27C" w14:textId="77777777" w:rsidR="006411AF" w:rsidRPr="006411AF" w:rsidRDefault="006411AF" w:rsidP="001F550D">
            <w:pPr>
              <w:pStyle w:val="TableBodyRight"/>
            </w:pPr>
            <w:r w:rsidRPr="006411AF">
              <w:t>22.3</w:t>
            </w:r>
          </w:p>
        </w:tc>
        <w:tc>
          <w:tcPr>
            <w:tcW w:w="1063" w:type="pct"/>
            <w:noWrap/>
            <w:hideMark/>
          </w:tcPr>
          <w:p w14:paraId="10ADBBD0" w14:textId="77777777" w:rsidR="006411AF" w:rsidRPr="006411AF" w:rsidRDefault="006411AF" w:rsidP="001F550D">
            <w:pPr>
              <w:pStyle w:val="TableBodyRight"/>
            </w:pPr>
            <w:r w:rsidRPr="006411AF">
              <w:t>7.1</w:t>
            </w:r>
          </w:p>
        </w:tc>
        <w:tc>
          <w:tcPr>
            <w:tcW w:w="2235" w:type="pct"/>
            <w:noWrap/>
            <w:hideMark/>
          </w:tcPr>
          <w:p w14:paraId="740AC917" w14:textId="77777777" w:rsidR="006411AF" w:rsidRPr="006411AF" w:rsidRDefault="006411AF" w:rsidP="001F550D">
            <w:pPr>
              <w:pStyle w:val="TableBodyRight"/>
            </w:pPr>
            <w:r w:rsidRPr="006411AF">
              <w:t>6.1</w:t>
            </w:r>
          </w:p>
        </w:tc>
      </w:tr>
      <w:tr w:rsidR="00D815EC" w:rsidRPr="006411AF" w14:paraId="10249CE7" w14:textId="77777777" w:rsidTr="009A6FB4">
        <w:trPr>
          <w:trHeight w:val="288"/>
        </w:trPr>
        <w:tc>
          <w:tcPr>
            <w:tcW w:w="1084" w:type="pct"/>
            <w:noWrap/>
            <w:hideMark/>
          </w:tcPr>
          <w:p w14:paraId="69BC67F0" w14:textId="77777777" w:rsidR="006411AF" w:rsidRPr="006411AF" w:rsidRDefault="006411AF" w:rsidP="001F550D">
            <w:pPr>
              <w:pStyle w:val="TableBody"/>
            </w:pPr>
            <w:r w:rsidRPr="006411AF">
              <w:t>2016-17</w:t>
            </w:r>
          </w:p>
        </w:tc>
        <w:tc>
          <w:tcPr>
            <w:tcW w:w="619" w:type="pct"/>
            <w:noWrap/>
            <w:hideMark/>
          </w:tcPr>
          <w:p w14:paraId="7BEC6469" w14:textId="77777777" w:rsidR="006411AF" w:rsidRPr="006411AF" w:rsidRDefault="006411AF" w:rsidP="001F550D">
            <w:pPr>
              <w:pStyle w:val="TableBodyRight"/>
            </w:pPr>
            <w:r w:rsidRPr="006411AF">
              <w:t>20.2</w:t>
            </w:r>
          </w:p>
        </w:tc>
        <w:tc>
          <w:tcPr>
            <w:tcW w:w="1063" w:type="pct"/>
            <w:noWrap/>
            <w:hideMark/>
          </w:tcPr>
          <w:p w14:paraId="36D50482" w14:textId="77777777" w:rsidR="006411AF" w:rsidRPr="006411AF" w:rsidRDefault="006411AF" w:rsidP="001F550D">
            <w:pPr>
              <w:pStyle w:val="TableBodyRight"/>
            </w:pPr>
            <w:r w:rsidRPr="006411AF">
              <w:t>8.5</w:t>
            </w:r>
          </w:p>
        </w:tc>
        <w:tc>
          <w:tcPr>
            <w:tcW w:w="2235" w:type="pct"/>
            <w:noWrap/>
            <w:hideMark/>
          </w:tcPr>
          <w:p w14:paraId="251ACC84" w14:textId="77777777" w:rsidR="006411AF" w:rsidRPr="006411AF" w:rsidRDefault="006411AF" w:rsidP="001F550D">
            <w:pPr>
              <w:pStyle w:val="TableBodyRight"/>
            </w:pPr>
            <w:r w:rsidRPr="006411AF">
              <w:t>6.3</w:t>
            </w:r>
          </w:p>
        </w:tc>
      </w:tr>
      <w:tr w:rsidR="00D815EC" w:rsidRPr="006411AF" w14:paraId="2E5E0203" w14:textId="77777777" w:rsidTr="009A6FB4">
        <w:trPr>
          <w:trHeight w:val="288"/>
        </w:trPr>
        <w:tc>
          <w:tcPr>
            <w:tcW w:w="1084" w:type="pct"/>
            <w:noWrap/>
            <w:hideMark/>
          </w:tcPr>
          <w:p w14:paraId="67A3FF31" w14:textId="77777777" w:rsidR="006411AF" w:rsidRPr="006411AF" w:rsidRDefault="006411AF" w:rsidP="001F550D">
            <w:pPr>
              <w:pStyle w:val="TableBody"/>
            </w:pPr>
            <w:r w:rsidRPr="006411AF">
              <w:t>2017-18</w:t>
            </w:r>
          </w:p>
        </w:tc>
        <w:tc>
          <w:tcPr>
            <w:tcW w:w="619" w:type="pct"/>
            <w:noWrap/>
            <w:hideMark/>
          </w:tcPr>
          <w:p w14:paraId="1981DA43" w14:textId="77777777" w:rsidR="006411AF" w:rsidRPr="006411AF" w:rsidRDefault="006411AF" w:rsidP="001F550D">
            <w:pPr>
              <w:pStyle w:val="TableBodyRight"/>
            </w:pPr>
            <w:r w:rsidRPr="006411AF">
              <w:t>23.3</w:t>
            </w:r>
          </w:p>
        </w:tc>
        <w:tc>
          <w:tcPr>
            <w:tcW w:w="1063" w:type="pct"/>
            <w:noWrap/>
            <w:hideMark/>
          </w:tcPr>
          <w:p w14:paraId="259EFF8D" w14:textId="77777777" w:rsidR="006411AF" w:rsidRPr="006411AF" w:rsidRDefault="006411AF" w:rsidP="001F550D">
            <w:pPr>
              <w:pStyle w:val="TableBodyRight"/>
            </w:pPr>
            <w:r w:rsidRPr="006411AF">
              <w:t>9.0</w:t>
            </w:r>
          </w:p>
        </w:tc>
        <w:tc>
          <w:tcPr>
            <w:tcW w:w="2235" w:type="pct"/>
            <w:noWrap/>
            <w:hideMark/>
          </w:tcPr>
          <w:p w14:paraId="5FBE9B70" w14:textId="77777777" w:rsidR="006411AF" w:rsidRPr="006411AF" w:rsidRDefault="006411AF" w:rsidP="001F550D">
            <w:pPr>
              <w:pStyle w:val="TableBodyRight"/>
            </w:pPr>
            <w:r w:rsidRPr="006411AF">
              <w:t>7.2</w:t>
            </w:r>
          </w:p>
        </w:tc>
      </w:tr>
      <w:tr w:rsidR="00D815EC" w:rsidRPr="006411AF" w14:paraId="70573266" w14:textId="77777777" w:rsidTr="009A6FB4">
        <w:trPr>
          <w:trHeight w:val="288"/>
        </w:trPr>
        <w:tc>
          <w:tcPr>
            <w:tcW w:w="1084" w:type="pct"/>
            <w:noWrap/>
            <w:hideMark/>
          </w:tcPr>
          <w:p w14:paraId="677FFD43" w14:textId="77777777" w:rsidR="006411AF" w:rsidRPr="006411AF" w:rsidRDefault="006411AF" w:rsidP="001F550D">
            <w:pPr>
              <w:pStyle w:val="TableBody"/>
            </w:pPr>
            <w:r w:rsidRPr="006411AF">
              <w:t>2018-19</w:t>
            </w:r>
          </w:p>
        </w:tc>
        <w:tc>
          <w:tcPr>
            <w:tcW w:w="619" w:type="pct"/>
            <w:noWrap/>
            <w:hideMark/>
          </w:tcPr>
          <w:p w14:paraId="3423DAD1" w14:textId="77777777" w:rsidR="006411AF" w:rsidRPr="006411AF" w:rsidRDefault="006411AF" w:rsidP="001F550D">
            <w:pPr>
              <w:pStyle w:val="TableBodyRight"/>
            </w:pPr>
            <w:r w:rsidRPr="006411AF">
              <w:t>21.9</w:t>
            </w:r>
          </w:p>
        </w:tc>
        <w:tc>
          <w:tcPr>
            <w:tcW w:w="1063" w:type="pct"/>
            <w:noWrap/>
            <w:hideMark/>
          </w:tcPr>
          <w:p w14:paraId="5E8E57D8" w14:textId="77777777" w:rsidR="006411AF" w:rsidRPr="006411AF" w:rsidRDefault="006411AF" w:rsidP="001F550D">
            <w:pPr>
              <w:pStyle w:val="TableBodyRight"/>
            </w:pPr>
            <w:r w:rsidRPr="006411AF">
              <w:t>9.5</w:t>
            </w:r>
          </w:p>
        </w:tc>
        <w:tc>
          <w:tcPr>
            <w:tcW w:w="2235" w:type="pct"/>
            <w:noWrap/>
            <w:hideMark/>
          </w:tcPr>
          <w:p w14:paraId="15CCE418" w14:textId="77777777" w:rsidR="006411AF" w:rsidRPr="006411AF" w:rsidRDefault="006411AF" w:rsidP="001F550D">
            <w:pPr>
              <w:pStyle w:val="TableBodyRight"/>
            </w:pPr>
            <w:r w:rsidRPr="006411AF">
              <w:t>7.1</w:t>
            </w:r>
          </w:p>
        </w:tc>
      </w:tr>
      <w:tr w:rsidR="00D815EC" w:rsidRPr="006411AF" w14:paraId="2A034DC3" w14:textId="77777777" w:rsidTr="009A6FB4">
        <w:trPr>
          <w:trHeight w:val="288"/>
        </w:trPr>
        <w:tc>
          <w:tcPr>
            <w:tcW w:w="1084" w:type="pct"/>
            <w:noWrap/>
            <w:hideMark/>
          </w:tcPr>
          <w:p w14:paraId="5C357069" w14:textId="77777777" w:rsidR="006411AF" w:rsidRPr="006411AF" w:rsidRDefault="006411AF" w:rsidP="001F550D">
            <w:pPr>
              <w:pStyle w:val="TableBody"/>
            </w:pPr>
            <w:r w:rsidRPr="006411AF">
              <w:t>2019-20</w:t>
            </w:r>
          </w:p>
        </w:tc>
        <w:tc>
          <w:tcPr>
            <w:tcW w:w="619" w:type="pct"/>
            <w:noWrap/>
            <w:hideMark/>
          </w:tcPr>
          <w:p w14:paraId="092641A4" w14:textId="77777777" w:rsidR="006411AF" w:rsidRPr="006411AF" w:rsidRDefault="006411AF" w:rsidP="001F550D">
            <w:pPr>
              <w:pStyle w:val="TableBodyRight"/>
            </w:pPr>
            <w:r w:rsidRPr="006411AF">
              <w:t>24.2</w:t>
            </w:r>
          </w:p>
        </w:tc>
        <w:tc>
          <w:tcPr>
            <w:tcW w:w="1063" w:type="pct"/>
            <w:noWrap/>
            <w:hideMark/>
          </w:tcPr>
          <w:p w14:paraId="1BB0EDB9" w14:textId="77777777" w:rsidR="006411AF" w:rsidRPr="006411AF" w:rsidRDefault="006411AF" w:rsidP="001F550D">
            <w:pPr>
              <w:pStyle w:val="TableBodyRight"/>
            </w:pPr>
            <w:r w:rsidRPr="006411AF">
              <w:t>7.6</w:t>
            </w:r>
          </w:p>
        </w:tc>
        <w:tc>
          <w:tcPr>
            <w:tcW w:w="2235" w:type="pct"/>
            <w:noWrap/>
            <w:hideMark/>
          </w:tcPr>
          <w:p w14:paraId="6D9C8E13" w14:textId="77777777" w:rsidR="006411AF" w:rsidRPr="006411AF" w:rsidRDefault="006411AF" w:rsidP="001F550D">
            <w:pPr>
              <w:pStyle w:val="TableBodyRight"/>
            </w:pPr>
            <w:r w:rsidRPr="006411AF">
              <w:t>7.8</w:t>
            </w:r>
          </w:p>
        </w:tc>
      </w:tr>
    </w:tbl>
    <w:p w14:paraId="5E11D9CE" w14:textId="7A54F892" w:rsidR="00E62AE6" w:rsidRPr="00E62AE6" w:rsidRDefault="00E62AE6" w:rsidP="00E5783B">
      <w:pPr>
        <w:pStyle w:val="Caption"/>
      </w:pPr>
      <w:r w:rsidRPr="00E62AE6">
        <w:t xml:space="preserve">Figure 6: Average length </w:t>
      </w:r>
      <w:r w:rsidR="00F226F0">
        <w:t xml:space="preserve">(years) </w:t>
      </w:r>
      <w:r w:rsidRPr="00E62AE6">
        <w:t>of total effective sentences and non-parole periods for people sentenced for homicide offences, 2001–02 to 2019–20</w:t>
      </w:r>
    </w:p>
    <w:tbl>
      <w:tblPr>
        <w:tblStyle w:val="Table"/>
        <w:tblW w:w="10205" w:type="dxa"/>
        <w:tblLayout w:type="fixed"/>
        <w:tblLook w:val="04A0" w:firstRow="1" w:lastRow="0" w:firstColumn="1" w:lastColumn="0" w:noHBand="0" w:noVBand="1"/>
      </w:tblPr>
      <w:tblGrid>
        <w:gridCol w:w="1247"/>
        <w:gridCol w:w="1361"/>
        <w:gridCol w:w="1361"/>
        <w:gridCol w:w="1757"/>
        <w:gridCol w:w="1757"/>
        <w:gridCol w:w="1361"/>
        <w:gridCol w:w="1361"/>
      </w:tblGrid>
      <w:tr w:rsidR="008758CF" w:rsidRPr="007666D2" w14:paraId="69823B37" w14:textId="77777777" w:rsidTr="00F9076D">
        <w:trPr>
          <w:trHeight w:val="288"/>
          <w:tblHeader/>
        </w:trPr>
        <w:tc>
          <w:tcPr>
            <w:tcW w:w="1247" w:type="dxa"/>
            <w:noWrap/>
            <w:hideMark/>
          </w:tcPr>
          <w:p w14:paraId="5E806DF9" w14:textId="77777777" w:rsidR="007666D2" w:rsidRPr="007666D2" w:rsidRDefault="007666D2" w:rsidP="00570B9F">
            <w:pPr>
              <w:pStyle w:val="TableHeading"/>
            </w:pPr>
            <w:r w:rsidRPr="007666D2">
              <w:t>Financial year</w:t>
            </w:r>
          </w:p>
        </w:tc>
        <w:tc>
          <w:tcPr>
            <w:tcW w:w="1361" w:type="dxa"/>
            <w:noWrap/>
            <w:hideMark/>
          </w:tcPr>
          <w:p w14:paraId="0007D0B6" w14:textId="2C83BD4F" w:rsidR="007666D2" w:rsidRPr="007666D2" w:rsidRDefault="007666D2" w:rsidP="00570B9F">
            <w:pPr>
              <w:pStyle w:val="TableHeadingRight"/>
            </w:pPr>
            <w:r w:rsidRPr="007666D2">
              <w:t>Murder (</w:t>
            </w:r>
            <w:r w:rsidR="00776C07" w:rsidRPr="00E62AE6">
              <w:t>total effective sentence</w:t>
            </w:r>
            <w:r w:rsidRPr="007666D2">
              <w:t>)</w:t>
            </w:r>
          </w:p>
        </w:tc>
        <w:tc>
          <w:tcPr>
            <w:tcW w:w="1361" w:type="dxa"/>
            <w:noWrap/>
            <w:hideMark/>
          </w:tcPr>
          <w:p w14:paraId="46DE9522" w14:textId="40C484FA" w:rsidR="007666D2" w:rsidRPr="007666D2" w:rsidRDefault="007666D2" w:rsidP="00570B9F">
            <w:pPr>
              <w:pStyle w:val="TableHeadingRight"/>
            </w:pPr>
            <w:r w:rsidRPr="007666D2">
              <w:t>Murder (</w:t>
            </w:r>
            <w:r w:rsidR="00776C07" w:rsidRPr="00E62AE6">
              <w:t>non-parole period</w:t>
            </w:r>
            <w:r w:rsidRPr="007666D2">
              <w:t>)</w:t>
            </w:r>
          </w:p>
        </w:tc>
        <w:tc>
          <w:tcPr>
            <w:tcW w:w="1757" w:type="dxa"/>
            <w:noWrap/>
            <w:hideMark/>
          </w:tcPr>
          <w:p w14:paraId="640C09F9" w14:textId="36BF881E" w:rsidR="007666D2" w:rsidRPr="007666D2" w:rsidRDefault="007666D2" w:rsidP="00570B9F">
            <w:pPr>
              <w:pStyle w:val="TableHeadingRight"/>
            </w:pPr>
            <w:r w:rsidRPr="007666D2">
              <w:t>Manslaughter (</w:t>
            </w:r>
            <w:r w:rsidR="00776C07" w:rsidRPr="00E62AE6">
              <w:t>total effective sentence</w:t>
            </w:r>
            <w:r w:rsidRPr="007666D2">
              <w:t>)</w:t>
            </w:r>
          </w:p>
        </w:tc>
        <w:tc>
          <w:tcPr>
            <w:tcW w:w="1757" w:type="dxa"/>
            <w:noWrap/>
            <w:hideMark/>
          </w:tcPr>
          <w:p w14:paraId="3CE78E04" w14:textId="61BC28AB" w:rsidR="007666D2" w:rsidRPr="007666D2" w:rsidRDefault="007666D2" w:rsidP="00570B9F">
            <w:pPr>
              <w:pStyle w:val="TableHeadingRight"/>
            </w:pPr>
            <w:r w:rsidRPr="007666D2">
              <w:t>Manslaughter (</w:t>
            </w:r>
            <w:r w:rsidR="00776C07" w:rsidRPr="00E62AE6">
              <w:t>non-parole period</w:t>
            </w:r>
            <w:r w:rsidRPr="007666D2">
              <w:t>)</w:t>
            </w:r>
          </w:p>
        </w:tc>
        <w:tc>
          <w:tcPr>
            <w:tcW w:w="1361" w:type="dxa"/>
            <w:noWrap/>
            <w:hideMark/>
          </w:tcPr>
          <w:p w14:paraId="1A401343" w14:textId="3016C17E" w:rsidR="007666D2" w:rsidRPr="007666D2" w:rsidRDefault="007666D2" w:rsidP="00570B9F">
            <w:pPr>
              <w:pStyle w:val="TableHeadingRight"/>
            </w:pPr>
            <w:r w:rsidRPr="007666D2">
              <w:t>Culpable driving causing death (</w:t>
            </w:r>
            <w:r w:rsidR="00776C07" w:rsidRPr="00E62AE6">
              <w:t>total effective sentence</w:t>
            </w:r>
            <w:r w:rsidRPr="007666D2">
              <w:t>)</w:t>
            </w:r>
          </w:p>
        </w:tc>
        <w:tc>
          <w:tcPr>
            <w:tcW w:w="1361" w:type="dxa"/>
            <w:noWrap/>
            <w:hideMark/>
          </w:tcPr>
          <w:p w14:paraId="272FA2B8" w14:textId="7041CC7D" w:rsidR="007666D2" w:rsidRPr="007666D2" w:rsidRDefault="007666D2" w:rsidP="00570B9F">
            <w:pPr>
              <w:pStyle w:val="TableHeadingRight"/>
            </w:pPr>
            <w:r w:rsidRPr="007666D2">
              <w:t>Culpable driving causing death (</w:t>
            </w:r>
            <w:r w:rsidR="00776C07" w:rsidRPr="00E62AE6">
              <w:t>non-parole period</w:t>
            </w:r>
            <w:r w:rsidRPr="007666D2">
              <w:t>)</w:t>
            </w:r>
          </w:p>
        </w:tc>
      </w:tr>
      <w:tr w:rsidR="008758CF" w:rsidRPr="007666D2" w14:paraId="68EE897D" w14:textId="77777777" w:rsidTr="00F9076D">
        <w:trPr>
          <w:trHeight w:val="288"/>
        </w:trPr>
        <w:tc>
          <w:tcPr>
            <w:tcW w:w="1247" w:type="dxa"/>
            <w:noWrap/>
            <w:hideMark/>
          </w:tcPr>
          <w:p w14:paraId="4426AD08" w14:textId="77777777" w:rsidR="007666D2" w:rsidRPr="007666D2" w:rsidRDefault="007666D2" w:rsidP="001F550D">
            <w:pPr>
              <w:pStyle w:val="TableBody"/>
            </w:pPr>
            <w:r w:rsidRPr="007666D2">
              <w:t>2001-02</w:t>
            </w:r>
          </w:p>
        </w:tc>
        <w:tc>
          <w:tcPr>
            <w:tcW w:w="1361" w:type="dxa"/>
            <w:noWrap/>
            <w:hideMark/>
          </w:tcPr>
          <w:p w14:paraId="1AC8F602" w14:textId="77777777" w:rsidR="007666D2" w:rsidRPr="007666D2" w:rsidRDefault="007666D2" w:rsidP="001F550D">
            <w:pPr>
              <w:pStyle w:val="TableBodyRight"/>
            </w:pPr>
            <w:r w:rsidRPr="007666D2">
              <w:t>19.4</w:t>
            </w:r>
          </w:p>
        </w:tc>
        <w:tc>
          <w:tcPr>
            <w:tcW w:w="1361" w:type="dxa"/>
            <w:noWrap/>
            <w:hideMark/>
          </w:tcPr>
          <w:p w14:paraId="2A9265FF" w14:textId="77777777" w:rsidR="007666D2" w:rsidRPr="007666D2" w:rsidRDefault="007666D2" w:rsidP="001F550D">
            <w:pPr>
              <w:pStyle w:val="TableBodyRight"/>
            </w:pPr>
            <w:r w:rsidRPr="007666D2">
              <w:t>15.2</w:t>
            </w:r>
          </w:p>
        </w:tc>
        <w:tc>
          <w:tcPr>
            <w:tcW w:w="1757" w:type="dxa"/>
            <w:noWrap/>
            <w:hideMark/>
          </w:tcPr>
          <w:p w14:paraId="4D5FB51D" w14:textId="77777777" w:rsidR="007666D2" w:rsidRPr="007666D2" w:rsidRDefault="007666D2" w:rsidP="001F550D">
            <w:pPr>
              <w:pStyle w:val="TableBodyRight"/>
            </w:pPr>
            <w:r w:rsidRPr="007666D2">
              <w:t>5.8</w:t>
            </w:r>
          </w:p>
        </w:tc>
        <w:tc>
          <w:tcPr>
            <w:tcW w:w="1757" w:type="dxa"/>
            <w:noWrap/>
            <w:hideMark/>
          </w:tcPr>
          <w:p w14:paraId="6BB3EC54" w14:textId="77777777" w:rsidR="007666D2" w:rsidRPr="007666D2" w:rsidRDefault="007666D2" w:rsidP="001F550D">
            <w:pPr>
              <w:pStyle w:val="TableBodyRight"/>
            </w:pPr>
            <w:r w:rsidRPr="007666D2">
              <w:t>3.4</w:t>
            </w:r>
          </w:p>
        </w:tc>
        <w:tc>
          <w:tcPr>
            <w:tcW w:w="1361" w:type="dxa"/>
            <w:noWrap/>
            <w:hideMark/>
          </w:tcPr>
          <w:p w14:paraId="707E47B3" w14:textId="77777777" w:rsidR="007666D2" w:rsidRPr="007666D2" w:rsidRDefault="007666D2" w:rsidP="001F550D">
            <w:pPr>
              <w:pStyle w:val="TableBodyRight"/>
            </w:pPr>
            <w:r w:rsidRPr="007666D2">
              <w:t>5.1</w:t>
            </w:r>
          </w:p>
        </w:tc>
        <w:tc>
          <w:tcPr>
            <w:tcW w:w="1361" w:type="dxa"/>
            <w:noWrap/>
            <w:hideMark/>
          </w:tcPr>
          <w:p w14:paraId="3791A187" w14:textId="77777777" w:rsidR="007666D2" w:rsidRPr="007666D2" w:rsidRDefault="007666D2" w:rsidP="001F550D">
            <w:pPr>
              <w:pStyle w:val="TableBodyRight"/>
            </w:pPr>
            <w:r w:rsidRPr="007666D2">
              <w:t>2.8</w:t>
            </w:r>
          </w:p>
        </w:tc>
      </w:tr>
      <w:tr w:rsidR="008758CF" w:rsidRPr="007666D2" w14:paraId="2418AA34" w14:textId="77777777" w:rsidTr="00F9076D">
        <w:trPr>
          <w:trHeight w:val="288"/>
        </w:trPr>
        <w:tc>
          <w:tcPr>
            <w:tcW w:w="1247" w:type="dxa"/>
            <w:noWrap/>
            <w:hideMark/>
          </w:tcPr>
          <w:p w14:paraId="221D6B43" w14:textId="77777777" w:rsidR="007666D2" w:rsidRPr="007666D2" w:rsidRDefault="007666D2" w:rsidP="001F550D">
            <w:pPr>
              <w:pStyle w:val="TableBody"/>
            </w:pPr>
            <w:r w:rsidRPr="007666D2">
              <w:t>2002-03</w:t>
            </w:r>
          </w:p>
        </w:tc>
        <w:tc>
          <w:tcPr>
            <w:tcW w:w="1361" w:type="dxa"/>
            <w:noWrap/>
            <w:hideMark/>
          </w:tcPr>
          <w:p w14:paraId="5DA89D90" w14:textId="77777777" w:rsidR="007666D2" w:rsidRPr="007666D2" w:rsidRDefault="007666D2" w:rsidP="001F550D">
            <w:pPr>
              <w:pStyle w:val="TableBodyRight"/>
            </w:pPr>
            <w:r w:rsidRPr="007666D2">
              <w:t>19.1</w:t>
            </w:r>
          </w:p>
        </w:tc>
        <w:tc>
          <w:tcPr>
            <w:tcW w:w="1361" w:type="dxa"/>
            <w:noWrap/>
            <w:hideMark/>
          </w:tcPr>
          <w:p w14:paraId="28B18E4E" w14:textId="77777777" w:rsidR="007666D2" w:rsidRPr="007666D2" w:rsidRDefault="007666D2" w:rsidP="001F550D">
            <w:pPr>
              <w:pStyle w:val="TableBodyRight"/>
            </w:pPr>
            <w:r w:rsidRPr="007666D2">
              <w:t>16.8</w:t>
            </w:r>
          </w:p>
        </w:tc>
        <w:tc>
          <w:tcPr>
            <w:tcW w:w="1757" w:type="dxa"/>
            <w:noWrap/>
            <w:hideMark/>
          </w:tcPr>
          <w:p w14:paraId="3EAD1CE1" w14:textId="77777777" w:rsidR="007666D2" w:rsidRPr="007666D2" w:rsidRDefault="007666D2" w:rsidP="001F550D">
            <w:pPr>
              <w:pStyle w:val="TableBodyRight"/>
            </w:pPr>
            <w:r w:rsidRPr="007666D2">
              <w:t>6.2</w:t>
            </w:r>
          </w:p>
        </w:tc>
        <w:tc>
          <w:tcPr>
            <w:tcW w:w="1757" w:type="dxa"/>
            <w:noWrap/>
            <w:hideMark/>
          </w:tcPr>
          <w:p w14:paraId="1239B5B7" w14:textId="77777777" w:rsidR="007666D2" w:rsidRPr="007666D2" w:rsidRDefault="007666D2" w:rsidP="001F550D">
            <w:pPr>
              <w:pStyle w:val="TableBodyRight"/>
            </w:pPr>
            <w:r w:rsidRPr="007666D2">
              <w:t>3.8</w:t>
            </w:r>
          </w:p>
        </w:tc>
        <w:tc>
          <w:tcPr>
            <w:tcW w:w="1361" w:type="dxa"/>
            <w:noWrap/>
            <w:hideMark/>
          </w:tcPr>
          <w:p w14:paraId="4AFCD604" w14:textId="77777777" w:rsidR="007666D2" w:rsidRPr="007666D2" w:rsidRDefault="007666D2" w:rsidP="001F550D">
            <w:pPr>
              <w:pStyle w:val="TableBodyRight"/>
            </w:pPr>
            <w:r w:rsidRPr="007666D2">
              <w:t>6.8</w:t>
            </w:r>
          </w:p>
        </w:tc>
        <w:tc>
          <w:tcPr>
            <w:tcW w:w="1361" w:type="dxa"/>
            <w:noWrap/>
            <w:hideMark/>
          </w:tcPr>
          <w:p w14:paraId="60AB3B8E" w14:textId="77777777" w:rsidR="007666D2" w:rsidRPr="007666D2" w:rsidRDefault="007666D2" w:rsidP="001F550D">
            <w:pPr>
              <w:pStyle w:val="TableBodyRight"/>
            </w:pPr>
            <w:r w:rsidRPr="007666D2">
              <w:t>4.3</w:t>
            </w:r>
          </w:p>
        </w:tc>
      </w:tr>
      <w:tr w:rsidR="008758CF" w:rsidRPr="007666D2" w14:paraId="01163B61" w14:textId="77777777" w:rsidTr="00F9076D">
        <w:trPr>
          <w:trHeight w:val="288"/>
        </w:trPr>
        <w:tc>
          <w:tcPr>
            <w:tcW w:w="1247" w:type="dxa"/>
            <w:noWrap/>
            <w:hideMark/>
          </w:tcPr>
          <w:p w14:paraId="61464AC8" w14:textId="77777777" w:rsidR="007666D2" w:rsidRPr="007666D2" w:rsidRDefault="007666D2" w:rsidP="001F550D">
            <w:pPr>
              <w:pStyle w:val="TableBody"/>
            </w:pPr>
            <w:r w:rsidRPr="007666D2">
              <w:t>2003-04</w:t>
            </w:r>
          </w:p>
        </w:tc>
        <w:tc>
          <w:tcPr>
            <w:tcW w:w="1361" w:type="dxa"/>
            <w:noWrap/>
            <w:hideMark/>
          </w:tcPr>
          <w:p w14:paraId="60AFB5D8" w14:textId="77777777" w:rsidR="007666D2" w:rsidRPr="007666D2" w:rsidRDefault="007666D2" w:rsidP="001F550D">
            <w:pPr>
              <w:pStyle w:val="TableBodyRight"/>
            </w:pPr>
            <w:r w:rsidRPr="007666D2">
              <w:t>19.1</w:t>
            </w:r>
          </w:p>
        </w:tc>
        <w:tc>
          <w:tcPr>
            <w:tcW w:w="1361" w:type="dxa"/>
            <w:noWrap/>
            <w:hideMark/>
          </w:tcPr>
          <w:p w14:paraId="4FDFFB7B" w14:textId="77777777" w:rsidR="007666D2" w:rsidRPr="007666D2" w:rsidRDefault="007666D2" w:rsidP="001F550D">
            <w:pPr>
              <w:pStyle w:val="TableBodyRight"/>
            </w:pPr>
            <w:r w:rsidRPr="007666D2">
              <w:t>15.5</w:t>
            </w:r>
          </w:p>
        </w:tc>
        <w:tc>
          <w:tcPr>
            <w:tcW w:w="1757" w:type="dxa"/>
            <w:noWrap/>
            <w:hideMark/>
          </w:tcPr>
          <w:p w14:paraId="5EBF799E" w14:textId="77777777" w:rsidR="007666D2" w:rsidRPr="007666D2" w:rsidRDefault="007666D2" w:rsidP="001F550D">
            <w:pPr>
              <w:pStyle w:val="TableBodyRight"/>
            </w:pPr>
            <w:r w:rsidRPr="007666D2">
              <w:t>6.0</w:t>
            </w:r>
          </w:p>
        </w:tc>
        <w:tc>
          <w:tcPr>
            <w:tcW w:w="1757" w:type="dxa"/>
            <w:noWrap/>
            <w:hideMark/>
          </w:tcPr>
          <w:p w14:paraId="72A99DBA" w14:textId="77777777" w:rsidR="007666D2" w:rsidRPr="007666D2" w:rsidRDefault="007666D2" w:rsidP="001F550D">
            <w:pPr>
              <w:pStyle w:val="TableBodyRight"/>
            </w:pPr>
            <w:r w:rsidRPr="007666D2">
              <w:t>3.4</w:t>
            </w:r>
          </w:p>
        </w:tc>
        <w:tc>
          <w:tcPr>
            <w:tcW w:w="1361" w:type="dxa"/>
            <w:noWrap/>
            <w:hideMark/>
          </w:tcPr>
          <w:p w14:paraId="7014E805" w14:textId="77777777" w:rsidR="007666D2" w:rsidRPr="007666D2" w:rsidRDefault="007666D2" w:rsidP="001F550D">
            <w:pPr>
              <w:pStyle w:val="TableBodyRight"/>
            </w:pPr>
            <w:r w:rsidRPr="007666D2">
              <w:t>5.8</w:t>
            </w:r>
          </w:p>
        </w:tc>
        <w:tc>
          <w:tcPr>
            <w:tcW w:w="1361" w:type="dxa"/>
            <w:noWrap/>
            <w:hideMark/>
          </w:tcPr>
          <w:p w14:paraId="6D1606F8" w14:textId="77777777" w:rsidR="007666D2" w:rsidRPr="007666D2" w:rsidRDefault="007666D2" w:rsidP="001F550D">
            <w:pPr>
              <w:pStyle w:val="TableBodyRight"/>
            </w:pPr>
            <w:r w:rsidRPr="007666D2">
              <w:t>3.3</w:t>
            </w:r>
          </w:p>
        </w:tc>
      </w:tr>
      <w:tr w:rsidR="008758CF" w:rsidRPr="007666D2" w14:paraId="321F97DE" w14:textId="77777777" w:rsidTr="00F9076D">
        <w:trPr>
          <w:trHeight w:val="288"/>
        </w:trPr>
        <w:tc>
          <w:tcPr>
            <w:tcW w:w="1247" w:type="dxa"/>
            <w:noWrap/>
            <w:hideMark/>
          </w:tcPr>
          <w:p w14:paraId="4CF09F47" w14:textId="77777777" w:rsidR="007666D2" w:rsidRPr="007666D2" w:rsidRDefault="007666D2" w:rsidP="001F550D">
            <w:pPr>
              <w:pStyle w:val="TableBody"/>
            </w:pPr>
            <w:r w:rsidRPr="007666D2">
              <w:t>2004-05</w:t>
            </w:r>
          </w:p>
        </w:tc>
        <w:tc>
          <w:tcPr>
            <w:tcW w:w="1361" w:type="dxa"/>
            <w:noWrap/>
            <w:hideMark/>
          </w:tcPr>
          <w:p w14:paraId="461B329F" w14:textId="77777777" w:rsidR="007666D2" w:rsidRPr="007666D2" w:rsidRDefault="007666D2" w:rsidP="001F550D">
            <w:pPr>
              <w:pStyle w:val="TableBodyRight"/>
            </w:pPr>
            <w:r w:rsidRPr="007666D2">
              <w:t>19.4</w:t>
            </w:r>
          </w:p>
        </w:tc>
        <w:tc>
          <w:tcPr>
            <w:tcW w:w="1361" w:type="dxa"/>
            <w:noWrap/>
            <w:hideMark/>
          </w:tcPr>
          <w:p w14:paraId="1C71DC2D" w14:textId="77777777" w:rsidR="007666D2" w:rsidRPr="007666D2" w:rsidRDefault="007666D2" w:rsidP="001F550D">
            <w:pPr>
              <w:pStyle w:val="TableBodyRight"/>
            </w:pPr>
            <w:r w:rsidRPr="007666D2">
              <w:t>15.0</w:t>
            </w:r>
          </w:p>
        </w:tc>
        <w:tc>
          <w:tcPr>
            <w:tcW w:w="1757" w:type="dxa"/>
            <w:noWrap/>
            <w:hideMark/>
          </w:tcPr>
          <w:p w14:paraId="571858BA" w14:textId="77777777" w:rsidR="007666D2" w:rsidRPr="007666D2" w:rsidRDefault="007666D2" w:rsidP="001F550D">
            <w:pPr>
              <w:pStyle w:val="TableBodyRight"/>
            </w:pPr>
            <w:r w:rsidRPr="007666D2">
              <w:t>7.4</w:t>
            </w:r>
          </w:p>
        </w:tc>
        <w:tc>
          <w:tcPr>
            <w:tcW w:w="1757" w:type="dxa"/>
            <w:noWrap/>
            <w:hideMark/>
          </w:tcPr>
          <w:p w14:paraId="5C10C21E" w14:textId="77777777" w:rsidR="007666D2" w:rsidRPr="007666D2" w:rsidRDefault="007666D2" w:rsidP="001F550D">
            <w:pPr>
              <w:pStyle w:val="TableBodyRight"/>
            </w:pPr>
            <w:r w:rsidRPr="007666D2">
              <w:t>4.8</w:t>
            </w:r>
          </w:p>
        </w:tc>
        <w:tc>
          <w:tcPr>
            <w:tcW w:w="1361" w:type="dxa"/>
            <w:noWrap/>
            <w:hideMark/>
          </w:tcPr>
          <w:p w14:paraId="09F3DDFB" w14:textId="77777777" w:rsidR="007666D2" w:rsidRPr="007666D2" w:rsidRDefault="007666D2" w:rsidP="001F550D">
            <w:pPr>
              <w:pStyle w:val="TableBodyRight"/>
            </w:pPr>
            <w:r w:rsidRPr="007666D2">
              <w:t>6.5</w:t>
            </w:r>
          </w:p>
        </w:tc>
        <w:tc>
          <w:tcPr>
            <w:tcW w:w="1361" w:type="dxa"/>
            <w:noWrap/>
            <w:hideMark/>
          </w:tcPr>
          <w:p w14:paraId="6B979AEE" w14:textId="77777777" w:rsidR="007666D2" w:rsidRPr="007666D2" w:rsidRDefault="007666D2" w:rsidP="001F550D">
            <w:pPr>
              <w:pStyle w:val="TableBodyRight"/>
            </w:pPr>
            <w:r w:rsidRPr="007666D2">
              <w:t>4.1</w:t>
            </w:r>
          </w:p>
        </w:tc>
      </w:tr>
      <w:tr w:rsidR="008758CF" w:rsidRPr="007666D2" w14:paraId="7563C405" w14:textId="77777777" w:rsidTr="00F9076D">
        <w:trPr>
          <w:trHeight w:val="288"/>
        </w:trPr>
        <w:tc>
          <w:tcPr>
            <w:tcW w:w="1247" w:type="dxa"/>
            <w:noWrap/>
            <w:hideMark/>
          </w:tcPr>
          <w:p w14:paraId="0111FFC9" w14:textId="77777777" w:rsidR="007666D2" w:rsidRPr="007666D2" w:rsidRDefault="007666D2" w:rsidP="001F550D">
            <w:pPr>
              <w:pStyle w:val="TableBody"/>
            </w:pPr>
            <w:r w:rsidRPr="007666D2">
              <w:t>2005-06</w:t>
            </w:r>
          </w:p>
        </w:tc>
        <w:tc>
          <w:tcPr>
            <w:tcW w:w="1361" w:type="dxa"/>
            <w:noWrap/>
            <w:hideMark/>
          </w:tcPr>
          <w:p w14:paraId="2A8E7738" w14:textId="77777777" w:rsidR="007666D2" w:rsidRPr="007666D2" w:rsidRDefault="007666D2" w:rsidP="001F550D">
            <w:pPr>
              <w:pStyle w:val="TableBodyRight"/>
            </w:pPr>
            <w:r w:rsidRPr="007666D2">
              <w:t>20.0</w:t>
            </w:r>
          </w:p>
        </w:tc>
        <w:tc>
          <w:tcPr>
            <w:tcW w:w="1361" w:type="dxa"/>
            <w:noWrap/>
            <w:hideMark/>
          </w:tcPr>
          <w:p w14:paraId="368077D6" w14:textId="77777777" w:rsidR="007666D2" w:rsidRPr="007666D2" w:rsidRDefault="007666D2" w:rsidP="001F550D">
            <w:pPr>
              <w:pStyle w:val="TableBodyRight"/>
            </w:pPr>
            <w:r w:rsidRPr="007666D2">
              <w:t>16.2</w:t>
            </w:r>
          </w:p>
        </w:tc>
        <w:tc>
          <w:tcPr>
            <w:tcW w:w="1757" w:type="dxa"/>
            <w:noWrap/>
            <w:hideMark/>
          </w:tcPr>
          <w:p w14:paraId="79821F92" w14:textId="77777777" w:rsidR="007666D2" w:rsidRPr="007666D2" w:rsidRDefault="007666D2" w:rsidP="001F550D">
            <w:pPr>
              <w:pStyle w:val="TableBodyRight"/>
            </w:pPr>
            <w:r w:rsidRPr="007666D2">
              <w:t>8.3</w:t>
            </w:r>
          </w:p>
        </w:tc>
        <w:tc>
          <w:tcPr>
            <w:tcW w:w="1757" w:type="dxa"/>
            <w:noWrap/>
            <w:hideMark/>
          </w:tcPr>
          <w:p w14:paraId="10022FDC" w14:textId="77777777" w:rsidR="007666D2" w:rsidRPr="007666D2" w:rsidRDefault="007666D2" w:rsidP="001F550D">
            <w:pPr>
              <w:pStyle w:val="TableBodyRight"/>
            </w:pPr>
            <w:r w:rsidRPr="007666D2">
              <w:t>5.1</w:t>
            </w:r>
          </w:p>
        </w:tc>
        <w:tc>
          <w:tcPr>
            <w:tcW w:w="1361" w:type="dxa"/>
            <w:noWrap/>
            <w:hideMark/>
          </w:tcPr>
          <w:p w14:paraId="3EF2BC4D" w14:textId="77777777" w:rsidR="007666D2" w:rsidRPr="007666D2" w:rsidRDefault="007666D2" w:rsidP="001F550D">
            <w:pPr>
              <w:pStyle w:val="TableBodyRight"/>
            </w:pPr>
            <w:r w:rsidRPr="007666D2">
              <w:t>6.1</w:t>
            </w:r>
          </w:p>
        </w:tc>
        <w:tc>
          <w:tcPr>
            <w:tcW w:w="1361" w:type="dxa"/>
            <w:noWrap/>
            <w:hideMark/>
          </w:tcPr>
          <w:p w14:paraId="012EA45A" w14:textId="77777777" w:rsidR="007666D2" w:rsidRPr="007666D2" w:rsidRDefault="007666D2" w:rsidP="001F550D">
            <w:pPr>
              <w:pStyle w:val="TableBodyRight"/>
            </w:pPr>
            <w:r w:rsidRPr="007666D2">
              <w:t>3.8</w:t>
            </w:r>
          </w:p>
        </w:tc>
      </w:tr>
      <w:tr w:rsidR="008758CF" w:rsidRPr="007666D2" w14:paraId="505C1049" w14:textId="77777777" w:rsidTr="00F9076D">
        <w:trPr>
          <w:trHeight w:val="288"/>
        </w:trPr>
        <w:tc>
          <w:tcPr>
            <w:tcW w:w="1247" w:type="dxa"/>
            <w:noWrap/>
            <w:hideMark/>
          </w:tcPr>
          <w:p w14:paraId="0F63DDEB" w14:textId="77777777" w:rsidR="007666D2" w:rsidRPr="007666D2" w:rsidRDefault="007666D2" w:rsidP="001F550D">
            <w:pPr>
              <w:pStyle w:val="TableBody"/>
            </w:pPr>
            <w:r w:rsidRPr="007666D2">
              <w:t>2006-07</w:t>
            </w:r>
          </w:p>
        </w:tc>
        <w:tc>
          <w:tcPr>
            <w:tcW w:w="1361" w:type="dxa"/>
            <w:noWrap/>
            <w:hideMark/>
          </w:tcPr>
          <w:p w14:paraId="0545472F" w14:textId="77777777" w:rsidR="007666D2" w:rsidRPr="007666D2" w:rsidRDefault="007666D2" w:rsidP="001F550D">
            <w:pPr>
              <w:pStyle w:val="TableBodyRight"/>
            </w:pPr>
            <w:r w:rsidRPr="007666D2">
              <w:t>19.2</w:t>
            </w:r>
          </w:p>
        </w:tc>
        <w:tc>
          <w:tcPr>
            <w:tcW w:w="1361" w:type="dxa"/>
            <w:noWrap/>
            <w:hideMark/>
          </w:tcPr>
          <w:p w14:paraId="4DC87C23" w14:textId="77777777" w:rsidR="007666D2" w:rsidRPr="007666D2" w:rsidRDefault="007666D2" w:rsidP="001F550D">
            <w:pPr>
              <w:pStyle w:val="TableBodyRight"/>
            </w:pPr>
            <w:r w:rsidRPr="007666D2">
              <w:t>14.5</w:t>
            </w:r>
          </w:p>
        </w:tc>
        <w:tc>
          <w:tcPr>
            <w:tcW w:w="1757" w:type="dxa"/>
            <w:noWrap/>
            <w:hideMark/>
          </w:tcPr>
          <w:p w14:paraId="1F4F2F0C" w14:textId="77777777" w:rsidR="007666D2" w:rsidRPr="007666D2" w:rsidRDefault="007666D2" w:rsidP="001F550D">
            <w:pPr>
              <w:pStyle w:val="TableBodyRight"/>
            </w:pPr>
            <w:r w:rsidRPr="007666D2">
              <w:t>7.6</w:t>
            </w:r>
          </w:p>
        </w:tc>
        <w:tc>
          <w:tcPr>
            <w:tcW w:w="1757" w:type="dxa"/>
            <w:noWrap/>
            <w:hideMark/>
          </w:tcPr>
          <w:p w14:paraId="3BCC9B27" w14:textId="77777777" w:rsidR="007666D2" w:rsidRPr="007666D2" w:rsidRDefault="007666D2" w:rsidP="001F550D">
            <w:pPr>
              <w:pStyle w:val="TableBodyRight"/>
            </w:pPr>
            <w:r w:rsidRPr="007666D2">
              <w:t>4.9</w:t>
            </w:r>
          </w:p>
        </w:tc>
        <w:tc>
          <w:tcPr>
            <w:tcW w:w="1361" w:type="dxa"/>
            <w:noWrap/>
            <w:hideMark/>
          </w:tcPr>
          <w:p w14:paraId="3368FF0F" w14:textId="77777777" w:rsidR="007666D2" w:rsidRPr="007666D2" w:rsidRDefault="007666D2" w:rsidP="001F550D">
            <w:pPr>
              <w:pStyle w:val="TableBodyRight"/>
            </w:pPr>
            <w:r w:rsidRPr="007666D2">
              <w:t>6.0</w:t>
            </w:r>
          </w:p>
        </w:tc>
        <w:tc>
          <w:tcPr>
            <w:tcW w:w="1361" w:type="dxa"/>
            <w:noWrap/>
            <w:hideMark/>
          </w:tcPr>
          <w:p w14:paraId="5E0DBEC2" w14:textId="77777777" w:rsidR="007666D2" w:rsidRPr="007666D2" w:rsidRDefault="007666D2" w:rsidP="001F550D">
            <w:pPr>
              <w:pStyle w:val="TableBodyRight"/>
            </w:pPr>
            <w:r w:rsidRPr="007666D2">
              <w:t>3.6</w:t>
            </w:r>
          </w:p>
        </w:tc>
      </w:tr>
      <w:tr w:rsidR="008758CF" w:rsidRPr="007666D2" w14:paraId="79A9AAEB" w14:textId="77777777" w:rsidTr="00F9076D">
        <w:trPr>
          <w:trHeight w:val="288"/>
        </w:trPr>
        <w:tc>
          <w:tcPr>
            <w:tcW w:w="1247" w:type="dxa"/>
            <w:noWrap/>
            <w:hideMark/>
          </w:tcPr>
          <w:p w14:paraId="76E9AB5D" w14:textId="77777777" w:rsidR="007666D2" w:rsidRPr="007666D2" w:rsidRDefault="007666D2" w:rsidP="001F550D">
            <w:pPr>
              <w:pStyle w:val="TableBody"/>
            </w:pPr>
            <w:r w:rsidRPr="007666D2">
              <w:t>2007-08</w:t>
            </w:r>
          </w:p>
        </w:tc>
        <w:tc>
          <w:tcPr>
            <w:tcW w:w="1361" w:type="dxa"/>
            <w:noWrap/>
            <w:hideMark/>
          </w:tcPr>
          <w:p w14:paraId="7D600FBC" w14:textId="77777777" w:rsidR="007666D2" w:rsidRPr="007666D2" w:rsidRDefault="007666D2" w:rsidP="001F550D">
            <w:pPr>
              <w:pStyle w:val="TableBodyRight"/>
            </w:pPr>
            <w:r w:rsidRPr="007666D2">
              <w:t>22.2</w:t>
            </w:r>
          </w:p>
        </w:tc>
        <w:tc>
          <w:tcPr>
            <w:tcW w:w="1361" w:type="dxa"/>
            <w:noWrap/>
            <w:hideMark/>
          </w:tcPr>
          <w:p w14:paraId="6948905D" w14:textId="77777777" w:rsidR="007666D2" w:rsidRPr="007666D2" w:rsidRDefault="007666D2" w:rsidP="001F550D">
            <w:pPr>
              <w:pStyle w:val="TableBodyRight"/>
            </w:pPr>
            <w:r w:rsidRPr="007666D2">
              <w:t>18.2</w:t>
            </w:r>
          </w:p>
        </w:tc>
        <w:tc>
          <w:tcPr>
            <w:tcW w:w="1757" w:type="dxa"/>
            <w:noWrap/>
            <w:hideMark/>
          </w:tcPr>
          <w:p w14:paraId="1FD71D5F" w14:textId="77777777" w:rsidR="007666D2" w:rsidRPr="007666D2" w:rsidRDefault="007666D2" w:rsidP="001F550D">
            <w:pPr>
              <w:pStyle w:val="TableBodyRight"/>
            </w:pPr>
            <w:r w:rsidRPr="007666D2">
              <w:t>8.1</w:t>
            </w:r>
          </w:p>
        </w:tc>
        <w:tc>
          <w:tcPr>
            <w:tcW w:w="1757" w:type="dxa"/>
            <w:noWrap/>
            <w:hideMark/>
          </w:tcPr>
          <w:p w14:paraId="1A8E9A55" w14:textId="77777777" w:rsidR="007666D2" w:rsidRPr="007666D2" w:rsidRDefault="007666D2" w:rsidP="001F550D">
            <w:pPr>
              <w:pStyle w:val="TableBodyRight"/>
            </w:pPr>
            <w:r w:rsidRPr="007666D2">
              <w:t>5.4</w:t>
            </w:r>
          </w:p>
        </w:tc>
        <w:tc>
          <w:tcPr>
            <w:tcW w:w="1361" w:type="dxa"/>
            <w:noWrap/>
            <w:hideMark/>
          </w:tcPr>
          <w:p w14:paraId="6BC37A08" w14:textId="77777777" w:rsidR="007666D2" w:rsidRPr="007666D2" w:rsidRDefault="007666D2" w:rsidP="001F550D">
            <w:pPr>
              <w:pStyle w:val="TableBodyRight"/>
            </w:pPr>
            <w:r w:rsidRPr="007666D2">
              <w:t>5.9</w:t>
            </w:r>
          </w:p>
        </w:tc>
        <w:tc>
          <w:tcPr>
            <w:tcW w:w="1361" w:type="dxa"/>
            <w:noWrap/>
            <w:hideMark/>
          </w:tcPr>
          <w:p w14:paraId="452D65DD" w14:textId="77777777" w:rsidR="007666D2" w:rsidRPr="007666D2" w:rsidRDefault="007666D2" w:rsidP="001F550D">
            <w:pPr>
              <w:pStyle w:val="TableBodyRight"/>
            </w:pPr>
            <w:r w:rsidRPr="007666D2">
              <w:t>3.8</w:t>
            </w:r>
          </w:p>
        </w:tc>
      </w:tr>
      <w:tr w:rsidR="008758CF" w:rsidRPr="007666D2" w14:paraId="526F1051" w14:textId="77777777" w:rsidTr="00F9076D">
        <w:trPr>
          <w:trHeight w:val="288"/>
        </w:trPr>
        <w:tc>
          <w:tcPr>
            <w:tcW w:w="1247" w:type="dxa"/>
            <w:noWrap/>
            <w:hideMark/>
          </w:tcPr>
          <w:p w14:paraId="7D0EFF31" w14:textId="77777777" w:rsidR="007666D2" w:rsidRPr="007666D2" w:rsidRDefault="007666D2" w:rsidP="001F550D">
            <w:pPr>
              <w:pStyle w:val="TableBody"/>
            </w:pPr>
            <w:r w:rsidRPr="007666D2">
              <w:t>2008-09</w:t>
            </w:r>
          </w:p>
        </w:tc>
        <w:tc>
          <w:tcPr>
            <w:tcW w:w="1361" w:type="dxa"/>
            <w:noWrap/>
            <w:hideMark/>
          </w:tcPr>
          <w:p w14:paraId="4360E486" w14:textId="77777777" w:rsidR="007666D2" w:rsidRPr="007666D2" w:rsidRDefault="007666D2" w:rsidP="001F550D">
            <w:pPr>
              <w:pStyle w:val="TableBodyRight"/>
            </w:pPr>
            <w:r w:rsidRPr="007666D2">
              <w:t>19.1</w:t>
            </w:r>
          </w:p>
        </w:tc>
        <w:tc>
          <w:tcPr>
            <w:tcW w:w="1361" w:type="dxa"/>
            <w:noWrap/>
            <w:hideMark/>
          </w:tcPr>
          <w:p w14:paraId="772BCDE8" w14:textId="77777777" w:rsidR="007666D2" w:rsidRPr="007666D2" w:rsidRDefault="007666D2" w:rsidP="001F550D">
            <w:pPr>
              <w:pStyle w:val="TableBodyRight"/>
            </w:pPr>
            <w:r w:rsidRPr="007666D2">
              <w:t>16.3</w:t>
            </w:r>
          </w:p>
        </w:tc>
        <w:tc>
          <w:tcPr>
            <w:tcW w:w="1757" w:type="dxa"/>
            <w:noWrap/>
            <w:hideMark/>
          </w:tcPr>
          <w:p w14:paraId="66872654" w14:textId="77777777" w:rsidR="007666D2" w:rsidRPr="007666D2" w:rsidRDefault="007666D2" w:rsidP="001F550D">
            <w:pPr>
              <w:pStyle w:val="TableBodyRight"/>
            </w:pPr>
            <w:r w:rsidRPr="007666D2">
              <w:t>8.3</w:t>
            </w:r>
          </w:p>
        </w:tc>
        <w:tc>
          <w:tcPr>
            <w:tcW w:w="1757" w:type="dxa"/>
            <w:noWrap/>
            <w:hideMark/>
          </w:tcPr>
          <w:p w14:paraId="69D657D4" w14:textId="77777777" w:rsidR="007666D2" w:rsidRPr="007666D2" w:rsidRDefault="007666D2" w:rsidP="001F550D">
            <w:pPr>
              <w:pStyle w:val="TableBodyRight"/>
            </w:pPr>
            <w:r w:rsidRPr="007666D2">
              <w:t>5.5</w:t>
            </w:r>
          </w:p>
        </w:tc>
        <w:tc>
          <w:tcPr>
            <w:tcW w:w="1361" w:type="dxa"/>
            <w:noWrap/>
            <w:hideMark/>
          </w:tcPr>
          <w:p w14:paraId="5EF44EC2" w14:textId="77777777" w:rsidR="007666D2" w:rsidRPr="007666D2" w:rsidRDefault="007666D2" w:rsidP="001F550D">
            <w:pPr>
              <w:pStyle w:val="TableBodyRight"/>
            </w:pPr>
            <w:r w:rsidRPr="007666D2">
              <w:t>6.1</w:t>
            </w:r>
          </w:p>
        </w:tc>
        <w:tc>
          <w:tcPr>
            <w:tcW w:w="1361" w:type="dxa"/>
            <w:noWrap/>
            <w:hideMark/>
          </w:tcPr>
          <w:p w14:paraId="5D7E5426" w14:textId="77777777" w:rsidR="007666D2" w:rsidRPr="007666D2" w:rsidRDefault="007666D2" w:rsidP="001F550D">
            <w:pPr>
              <w:pStyle w:val="TableBodyRight"/>
            </w:pPr>
            <w:r w:rsidRPr="007666D2">
              <w:t>3.6</w:t>
            </w:r>
          </w:p>
        </w:tc>
      </w:tr>
      <w:tr w:rsidR="008758CF" w:rsidRPr="007666D2" w14:paraId="41B7E760" w14:textId="77777777" w:rsidTr="00F9076D">
        <w:trPr>
          <w:trHeight w:val="288"/>
        </w:trPr>
        <w:tc>
          <w:tcPr>
            <w:tcW w:w="1247" w:type="dxa"/>
            <w:noWrap/>
            <w:hideMark/>
          </w:tcPr>
          <w:p w14:paraId="09D1DD74" w14:textId="77777777" w:rsidR="007666D2" w:rsidRPr="007666D2" w:rsidRDefault="007666D2" w:rsidP="001F550D">
            <w:pPr>
              <w:pStyle w:val="TableBody"/>
            </w:pPr>
            <w:r w:rsidRPr="007666D2">
              <w:t>2009-10</w:t>
            </w:r>
          </w:p>
        </w:tc>
        <w:tc>
          <w:tcPr>
            <w:tcW w:w="1361" w:type="dxa"/>
            <w:noWrap/>
            <w:hideMark/>
          </w:tcPr>
          <w:p w14:paraId="53295F71" w14:textId="77777777" w:rsidR="007666D2" w:rsidRPr="007666D2" w:rsidRDefault="007666D2" w:rsidP="001F550D">
            <w:pPr>
              <w:pStyle w:val="TableBodyRight"/>
            </w:pPr>
            <w:r w:rsidRPr="007666D2">
              <w:t>19.1</w:t>
            </w:r>
          </w:p>
        </w:tc>
        <w:tc>
          <w:tcPr>
            <w:tcW w:w="1361" w:type="dxa"/>
            <w:noWrap/>
            <w:hideMark/>
          </w:tcPr>
          <w:p w14:paraId="753F43A5" w14:textId="77777777" w:rsidR="007666D2" w:rsidRPr="007666D2" w:rsidRDefault="007666D2" w:rsidP="001F550D">
            <w:pPr>
              <w:pStyle w:val="TableBodyRight"/>
            </w:pPr>
            <w:r w:rsidRPr="007666D2">
              <w:t>15.5</w:t>
            </w:r>
          </w:p>
        </w:tc>
        <w:tc>
          <w:tcPr>
            <w:tcW w:w="1757" w:type="dxa"/>
            <w:noWrap/>
            <w:hideMark/>
          </w:tcPr>
          <w:p w14:paraId="171309BB" w14:textId="77777777" w:rsidR="007666D2" w:rsidRPr="007666D2" w:rsidRDefault="007666D2" w:rsidP="001F550D">
            <w:pPr>
              <w:pStyle w:val="TableBodyRight"/>
            </w:pPr>
            <w:r w:rsidRPr="007666D2">
              <w:t>8.5</w:t>
            </w:r>
          </w:p>
        </w:tc>
        <w:tc>
          <w:tcPr>
            <w:tcW w:w="1757" w:type="dxa"/>
            <w:noWrap/>
            <w:hideMark/>
          </w:tcPr>
          <w:p w14:paraId="5068F6EA" w14:textId="77777777" w:rsidR="007666D2" w:rsidRPr="007666D2" w:rsidRDefault="007666D2" w:rsidP="001F550D">
            <w:pPr>
              <w:pStyle w:val="TableBodyRight"/>
            </w:pPr>
            <w:r w:rsidRPr="007666D2">
              <w:t>5.3</w:t>
            </w:r>
          </w:p>
        </w:tc>
        <w:tc>
          <w:tcPr>
            <w:tcW w:w="1361" w:type="dxa"/>
            <w:noWrap/>
            <w:hideMark/>
          </w:tcPr>
          <w:p w14:paraId="65D560BF" w14:textId="77777777" w:rsidR="007666D2" w:rsidRPr="007666D2" w:rsidRDefault="007666D2" w:rsidP="001F550D">
            <w:pPr>
              <w:pStyle w:val="TableBodyRight"/>
            </w:pPr>
            <w:r w:rsidRPr="007666D2">
              <w:t>7.3</w:t>
            </w:r>
          </w:p>
        </w:tc>
        <w:tc>
          <w:tcPr>
            <w:tcW w:w="1361" w:type="dxa"/>
            <w:noWrap/>
            <w:hideMark/>
          </w:tcPr>
          <w:p w14:paraId="45ED7540" w14:textId="77777777" w:rsidR="007666D2" w:rsidRPr="007666D2" w:rsidRDefault="007666D2" w:rsidP="001F550D">
            <w:pPr>
              <w:pStyle w:val="TableBodyRight"/>
            </w:pPr>
            <w:r w:rsidRPr="007666D2">
              <w:t>4.6</w:t>
            </w:r>
          </w:p>
        </w:tc>
      </w:tr>
      <w:tr w:rsidR="008758CF" w:rsidRPr="007666D2" w14:paraId="4E180FCD" w14:textId="77777777" w:rsidTr="00F9076D">
        <w:trPr>
          <w:trHeight w:val="288"/>
        </w:trPr>
        <w:tc>
          <w:tcPr>
            <w:tcW w:w="1247" w:type="dxa"/>
            <w:noWrap/>
            <w:hideMark/>
          </w:tcPr>
          <w:p w14:paraId="47342085" w14:textId="77777777" w:rsidR="007666D2" w:rsidRPr="007666D2" w:rsidRDefault="007666D2" w:rsidP="001F550D">
            <w:pPr>
              <w:pStyle w:val="TableBody"/>
            </w:pPr>
            <w:r w:rsidRPr="007666D2">
              <w:t>2010-11</w:t>
            </w:r>
          </w:p>
        </w:tc>
        <w:tc>
          <w:tcPr>
            <w:tcW w:w="1361" w:type="dxa"/>
            <w:noWrap/>
            <w:hideMark/>
          </w:tcPr>
          <w:p w14:paraId="35D07592" w14:textId="77777777" w:rsidR="007666D2" w:rsidRPr="007666D2" w:rsidRDefault="007666D2" w:rsidP="001F550D">
            <w:pPr>
              <w:pStyle w:val="TableBodyRight"/>
            </w:pPr>
            <w:r w:rsidRPr="007666D2">
              <w:t>20.4</w:t>
            </w:r>
          </w:p>
        </w:tc>
        <w:tc>
          <w:tcPr>
            <w:tcW w:w="1361" w:type="dxa"/>
            <w:noWrap/>
            <w:hideMark/>
          </w:tcPr>
          <w:p w14:paraId="193B210E" w14:textId="77777777" w:rsidR="007666D2" w:rsidRPr="007666D2" w:rsidRDefault="007666D2" w:rsidP="001F550D">
            <w:pPr>
              <w:pStyle w:val="TableBodyRight"/>
            </w:pPr>
            <w:r w:rsidRPr="007666D2">
              <w:t>17.0</w:t>
            </w:r>
          </w:p>
        </w:tc>
        <w:tc>
          <w:tcPr>
            <w:tcW w:w="1757" w:type="dxa"/>
            <w:noWrap/>
            <w:hideMark/>
          </w:tcPr>
          <w:p w14:paraId="0C6FE6B6" w14:textId="77777777" w:rsidR="007666D2" w:rsidRPr="007666D2" w:rsidRDefault="007666D2" w:rsidP="001F550D">
            <w:pPr>
              <w:pStyle w:val="TableBodyRight"/>
            </w:pPr>
            <w:r w:rsidRPr="007666D2">
              <w:t>7.5</w:t>
            </w:r>
          </w:p>
        </w:tc>
        <w:tc>
          <w:tcPr>
            <w:tcW w:w="1757" w:type="dxa"/>
            <w:noWrap/>
            <w:hideMark/>
          </w:tcPr>
          <w:p w14:paraId="3BF298AD" w14:textId="77777777" w:rsidR="007666D2" w:rsidRPr="007666D2" w:rsidRDefault="007666D2" w:rsidP="001F550D">
            <w:pPr>
              <w:pStyle w:val="TableBodyRight"/>
            </w:pPr>
            <w:r w:rsidRPr="007666D2">
              <w:t>5.0</w:t>
            </w:r>
          </w:p>
        </w:tc>
        <w:tc>
          <w:tcPr>
            <w:tcW w:w="1361" w:type="dxa"/>
            <w:noWrap/>
            <w:hideMark/>
          </w:tcPr>
          <w:p w14:paraId="64D80667" w14:textId="77777777" w:rsidR="007666D2" w:rsidRPr="007666D2" w:rsidRDefault="007666D2" w:rsidP="001F550D">
            <w:pPr>
              <w:pStyle w:val="TableBodyRight"/>
            </w:pPr>
            <w:r w:rsidRPr="007666D2">
              <w:t>6.6</w:t>
            </w:r>
          </w:p>
        </w:tc>
        <w:tc>
          <w:tcPr>
            <w:tcW w:w="1361" w:type="dxa"/>
            <w:noWrap/>
            <w:hideMark/>
          </w:tcPr>
          <w:p w14:paraId="4E7A8A4A" w14:textId="77777777" w:rsidR="007666D2" w:rsidRPr="007666D2" w:rsidRDefault="007666D2" w:rsidP="001F550D">
            <w:pPr>
              <w:pStyle w:val="TableBodyRight"/>
            </w:pPr>
            <w:r w:rsidRPr="007666D2">
              <w:t>4.5</w:t>
            </w:r>
          </w:p>
        </w:tc>
      </w:tr>
      <w:tr w:rsidR="008758CF" w:rsidRPr="007666D2" w14:paraId="0E24B7AA" w14:textId="77777777" w:rsidTr="00F9076D">
        <w:trPr>
          <w:trHeight w:val="288"/>
        </w:trPr>
        <w:tc>
          <w:tcPr>
            <w:tcW w:w="1247" w:type="dxa"/>
            <w:noWrap/>
            <w:hideMark/>
          </w:tcPr>
          <w:p w14:paraId="0C22F9ED" w14:textId="77777777" w:rsidR="007666D2" w:rsidRPr="007666D2" w:rsidRDefault="007666D2" w:rsidP="001F550D">
            <w:pPr>
              <w:pStyle w:val="TableBody"/>
            </w:pPr>
            <w:r w:rsidRPr="007666D2">
              <w:t>2011-12</w:t>
            </w:r>
          </w:p>
        </w:tc>
        <w:tc>
          <w:tcPr>
            <w:tcW w:w="1361" w:type="dxa"/>
            <w:noWrap/>
            <w:hideMark/>
          </w:tcPr>
          <w:p w14:paraId="34DAB365" w14:textId="77777777" w:rsidR="007666D2" w:rsidRPr="007666D2" w:rsidRDefault="007666D2" w:rsidP="001F550D">
            <w:pPr>
              <w:pStyle w:val="TableBodyRight"/>
            </w:pPr>
            <w:r w:rsidRPr="007666D2">
              <w:t>20.9</w:t>
            </w:r>
          </w:p>
        </w:tc>
        <w:tc>
          <w:tcPr>
            <w:tcW w:w="1361" w:type="dxa"/>
            <w:noWrap/>
            <w:hideMark/>
          </w:tcPr>
          <w:p w14:paraId="4520E94E" w14:textId="77777777" w:rsidR="007666D2" w:rsidRPr="007666D2" w:rsidRDefault="007666D2" w:rsidP="001F550D">
            <w:pPr>
              <w:pStyle w:val="TableBodyRight"/>
            </w:pPr>
            <w:r w:rsidRPr="007666D2">
              <w:t>18.6</w:t>
            </w:r>
          </w:p>
        </w:tc>
        <w:tc>
          <w:tcPr>
            <w:tcW w:w="1757" w:type="dxa"/>
            <w:noWrap/>
            <w:hideMark/>
          </w:tcPr>
          <w:p w14:paraId="1AA33758" w14:textId="77777777" w:rsidR="007666D2" w:rsidRPr="007666D2" w:rsidRDefault="007666D2" w:rsidP="001F550D">
            <w:pPr>
              <w:pStyle w:val="TableBodyRight"/>
            </w:pPr>
            <w:r w:rsidRPr="007666D2">
              <w:t>7.5</w:t>
            </w:r>
          </w:p>
        </w:tc>
        <w:tc>
          <w:tcPr>
            <w:tcW w:w="1757" w:type="dxa"/>
            <w:noWrap/>
            <w:hideMark/>
          </w:tcPr>
          <w:p w14:paraId="028EF4ED" w14:textId="77777777" w:rsidR="007666D2" w:rsidRPr="007666D2" w:rsidRDefault="007666D2" w:rsidP="001F550D">
            <w:pPr>
              <w:pStyle w:val="TableBodyRight"/>
            </w:pPr>
            <w:r w:rsidRPr="007666D2">
              <w:t>4.9</w:t>
            </w:r>
          </w:p>
        </w:tc>
        <w:tc>
          <w:tcPr>
            <w:tcW w:w="1361" w:type="dxa"/>
            <w:noWrap/>
            <w:hideMark/>
          </w:tcPr>
          <w:p w14:paraId="4156E64A" w14:textId="77777777" w:rsidR="007666D2" w:rsidRPr="007666D2" w:rsidRDefault="007666D2" w:rsidP="001F550D">
            <w:pPr>
              <w:pStyle w:val="TableBodyRight"/>
            </w:pPr>
            <w:r w:rsidRPr="007666D2">
              <w:t>7.1</w:t>
            </w:r>
          </w:p>
        </w:tc>
        <w:tc>
          <w:tcPr>
            <w:tcW w:w="1361" w:type="dxa"/>
            <w:noWrap/>
            <w:hideMark/>
          </w:tcPr>
          <w:p w14:paraId="3DCD7595" w14:textId="77777777" w:rsidR="007666D2" w:rsidRPr="007666D2" w:rsidRDefault="007666D2" w:rsidP="001F550D">
            <w:pPr>
              <w:pStyle w:val="TableBodyRight"/>
            </w:pPr>
            <w:r w:rsidRPr="007666D2">
              <w:t>4.4</w:t>
            </w:r>
          </w:p>
        </w:tc>
      </w:tr>
      <w:tr w:rsidR="008758CF" w:rsidRPr="007666D2" w14:paraId="2D0E2EF1" w14:textId="77777777" w:rsidTr="00F9076D">
        <w:trPr>
          <w:trHeight w:val="288"/>
        </w:trPr>
        <w:tc>
          <w:tcPr>
            <w:tcW w:w="1247" w:type="dxa"/>
            <w:noWrap/>
            <w:hideMark/>
          </w:tcPr>
          <w:p w14:paraId="31A6A2C4" w14:textId="77777777" w:rsidR="007666D2" w:rsidRPr="007666D2" w:rsidRDefault="007666D2" w:rsidP="001F550D">
            <w:pPr>
              <w:pStyle w:val="TableBody"/>
            </w:pPr>
            <w:r w:rsidRPr="007666D2">
              <w:t>2012-13</w:t>
            </w:r>
          </w:p>
        </w:tc>
        <w:tc>
          <w:tcPr>
            <w:tcW w:w="1361" w:type="dxa"/>
            <w:noWrap/>
            <w:hideMark/>
          </w:tcPr>
          <w:p w14:paraId="60BF00E8" w14:textId="77777777" w:rsidR="007666D2" w:rsidRPr="007666D2" w:rsidRDefault="007666D2" w:rsidP="001F550D">
            <w:pPr>
              <w:pStyle w:val="TableBodyRight"/>
            </w:pPr>
            <w:r w:rsidRPr="007666D2">
              <w:t>20.2</w:t>
            </w:r>
          </w:p>
        </w:tc>
        <w:tc>
          <w:tcPr>
            <w:tcW w:w="1361" w:type="dxa"/>
            <w:noWrap/>
            <w:hideMark/>
          </w:tcPr>
          <w:p w14:paraId="1A92BDF8" w14:textId="77777777" w:rsidR="007666D2" w:rsidRPr="007666D2" w:rsidRDefault="007666D2" w:rsidP="001F550D">
            <w:pPr>
              <w:pStyle w:val="TableBodyRight"/>
            </w:pPr>
            <w:r w:rsidRPr="007666D2">
              <w:t>16.0</w:t>
            </w:r>
          </w:p>
        </w:tc>
        <w:tc>
          <w:tcPr>
            <w:tcW w:w="1757" w:type="dxa"/>
            <w:noWrap/>
            <w:hideMark/>
          </w:tcPr>
          <w:p w14:paraId="0A8E85F9" w14:textId="77777777" w:rsidR="007666D2" w:rsidRPr="007666D2" w:rsidRDefault="007666D2" w:rsidP="001F550D">
            <w:pPr>
              <w:pStyle w:val="TableBodyRight"/>
            </w:pPr>
            <w:r w:rsidRPr="007666D2">
              <w:t>8.3</w:t>
            </w:r>
          </w:p>
        </w:tc>
        <w:tc>
          <w:tcPr>
            <w:tcW w:w="1757" w:type="dxa"/>
            <w:noWrap/>
            <w:hideMark/>
          </w:tcPr>
          <w:p w14:paraId="18B661C0" w14:textId="77777777" w:rsidR="007666D2" w:rsidRPr="007666D2" w:rsidRDefault="007666D2" w:rsidP="001F550D">
            <w:pPr>
              <w:pStyle w:val="TableBodyRight"/>
            </w:pPr>
            <w:r w:rsidRPr="007666D2">
              <w:t>5.7</w:t>
            </w:r>
          </w:p>
        </w:tc>
        <w:tc>
          <w:tcPr>
            <w:tcW w:w="1361" w:type="dxa"/>
            <w:noWrap/>
            <w:hideMark/>
          </w:tcPr>
          <w:p w14:paraId="27D0B062" w14:textId="77777777" w:rsidR="007666D2" w:rsidRPr="007666D2" w:rsidRDefault="007666D2" w:rsidP="001F550D">
            <w:pPr>
              <w:pStyle w:val="TableBodyRight"/>
            </w:pPr>
            <w:r w:rsidRPr="007666D2">
              <w:t>6.4</w:t>
            </w:r>
          </w:p>
        </w:tc>
        <w:tc>
          <w:tcPr>
            <w:tcW w:w="1361" w:type="dxa"/>
            <w:noWrap/>
            <w:hideMark/>
          </w:tcPr>
          <w:p w14:paraId="0C0B6AD5" w14:textId="77777777" w:rsidR="007666D2" w:rsidRPr="007666D2" w:rsidRDefault="007666D2" w:rsidP="001F550D">
            <w:pPr>
              <w:pStyle w:val="TableBodyRight"/>
            </w:pPr>
            <w:r w:rsidRPr="007666D2">
              <w:t>4.1</w:t>
            </w:r>
          </w:p>
        </w:tc>
      </w:tr>
      <w:tr w:rsidR="008758CF" w:rsidRPr="007666D2" w14:paraId="0501F827" w14:textId="77777777" w:rsidTr="00F9076D">
        <w:trPr>
          <w:trHeight w:val="288"/>
        </w:trPr>
        <w:tc>
          <w:tcPr>
            <w:tcW w:w="1247" w:type="dxa"/>
            <w:noWrap/>
            <w:hideMark/>
          </w:tcPr>
          <w:p w14:paraId="142BAAEC" w14:textId="77777777" w:rsidR="007666D2" w:rsidRPr="007666D2" w:rsidRDefault="007666D2" w:rsidP="001F550D">
            <w:pPr>
              <w:pStyle w:val="TableBody"/>
            </w:pPr>
            <w:r w:rsidRPr="007666D2">
              <w:t>2013-14</w:t>
            </w:r>
          </w:p>
        </w:tc>
        <w:tc>
          <w:tcPr>
            <w:tcW w:w="1361" w:type="dxa"/>
            <w:noWrap/>
            <w:hideMark/>
          </w:tcPr>
          <w:p w14:paraId="6A48CB44" w14:textId="77777777" w:rsidR="007666D2" w:rsidRPr="007666D2" w:rsidRDefault="007666D2" w:rsidP="001F550D">
            <w:pPr>
              <w:pStyle w:val="TableBodyRight"/>
            </w:pPr>
            <w:r w:rsidRPr="007666D2">
              <w:t>23.2</w:t>
            </w:r>
          </w:p>
        </w:tc>
        <w:tc>
          <w:tcPr>
            <w:tcW w:w="1361" w:type="dxa"/>
            <w:noWrap/>
            <w:hideMark/>
          </w:tcPr>
          <w:p w14:paraId="05AADE00" w14:textId="77777777" w:rsidR="007666D2" w:rsidRPr="007666D2" w:rsidRDefault="007666D2" w:rsidP="001F550D">
            <w:pPr>
              <w:pStyle w:val="TableBodyRight"/>
            </w:pPr>
            <w:r w:rsidRPr="007666D2">
              <w:t>19.9</w:t>
            </w:r>
          </w:p>
        </w:tc>
        <w:tc>
          <w:tcPr>
            <w:tcW w:w="1757" w:type="dxa"/>
            <w:noWrap/>
            <w:hideMark/>
          </w:tcPr>
          <w:p w14:paraId="071367DE" w14:textId="77777777" w:rsidR="007666D2" w:rsidRPr="007666D2" w:rsidRDefault="007666D2" w:rsidP="001F550D">
            <w:pPr>
              <w:pStyle w:val="TableBodyRight"/>
            </w:pPr>
            <w:r w:rsidRPr="007666D2">
              <w:t>7.4</w:t>
            </w:r>
          </w:p>
        </w:tc>
        <w:tc>
          <w:tcPr>
            <w:tcW w:w="1757" w:type="dxa"/>
            <w:noWrap/>
            <w:hideMark/>
          </w:tcPr>
          <w:p w14:paraId="0E84562A" w14:textId="77777777" w:rsidR="007666D2" w:rsidRPr="007666D2" w:rsidRDefault="007666D2" w:rsidP="001F550D">
            <w:pPr>
              <w:pStyle w:val="TableBodyRight"/>
            </w:pPr>
            <w:r w:rsidRPr="007666D2">
              <w:t>4.8</w:t>
            </w:r>
          </w:p>
        </w:tc>
        <w:tc>
          <w:tcPr>
            <w:tcW w:w="1361" w:type="dxa"/>
            <w:noWrap/>
            <w:hideMark/>
          </w:tcPr>
          <w:p w14:paraId="05EA4AAD" w14:textId="77777777" w:rsidR="007666D2" w:rsidRPr="007666D2" w:rsidRDefault="007666D2" w:rsidP="001F550D">
            <w:pPr>
              <w:pStyle w:val="TableBodyRight"/>
            </w:pPr>
            <w:r w:rsidRPr="007666D2">
              <w:t>6.8</w:t>
            </w:r>
          </w:p>
        </w:tc>
        <w:tc>
          <w:tcPr>
            <w:tcW w:w="1361" w:type="dxa"/>
            <w:noWrap/>
            <w:hideMark/>
          </w:tcPr>
          <w:p w14:paraId="083F71EB" w14:textId="77777777" w:rsidR="007666D2" w:rsidRPr="007666D2" w:rsidRDefault="007666D2" w:rsidP="001F550D">
            <w:pPr>
              <w:pStyle w:val="TableBodyRight"/>
            </w:pPr>
            <w:r w:rsidRPr="007666D2">
              <w:t>4.3</w:t>
            </w:r>
          </w:p>
        </w:tc>
      </w:tr>
      <w:tr w:rsidR="008758CF" w:rsidRPr="007666D2" w14:paraId="1397A34B" w14:textId="77777777" w:rsidTr="00F9076D">
        <w:trPr>
          <w:trHeight w:val="288"/>
        </w:trPr>
        <w:tc>
          <w:tcPr>
            <w:tcW w:w="1247" w:type="dxa"/>
            <w:noWrap/>
            <w:hideMark/>
          </w:tcPr>
          <w:p w14:paraId="379990FD" w14:textId="77777777" w:rsidR="007666D2" w:rsidRPr="007666D2" w:rsidRDefault="007666D2" w:rsidP="001F550D">
            <w:pPr>
              <w:pStyle w:val="TableBody"/>
            </w:pPr>
            <w:r w:rsidRPr="007666D2">
              <w:t>2014-15</w:t>
            </w:r>
          </w:p>
        </w:tc>
        <w:tc>
          <w:tcPr>
            <w:tcW w:w="1361" w:type="dxa"/>
            <w:noWrap/>
            <w:hideMark/>
          </w:tcPr>
          <w:p w14:paraId="195C02D1" w14:textId="77777777" w:rsidR="007666D2" w:rsidRPr="007666D2" w:rsidRDefault="007666D2" w:rsidP="001F550D">
            <w:pPr>
              <w:pStyle w:val="TableBodyRight"/>
            </w:pPr>
            <w:r w:rsidRPr="007666D2">
              <w:t>22.8</w:t>
            </w:r>
          </w:p>
        </w:tc>
        <w:tc>
          <w:tcPr>
            <w:tcW w:w="1361" w:type="dxa"/>
            <w:noWrap/>
            <w:hideMark/>
          </w:tcPr>
          <w:p w14:paraId="79E4DBA5" w14:textId="77777777" w:rsidR="007666D2" w:rsidRPr="007666D2" w:rsidRDefault="007666D2" w:rsidP="001F550D">
            <w:pPr>
              <w:pStyle w:val="TableBodyRight"/>
            </w:pPr>
            <w:r w:rsidRPr="007666D2">
              <w:t>19.1</w:t>
            </w:r>
          </w:p>
        </w:tc>
        <w:tc>
          <w:tcPr>
            <w:tcW w:w="1757" w:type="dxa"/>
            <w:noWrap/>
            <w:hideMark/>
          </w:tcPr>
          <w:p w14:paraId="5BCB5355" w14:textId="77777777" w:rsidR="007666D2" w:rsidRPr="007666D2" w:rsidRDefault="007666D2" w:rsidP="001F550D">
            <w:pPr>
              <w:pStyle w:val="TableBodyRight"/>
            </w:pPr>
            <w:r w:rsidRPr="007666D2">
              <w:t>8.9</w:t>
            </w:r>
          </w:p>
        </w:tc>
        <w:tc>
          <w:tcPr>
            <w:tcW w:w="1757" w:type="dxa"/>
            <w:noWrap/>
            <w:hideMark/>
          </w:tcPr>
          <w:p w14:paraId="2248D09A" w14:textId="77777777" w:rsidR="007666D2" w:rsidRPr="007666D2" w:rsidRDefault="007666D2" w:rsidP="001F550D">
            <w:pPr>
              <w:pStyle w:val="TableBodyRight"/>
            </w:pPr>
            <w:r w:rsidRPr="007666D2">
              <w:t>5.8</w:t>
            </w:r>
          </w:p>
        </w:tc>
        <w:tc>
          <w:tcPr>
            <w:tcW w:w="1361" w:type="dxa"/>
            <w:noWrap/>
            <w:hideMark/>
          </w:tcPr>
          <w:p w14:paraId="5E776CED" w14:textId="77777777" w:rsidR="007666D2" w:rsidRPr="007666D2" w:rsidRDefault="007666D2" w:rsidP="001F550D">
            <w:pPr>
              <w:pStyle w:val="TableBodyRight"/>
            </w:pPr>
            <w:r w:rsidRPr="007666D2">
              <w:t>7.3</w:t>
            </w:r>
          </w:p>
        </w:tc>
        <w:tc>
          <w:tcPr>
            <w:tcW w:w="1361" w:type="dxa"/>
            <w:noWrap/>
            <w:hideMark/>
          </w:tcPr>
          <w:p w14:paraId="269A96CB" w14:textId="77777777" w:rsidR="007666D2" w:rsidRPr="007666D2" w:rsidRDefault="007666D2" w:rsidP="001F550D">
            <w:pPr>
              <w:pStyle w:val="TableBodyRight"/>
            </w:pPr>
            <w:r w:rsidRPr="007666D2">
              <w:t>4.6</w:t>
            </w:r>
          </w:p>
        </w:tc>
      </w:tr>
      <w:tr w:rsidR="008758CF" w:rsidRPr="007666D2" w14:paraId="7C2F9A77" w14:textId="77777777" w:rsidTr="00F9076D">
        <w:trPr>
          <w:trHeight w:val="288"/>
        </w:trPr>
        <w:tc>
          <w:tcPr>
            <w:tcW w:w="1247" w:type="dxa"/>
            <w:noWrap/>
            <w:hideMark/>
          </w:tcPr>
          <w:p w14:paraId="3B603AE7" w14:textId="77777777" w:rsidR="007666D2" w:rsidRPr="007666D2" w:rsidRDefault="007666D2" w:rsidP="001F550D">
            <w:pPr>
              <w:pStyle w:val="TableBody"/>
            </w:pPr>
            <w:r w:rsidRPr="007666D2">
              <w:t>2015-16</w:t>
            </w:r>
          </w:p>
        </w:tc>
        <w:tc>
          <w:tcPr>
            <w:tcW w:w="1361" w:type="dxa"/>
            <w:noWrap/>
            <w:hideMark/>
          </w:tcPr>
          <w:p w14:paraId="75C094C5" w14:textId="77777777" w:rsidR="007666D2" w:rsidRPr="007666D2" w:rsidRDefault="007666D2" w:rsidP="001F550D">
            <w:pPr>
              <w:pStyle w:val="TableBodyRight"/>
            </w:pPr>
            <w:r w:rsidRPr="007666D2">
              <w:t>23.0</w:t>
            </w:r>
          </w:p>
        </w:tc>
        <w:tc>
          <w:tcPr>
            <w:tcW w:w="1361" w:type="dxa"/>
            <w:noWrap/>
            <w:hideMark/>
          </w:tcPr>
          <w:p w14:paraId="78183622" w14:textId="77777777" w:rsidR="007666D2" w:rsidRPr="007666D2" w:rsidRDefault="007666D2" w:rsidP="001F550D">
            <w:pPr>
              <w:pStyle w:val="TableBodyRight"/>
            </w:pPr>
            <w:r w:rsidRPr="007666D2">
              <w:t>18.3</w:t>
            </w:r>
          </w:p>
        </w:tc>
        <w:tc>
          <w:tcPr>
            <w:tcW w:w="1757" w:type="dxa"/>
            <w:noWrap/>
            <w:hideMark/>
          </w:tcPr>
          <w:p w14:paraId="53E1BE32" w14:textId="77777777" w:rsidR="007666D2" w:rsidRPr="007666D2" w:rsidRDefault="007666D2" w:rsidP="001F550D">
            <w:pPr>
              <w:pStyle w:val="TableBodyRight"/>
            </w:pPr>
            <w:r w:rsidRPr="007666D2">
              <w:t>7.6</w:t>
            </w:r>
          </w:p>
        </w:tc>
        <w:tc>
          <w:tcPr>
            <w:tcW w:w="1757" w:type="dxa"/>
            <w:noWrap/>
            <w:hideMark/>
          </w:tcPr>
          <w:p w14:paraId="164A6A25" w14:textId="77777777" w:rsidR="007666D2" w:rsidRPr="007666D2" w:rsidRDefault="007666D2" w:rsidP="001F550D">
            <w:pPr>
              <w:pStyle w:val="TableBodyRight"/>
            </w:pPr>
            <w:r w:rsidRPr="007666D2">
              <w:t>5.3</w:t>
            </w:r>
          </w:p>
        </w:tc>
        <w:tc>
          <w:tcPr>
            <w:tcW w:w="1361" w:type="dxa"/>
            <w:noWrap/>
            <w:hideMark/>
          </w:tcPr>
          <w:p w14:paraId="3FD6C916" w14:textId="77777777" w:rsidR="007666D2" w:rsidRPr="007666D2" w:rsidRDefault="007666D2" w:rsidP="001F550D">
            <w:pPr>
              <w:pStyle w:val="TableBodyRight"/>
            </w:pPr>
            <w:r w:rsidRPr="007666D2">
              <w:t>8.7</w:t>
            </w:r>
          </w:p>
        </w:tc>
        <w:tc>
          <w:tcPr>
            <w:tcW w:w="1361" w:type="dxa"/>
            <w:noWrap/>
            <w:hideMark/>
          </w:tcPr>
          <w:p w14:paraId="2DED1AF3" w14:textId="77777777" w:rsidR="007666D2" w:rsidRPr="007666D2" w:rsidRDefault="007666D2" w:rsidP="001F550D">
            <w:pPr>
              <w:pStyle w:val="TableBodyRight"/>
            </w:pPr>
            <w:r w:rsidRPr="007666D2">
              <w:t>5.7</w:t>
            </w:r>
          </w:p>
        </w:tc>
      </w:tr>
      <w:tr w:rsidR="008758CF" w:rsidRPr="007666D2" w14:paraId="195401EC" w14:textId="77777777" w:rsidTr="00F9076D">
        <w:trPr>
          <w:trHeight w:val="288"/>
        </w:trPr>
        <w:tc>
          <w:tcPr>
            <w:tcW w:w="1247" w:type="dxa"/>
            <w:noWrap/>
            <w:hideMark/>
          </w:tcPr>
          <w:p w14:paraId="4945BE4B" w14:textId="77777777" w:rsidR="007666D2" w:rsidRPr="007666D2" w:rsidRDefault="007666D2" w:rsidP="001F550D">
            <w:pPr>
              <w:pStyle w:val="TableBody"/>
            </w:pPr>
            <w:r w:rsidRPr="007666D2">
              <w:t>2016-17</w:t>
            </w:r>
          </w:p>
        </w:tc>
        <w:tc>
          <w:tcPr>
            <w:tcW w:w="1361" w:type="dxa"/>
            <w:noWrap/>
            <w:hideMark/>
          </w:tcPr>
          <w:p w14:paraId="13A20EDA" w14:textId="77777777" w:rsidR="007666D2" w:rsidRPr="007666D2" w:rsidRDefault="007666D2" w:rsidP="001F550D">
            <w:pPr>
              <w:pStyle w:val="TableBodyRight"/>
            </w:pPr>
            <w:r w:rsidRPr="007666D2">
              <w:t>20.3</w:t>
            </w:r>
          </w:p>
        </w:tc>
        <w:tc>
          <w:tcPr>
            <w:tcW w:w="1361" w:type="dxa"/>
            <w:noWrap/>
            <w:hideMark/>
          </w:tcPr>
          <w:p w14:paraId="4B207F3C" w14:textId="77777777" w:rsidR="007666D2" w:rsidRPr="007666D2" w:rsidRDefault="007666D2" w:rsidP="001F550D">
            <w:pPr>
              <w:pStyle w:val="TableBodyRight"/>
            </w:pPr>
            <w:r w:rsidRPr="007666D2">
              <w:t>16.1</w:t>
            </w:r>
          </w:p>
        </w:tc>
        <w:tc>
          <w:tcPr>
            <w:tcW w:w="1757" w:type="dxa"/>
            <w:noWrap/>
            <w:hideMark/>
          </w:tcPr>
          <w:p w14:paraId="38BE09EC" w14:textId="77777777" w:rsidR="007666D2" w:rsidRPr="007666D2" w:rsidRDefault="007666D2" w:rsidP="001F550D">
            <w:pPr>
              <w:pStyle w:val="TableBodyRight"/>
            </w:pPr>
            <w:r w:rsidRPr="007666D2">
              <w:t>8.9</w:t>
            </w:r>
          </w:p>
        </w:tc>
        <w:tc>
          <w:tcPr>
            <w:tcW w:w="1757" w:type="dxa"/>
            <w:noWrap/>
            <w:hideMark/>
          </w:tcPr>
          <w:p w14:paraId="6D8F7680" w14:textId="77777777" w:rsidR="007666D2" w:rsidRPr="007666D2" w:rsidRDefault="007666D2" w:rsidP="001F550D">
            <w:pPr>
              <w:pStyle w:val="TableBodyRight"/>
            </w:pPr>
            <w:r w:rsidRPr="007666D2">
              <w:t>5.9</w:t>
            </w:r>
          </w:p>
        </w:tc>
        <w:tc>
          <w:tcPr>
            <w:tcW w:w="1361" w:type="dxa"/>
            <w:noWrap/>
            <w:hideMark/>
          </w:tcPr>
          <w:p w14:paraId="33C20F8D" w14:textId="77777777" w:rsidR="007666D2" w:rsidRPr="007666D2" w:rsidRDefault="007666D2" w:rsidP="001F550D">
            <w:pPr>
              <w:pStyle w:val="TableBodyRight"/>
            </w:pPr>
            <w:r w:rsidRPr="007666D2">
              <w:t>7.3</w:t>
            </w:r>
          </w:p>
        </w:tc>
        <w:tc>
          <w:tcPr>
            <w:tcW w:w="1361" w:type="dxa"/>
            <w:noWrap/>
            <w:hideMark/>
          </w:tcPr>
          <w:p w14:paraId="36DB6239" w14:textId="77777777" w:rsidR="007666D2" w:rsidRPr="007666D2" w:rsidRDefault="007666D2" w:rsidP="001F550D">
            <w:pPr>
              <w:pStyle w:val="TableBodyRight"/>
            </w:pPr>
            <w:r w:rsidRPr="007666D2">
              <w:t>4.7</w:t>
            </w:r>
          </w:p>
        </w:tc>
      </w:tr>
      <w:tr w:rsidR="008758CF" w:rsidRPr="007666D2" w14:paraId="63EAC943" w14:textId="77777777" w:rsidTr="00F9076D">
        <w:trPr>
          <w:trHeight w:val="288"/>
        </w:trPr>
        <w:tc>
          <w:tcPr>
            <w:tcW w:w="1247" w:type="dxa"/>
            <w:noWrap/>
            <w:hideMark/>
          </w:tcPr>
          <w:p w14:paraId="46DA6CB6" w14:textId="77777777" w:rsidR="007666D2" w:rsidRPr="007666D2" w:rsidRDefault="007666D2" w:rsidP="001F550D">
            <w:pPr>
              <w:pStyle w:val="TableBody"/>
            </w:pPr>
            <w:r w:rsidRPr="007666D2">
              <w:lastRenderedPageBreak/>
              <w:t>2017-18</w:t>
            </w:r>
          </w:p>
        </w:tc>
        <w:tc>
          <w:tcPr>
            <w:tcW w:w="1361" w:type="dxa"/>
            <w:noWrap/>
            <w:hideMark/>
          </w:tcPr>
          <w:p w14:paraId="448961E0" w14:textId="77777777" w:rsidR="007666D2" w:rsidRPr="007666D2" w:rsidRDefault="007666D2" w:rsidP="001F550D">
            <w:pPr>
              <w:pStyle w:val="TableBodyRight"/>
            </w:pPr>
            <w:r w:rsidRPr="007666D2">
              <w:t>24.1</w:t>
            </w:r>
          </w:p>
        </w:tc>
        <w:tc>
          <w:tcPr>
            <w:tcW w:w="1361" w:type="dxa"/>
            <w:noWrap/>
            <w:hideMark/>
          </w:tcPr>
          <w:p w14:paraId="657CAD75" w14:textId="77777777" w:rsidR="007666D2" w:rsidRPr="007666D2" w:rsidRDefault="007666D2" w:rsidP="001F550D">
            <w:pPr>
              <w:pStyle w:val="TableBodyRight"/>
            </w:pPr>
            <w:r w:rsidRPr="007666D2">
              <w:t>19.3</w:t>
            </w:r>
          </w:p>
        </w:tc>
        <w:tc>
          <w:tcPr>
            <w:tcW w:w="1757" w:type="dxa"/>
            <w:noWrap/>
            <w:hideMark/>
          </w:tcPr>
          <w:p w14:paraId="7B174E99" w14:textId="77777777" w:rsidR="007666D2" w:rsidRPr="007666D2" w:rsidRDefault="007666D2" w:rsidP="001F550D">
            <w:pPr>
              <w:pStyle w:val="TableBodyRight"/>
            </w:pPr>
            <w:r w:rsidRPr="007666D2">
              <w:t>9.2</w:t>
            </w:r>
          </w:p>
        </w:tc>
        <w:tc>
          <w:tcPr>
            <w:tcW w:w="1757" w:type="dxa"/>
            <w:noWrap/>
            <w:hideMark/>
          </w:tcPr>
          <w:p w14:paraId="482F2F67" w14:textId="77777777" w:rsidR="007666D2" w:rsidRPr="007666D2" w:rsidRDefault="007666D2" w:rsidP="001F550D">
            <w:pPr>
              <w:pStyle w:val="TableBodyRight"/>
            </w:pPr>
            <w:r w:rsidRPr="007666D2">
              <w:t>6.2</w:t>
            </w:r>
          </w:p>
        </w:tc>
        <w:tc>
          <w:tcPr>
            <w:tcW w:w="1361" w:type="dxa"/>
            <w:noWrap/>
            <w:hideMark/>
          </w:tcPr>
          <w:p w14:paraId="553A6AF1" w14:textId="77777777" w:rsidR="007666D2" w:rsidRPr="007666D2" w:rsidRDefault="007666D2" w:rsidP="001F550D">
            <w:pPr>
              <w:pStyle w:val="TableBodyRight"/>
            </w:pPr>
            <w:r w:rsidRPr="007666D2">
              <w:t>8.2</w:t>
            </w:r>
          </w:p>
        </w:tc>
        <w:tc>
          <w:tcPr>
            <w:tcW w:w="1361" w:type="dxa"/>
            <w:noWrap/>
            <w:hideMark/>
          </w:tcPr>
          <w:p w14:paraId="3D25884D" w14:textId="77777777" w:rsidR="007666D2" w:rsidRPr="007666D2" w:rsidRDefault="007666D2" w:rsidP="001F550D">
            <w:pPr>
              <w:pStyle w:val="TableBodyRight"/>
            </w:pPr>
            <w:r w:rsidRPr="007666D2">
              <w:t>5.2</w:t>
            </w:r>
          </w:p>
        </w:tc>
      </w:tr>
      <w:tr w:rsidR="008758CF" w:rsidRPr="007666D2" w14:paraId="2FA5ED43" w14:textId="77777777" w:rsidTr="00F9076D">
        <w:trPr>
          <w:trHeight w:val="288"/>
        </w:trPr>
        <w:tc>
          <w:tcPr>
            <w:tcW w:w="1247" w:type="dxa"/>
            <w:noWrap/>
            <w:hideMark/>
          </w:tcPr>
          <w:p w14:paraId="413800A2" w14:textId="77777777" w:rsidR="007666D2" w:rsidRPr="007666D2" w:rsidRDefault="007666D2" w:rsidP="001F550D">
            <w:pPr>
              <w:pStyle w:val="TableBody"/>
            </w:pPr>
            <w:r w:rsidRPr="007666D2">
              <w:t>2018-19</w:t>
            </w:r>
          </w:p>
        </w:tc>
        <w:tc>
          <w:tcPr>
            <w:tcW w:w="1361" w:type="dxa"/>
            <w:noWrap/>
            <w:hideMark/>
          </w:tcPr>
          <w:p w14:paraId="1C7D12E8" w14:textId="77777777" w:rsidR="007666D2" w:rsidRPr="007666D2" w:rsidRDefault="007666D2" w:rsidP="001F550D">
            <w:pPr>
              <w:pStyle w:val="TableBodyRight"/>
            </w:pPr>
            <w:r w:rsidRPr="007666D2">
              <w:t>23.1</w:t>
            </w:r>
          </w:p>
        </w:tc>
        <w:tc>
          <w:tcPr>
            <w:tcW w:w="1361" w:type="dxa"/>
            <w:noWrap/>
            <w:hideMark/>
          </w:tcPr>
          <w:p w14:paraId="054B0FC6" w14:textId="77777777" w:rsidR="007666D2" w:rsidRPr="007666D2" w:rsidRDefault="007666D2" w:rsidP="001F550D">
            <w:pPr>
              <w:pStyle w:val="TableBodyRight"/>
            </w:pPr>
            <w:r w:rsidRPr="007666D2">
              <w:t>18.2</w:t>
            </w:r>
          </w:p>
        </w:tc>
        <w:tc>
          <w:tcPr>
            <w:tcW w:w="1757" w:type="dxa"/>
            <w:noWrap/>
            <w:hideMark/>
          </w:tcPr>
          <w:p w14:paraId="2BA8C8F7" w14:textId="77777777" w:rsidR="007666D2" w:rsidRPr="007666D2" w:rsidRDefault="007666D2" w:rsidP="001F550D">
            <w:pPr>
              <w:pStyle w:val="TableBodyRight"/>
            </w:pPr>
            <w:r w:rsidRPr="007666D2">
              <w:t>9.6</w:t>
            </w:r>
          </w:p>
        </w:tc>
        <w:tc>
          <w:tcPr>
            <w:tcW w:w="1757" w:type="dxa"/>
            <w:noWrap/>
            <w:hideMark/>
          </w:tcPr>
          <w:p w14:paraId="053281C1" w14:textId="77777777" w:rsidR="007666D2" w:rsidRPr="007666D2" w:rsidRDefault="007666D2" w:rsidP="001F550D">
            <w:pPr>
              <w:pStyle w:val="TableBodyRight"/>
            </w:pPr>
            <w:r w:rsidRPr="007666D2">
              <w:t>7.0</w:t>
            </w:r>
          </w:p>
        </w:tc>
        <w:tc>
          <w:tcPr>
            <w:tcW w:w="1361" w:type="dxa"/>
            <w:noWrap/>
            <w:hideMark/>
          </w:tcPr>
          <w:p w14:paraId="7DA86A4E" w14:textId="77777777" w:rsidR="007666D2" w:rsidRPr="007666D2" w:rsidRDefault="007666D2" w:rsidP="001F550D">
            <w:pPr>
              <w:pStyle w:val="TableBodyRight"/>
            </w:pPr>
            <w:r w:rsidRPr="007666D2">
              <w:t>7.8</w:t>
            </w:r>
          </w:p>
        </w:tc>
        <w:tc>
          <w:tcPr>
            <w:tcW w:w="1361" w:type="dxa"/>
            <w:noWrap/>
            <w:hideMark/>
          </w:tcPr>
          <w:p w14:paraId="41031E15" w14:textId="77777777" w:rsidR="007666D2" w:rsidRPr="007666D2" w:rsidRDefault="007666D2" w:rsidP="001F550D">
            <w:pPr>
              <w:pStyle w:val="TableBodyRight"/>
            </w:pPr>
            <w:r w:rsidRPr="007666D2">
              <w:t>4.9</w:t>
            </w:r>
          </w:p>
        </w:tc>
      </w:tr>
      <w:tr w:rsidR="008758CF" w:rsidRPr="007666D2" w14:paraId="16BF0026" w14:textId="77777777" w:rsidTr="00F9076D">
        <w:trPr>
          <w:trHeight w:val="288"/>
        </w:trPr>
        <w:tc>
          <w:tcPr>
            <w:tcW w:w="1247" w:type="dxa"/>
            <w:noWrap/>
            <w:hideMark/>
          </w:tcPr>
          <w:p w14:paraId="0B8BF0D2" w14:textId="77777777" w:rsidR="007666D2" w:rsidRPr="007666D2" w:rsidRDefault="007666D2" w:rsidP="001F550D">
            <w:pPr>
              <w:pStyle w:val="TableBody"/>
            </w:pPr>
            <w:r w:rsidRPr="007666D2">
              <w:t>2019-20</w:t>
            </w:r>
          </w:p>
        </w:tc>
        <w:tc>
          <w:tcPr>
            <w:tcW w:w="1361" w:type="dxa"/>
            <w:noWrap/>
            <w:hideMark/>
          </w:tcPr>
          <w:p w14:paraId="12A254BA" w14:textId="77777777" w:rsidR="007666D2" w:rsidRPr="007666D2" w:rsidRDefault="007666D2" w:rsidP="001F550D">
            <w:pPr>
              <w:pStyle w:val="TableBodyRight"/>
            </w:pPr>
            <w:r w:rsidRPr="007666D2">
              <w:t>24.5</w:t>
            </w:r>
          </w:p>
        </w:tc>
        <w:tc>
          <w:tcPr>
            <w:tcW w:w="1361" w:type="dxa"/>
            <w:noWrap/>
            <w:hideMark/>
          </w:tcPr>
          <w:p w14:paraId="78990C07" w14:textId="77777777" w:rsidR="007666D2" w:rsidRPr="007666D2" w:rsidRDefault="007666D2" w:rsidP="001F550D">
            <w:pPr>
              <w:pStyle w:val="TableBodyRight"/>
            </w:pPr>
            <w:r w:rsidRPr="007666D2">
              <w:t>18.5</w:t>
            </w:r>
          </w:p>
        </w:tc>
        <w:tc>
          <w:tcPr>
            <w:tcW w:w="1757" w:type="dxa"/>
            <w:noWrap/>
            <w:hideMark/>
          </w:tcPr>
          <w:p w14:paraId="226F6C0B" w14:textId="77777777" w:rsidR="007666D2" w:rsidRPr="007666D2" w:rsidRDefault="007666D2" w:rsidP="001F550D">
            <w:pPr>
              <w:pStyle w:val="TableBodyRight"/>
            </w:pPr>
            <w:r w:rsidRPr="007666D2">
              <w:t>7.6</w:t>
            </w:r>
          </w:p>
        </w:tc>
        <w:tc>
          <w:tcPr>
            <w:tcW w:w="1757" w:type="dxa"/>
            <w:noWrap/>
            <w:hideMark/>
          </w:tcPr>
          <w:p w14:paraId="2790B372" w14:textId="77777777" w:rsidR="007666D2" w:rsidRPr="007666D2" w:rsidRDefault="007666D2" w:rsidP="001F550D">
            <w:pPr>
              <w:pStyle w:val="TableBodyRight"/>
            </w:pPr>
            <w:r w:rsidRPr="007666D2">
              <w:t>5.2</w:t>
            </w:r>
          </w:p>
        </w:tc>
        <w:tc>
          <w:tcPr>
            <w:tcW w:w="1361" w:type="dxa"/>
            <w:noWrap/>
            <w:hideMark/>
          </w:tcPr>
          <w:p w14:paraId="7540E0E5" w14:textId="77777777" w:rsidR="007666D2" w:rsidRPr="007666D2" w:rsidRDefault="007666D2" w:rsidP="001F550D">
            <w:pPr>
              <w:pStyle w:val="TableBodyRight"/>
            </w:pPr>
            <w:r w:rsidRPr="007666D2">
              <w:t>8.8</w:t>
            </w:r>
          </w:p>
        </w:tc>
        <w:tc>
          <w:tcPr>
            <w:tcW w:w="1361" w:type="dxa"/>
            <w:noWrap/>
            <w:hideMark/>
          </w:tcPr>
          <w:p w14:paraId="5500B224" w14:textId="77777777" w:rsidR="007666D2" w:rsidRPr="007666D2" w:rsidRDefault="007666D2" w:rsidP="001F550D">
            <w:pPr>
              <w:pStyle w:val="TableBodyRight"/>
            </w:pPr>
            <w:r w:rsidRPr="007666D2">
              <w:t>5.9</w:t>
            </w:r>
          </w:p>
        </w:tc>
      </w:tr>
    </w:tbl>
    <w:p w14:paraId="6B81EA20" w14:textId="77777777" w:rsidR="00E62AE6" w:rsidRPr="00E62AE6" w:rsidRDefault="00E62AE6" w:rsidP="00CD4BE8">
      <w:pPr>
        <w:pStyle w:val="Heading1"/>
      </w:pPr>
      <w:bookmarkStart w:id="5" w:name="_Toc112770335"/>
      <w:r w:rsidRPr="00E62AE6">
        <w:lastRenderedPageBreak/>
        <w:t>Serious violent offences</w:t>
      </w:r>
      <w:bookmarkEnd w:id="5"/>
    </w:p>
    <w:p w14:paraId="71FFB267" w14:textId="77777777" w:rsidR="00E62AE6" w:rsidRPr="00E62AE6" w:rsidRDefault="00E62AE6" w:rsidP="0031029F">
      <w:r w:rsidRPr="00E62AE6">
        <w:rPr>
          <w:rStyle w:val="Italic"/>
        </w:rPr>
        <w:t xml:space="preserve">Snapshots </w:t>
      </w:r>
      <w:r w:rsidRPr="0031029F">
        <w:t>cover</w:t>
      </w:r>
      <w:r w:rsidRPr="00E62AE6">
        <w:rPr>
          <w:rStyle w:val="Italic"/>
        </w:rPr>
        <w:t xml:space="preserve"> </w:t>
      </w:r>
      <w:r w:rsidRPr="0031029F">
        <w:t xml:space="preserve">four serious violent offences, with varying maximum penalties: recklessly causing injury (5 years), intentionally causing injury (10 years), recklessly causing serious injury (15 years) and intentionally causing serious injury (20 years). While intentionally causing serious injury must be dealt with in the higher courts, the other three offences can be, and often are, dealt with in the Magistrates’ Court instead. Indeed, given that most cases involving recklessly causing injury are dealt with in the Magistrates’ Court, the number of cases involving that offence are included for context, but the custodial sentence rates and average prison sentences are not. Also, the data below for intentionally causing injury and recklessly causing injury is limited to the years 2006–07 onwards because in the early years either those offences were merged into a single </w:t>
      </w:r>
      <w:r w:rsidRPr="00E62AE6">
        <w:rPr>
          <w:rStyle w:val="Italic"/>
        </w:rPr>
        <w:t xml:space="preserve">Snapshot </w:t>
      </w:r>
      <w:r w:rsidRPr="00E62AE6">
        <w:t xml:space="preserve">or they covered sentencing outcomes in the Magistrates’ Court rather than in the higher courts. </w:t>
      </w:r>
    </w:p>
    <w:p w14:paraId="796BFF18" w14:textId="77777777" w:rsidR="00E62AE6" w:rsidRPr="0031029F" w:rsidRDefault="00E62AE6" w:rsidP="0031029F">
      <w:r w:rsidRPr="00E62AE6">
        <w:t xml:space="preserve">The number of people sentenced in the higher courts for the four serious violent offences has decreased markedly since 2006–07 (Figure 7), from 363 cases to just 132 cases in 2020–21, with most of the decrease being in the number of </w:t>
      </w:r>
      <w:r w:rsidRPr="00E62AE6">
        <w:rPr>
          <w:rStyle w:val="Italic"/>
        </w:rPr>
        <w:t>causing</w:t>
      </w:r>
      <w:r w:rsidRPr="0031029F">
        <w:t xml:space="preserve"> </w:t>
      </w:r>
      <w:r w:rsidRPr="00E62AE6">
        <w:rPr>
          <w:rStyle w:val="Italic"/>
        </w:rPr>
        <w:t xml:space="preserve">serious injury </w:t>
      </w:r>
      <w:r w:rsidRPr="0031029F">
        <w:t xml:space="preserve">cases as opposed to </w:t>
      </w:r>
      <w:r w:rsidRPr="00E62AE6">
        <w:rPr>
          <w:rStyle w:val="Italic"/>
        </w:rPr>
        <w:t>causing</w:t>
      </w:r>
      <w:r w:rsidRPr="0031029F">
        <w:t xml:space="preserve"> </w:t>
      </w:r>
      <w:r w:rsidRPr="00E62AE6">
        <w:rPr>
          <w:rStyle w:val="Italic"/>
        </w:rPr>
        <w:t xml:space="preserve">injury </w:t>
      </w:r>
      <w:r w:rsidRPr="0031029F">
        <w:t>cases. Rather than being a product of plea negotiations to lesser offences, this is likely to be due to a significant decline in the number of causing serious injury offences being recorded by police.</w:t>
      </w:r>
      <w:r w:rsidRPr="00E62AE6">
        <w:rPr>
          <w:rStyle w:val="Superscript"/>
        </w:rPr>
        <w:footnoteReference w:id="25"/>
      </w:r>
      <w:r w:rsidRPr="0031029F">
        <w:t xml:space="preserve"> </w:t>
      </w:r>
    </w:p>
    <w:p w14:paraId="3F26284A" w14:textId="77777777" w:rsidR="00E62AE6" w:rsidRPr="00E62AE6" w:rsidRDefault="00E62AE6" w:rsidP="004C2D4A">
      <w:pPr>
        <w:pStyle w:val="Caption"/>
        <w:keepLines/>
      </w:pPr>
      <w:r w:rsidRPr="00E62AE6">
        <w:lastRenderedPageBreak/>
        <w:t>Figure 7: Number of people sentenced in the higher courts for serious violent offences, 2001–02 to 2020–21</w:t>
      </w:r>
    </w:p>
    <w:tbl>
      <w:tblPr>
        <w:tblStyle w:val="Table"/>
        <w:tblW w:w="0" w:type="auto"/>
        <w:tblLayout w:type="fixed"/>
        <w:tblLook w:val="04A0" w:firstRow="1" w:lastRow="0" w:firstColumn="1" w:lastColumn="0" w:noHBand="0" w:noVBand="1"/>
      </w:tblPr>
      <w:tblGrid>
        <w:gridCol w:w="1803"/>
        <w:gridCol w:w="1803"/>
        <w:gridCol w:w="1803"/>
        <w:gridCol w:w="1803"/>
        <w:gridCol w:w="1804"/>
      </w:tblGrid>
      <w:tr w:rsidR="004C2D4A" w:rsidRPr="00623DAF" w14:paraId="6EA7A2DE" w14:textId="77777777" w:rsidTr="008144D7">
        <w:trPr>
          <w:trHeight w:val="288"/>
          <w:tblHeader/>
        </w:trPr>
        <w:tc>
          <w:tcPr>
            <w:tcW w:w="1803" w:type="dxa"/>
            <w:noWrap/>
            <w:hideMark/>
          </w:tcPr>
          <w:p w14:paraId="3947537E" w14:textId="77777777" w:rsidR="00623DAF" w:rsidRPr="00623DAF" w:rsidRDefault="00623DAF" w:rsidP="004C2D4A">
            <w:pPr>
              <w:pStyle w:val="TableHeading"/>
              <w:keepNext/>
              <w:keepLines/>
            </w:pPr>
            <w:r w:rsidRPr="00623DAF">
              <w:t>Financial year</w:t>
            </w:r>
          </w:p>
        </w:tc>
        <w:tc>
          <w:tcPr>
            <w:tcW w:w="1803" w:type="dxa"/>
            <w:noWrap/>
            <w:hideMark/>
          </w:tcPr>
          <w:p w14:paraId="005AD106" w14:textId="2E564FC5" w:rsidR="00623DAF" w:rsidRPr="00623DAF" w:rsidRDefault="00623DAF" w:rsidP="004C2D4A">
            <w:pPr>
              <w:pStyle w:val="TableHeadingRight"/>
              <w:keepNext/>
              <w:keepLines/>
            </w:pPr>
            <w:r w:rsidRPr="00623DAF">
              <w:t xml:space="preserve">Intentionally </w:t>
            </w:r>
            <w:r w:rsidR="00043A0A">
              <w:t>causing</w:t>
            </w:r>
            <w:r w:rsidRPr="00623DAF">
              <w:t xml:space="preserve"> serious injury</w:t>
            </w:r>
          </w:p>
        </w:tc>
        <w:tc>
          <w:tcPr>
            <w:tcW w:w="1803" w:type="dxa"/>
            <w:noWrap/>
            <w:hideMark/>
          </w:tcPr>
          <w:p w14:paraId="3711920C" w14:textId="4C297722" w:rsidR="00623DAF" w:rsidRPr="00623DAF" w:rsidRDefault="00623DAF" w:rsidP="004C2D4A">
            <w:pPr>
              <w:pStyle w:val="TableHeadingRight"/>
              <w:keepNext/>
              <w:keepLines/>
            </w:pPr>
            <w:r w:rsidRPr="00623DAF">
              <w:t xml:space="preserve">Recklessly </w:t>
            </w:r>
            <w:r w:rsidR="00043A0A">
              <w:t>causing</w:t>
            </w:r>
            <w:r w:rsidR="00043A0A" w:rsidRPr="00623DAF">
              <w:t xml:space="preserve"> </w:t>
            </w:r>
            <w:r w:rsidRPr="00623DAF">
              <w:t>serious injury</w:t>
            </w:r>
          </w:p>
        </w:tc>
        <w:tc>
          <w:tcPr>
            <w:tcW w:w="1803" w:type="dxa"/>
            <w:noWrap/>
            <w:hideMark/>
          </w:tcPr>
          <w:p w14:paraId="381C990C" w14:textId="4D5E9D6E" w:rsidR="00623DAF" w:rsidRPr="00623DAF" w:rsidRDefault="00623DAF" w:rsidP="004C2D4A">
            <w:pPr>
              <w:pStyle w:val="TableHeadingRight"/>
              <w:keepNext/>
              <w:keepLines/>
            </w:pPr>
            <w:r w:rsidRPr="00623DAF">
              <w:t xml:space="preserve">Intentionally </w:t>
            </w:r>
            <w:r w:rsidR="00043A0A">
              <w:t>causing</w:t>
            </w:r>
            <w:r w:rsidR="00043A0A" w:rsidRPr="00623DAF">
              <w:t xml:space="preserve"> </w:t>
            </w:r>
            <w:r w:rsidRPr="00623DAF">
              <w:t>injury</w:t>
            </w:r>
          </w:p>
        </w:tc>
        <w:tc>
          <w:tcPr>
            <w:tcW w:w="1804" w:type="dxa"/>
            <w:noWrap/>
            <w:hideMark/>
          </w:tcPr>
          <w:p w14:paraId="3C283C8C" w14:textId="0A7E7D57" w:rsidR="00623DAF" w:rsidRPr="00623DAF" w:rsidRDefault="00623DAF" w:rsidP="004C2D4A">
            <w:pPr>
              <w:pStyle w:val="TableHeadingRight"/>
              <w:keepNext/>
              <w:keepLines/>
            </w:pPr>
            <w:r w:rsidRPr="00623DAF">
              <w:t xml:space="preserve">Recklessly </w:t>
            </w:r>
            <w:r w:rsidR="00043A0A">
              <w:t>causing</w:t>
            </w:r>
            <w:r w:rsidR="00043A0A" w:rsidRPr="00623DAF">
              <w:t xml:space="preserve"> </w:t>
            </w:r>
            <w:r w:rsidRPr="00623DAF">
              <w:t>injury</w:t>
            </w:r>
          </w:p>
        </w:tc>
      </w:tr>
      <w:tr w:rsidR="004C2D4A" w:rsidRPr="00623DAF" w14:paraId="45BCC593" w14:textId="77777777" w:rsidTr="008144D7">
        <w:trPr>
          <w:trHeight w:val="288"/>
        </w:trPr>
        <w:tc>
          <w:tcPr>
            <w:tcW w:w="1803" w:type="dxa"/>
            <w:noWrap/>
            <w:hideMark/>
          </w:tcPr>
          <w:p w14:paraId="302020F3" w14:textId="77777777" w:rsidR="00623DAF" w:rsidRPr="00623DAF" w:rsidRDefault="00623DAF" w:rsidP="004C2D4A">
            <w:pPr>
              <w:pStyle w:val="TableBody"/>
              <w:keepNext/>
              <w:keepLines/>
            </w:pPr>
            <w:r w:rsidRPr="00623DAF">
              <w:t>2001-02</w:t>
            </w:r>
          </w:p>
        </w:tc>
        <w:tc>
          <w:tcPr>
            <w:tcW w:w="1803" w:type="dxa"/>
            <w:noWrap/>
            <w:hideMark/>
          </w:tcPr>
          <w:p w14:paraId="5B9CDF52" w14:textId="77777777" w:rsidR="00623DAF" w:rsidRPr="00623DAF" w:rsidRDefault="00623DAF" w:rsidP="004C2D4A">
            <w:pPr>
              <w:pStyle w:val="TableBodyRight"/>
              <w:keepNext/>
              <w:keepLines/>
            </w:pPr>
            <w:r w:rsidRPr="00623DAF">
              <w:t>92</w:t>
            </w:r>
          </w:p>
        </w:tc>
        <w:tc>
          <w:tcPr>
            <w:tcW w:w="1803" w:type="dxa"/>
            <w:noWrap/>
            <w:hideMark/>
          </w:tcPr>
          <w:p w14:paraId="2C302CD9" w14:textId="77777777" w:rsidR="00623DAF" w:rsidRPr="00623DAF" w:rsidRDefault="00623DAF" w:rsidP="004C2D4A">
            <w:pPr>
              <w:pStyle w:val="TableBodyRight"/>
              <w:keepNext/>
              <w:keepLines/>
            </w:pPr>
            <w:r w:rsidRPr="00623DAF">
              <w:t>78</w:t>
            </w:r>
          </w:p>
        </w:tc>
        <w:tc>
          <w:tcPr>
            <w:tcW w:w="1803" w:type="dxa"/>
            <w:noWrap/>
            <w:hideMark/>
          </w:tcPr>
          <w:p w14:paraId="4F35556D" w14:textId="235E2974" w:rsidR="00623DAF" w:rsidRPr="00623DAF" w:rsidRDefault="0012066E" w:rsidP="004C2D4A">
            <w:pPr>
              <w:pStyle w:val="TableBodyRight"/>
              <w:keepNext/>
              <w:keepLines/>
            </w:pPr>
            <w:proofErr w:type="spellStart"/>
            <w:r>
              <w:t>n.a.</w:t>
            </w:r>
            <w:proofErr w:type="spellEnd"/>
          </w:p>
        </w:tc>
        <w:tc>
          <w:tcPr>
            <w:tcW w:w="1804" w:type="dxa"/>
            <w:noWrap/>
            <w:hideMark/>
          </w:tcPr>
          <w:p w14:paraId="4C1B1335" w14:textId="6429A153" w:rsidR="00623DAF" w:rsidRPr="00623DAF" w:rsidRDefault="0012066E" w:rsidP="004C2D4A">
            <w:pPr>
              <w:pStyle w:val="TableBodyRight"/>
              <w:keepNext/>
              <w:keepLines/>
            </w:pPr>
            <w:proofErr w:type="spellStart"/>
            <w:r>
              <w:t>n.a.</w:t>
            </w:r>
            <w:proofErr w:type="spellEnd"/>
          </w:p>
        </w:tc>
      </w:tr>
      <w:tr w:rsidR="004C2D4A" w:rsidRPr="00623DAF" w14:paraId="76CB64F3" w14:textId="77777777" w:rsidTr="008144D7">
        <w:trPr>
          <w:trHeight w:val="288"/>
        </w:trPr>
        <w:tc>
          <w:tcPr>
            <w:tcW w:w="1803" w:type="dxa"/>
            <w:noWrap/>
            <w:hideMark/>
          </w:tcPr>
          <w:p w14:paraId="75F472C3" w14:textId="77777777" w:rsidR="00623DAF" w:rsidRPr="00623DAF" w:rsidRDefault="00623DAF" w:rsidP="004C2D4A">
            <w:pPr>
              <w:pStyle w:val="TableBody"/>
              <w:keepNext/>
              <w:keepLines/>
            </w:pPr>
            <w:r w:rsidRPr="00623DAF">
              <w:t>2002-03</w:t>
            </w:r>
          </w:p>
        </w:tc>
        <w:tc>
          <w:tcPr>
            <w:tcW w:w="1803" w:type="dxa"/>
            <w:noWrap/>
            <w:hideMark/>
          </w:tcPr>
          <w:p w14:paraId="3DE3A54A" w14:textId="77777777" w:rsidR="00623DAF" w:rsidRPr="00623DAF" w:rsidRDefault="00623DAF" w:rsidP="004C2D4A">
            <w:pPr>
              <w:pStyle w:val="TableBodyRight"/>
              <w:keepNext/>
              <w:keepLines/>
            </w:pPr>
            <w:r w:rsidRPr="00623DAF">
              <w:t>84</w:t>
            </w:r>
          </w:p>
        </w:tc>
        <w:tc>
          <w:tcPr>
            <w:tcW w:w="1803" w:type="dxa"/>
            <w:noWrap/>
            <w:hideMark/>
          </w:tcPr>
          <w:p w14:paraId="6148EADD" w14:textId="77777777" w:rsidR="00623DAF" w:rsidRPr="00623DAF" w:rsidRDefault="00623DAF" w:rsidP="004C2D4A">
            <w:pPr>
              <w:pStyle w:val="TableBodyRight"/>
              <w:keepNext/>
              <w:keepLines/>
            </w:pPr>
            <w:r w:rsidRPr="00623DAF">
              <w:t>91</w:t>
            </w:r>
          </w:p>
        </w:tc>
        <w:tc>
          <w:tcPr>
            <w:tcW w:w="1803" w:type="dxa"/>
            <w:noWrap/>
            <w:hideMark/>
          </w:tcPr>
          <w:p w14:paraId="4566F81A" w14:textId="500F46C8" w:rsidR="00623DAF" w:rsidRPr="00623DAF" w:rsidRDefault="0012066E" w:rsidP="004C2D4A">
            <w:pPr>
              <w:pStyle w:val="TableBodyRight"/>
              <w:keepNext/>
              <w:keepLines/>
              <w:rPr>
                <w:rFonts w:ascii="Calibri" w:hAnsi="Calibri" w:cs="Calibri"/>
                <w:sz w:val="22"/>
                <w:szCs w:val="22"/>
              </w:rPr>
            </w:pPr>
            <w:proofErr w:type="spellStart"/>
            <w:r>
              <w:t>n.a.</w:t>
            </w:r>
            <w:proofErr w:type="spellEnd"/>
          </w:p>
        </w:tc>
        <w:tc>
          <w:tcPr>
            <w:tcW w:w="1804" w:type="dxa"/>
            <w:noWrap/>
            <w:hideMark/>
          </w:tcPr>
          <w:p w14:paraId="1A48D2CB" w14:textId="2C1EC8DE" w:rsidR="00623DAF" w:rsidRPr="00623DAF" w:rsidRDefault="0012066E" w:rsidP="004C2D4A">
            <w:pPr>
              <w:pStyle w:val="TableBodyRight"/>
              <w:keepNext/>
              <w:keepLines/>
            </w:pPr>
            <w:proofErr w:type="spellStart"/>
            <w:r>
              <w:t>n.a.</w:t>
            </w:r>
            <w:proofErr w:type="spellEnd"/>
          </w:p>
        </w:tc>
      </w:tr>
      <w:tr w:rsidR="00623DAF" w:rsidRPr="00623DAF" w14:paraId="4419FD94" w14:textId="77777777" w:rsidTr="008144D7">
        <w:trPr>
          <w:trHeight w:val="288"/>
        </w:trPr>
        <w:tc>
          <w:tcPr>
            <w:tcW w:w="1803" w:type="dxa"/>
            <w:noWrap/>
            <w:hideMark/>
          </w:tcPr>
          <w:p w14:paraId="73ECA8BF" w14:textId="77777777" w:rsidR="00623DAF" w:rsidRPr="00623DAF" w:rsidRDefault="00623DAF" w:rsidP="001F550D">
            <w:pPr>
              <w:pStyle w:val="TableBody"/>
            </w:pPr>
            <w:r w:rsidRPr="00623DAF">
              <w:t>2003-04</w:t>
            </w:r>
          </w:p>
        </w:tc>
        <w:tc>
          <w:tcPr>
            <w:tcW w:w="1803" w:type="dxa"/>
            <w:noWrap/>
            <w:hideMark/>
          </w:tcPr>
          <w:p w14:paraId="5912ABEF" w14:textId="77777777" w:rsidR="00623DAF" w:rsidRPr="00623DAF" w:rsidRDefault="00623DAF" w:rsidP="001F550D">
            <w:pPr>
              <w:pStyle w:val="TableBodyRight"/>
            </w:pPr>
            <w:r w:rsidRPr="00623DAF">
              <w:t>113</w:t>
            </w:r>
          </w:p>
        </w:tc>
        <w:tc>
          <w:tcPr>
            <w:tcW w:w="1803" w:type="dxa"/>
            <w:noWrap/>
            <w:hideMark/>
          </w:tcPr>
          <w:p w14:paraId="3C5AD61A" w14:textId="77777777" w:rsidR="00623DAF" w:rsidRPr="00623DAF" w:rsidRDefault="00623DAF" w:rsidP="001F550D">
            <w:pPr>
              <w:pStyle w:val="TableBodyRight"/>
            </w:pPr>
            <w:r w:rsidRPr="00623DAF">
              <w:t>97</w:t>
            </w:r>
          </w:p>
        </w:tc>
        <w:tc>
          <w:tcPr>
            <w:tcW w:w="1803" w:type="dxa"/>
            <w:noWrap/>
            <w:hideMark/>
          </w:tcPr>
          <w:p w14:paraId="03D47AF7" w14:textId="08197585" w:rsidR="00623DAF" w:rsidRPr="00623DAF" w:rsidRDefault="0012066E" w:rsidP="0012066E">
            <w:pPr>
              <w:pStyle w:val="TableBodyRight"/>
              <w:rPr>
                <w:rFonts w:ascii="Calibri" w:hAnsi="Calibri" w:cs="Calibri"/>
                <w:sz w:val="22"/>
                <w:szCs w:val="22"/>
              </w:rPr>
            </w:pPr>
            <w:proofErr w:type="spellStart"/>
            <w:r>
              <w:t>n.a.</w:t>
            </w:r>
            <w:proofErr w:type="spellEnd"/>
          </w:p>
        </w:tc>
        <w:tc>
          <w:tcPr>
            <w:tcW w:w="1804" w:type="dxa"/>
            <w:noWrap/>
            <w:hideMark/>
          </w:tcPr>
          <w:p w14:paraId="097E0F34" w14:textId="340CACB7" w:rsidR="00623DAF" w:rsidRPr="00623DAF" w:rsidRDefault="0012066E" w:rsidP="0012066E">
            <w:pPr>
              <w:pStyle w:val="TableBodyRight"/>
            </w:pPr>
            <w:proofErr w:type="spellStart"/>
            <w:r>
              <w:t>n.a.</w:t>
            </w:r>
            <w:proofErr w:type="spellEnd"/>
          </w:p>
        </w:tc>
      </w:tr>
      <w:tr w:rsidR="00623DAF" w:rsidRPr="00623DAF" w14:paraId="1284539B" w14:textId="77777777" w:rsidTr="008144D7">
        <w:trPr>
          <w:trHeight w:val="288"/>
        </w:trPr>
        <w:tc>
          <w:tcPr>
            <w:tcW w:w="1803" w:type="dxa"/>
            <w:noWrap/>
            <w:hideMark/>
          </w:tcPr>
          <w:p w14:paraId="3421FFBE" w14:textId="77777777" w:rsidR="00623DAF" w:rsidRPr="00623DAF" w:rsidRDefault="00623DAF" w:rsidP="001F550D">
            <w:pPr>
              <w:pStyle w:val="TableBody"/>
            </w:pPr>
            <w:r w:rsidRPr="00623DAF">
              <w:t>2004-05</w:t>
            </w:r>
          </w:p>
        </w:tc>
        <w:tc>
          <w:tcPr>
            <w:tcW w:w="1803" w:type="dxa"/>
            <w:noWrap/>
            <w:hideMark/>
          </w:tcPr>
          <w:p w14:paraId="175CE1DC" w14:textId="77777777" w:rsidR="00623DAF" w:rsidRPr="00623DAF" w:rsidRDefault="00623DAF" w:rsidP="001F550D">
            <w:pPr>
              <w:pStyle w:val="TableBodyRight"/>
            </w:pPr>
            <w:r w:rsidRPr="00623DAF">
              <w:t>91</w:t>
            </w:r>
          </w:p>
        </w:tc>
        <w:tc>
          <w:tcPr>
            <w:tcW w:w="1803" w:type="dxa"/>
            <w:noWrap/>
            <w:hideMark/>
          </w:tcPr>
          <w:p w14:paraId="6151737C" w14:textId="77777777" w:rsidR="00623DAF" w:rsidRPr="00623DAF" w:rsidRDefault="00623DAF" w:rsidP="001F550D">
            <w:pPr>
              <w:pStyle w:val="TableBodyRight"/>
            </w:pPr>
            <w:r w:rsidRPr="00623DAF">
              <w:t>118</w:t>
            </w:r>
          </w:p>
        </w:tc>
        <w:tc>
          <w:tcPr>
            <w:tcW w:w="1803" w:type="dxa"/>
            <w:noWrap/>
            <w:hideMark/>
          </w:tcPr>
          <w:p w14:paraId="0CC84F97" w14:textId="53BE257D" w:rsidR="00623DAF" w:rsidRPr="00623DAF" w:rsidRDefault="0012066E" w:rsidP="0012066E">
            <w:pPr>
              <w:pStyle w:val="TableBodyRight"/>
              <w:rPr>
                <w:rFonts w:ascii="Calibri" w:hAnsi="Calibri" w:cs="Calibri"/>
                <w:sz w:val="22"/>
                <w:szCs w:val="22"/>
              </w:rPr>
            </w:pPr>
            <w:proofErr w:type="spellStart"/>
            <w:r>
              <w:t>n.a.</w:t>
            </w:r>
            <w:proofErr w:type="spellEnd"/>
          </w:p>
        </w:tc>
        <w:tc>
          <w:tcPr>
            <w:tcW w:w="1804" w:type="dxa"/>
            <w:noWrap/>
            <w:hideMark/>
          </w:tcPr>
          <w:p w14:paraId="7BA20AC6" w14:textId="654AA791" w:rsidR="00623DAF" w:rsidRPr="00623DAF" w:rsidRDefault="0012066E" w:rsidP="0012066E">
            <w:pPr>
              <w:pStyle w:val="TableBodyRight"/>
            </w:pPr>
            <w:proofErr w:type="spellStart"/>
            <w:r>
              <w:t>n.a.</w:t>
            </w:r>
            <w:proofErr w:type="spellEnd"/>
          </w:p>
        </w:tc>
      </w:tr>
      <w:tr w:rsidR="00623DAF" w:rsidRPr="00623DAF" w14:paraId="37B0FF02" w14:textId="77777777" w:rsidTr="008144D7">
        <w:trPr>
          <w:trHeight w:val="288"/>
        </w:trPr>
        <w:tc>
          <w:tcPr>
            <w:tcW w:w="1803" w:type="dxa"/>
            <w:noWrap/>
            <w:hideMark/>
          </w:tcPr>
          <w:p w14:paraId="79881694" w14:textId="77777777" w:rsidR="00623DAF" w:rsidRPr="00623DAF" w:rsidRDefault="00623DAF" w:rsidP="001F550D">
            <w:pPr>
              <w:pStyle w:val="TableBody"/>
            </w:pPr>
            <w:r w:rsidRPr="00623DAF">
              <w:t>2005-06</w:t>
            </w:r>
          </w:p>
        </w:tc>
        <w:tc>
          <w:tcPr>
            <w:tcW w:w="1803" w:type="dxa"/>
            <w:noWrap/>
            <w:hideMark/>
          </w:tcPr>
          <w:p w14:paraId="74D73196" w14:textId="77777777" w:rsidR="00623DAF" w:rsidRPr="00623DAF" w:rsidRDefault="00623DAF" w:rsidP="001F550D">
            <w:pPr>
              <w:pStyle w:val="TableBodyRight"/>
            </w:pPr>
            <w:r w:rsidRPr="00623DAF">
              <w:t>109</w:t>
            </w:r>
          </w:p>
        </w:tc>
        <w:tc>
          <w:tcPr>
            <w:tcW w:w="1803" w:type="dxa"/>
            <w:noWrap/>
            <w:hideMark/>
          </w:tcPr>
          <w:p w14:paraId="7E963136" w14:textId="77777777" w:rsidR="00623DAF" w:rsidRPr="00623DAF" w:rsidRDefault="00623DAF" w:rsidP="001F550D">
            <w:pPr>
              <w:pStyle w:val="TableBodyRight"/>
            </w:pPr>
            <w:r w:rsidRPr="00623DAF">
              <w:t>99</w:t>
            </w:r>
          </w:p>
        </w:tc>
        <w:tc>
          <w:tcPr>
            <w:tcW w:w="1803" w:type="dxa"/>
            <w:noWrap/>
            <w:hideMark/>
          </w:tcPr>
          <w:p w14:paraId="62EAF035" w14:textId="40B112C3" w:rsidR="00623DAF" w:rsidRPr="00623DAF" w:rsidRDefault="0012066E" w:rsidP="0012066E">
            <w:pPr>
              <w:pStyle w:val="TableBodyRight"/>
              <w:rPr>
                <w:rFonts w:ascii="Calibri" w:hAnsi="Calibri" w:cs="Calibri"/>
                <w:sz w:val="22"/>
                <w:szCs w:val="22"/>
              </w:rPr>
            </w:pPr>
            <w:proofErr w:type="spellStart"/>
            <w:r>
              <w:t>n.a.</w:t>
            </w:r>
            <w:proofErr w:type="spellEnd"/>
          </w:p>
        </w:tc>
        <w:tc>
          <w:tcPr>
            <w:tcW w:w="1804" w:type="dxa"/>
            <w:noWrap/>
            <w:hideMark/>
          </w:tcPr>
          <w:p w14:paraId="6A0E0A60" w14:textId="7C0B63A0" w:rsidR="00623DAF" w:rsidRPr="00623DAF" w:rsidRDefault="0012066E" w:rsidP="0012066E">
            <w:pPr>
              <w:pStyle w:val="TableBodyRight"/>
            </w:pPr>
            <w:proofErr w:type="spellStart"/>
            <w:r>
              <w:t>n.a.</w:t>
            </w:r>
            <w:proofErr w:type="spellEnd"/>
          </w:p>
        </w:tc>
      </w:tr>
      <w:tr w:rsidR="00623DAF" w:rsidRPr="00623DAF" w14:paraId="120FFAB1" w14:textId="77777777" w:rsidTr="008144D7">
        <w:trPr>
          <w:trHeight w:val="288"/>
        </w:trPr>
        <w:tc>
          <w:tcPr>
            <w:tcW w:w="1803" w:type="dxa"/>
            <w:noWrap/>
            <w:hideMark/>
          </w:tcPr>
          <w:p w14:paraId="1C33CC6A" w14:textId="77777777" w:rsidR="00623DAF" w:rsidRPr="00623DAF" w:rsidRDefault="00623DAF" w:rsidP="001F550D">
            <w:pPr>
              <w:pStyle w:val="TableBody"/>
            </w:pPr>
            <w:r w:rsidRPr="00623DAF">
              <w:t>2006-07</w:t>
            </w:r>
          </w:p>
        </w:tc>
        <w:tc>
          <w:tcPr>
            <w:tcW w:w="1803" w:type="dxa"/>
            <w:noWrap/>
            <w:hideMark/>
          </w:tcPr>
          <w:p w14:paraId="0A35CC70" w14:textId="77777777" w:rsidR="00623DAF" w:rsidRPr="00623DAF" w:rsidRDefault="00623DAF" w:rsidP="001F550D">
            <w:pPr>
              <w:pStyle w:val="TableBodyRight"/>
            </w:pPr>
            <w:r w:rsidRPr="00623DAF">
              <w:t>139</w:t>
            </w:r>
          </w:p>
        </w:tc>
        <w:tc>
          <w:tcPr>
            <w:tcW w:w="1803" w:type="dxa"/>
            <w:noWrap/>
            <w:hideMark/>
          </w:tcPr>
          <w:p w14:paraId="4CF09491" w14:textId="77777777" w:rsidR="00623DAF" w:rsidRPr="00623DAF" w:rsidRDefault="00623DAF" w:rsidP="001F550D">
            <w:pPr>
              <w:pStyle w:val="TableBodyRight"/>
            </w:pPr>
            <w:r w:rsidRPr="00623DAF">
              <w:t>103</w:t>
            </w:r>
          </w:p>
        </w:tc>
        <w:tc>
          <w:tcPr>
            <w:tcW w:w="1803" w:type="dxa"/>
            <w:noWrap/>
            <w:hideMark/>
          </w:tcPr>
          <w:p w14:paraId="44805B23" w14:textId="77777777" w:rsidR="00623DAF" w:rsidRPr="00623DAF" w:rsidRDefault="00623DAF" w:rsidP="0012066E">
            <w:pPr>
              <w:pStyle w:val="TableBodyRight"/>
            </w:pPr>
            <w:r w:rsidRPr="00623DAF">
              <w:t>83</w:t>
            </w:r>
          </w:p>
        </w:tc>
        <w:tc>
          <w:tcPr>
            <w:tcW w:w="1804" w:type="dxa"/>
            <w:noWrap/>
            <w:hideMark/>
          </w:tcPr>
          <w:p w14:paraId="0B352D1A" w14:textId="77777777" w:rsidR="00623DAF" w:rsidRPr="00623DAF" w:rsidRDefault="00623DAF" w:rsidP="001F550D">
            <w:pPr>
              <w:pStyle w:val="TableBodyRight"/>
            </w:pPr>
            <w:r w:rsidRPr="00623DAF">
              <w:t>38</w:t>
            </w:r>
          </w:p>
        </w:tc>
      </w:tr>
      <w:tr w:rsidR="00623DAF" w:rsidRPr="00623DAF" w14:paraId="64093A5D" w14:textId="77777777" w:rsidTr="008144D7">
        <w:trPr>
          <w:trHeight w:val="288"/>
        </w:trPr>
        <w:tc>
          <w:tcPr>
            <w:tcW w:w="1803" w:type="dxa"/>
            <w:noWrap/>
            <w:hideMark/>
          </w:tcPr>
          <w:p w14:paraId="0A110D47" w14:textId="77777777" w:rsidR="00623DAF" w:rsidRPr="00623DAF" w:rsidRDefault="00623DAF" w:rsidP="001F550D">
            <w:pPr>
              <w:pStyle w:val="TableBody"/>
            </w:pPr>
            <w:r w:rsidRPr="00623DAF">
              <w:t>2007-08</w:t>
            </w:r>
          </w:p>
        </w:tc>
        <w:tc>
          <w:tcPr>
            <w:tcW w:w="1803" w:type="dxa"/>
            <w:noWrap/>
            <w:hideMark/>
          </w:tcPr>
          <w:p w14:paraId="4B372061" w14:textId="77777777" w:rsidR="00623DAF" w:rsidRPr="00623DAF" w:rsidRDefault="00623DAF" w:rsidP="001F550D">
            <w:pPr>
              <w:pStyle w:val="TableBodyRight"/>
            </w:pPr>
            <w:r w:rsidRPr="00623DAF">
              <w:t>126</w:t>
            </w:r>
          </w:p>
        </w:tc>
        <w:tc>
          <w:tcPr>
            <w:tcW w:w="1803" w:type="dxa"/>
            <w:noWrap/>
            <w:hideMark/>
          </w:tcPr>
          <w:p w14:paraId="1CE1FCF0" w14:textId="77777777" w:rsidR="00623DAF" w:rsidRPr="00623DAF" w:rsidRDefault="00623DAF" w:rsidP="001F550D">
            <w:pPr>
              <w:pStyle w:val="TableBodyRight"/>
            </w:pPr>
            <w:r w:rsidRPr="00623DAF">
              <w:t>122</w:t>
            </w:r>
          </w:p>
        </w:tc>
        <w:tc>
          <w:tcPr>
            <w:tcW w:w="1803" w:type="dxa"/>
            <w:noWrap/>
            <w:hideMark/>
          </w:tcPr>
          <w:p w14:paraId="24B1328B" w14:textId="77777777" w:rsidR="00623DAF" w:rsidRPr="00623DAF" w:rsidRDefault="00623DAF" w:rsidP="001F550D">
            <w:pPr>
              <w:pStyle w:val="TableBodyRight"/>
            </w:pPr>
            <w:r w:rsidRPr="00623DAF">
              <w:t>98</w:t>
            </w:r>
          </w:p>
        </w:tc>
        <w:tc>
          <w:tcPr>
            <w:tcW w:w="1804" w:type="dxa"/>
            <w:noWrap/>
            <w:hideMark/>
          </w:tcPr>
          <w:p w14:paraId="3CECD08B" w14:textId="77777777" w:rsidR="00623DAF" w:rsidRPr="00623DAF" w:rsidRDefault="00623DAF" w:rsidP="001F550D">
            <w:pPr>
              <w:pStyle w:val="TableBodyRight"/>
            </w:pPr>
            <w:r w:rsidRPr="00623DAF">
              <w:t>35</w:t>
            </w:r>
          </w:p>
        </w:tc>
      </w:tr>
      <w:tr w:rsidR="00623DAF" w:rsidRPr="00623DAF" w14:paraId="62C23675" w14:textId="77777777" w:rsidTr="008144D7">
        <w:trPr>
          <w:trHeight w:val="288"/>
        </w:trPr>
        <w:tc>
          <w:tcPr>
            <w:tcW w:w="1803" w:type="dxa"/>
            <w:noWrap/>
            <w:hideMark/>
          </w:tcPr>
          <w:p w14:paraId="5110E1C5" w14:textId="77777777" w:rsidR="00623DAF" w:rsidRPr="00623DAF" w:rsidRDefault="00623DAF" w:rsidP="001F550D">
            <w:pPr>
              <w:pStyle w:val="TableBody"/>
            </w:pPr>
            <w:r w:rsidRPr="00623DAF">
              <w:t>2008-09</w:t>
            </w:r>
          </w:p>
        </w:tc>
        <w:tc>
          <w:tcPr>
            <w:tcW w:w="1803" w:type="dxa"/>
            <w:noWrap/>
            <w:hideMark/>
          </w:tcPr>
          <w:p w14:paraId="0FB21032" w14:textId="77777777" w:rsidR="00623DAF" w:rsidRPr="00623DAF" w:rsidRDefault="00623DAF" w:rsidP="001F550D">
            <w:pPr>
              <w:pStyle w:val="TableBodyRight"/>
            </w:pPr>
            <w:r w:rsidRPr="00623DAF">
              <w:t>104</w:t>
            </w:r>
          </w:p>
        </w:tc>
        <w:tc>
          <w:tcPr>
            <w:tcW w:w="1803" w:type="dxa"/>
            <w:noWrap/>
            <w:hideMark/>
          </w:tcPr>
          <w:p w14:paraId="3D240889" w14:textId="77777777" w:rsidR="00623DAF" w:rsidRPr="00623DAF" w:rsidRDefault="00623DAF" w:rsidP="001F550D">
            <w:pPr>
              <w:pStyle w:val="TableBodyRight"/>
            </w:pPr>
            <w:r w:rsidRPr="00623DAF">
              <w:t>122</w:t>
            </w:r>
          </w:p>
        </w:tc>
        <w:tc>
          <w:tcPr>
            <w:tcW w:w="1803" w:type="dxa"/>
            <w:noWrap/>
            <w:hideMark/>
          </w:tcPr>
          <w:p w14:paraId="2A68365B" w14:textId="77777777" w:rsidR="00623DAF" w:rsidRPr="00623DAF" w:rsidRDefault="00623DAF" w:rsidP="001F550D">
            <w:pPr>
              <w:pStyle w:val="TableBodyRight"/>
            </w:pPr>
            <w:r w:rsidRPr="00623DAF">
              <w:t>75</w:t>
            </w:r>
          </w:p>
        </w:tc>
        <w:tc>
          <w:tcPr>
            <w:tcW w:w="1804" w:type="dxa"/>
            <w:noWrap/>
            <w:hideMark/>
          </w:tcPr>
          <w:p w14:paraId="7AF9F894" w14:textId="77777777" w:rsidR="00623DAF" w:rsidRPr="00623DAF" w:rsidRDefault="00623DAF" w:rsidP="001F550D">
            <w:pPr>
              <w:pStyle w:val="TableBodyRight"/>
            </w:pPr>
            <w:r w:rsidRPr="00623DAF">
              <w:t>31</w:t>
            </w:r>
          </w:p>
        </w:tc>
      </w:tr>
      <w:tr w:rsidR="00623DAF" w:rsidRPr="00623DAF" w14:paraId="1DB5FD7E" w14:textId="77777777" w:rsidTr="008144D7">
        <w:trPr>
          <w:trHeight w:val="288"/>
        </w:trPr>
        <w:tc>
          <w:tcPr>
            <w:tcW w:w="1803" w:type="dxa"/>
            <w:noWrap/>
            <w:hideMark/>
          </w:tcPr>
          <w:p w14:paraId="4FB00789" w14:textId="77777777" w:rsidR="00623DAF" w:rsidRPr="00623DAF" w:rsidRDefault="00623DAF" w:rsidP="001F550D">
            <w:pPr>
              <w:pStyle w:val="TableBody"/>
            </w:pPr>
            <w:r w:rsidRPr="00623DAF">
              <w:t>2009-10</w:t>
            </w:r>
          </w:p>
        </w:tc>
        <w:tc>
          <w:tcPr>
            <w:tcW w:w="1803" w:type="dxa"/>
            <w:noWrap/>
            <w:hideMark/>
          </w:tcPr>
          <w:p w14:paraId="2F1DF53A" w14:textId="77777777" w:rsidR="00623DAF" w:rsidRPr="00623DAF" w:rsidRDefault="00623DAF" w:rsidP="001F550D">
            <w:pPr>
              <w:pStyle w:val="TableBodyRight"/>
            </w:pPr>
            <w:r w:rsidRPr="00623DAF">
              <w:t>116</w:t>
            </w:r>
          </w:p>
        </w:tc>
        <w:tc>
          <w:tcPr>
            <w:tcW w:w="1803" w:type="dxa"/>
            <w:noWrap/>
            <w:hideMark/>
          </w:tcPr>
          <w:p w14:paraId="2B557F79" w14:textId="77777777" w:rsidR="00623DAF" w:rsidRPr="00623DAF" w:rsidRDefault="00623DAF" w:rsidP="001F550D">
            <w:pPr>
              <w:pStyle w:val="TableBodyRight"/>
            </w:pPr>
            <w:r w:rsidRPr="00623DAF">
              <w:t>112</w:t>
            </w:r>
          </w:p>
        </w:tc>
        <w:tc>
          <w:tcPr>
            <w:tcW w:w="1803" w:type="dxa"/>
            <w:noWrap/>
            <w:hideMark/>
          </w:tcPr>
          <w:p w14:paraId="0A0810CA" w14:textId="77777777" w:rsidR="00623DAF" w:rsidRPr="00623DAF" w:rsidRDefault="00623DAF" w:rsidP="001F550D">
            <w:pPr>
              <w:pStyle w:val="TableBodyRight"/>
            </w:pPr>
            <w:r w:rsidRPr="00623DAF">
              <w:t>36</w:t>
            </w:r>
          </w:p>
        </w:tc>
        <w:tc>
          <w:tcPr>
            <w:tcW w:w="1804" w:type="dxa"/>
            <w:noWrap/>
            <w:hideMark/>
          </w:tcPr>
          <w:p w14:paraId="7278C1F6" w14:textId="77777777" w:rsidR="00623DAF" w:rsidRPr="00623DAF" w:rsidRDefault="00623DAF" w:rsidP="001F550D">
            <w:pPr>
              <w:pStyle w:val="TableBodyRight"/>
            </w:pPr>
            <w:r w:rsidRPr="00623DAF">
              <w:t>29</w:t>
            </w:r>
          </w:p>
        </w:tc>
      </w:tr>
      <w:tr w:rsidR="00623DAF" w:rsidRPr="00623DAF" w14:paraId="44FEEC6A" w14:textId="77777777" w:rsidTr="008144D7">
        <w:trPr>
          <w:trHeight w:val="288"/>
        </w:trPr>
        <w:tc>
          <w:tcPr>
            <w:tcW w:w="1803" w:type="dxa"/>
            <w:noWrap/>
            <w:hideMark/>
          </w:tcPr>
          <w:p w14:paraId="69CA9FD1" w14:textId="77777777" w:rsidR="00623DAF" w:rsidRPr="00623DAF" w:rsidRDefault="00623DAF" w:rsidP="001F550D">
            <w:pPr>
              <w:pStyle w:val="TableBody"/>
            </w:pPr>
            <w:r w:rsidRPr="00623DAF">
              <w:t>2010-11</w:t>
            </w:r>
          </w:p>
        </w:tc>
        <w:tc>
          <w:tcPr>
            <w:tcW w:w="1803" w:type="dxa"/>
            <w:noWrap/>
            <w:hideMark/>
          </w:tcPr>
          <w:p w14:paraId="1D61F4FC" w14:textId="77777777" w:rsidR="00623DAF" w:rsidRPr="00623DAF" w:rsidRDefault="00623DAF" w:rsidP="001F550D">
            <w:pPr>
              <w:pStyle w:val="TableBodyRight"/>
            </w:pPr>
            <w:r w:rsidRPr="00623DAF">
              <w:t>110</w:t>
            </w:r>
          </w:p>
        </w:tc>
        <w:tc>
          <w:tcPr>
            <w:tcW w:w="1803" w:type="dxa"/>
            <w:noWrap/>
            <w:hideMark/>
          </w:tcPr>
          <w:p w14:paraId="52003C24" w14:textId="77777777" w:rsidR="00623DAF" w:rsidRPr="00623DAF" w:rsidRDefault="00623DAF" w:rsidP="001F550D">
            <w:pPr>
              <w:pStyle w:val="TableBodyRight"/>
            </w:pPr>
            <w:r w:rsidRPr="00623DAF">
              <w:t>123</w:t>
            </w:r>
          </w:p>
        </w:tc>
        <w:tc>
          <w:tcPr>
            <w:tcW w:w="1803" w:type="dxa"/>
            <w:noWrap/>
            <w:hideMark/>
          </w:tcPr>
          <w:p w14:paraId="6E100DB0" w14:textId="77777777" w:rsidR="00623DAF" w:rsidRPr="00623DAF" w:rsidRDefault="00623DAF" w:rsidP="001F550D">
            <w:pPr>
              <w:pStyle w:val="TableBodyRight"/>
            </w:pPr>
            <w:r w:rsidRPr="00623DAF">
              <w:t>53</w:t>
            </w:r>
          </w:p>
        </w:tc>
        <w:tc>
          <w:tcPr>
            <w:tcW w:w="1804" w:type="dxa"/>
            <w:noWrap/>
            <w:hideMark/>
          </w:tcPr>
          <w:p w14:paraId="78EA0641" w14:textId="77777777" w:rsidR="00623DAF" w:rsidRPr="00623DAF" w:rsidRDefault="00623DAF" w:rsidP="001F550D">
            <w:pPr>
              <w:pStyle w:val="TableBodyRight"/>
            </w:pPr>
            <w:r w:rsidRPr="00623DAF">
              <w:t>19</w:t>
            </w:r>
          </w:p>
        </w:tc>
      </w:tr>
      <w:tr w:rsidR="00623DAF" w:rsidRPr="00623DAF" w14:paraId="7764203A" w14:textId="77777777" w:rsidTr="008144D7">
        <w:trPr>
          <w:trHeight w:val="288"/>
        </w:trPr>
        <w:tc>
          <w:tcPr>
            <w:tcW w:w="1803" w:type="dxa"/>
            <w:noWrap/>
            <w:hideMark/>
          </w:tcPr>
          <w:p w14:paraId="02C081A4" w14:textId="77777777" w:rsidR="00623DAF" w:rsidRPr="00623DAF" w:rsidRDefault="00623DAF" w:rsidP="001F550D">
            <w:pPr>
              <w:pStyle w:val="TableBody"/>
            </w:pPr>
            <w:r w:rsidRPr="00623DAF">
              <w:t>2011-12</w:t>
            </w:r>
          </w:p>
        </w:tc>
        <w:tc>
          <w:tcPr>
            <w:tcW w:w="1803" w:type="dxa"/>
            <w:noWrap/>
            <w:hideMark/>
          </w:tcPr>
          <w:p w14:paraId="2E3A2FF8" w14:textId="77777777" w:rsidR="00623DAF" w:rsidRPr="00623DAF" w:rsidRDefault="00623DAF" w:rsidP="001F550D">
            <w:pPr>
              <w:pStyle w:val="TableBodyRight"/>
            </w:pPr>
            <w:r w:rsidRPr="00623DAF">
              <w:t>93</w:t>
            </w:r>
          </w:p>
        </w:tc>
        <w:tc>
          <w:tcPr>
            <w:tcW w:w="1803" w:type="dxa"/>
            <w:noWrap/>
            <w:hideMark/>
          </w:tcPr>
          <w:p w14:paraId="094F0A33" w14:textId="77777777" w:rsidR="00623DAF" w:rsidRPr="00623DAF" w:rsidRDefault="00623DAF" w:rsidP="001F550D">
            <w:pPr>
              <w:pStyle w:val="TableBodyRight"/>
            </w:pPr>
            <w:r w:rsidRPr="00623DAF">
              <w:t>112</w:t>
            </w:r>
          </w:p>
        </w:tc>
        <w:tc>
          <w:tcPr>
            <w:tcW w:w="1803" w:type="dxa"/>
            <w:noWrap/>
            <w:hideMark/>
          </w:tcPr>
          <w:p w14:paraId="38470D7C" w14:textId="77777777" w:rsidR="00623DAF" w:rsidRPr="00623DAF" w:rsidRDefault="00623DAF" w:rsidP="001F550D">
            <w:pPr>
              <w:pStyle w:val="TableBodyRight"/>
            </w:pPr>
            <w:r w:rsidRPr="00623DAF">
              <w:t>43</w:t>
            </w:r>
          </w:p>
        </w:tc>
        <w:tc>
          <w:tcPr>
            <w:tcW w:w="1804" w:type="dxa"/>
            <w:noWrap/>
            <w:hideMark/>
          </w:tcPr>
          <w:p w14:paraId="18DD286A" w14:textId="77777777" w:rsidR="00623DAF" w:rsidRPr="00623DAF" w:rsidRDefault="00623DAF" w:rsidP="001F550D">
            <w:pPr>
              <w:pStyle w:val="TableBodyRight"/>
            </w:pPr>
            <w:r w:rsidRPr="00623DAF">
              <w:t>32</w:t>
            </w:r>
          </w:p>
        </w:tc>
      </w:tr>
      <w:tr w:rsidR="00623DAF" w:rsidRPr="00623DAF" w14:paraId="7D513A7C" w14:textId="77777777" w:rsidTr="008144D7">
        <w:trPr>
          <w:trHeight w:val="288"/>
        </w:trPr>
        <w:tc>
          <w:tcPr>
            <w:tcW w:w="1803" w:type="dxa"/>
            <w:noWrap/>
            <w:hideMark/>
          </w:tcPr>
          <w:p w14:paraId="57355A56" w14:textId="77777777" w:rsidR="00623DAF" w:rsidRPr="00623DAF" w:rsidRDefault="00623DAF" w:rsidP="001F550D">
            <w:pPr>
              <w:pStyle w:val="TableBody"/>
            </w:pPr>
            <w:r w:rsidRPr="00623DAF">
              <w:t>2012-13</w:t>
            </w:r>
          </w:p>
        </w:tc>
        <w:tc>
          <w:tcPr>
            <w:tcW w:w="1803" w:type="dxa"/>
            <w:noWrap/>
            <w:hideMark/>
          </w:tcPr>
          <w:p w14:paraId="34D78C74" w14:textId="77777777" w:rsidR="00623DAF" w:rsidRPr="00623DAF" w:rsidRDefault="00623DAF" w:rsidP="001F550D">
            <w:pPr>
              <w:pStyle w:val="TableBodyRight"/>
            </w:pPr>
            <w:r w:rsidRPr="00623DAF">
              <w:t>77</w:t>
            </w:r>
          </w:p>
        </w:tc>
        <w:tc>
          <w:tcPr>
            <w:tcW w:w="1803" w:type="dxa"/>
            <w:noWrap/>
            <w:hideMark/>
          </w:tcPr>
          <w:p w14:paraId="4C34179B" w14:textId="77777777" w:rsidR="00623DAF" w:rsidRPr="00623DAF" w:rsidRDefault="00623DAF" w:rsidP="001F550D">
            <w:pPr>
              <w:pStyle w:val="TableBodyRight"/>
            </w:pPr>
            <w:r w:rsidRPr="00623DAF">
              <w:t>107</w:t>
            </w:r>
          </w:p>
        </w:tc>
        <w:tc>
          <w:tcPr>
            <w:tcW w:w="1803" w:type="dxa"/>
            <w:noWrap/>
            <w:hideMark/>
          </w:tcPr>
          <w:p w14:paraId="057A6A82" w14:textId="77777777" w:rsidR="00623DAF" w:rsidRPr="00623DAF" w:rsidRDefault="00623DAF" w:rsidP="001F550D">
            <w:pPr>
              <w:pStyle w:val="TableBodyRight"/>
            </w:pPr>
            <w:r w:rsidRPr="00623DAF">
              <w:t>67</w:t>
            </w:r>
          </w:p>
        </w:tc>
        <w:tc>
          <w:tcPr>
            <w:tcW w:w="1804" w:type="dxa"/>
            <w:noWrap/>
            <w:hideMark/>
          </w:tcPr>
          <w:p w14:paraId="44549E7F" w14:textId="77777777" w:rsidR="00623DAF" w:rsidRPr="00623DAF" w:rsidRDefault="00623DAF" w:rsidP="001F550D">
            <w:pPr>
              <w:pStyle w:val="TableBodyRight"/>
            </w:pPr>
            <w:r w:rsidRPr="00623DAF">
              <w:t>37</w:t>
            </w:r>
          </w:p>
        </w:tc>
      </w:tr>
      <w:tr w:rsidR="00623DAF" w:rsidRPr="00623DAF" w14:paraId="12CAD99A" w14:textId="77777777" w:rsidTr="008144D7">
        <w:trPr>
          <w:trHeight w:val="288"/>
        </w:trPr>
        <w:tc>
          <w:tcPr>
            <w:tcW w:w="1803" w:type="dxa"/>
            <w:noWrap/>
            <w:hideMark/>
          </w:tcPr>
          <w:p w14:paraId="303DAAC6" w14:textId="77777777" w:rsidR="00623DAF" w:rsidRPr="00623DAF" w:rsidRDefault="00623DAF" w:rsidP="001F550D">
            <w:pPr>
              <w:pStyle w:val="TableBody"/>
            </w:pPr>
            <w:r w:rsidRPr="00623DAF">
              <w:t>2013-14</w:t>
            </w:r>
          </w:p>
        </w:tc>
        <w:tc>
          <w:tcPr>
            <w:tcW w:w="1803" w:type="dxa"/>
            <w:noWrap/>
            <w:hideMark/>
          </w:tcPr>
          <w:p w14:paraId="48CD2DFE" w14:textId="77777777" w:rsidR="00623DAF" w:rsidRPr="00623DAF" w:rsidRDefault="00623DAF" w:rsidP="001F550D">
            <w:pPr>
              <w:pStyle w:val="TableBodyRight"/>
            </w:pPr>
            <w:r w:rsidRPr="00623DAF">
              <w:t>85</w:t>
            </w:r>
          </w:p>
        </w:tc>
        <w:tc>
          <w:tcPr>
            <w:tcW w:w="1803" w:type="dxa"/>
            <w:noWrap/>
            <w:hideMark/>
          </w:tcPr>
          <w:p w14:paraId="026A4EBB" w14:textId="77777777" w:rsidR="00623DAF" w:rsidRPr="00623DAF" w:rsidRDefault="00623DAF" w:rsidP="001F550D">
            <w:pPr>
              <w:pStyle w:val="TableBodyRight"/>
            </w:pPr>
            <w:r w:rsidRPr="00623DAF">
              <w:t>72</w:t>
            </w:r>
          </w:p>
        </w:tc>
        <w:tc>
          <w:tcPr>
            <w:tcW w:w="1803" w:type="dxa"/>
            <w:noWrap/>
            <w:hideMark/>
          </w:tcPr>
          <w:p w14:paraId="435B0D29" w14:textId="77777777" w:rsidR="00623DAF" w:rsidRPr="00623DAF" w:rsidRDefault="00623DAF" w:rsidP="001F550D">
            <w:pPr>
              <w:pStyle w:val="TableBodyRight"/>
            </w:pPr>
            <w:r w:rsidRPr="00623DAF">
              <w:t>88</w:t>
            </w:r>
          </w:p>
        </w:tc>
        <w:tc>
          <w:tcPr>
            <w:tcW w:w="1804" w:type="dxa"/>
            <w:noWrap/>
            <w:hideMark/>
          </w:tcPr>
          <w:p w14:paraId="1714C4B4" w14:textId="77777777" w:rsidR="00623DAF" w:rsidRPr="00623DAF" w:rsidRDefault="00623DAF" w:rsidP="001F550D">
            <w:pPr>
              <w:pStyle w:val="TableBodyRight"/>
            </w:pPr>
            <w:r w:rsidRPr="00623DAF">
              <w:t>44</w:t>
            </w:r>
          </w:p>
        </w:tc>
      </w:tr>
      <w:tr w:rsidR="00623DAF" w:rsidRPr="00623DAF" w14:paraId="70D08F04" w14:textId="77777777" w:rsidTr="008144D7">
        <w:trPr>
          <w:trHeight w:val="288"/>
        </w:trPr>
        <w:tc>
          <w:tcPr>
            <w:tcW w:w="1803" w:type="dxa"/>
            <w:noWrap/>
            <w:hideMark/>
          </w:tcPr>
          <w:p w14:paraId="0B0AA2DE" w14:textId="77777777" w:rsidR="00623DAF" w:rsidRPr="00623DAF" w:rsidRDefault="00623DAF" w:rsidP="001F550D">
            <w:pPr>
              <w:pStyle w:val="TableBody"/>
            </w:pPr>
            <w:r w:rsidRPr="00623DAF">
              <w:t>2014-15</w:t>
            </w:r>
          </w:p>
        </w:tc>
        <w:tc>
          <w:tcPr>
            <w:tcW w:w="1803" w:type="dxa"/>
            <w:noWrap/>
            <w:hideMark/>
          </w:tcPr>
          <w:p w14:paraId="3216E1C9" w14:textId="77777777" w:rsidR="00623DAF" w:rsidRPr="00623DAF" w:rsidRDefault="00623DAF" w:rsidP="001F550D">
            <w:pPr>
              <w:pStyle w:val="TableBodyRight"/>
            </w:pPr>
            <w:r w:rsidRPr="00623DAF">
              <w:t>50</w:t>
            </w:r>
          </w:p>
        </w:tc>
        <w:tc>
          <w:tcPr>
            <w:tcW w:w="1803" w:type="dxa"/>
            <w:noWrap/>
            <w:hideMark/>
          </w:tcPr>
          <w:p w14:paraId="32E0AC45" w14:textId="77777777" w:rsidR="00623DAF" w:rsidRPr="00623DAF" w:rsidRDefault="00623DAF" w:rsidP="001F550D">
            <w:pPr>
              <w:pStyle w:val="TableBodyRight"/>
            </w:pPr>
            <w:r w:rsidRPr="00623DAF">
              <w:t>68</w:t>
            </w:r>
          </w:p>
        </w:tc>
        <w:tc>
          <w:tcPr>
            <w:tcW w:w="1803" w:type="dxa"/>
            <w:noWrap/>
            <w:hideMark/>
          </w:tcPr>
          <w:p w14:paraId="703D9B25" w14:textId="77777777" w:rsidR="00623DAF" w:rsidRPr="00623DAF" w:rsidRDefault="00623DAF" w:rsidP="001F550D">
            <w:pPr>
              <w:pStyle w:val="TableBodyRight"/>
            </w:pPr>
            <w:r w:rsidRPr="00623DAF">
              <w:t>96</w:t>
            </w:r>
          </w:p>
        </w:tc>
        <w:tc>
          <w:tcPr>
            <w:tcW w:w="1804" w:type="dxa"/>
            <w:noWrap/>
            <w:hideMark/>
          </w:tcPr>
          <w:p w14:paraId="0675D09B" w14:textId="77777777" w:rsidR="00623DAF" w:rsidRPr="00623DAF" w:rsidRDefault="00623DAF" w:rsidP="001F550D">
            <w:pPr>
              <w:pStyle w:val="TableBodyRight"/>
            </w:pPr>
            <w:r w:rsidRPr="00623DAF">
              <w:t>44</w:t>
            </w:r>
          </w:p>
        </w:tc>
      </w:tr>
      <w:tr w:rsidR="00623DAF" w:rsidRPr="00623DAF" w14:paraId="30772446" w14:textId="77777777" w:rsidTr="008144D7">
        <w:trPr>
          <w:trHeight w:val="288"/>
        </w:trPr>
        <w:tc>
          <w:tcPr>
            <w:tcW w:w="1803" w:type="dxa"/>
            <w:noWrap/>
            <w:hideMark/>
          </w:tcPr>
          <w:p w14:paraId="0C0B7BF3" w14:textId="77777777" w:rsidR="00623DAF" w:rsidRPr="00623DAF" w:rsidRDefault="00623DAF" w:rsidP="001F550D">
            <w:pPr>
              <w:pStyle w:val="TableBody"/>
            </w:pPr>
            <w:r w:rsidRPr="00623DAF">
              <w:t>2015-16</w:t>
            </w:r>
          </w:p>
        </w:tc>
        <w:tc>
          <w:tcPr>
            <w:tcW w:w="1803" w:type="dxa"/>
            <w:noWrap/>
            <w:hideMark/>
          </w:tcPr>
          <w:p w14:paraId="2F9ED78B" w14:textId="77777777" w:rsidR="00623DAF" w:rsidRPr="00623DAF" w:rsidRDefault="00623DAF" w:rsidP="001F550D">
            <w:pPr>
              <w:pStyle w:val="TableBodyRight"/>
            </w:pPr>
            <w:r w:rsidRPr="00623DAF">
              <w:t>34</w:t>
            </w:r>
          </w:p>
        </w:tc>
        <w:tc>
          <w:tcPr>
            <w:tcW w:w="1803" w:type="dxa"/>
            <w:noWrap/>
            <w:hideMark/>
          </w:tcPr>
          <w:p w14:paraId="7BBFC729" w14:textId="77777777" w:rsidR="00623DAF" w:rsidRPr="00623DAF" w:rsidRDefault="00623DAF" w:rsidP="001F550D">
            <w:pPr>
              <w:pStyle w:val="TableBodyRight"/>
            </w:pPr>
            <w:r w:rsidRPr="00623DAF">
              <w:t>65</w:t>
            </w:r>
          </w:p>
        </w:tc>
        <w:tc>
          <w:tcPr>
            <w:tcW w:w="1803" w:type="dxa"/>
            <w:noWrap/>
            <w:hideMark/>
          </w:tcPr>
          <w:p w14:paraId="07485DAB" w14:textId="77777777" w:rsidR="00623DAF" w:rsidRPr="00623DAF" w:rsidRDefault="00623DAF" w:rsidP="001F550D">
            <w:pPr>
              <w:pStyle w:val="TableBodyRight"/>
            </w:pPr>
            <w:r w:rsidRPr="00623DAF">
              <w:t>72</w:t>
            </w:r>
          </w:p>
        </w:tc>
        <w:tc>
          <w:tcPr>
            <w:tcW w:w="1804" w:type="dxa"/>
            <w:noWrap/>
            <w:hideMark/>
          </w:tcPr>
          <w:p w14:paraId="7E3E20A4" w14:textId="77777777" w:rsidR="00623DAF" w:rsidRPr="00623DAF" w:rsidRDefault="00623DAF" w:rsidP="001F550D">
            <w:pPr>
              <w:pStyle w:val="TableBodyRight"/>
            </w:pPr>
            <w:r w:rsidRPr="00623DAF">
              <w:t>50</w:t>
            </w:r>
          </w:p>
        </w:tc>
      </w:tr>
      <w:tr w:rsidR="00623DAF" w:rsidRPr="00623DAF" w14:paraId="02AA36CF" w14:textId="77777777" w:rsidTr="008144D7">
        <w:trPr>
          <w:trHeight w:val="288"/>
        </w:trPr>
        <w:tc>
          <w:tcPr>
            <w:tcW w:w="1803" w:type="dxa"/>
            <w:noWrap/>
            <w:hideMark/>
          </w:tcPr>
          <w:p w14:paraId="65B74C19" w14:textId="77777777" w:rsidR="00623DAF" w:rsidRPr="00623DAF" w:rsidRDefault="00623DAF" w:rsidP="001F550D">
            <w:pPr>
              <w:pStyle w:val="TableBody"/>
            </w:pPr>
            <w:r w:rsidRPr="00623DAF">
              <w:t>2016-17</w:t>
            </w:r>
          </w:p>
        </w:tc>
        <w:tc>
          <w:tcPr>
            <w:tcW w:w="1803" w:type="dxa"/>
            <w:noWrap/>
            <w:hideMark/>
          </w:tcPr>
          <w:p w14:paraId="43EF3D8A" w14:textId="77777777" w:rsidR="00623DAF" w:rsidRPr="00623DAF" w:rsidRDefault="00623DAF" w:rsidP="001F550D">
            <w:pPr>
              <w:pStyle w:val="TableBodyRight"/>
            </w:pPr>
            <w:r w:rsidRPr="00623DAF">
              <w:t>30</w:t>
            </w:r>
          </w:p>
        </w:tc>
        <w:tc>
          <w:tcPr>
            <w:tcW w:w="1803" w:type="dxa"/>
            <w:noWrap/>
            <w:hideMark/>
          </w:tcPr>
          <w:p w14:paraId="4C18A489" w14:textId="77777777" w:rsidR="00623DAF" w:rsidRPr="00623DAF" w:rsidRDefault="00623DAF" w:rsidP="001F550D">
            <w:pPr>
              <w:pStyle w:val="TableBodyRight"/>
            </w:pPr>
            <w:r w:rsidRPr="00623DAF">
              <w:t>45</w:t>
            </w:r>
          </w:p>
        </w:tc>
        <w:tc>
          <w:tcPr>
            <w:tcW w:w="1803" w:type="dxa"/>
            <w:noWrap/>
            <w:hideMark/>
          </w:tcPr>
          <w:p w14:paraId="686CE798" w14:textId="77777777" w:rsidR="00623DAF" w:rsidRPr="00623DAF" w:rsidRDefault="00623DAF" w:rsidP="001F550D">
            <w:pPr>
              <w:pStyle w:val="TableBodyRight"/>
            </w:pPr>
            <w:r w:rsidRPr="00623DAF">
              <w:t>58</w:t>
            </w:r>
          </w:p>
        </w:tc>
        <w:tc>
          <w:tcPr>
            <w:tcW w:w="1804" w:type="dxa"/>
            <w:noWrap/>
            <w:hideMark/>
          </w:tcPr>
          <w:p w14:paraId="34FDAB87" w14:textId="77777777" w:rsidR="00623DAF" w:rsidRPr="00623DAF" w:rsidRDefault="00623DAF" w:rsidP="001F550D">
            <w:pPr>
              <w:pStyle w:val="TableBodyRight"/>
            </w:pPr>
            <w:r w:rsidRPr="00623DAF">
              <w:t>44</w:t>
            </w:r>
          </w:p>
        </w:tc>
      </w:tr>
      <w:tr w:rsidR="00623DAF" w:rsidRPr="00623DAF" w14:paraId="7D23A5F5" w14:textId="77777777" w:rsidTr="008144D7">
        <w:trPr>
          <w:trHeight w:val="288"/>
        </w:trPr>
        <w:tc>
          <w:tcPr>
            <w:tcW w:w="1803" w:type="dxa"/>
            <w:noWrap/>
            <w:hideMark/>
          </w:tcPr>
          <w:p w14:paraId="570551BB" w14:textId="77777777" w:rsidR="00623DAF" w:rsidRPr="00623DAF" w:rsidRDefault="00623DAF" w:rsidP="001F550D">
            <w:pPr>
              <w:pStyle w:val="TableBody"/>
            </w:pPr>
            <w:r w:rsidRPr="00623DAF">
              <w:t>2017-18</w:t>
            </w:r>
          </w:p>
        </w:tc>
        <w:tc>
          <w:tcPr>
            <w:tcW w:w="1803" w:type="dxa"/>
            <w:noWrap/>
            <w:hideMark/>
          </w:tcPr>
          <w:p w14:paraId="021D4510" w14:textId="77777777" w:rsidR="00623DAF" w:rsidRPr="00623DAF" w:rsidRDefault="00623DAF" w:rsidP="001F550D">
            <w:pPr>
              <w:pStyle w:val="TableBodyRight"/>
            </w:pPr>
            <w:r w:rsidRPr="00623DAF">
              <w:t>26</w:t>
            </w:r>
          </w:p>
        </w:tc>
        <w:tc>
          <w:tcPr>
            <w:tcW w:w="1803" w:type="dxa"/>
            <w:noWrap/>
            <w:hideMark/>
          </w:tcPr>
          <w:p w14:paraId="37EF1DED" w14:textId="77777777" w:rsidR="00623DAF" w:rsidRPr="00623DAF" w:rsidRDefault="00623DAF" w:rsidP="001F550D">
            <w:pPr>
              <w:pStyle w:val="TableBodyRight"/>
            </w:pPr>
            <w:r w:rsidRPr="00623DAF">
              <w:t>46</w:t>
            </w:r>
          </w:p>
        </w:tc>
        <w:tc>
          <w:tcPr>
            <w:tcW w:w="1803" w:type="dxa"/>
            <w:noWrap/>
            <w:hideMark/>
          </w:tcPr>
          <w:p w14:paraId="6B5BDFE5" w14:textId="77777777" w:rsidR="00623DAF" w:rsidRPr="00623DAF" w:rsidRDefault="00623DAF" w:rsidP="001F550D">
            <w:pPr>
              <w:pStyle w:val="TableBodyRight"/>
            </w:pPr>
            <w:r w:rsidRPr="00623DAF">
              <w:t>60</w:t>
            </w:r>
          </w:p>
        </w:tc>
        <w:tc>
          <w:tcPr>
            <w:tcW w:w="1804" w:type="dxa"/>
            <w:noWrap/>
            <w:hideMark/>
          </w:tcPr>
          <w:p w14:paraId="3EA93A05" w14:textId="77777777" w:rsidR="00623DAF" w:rsidRPr="00623DAF" w:rsidRDefault="00623DAF" w:rsidP="001F550D">
            <w:pPr>
              <w:pStyle w:val="TableBodyRight"/>
            </w:pPr>
            <w:r w:rsidRPr="00623DAF">
              <w:t>30</w:t>
            </w:r>
          </w:p>
        </w:tc>
      </w:tr>
      <w:tr w:rsidR="00623DAF" w:rsidRPr="00623DAF" w14:paraId="7127EEA6" w14:textId="77777777" w:rsidTr="008144D7">
        <w:trPr>
          <w:trHeight w:val="288"/>
        </w:trPr>
        <w:tc>
          <w:tcPr>
            <w:tcW w:w="1803" w:type="dxa"/>
            <w:noWrap/>
            <w:hideMark/>
          </w:tcPr>
          <w:p w14:paraId="5BA2A788" w14:textId="77777777" w:rsidR="00623DAF" w:rsidRPr="00623DAF" w:rsidRDefault="00623DAF" w:rsidP="001F550D">
            <w:pPr>
              <w:pStyle w:val="TableBody"/>
            </w:pPr>
            <w:r w:rsidRPr="00623DAF">
              <w:t>2018-19</w:t>
            </w:r>
          </w:p>
        </w:tc>
        <w:tc>
          <w:tcPr>
            <w:tcW w:w="1803" w:type="dxa"/>
            <w:noWrap/>
            <w:hideMark/>
          </w:tcPr>
          <w:p w14:paraId="0A01EC3E" w14:textId="77777777" w:rsidR="00623DAF" w:rsidRPr="00623DAF" w:rsidRDefault="00623DAF" w:rsidP="001F550D">
            <w:pPr>
              <w:pStyle w:val="TableBodyRight"/>
            </w:pPr>
            <w:r w:rsidRPr="00623DAF">
              <w:t>32</w:t>
            </w:r>
          </w:p>
        </w:tc>
        <w:tc>
          <w:tcPr>
            <w:tcW w:w="1803" w:type="dxa"/>
            <w:noWrap/>
            <w:hideMark/>
          </w:tcPr>
          <w:p w14:paraId="06D0C637" w14:textId="77777777" w:rsidR="00623DAF" w:rsidRPr="00623DAF" w:rsidRDefault="00623DAF" w:rsidP="001F550D">
            <w:pPr>
              <w:pStyle w:val="TableBodyRight"/>
            </w:pPr>
            <w:r w:rsidRPr="00623DAF">
              <w:t>35</w:t>
            </w:r>
          </w:p>
        </w:tc>
        <w:tc>
          <w:tcPr>
            <w:tcW w:w="1803" w:type="dxa"/>
            <w:noWrap/>
            <w:hideMark/>
          </w:tcPr>
          <w:p w14:paraId="1250EE98" w14:textId="77777777" w:rsidR="00623DAF" w:rsidRPr="00623DAF" w:rsidRDefault="00623DAF" w:rsidP="001F550D">
            <w:pPr>
              <w:pStyle w:val="TableBodyRight"/>
            </w:pPr>
            <w:r w:rsidRPr="00623DAF">
              <w:t>78</w:t>
            </w:r>
          </w:p>
        </w:tc>
        <w:tc>
          <w:tcPr>
            <w:tcW w:w="1804" w:type="dxa"/>
            <w:noWrap/>
            <w:hideMark/>
          </w:tcPr>
          <w:p w14:paraId="45DE030D" w14:textId="77777777" w:rsidR="00623DAF" w:rsidRPr="00623DAF" w:rsidRDefault="00623DAF" w:rsidP="001F550D">
            <w:pPr>
              <w:pStyle w:val="TableBodyRight"/>
            </w:pPr>
            <w:r w:rsidRPr="00623DAF">
              <w:t>40</w:t>
            </w:r>
          </w:p>
        </w:tc>
      </w:tr>
      <w:tr w:rsidR="00623DAF" w:rsidRPr="00623DAF" w14:paraId="2D3DBAA2" w14:textId="77777777" w:rsidTr="008144D7">
        <w:trPr>
          <w:trHeight w:val="288"/>
        </w:trPr>
        <w:tc>
          <w:tcPr>
            <w:tcW w:w="1803" w:type="dxa"/>
            <w:noWrap/>
            <w:hideMark/>
          </w:tcPr>
          <w:p w14:paraId="23FB49D9" w14:textId="77777777" w:rsidR="00623DAF" w:rsidRPr="00623DAF" w:rsidRDefault="00623DAF" w:rsidP="001F550D">
            <w:pPr>
              <w:pStyle w:val="TableBody"/>
            </w:pPr>
            <w:r w:rsidRPr="00623DAF">
              <w:t>2019-20</w:t>
            </w:r>
          </w:p>
        </w:tc>
        <w:tc>
          <w:tcPr>
            <w:tcW w:w="1803" w:type="dxa"/>
            <w:noWrap/>
            <w:hideMark/>
          </w:tcPr>
          <w:p w14:paraId="7A4CC0E7" w14:textId="77777777" w:rsidR="00623DAF" w:rsidRPr="00623DAF" w:rsidRDefault="00623DAF" w:rsidP="001F550D">
            <w:pPr>
              <w:pStyle w:val="TableBodyRight"/>
            </w:pPr>
            <w:r w:rsidRPr="00623DAF">
              <w:t>19</w:t>
            </w:r>
          </w:p>
        </w:tc>
        <w:tc>
          <w:tcPr>
            <w:tcW w:w="1803" w:type="dxa"/>
            <w:noWrap/>
            <w:hideMark/>
          </w:tcPr>
          <w:p w14:paraId="6D914B29" w14:textId="77777777" w:rsidR="00623DAF" w:rsidRPr="00623DAF" w:rsidRDefault="00623DAF" w:rsidP="001F550D">
            <w:pPr>
              <w:pStyle w:val="TableBodyRight"/>
            </w:pPr>
            <w:r w:rsidRPr="00623DAF">
              <w:t>33</w:t>
            </w:r>
          </w:p>
        </w:tc>
        <w:tc>
          <w:tcPr>
            <w:tcW w:w="1803" w:type="dxa"/>
            <w:noWrap/>
            <w:hideMark/>
          </w:tcPr>
          <w:p w14:paraId="79FD5DCD" w14:textId="77777777" w:rsidR="00623DAF" w:rsidRPr="00623DAF" w:rsidRDefault="00623DAF" w:rsidP="001F550D">
            <w:pPr>
              <w:pStyle w:val="TableBodyRight"/>
            </w:pPr>
            <w:r w:rsidRPr="00623DAF">
              <w:t>67</w:t>
            </w:r>
          </w:p>
        </w:tc>
        <w:tc>
          <w:tcPr>
            <w:tcW w:w="1804" w:type="dxa"/>
            <w:noWrap/>
            <w:hideMark/>
          </w:tcPr>
          <w:p w14:paraId="08046FB2" w14:textId="77777777" w:rsidR="00623DAF" w:rsidRPr="00623DAF" w:rsidRDefault="00623DAF" w:rsidP="001F550D">
            <w:pPr>
              <w:pStyle w:val="TableBodyRight"/>
            </w:pPr>
            <w:r w:rsidRPr="00623DAF">
              <w:t>40</w:t>
            </w:r>
          </w:p>
        </w:tc>
      </w:tr>
      <w:tr w:rsidR="00623DAF" w:rsidRPr="00623DAF" w14:paraId="0E35D636" w14:textId="77777777" w:rsidTr="008144D7">
        <w:trPr>
          <w:trHeight w:val="288"/>
        </w:trPr>
        <w:tc>
          <w:tcPr>
            <w:tcW w:w="1803" w:type="dxa"/>
            <w:noWrap/>
            <w:hideMark/>
          </w:tcPr>
          <w:p w14:paraId="342DB0D2" w14:textId="77777777" w:rsidR="00623DAF" w:rsidRPr="00623DAF" w:rsidRDefault="00623DAF" w:rsidP="001F550D">
            <w:pPr>
              <w:pStyle w:val="TableBody"/>
            </w:pPr>
            <w:r w:rsidRPr="00623DAF">
              <w:t>2020-21</w:t>
            </w:r>
          </w:p>
        </w:tc>
        <w:tc>
          <w:tcPr>
            <w:tcW w:w="1803" w:type="dxa"/>
            <w:noWrap/>
            <w:hideMark/>
          </w:tcPr>
          <w:p w14:paraId="57E52534" w14:textId="77777777" w:rsidR="00623DAF" w:rsidRPr="00623DAF" w:rsidRDefault="00623DAF" w:rsidP="001F550D">
            <w:pPr>
              <w:pStyle w:val="TableBodyRight"/>
            </w:pPr>
            <w:r w:rsidRPr="00623DAF">
              <w:t>17</w:t>
            </w:r>
          </w:p>
        </w:tc>
        <w:tc>
          <w:tcPr>
            <w:tcW w:w="1803" w:type="dxa"/>
            <w:noWrap/>
            <w:hideMark/>
          </w:tcPr>
          <w:p w14:paraId="0CD12F95" w14:textId="77777777" w:rsidR="00623DAF" w:rsidRPr="00623DAF" w:rsidRDefault="00623DAF" w:rsidP="001F550D">
            <w:pPr>
              <w:pStyle w:val="TableBodyRight"/>
            </w:pPr>
            <w:r w:rsidRPr="00623DAF">
              <w:t>31</w:t>
            </w:r>
          </w:p>
        </w:tc>
        <w:tc>
          <w:tcPr>
            <w:tcW w:w="1803" w:type="dxa"/>
            <w:noWrap/>
            <w:hideMark/>
          </w:tcPr>
          <w:p w14:paraId="501B2BFD" w14:textId="77777777" w:rsidR="00623DAF" w:rsidRPr="00623DAF" w:rsidRDefault="00623DAF" w:rsidP="001F550D">
            <w:pPr>
              <w:pStyle w:val="TableBodyRight"/>
            </w:pPr>
            <w:r w:rsidRPr="00623DAF">
              <w:t>61</w:t>
            </w:r>
          </w:p>
        </w:tc>
        <w:tc>
          <w:tcPr>
            <w:tcW w:w="1804" w:type="dxa"/>
            <w:noWrap/>
            <w:hideMark/>
          </w:tcPr>
          <w:p w14:paraId="3D735FFA" w14:textId="77777777" w:rsidR="00623DAF" w:rsidRPr="00623DAF" w:rsidRDefault="00623DAF" w:rsidP="001F550D">
            <w:pPr>
              <w:pStyle w:val="TableBodyRight"/>
            </w:pPr>
            <w:r w:rsidRPr="00623DAF">
              <w:t>23</w:t>
            </w:r>
          </w:p>
        </w:tc>
      </w:tr>
    </w:tbl>
    <w:p w14:paraId="1A1D55B1" w14:textId="77777777" w:rsidR="00E62AE6" w:rsidRPr="00E62AE6" w:rsidRDefault="00E62AE6" w:rsidP="0031029F">
      <w:r w:rsidRPr="00E62AE6">
        <w:t>The rate of immediate custodial sentences for intentionally causing serious injury, recklessly causing serious injury and intentionally causing injury increased during the 20-year period (Figure 8). One particularly interesting trend is the convergence of immediate custodial sentence rates for intentionally causing serious injury and recklessly causing serious injury, to the point that the rates have been almost identical for those two offences each year since 2016–17.</w:t>
      </w:r>
    </w:p>
    <w:p w14:paraId="726D1BF9" w14:textId="77777777" w:rsidR="00E62AE6" w:rsidRPr="00E62AE6" w:rsidRDefault="00E62AE6" w:rsidP="00E5783B">
      <w:pPr>
        <w:pStyle w:val="Caption"/>
      </w:pPr>
      <w:r w:rsidRPr="00E62AE6">
        <w:t>Figure 8: Percentage of people receiving immediate custodial sentences in the higher courts for serious violent offences, 2001–02 to 2020–21</w:t>
      </w:r>
    </w:p>
    <w:tbl>
      <w:tblPr>
        <w:tblStyle w:val="Table"/>
        <w:tblW w:w="0" w:type="auto"/>
        <w:tblLook w:val="04A0" w:firstRow="1" w:lastRow="0" w:firstColumn="1" w:lastColumn="0" w:noHBand="0" w:noVBand="1"/>
      </w:tblPr>
      <w:tblGrid>
        <w:gridCol w:w="1246"/>
        <w:gridCol w:w="2845"/>
        <w:gridCol w:w="2661"/>
        <w:gridCol w:w="2264"/>
      </w:tblGrid>
      <w:tr w:rsidR="00C3718E" w:rsidRPr="00C3718E" w14:paraId="519BCD6E" w14:textId="77777777" w:rsidTr="009044B2">
        <w:trPr>
          <w:trHeight w:val="288"/>
          <w:tblHeader/>
        </w:trPr>
        <w:tc>
          <w:tcPr>
            <w:tcW w:w="0" w:type="auto"/>
            <w:noWrap/>
            <w:hideMark/>
          </w:tcPr>
          <w:p w14:paraId="7EDD5726" w14:textId="77777777" w:rsidR="00C3718E" w:rsidRPr="00C3718E" w:rsidRDefault="00C3718E" w:rsidP="008144D7">
            <w:pPr>
              <w:pStyle w:val="TableHeading"/>
            </w:pPr>
            <w:r w:rsidRPr="008144D7">
              <w:t>Financial</w:t>
            </w:r>
            <w:r w:rsidRPr="00C3718E">
              <w:t xml:space="preserve"> year</w:t>
            </w:r>
          </w:p>
        </w:tc>
        <w:tc>
          <w:tcPr>
            <w:tcW w:w="0" w:type="auto"/>
            <w:noWrap/>
            <w:hideMark/>
          </w:tcPr>
          <w:p w14:paraId="0C654764" w14:textId="27C048EC" w:rsidR="00C3718E" w:rsidRPr="00C3718E" w:rsidRDefault="00C3718E" w:rsidP="008144D7">
            <w:pPr>
              <w:pStyle w:val="TableHeadingRight"/>
            </w:pPr>
            <w:r w:rsidRPr="00C3718E">
              <w:t xml:space="preserve">Intentionally </w:t>
            </w:r>
            <w:r w:rsidR="00043A0A">
              <w:t>causing</w:t>
            </w:r>
            <w:r w:rsidR="00043A0A" w:rsidRPr="00623DAF">
              <w:t xml:space="preserve"> </w:t>
            </w:r>
            <w:r w:rsidRPr="00C3718E">
              <w:t>serious injury</w:t>
            </w:r>
          </w:p>
        </w:tc>
        <w:tc>
          <w:tcPr>
            <w:tcW w:w="0" w:type="auto"/>
            <w:noWrap/>
            <w:hideMark/>
          </w:tcPr>
          <w:p w14:paraId="2470811A" w14:textId="06EB9C56" w:rsidR="00C3718E" w:rsidRPr="00C3718E" w:rsidRDefault="00C3718E" w:rsidP="008144D7">
            <w:pPr>
              <w:pStyle w:val="TableHeadingRight"/>
            </w:pPr>
            <w:r w:rsidRPr="00C3718E">
              <w:t xml:space="preserve">Recklessly </w:t>
            </w:r>
            <w:r w:rsidR="00043A0A">
              <w:t>causing</w:t>
            </w:r>
            <w:r w:rsidR="00043A0A" w:rsidRPr="00623DAF">
              <w:t xml:space="preserve"> </w:t>
            </w:r>
            <w:r w:rsidRPr="00C3718E">
              <w:t>serious injury</w:t>
            </w:r>
          </w:p>
        </w:tc>
        <w:tc>
          <w:tcPr>
            <w:tcW w:w="0" w:type="auto"/>
            <w:noWrap/>
            <w:hideMark/>
          </w:tcPr>
          <w:p w14:paraId="0B1577A6" w14:textId="060C5112" w:rsidR="00C3718E" w:rsidRPr="00C3718E" w:rsidRDefault="00C3718E" w:rsidP="008144D7">
            <w:pPr>
              <w:pStyle w:val="TableHeadingRight"/>
            </w:pPr>
            <w:r w:rsidRPr="00C3718E">
              <w:t xml:space="preserve">Intentionally </w:t>
            </w:r>
            <w:r w:rsidR="00043A0A">
              <w:t>causing</w:t>
            </w:r>
            <w:r w:rsidR="00043A0A" w:rsidRPr="00623DAF">
              <w:t xml:space="preserve"> </w:t>
            </w:r>
            <w:r w:rsidRPr="00C3718E">
              <w:t>injury</w:t>
            </w:r>
          </w:p>
        </w:tc>
      </w:tr>
      <w:tr w:rsidR="00C3718E" w:rsidRPr="00C3718E" w14:paraId="13348FD9" w14:textId="77777777" w:rsidTr="009044B2">
        <w:trPr>
          <w:trHeight w:val="288"/>
        </w:trPr>
        <w:tc>
          <w:tcPr>
            <w:tcW w:w="0" w:type="auto"/>
            <w:noWrap/>
            <w:hideMark/>
          </w:tcPr>
          <w:p w14:paraId="6124E2A7" w14:textId="77777777" w:rsidR="00C3718E" w:rsidRPr="00C3718E" w:rsidRDefault="00C3718E" w:rsidP="001F550D">
            <w:pPr>
              <w:pStyle w:val="TableBody"/>
            </w:pPr>
            <w:r w:rsidRPr="00C3718E">
              <w:t>2001-02</w:t>
            </w:r>
          </w:p>
        </w:tc>
        <w:tc>
          <w:tcPr>
            <w:tcW w:w="0" w:type="auto"/>
            <w:noWrap/>
            <w:hideMark/>
          </w:tcPr>
          <w:p w14:paraId="5F181DDF" w14:textId="77777777" w:rsidR="00C3718E" w:rsidRPr="00C3718E" w:rsidRDefault="00C3718E" w:rsidP="008144D7">
            <w:pPr>
              <w:pStyle w:val="TableBodyRight"/>
            </w:pPr>
            <w:r w:rsidRPr="00C3718E">
              <w:t>67.4%</w:t>
            </w:r>
          </w:p>
        </w:tc>
        <w:tc>
          <w:tcPr>
            <w:tcW w:w="0" w:type="auto"/>
            <w:noWrap/>
            <w:hideMark/>
          </w:tcPr>
          <w:p w14:paraId="3B3EE1DB" w14:textId="77777777" w:rsidR="00C3718E" w:rsidRPr="00C3718E" w:rsidRDefault="00C3718E" w:rsidP="008144D7">
            <w:pPr>
              <w:pStyle w:val="TableBodyRight"/>
            </w:pPr>
            <w:r w:rsidRPr="00C3718E">
              <w:t>46.2%</w:t>
            </w:r>
          </w:p>
        </w:tc>
        <w:tc>
          <w:tcPr>
            <w:tcW w:w="0" w:type="auto"/>
            <w:noWrap/>
            <w:hideMark/>
          </w:tcPr>
          <w:p w14:paraId="766B7356" w14:textId="0F1C8591" w:rsidR="00C3718E" w:rsidRPr="00E517E3" w:rsidRDefault="00D45E79" w:rsidP="00E517E3">
            <w:pPr>
              <w:pStyle w:val="TableBodyRight"/>
            </w:pPr>
            <w:proofErr w:type="spellStart"/>
            <w:r w:rsidRPr="00E517E3">
              <w:t>n.a.</w:t>
            </w:r>
            <w:proofErr w:type="spellEnd"/>
          </w:p>
        </w:tc>
      </w:tr>
      <w:tr w:rsidR="00C3718E" w:rsidRPr="00C3718E" w14:paraId="37F6B0C2" w14:textId="77777777" w:rsidTr="009044B2">
        <w:trPr>
          <w:trHeight w:val="288"/>
        </w:trPr>
        <w:tc>
          <w:tcPr>
            <w:tcW w:w="0" w:type="auto"/>
            <w:noWrap/>
            <w:hideMark/>
          </w:tcPr>
          <w:p w14:paraId="627F36FF" w14:textId="77777777" w:rsidR="00C3718E" w:rsidRPr="00C3718E" w:rsidRDefault="00C3718E" w:rsidP="001F550D">
            <w:pPr>
              <w:pStyle w:val="TableBody"/>
            </w:pPr>
            <w:r w:rsidRPr="00C3718E">
              <w:t>2002-03</w:t>
            </w:r>
          </w:p>
        </w:tc>
        <w:tc>
          <w:tcPr>
            <w:tcW w:w="0" w:type="auto"/>
            <w:noWrap/>
            <w:hideMark/>
          </w:tcPr>
          <w:p w14:paraId="456DB332" w14:textId="77777777" w:rsidR="00C3718E" w:rsidRPr="00C3718E" w:rsidRDefault="00C3718E" w:rsidP="008144D7">
            <w:pPr>
              <w:pStyle w:val="TableBodyRight"/>
            </w:pPr>
            <w:r w:rsidRPr="00C3718E">
              <w:t>71.4%</w:t>
            </w:r>
          </w:p>
        </w:tc>
        <w:tc>
          <w:tcPr>
            <w:tcW w:w="0" w:type="auto"/>
            <w:noWrap/>
            <w:hideMark/>
          </w:tcPr>
          <w:p w14:paraId="1C8067D9" w14:textId="77777777" w:rsidR="00C3718E" w:rsidRPr="00C3718E" w:rsidRDefault="00C3718E" w:rsidP="008144D7">
            <w:pPr>
              <w:pStyle w:val="TableBodyRight"/>
            </w:pPr>
            <w:r w:rsidRPr="00C3718E">
              <w:t>45.1%</w:t>
            </w:r>
          </w:p>
        </w:tc>
        <w:tc>
          <w:tcPr>
            <w:tcW w:w="0" w:type="auto"/>
            <w:noWrap/>
            <w:hideMark/>
          </w:tcPr>
          <w:p w14:paraId="051CABC7" w14:textId="524344A4" w:rsidR="00C3718E" w:rsidRPr="00E517E3" w:rsidRDefault="00D45E79" w:rsidP="00E517E3">
            <w:pPr>
              <w:pStyle w:val="TableBodyRight"/>
            </w:pPr>
            <w:proofErr w:type="spellStart"/>
            <w:r w:rsidRPr="00E517E3">
              <w:t>n.a.</w:t>
            </w:r>
            <w:proofErr w:type="spellEnd"/>
          </w:p>
        </w:tc>
      </w:tr>
      <w:tr w:rsidR="00C3718E" w:rsidRPr="00C3718E" w14:paraId="1082FC6B" w14:textId="77777777" w:rsidTr="009044B2">
        <w:trPr>
          <w:trHeight w:val="288"/>
        </w:trPr>
        <w:tc>
          <w:tcPr>
            <w:tcW w:w="0" w:type="auto"/>
            <w:noWrap/>
            <w:hideMark/>
          </w:tcPr>
          <w:p w14:paraId="0DE7D68D" w14:textId="77777777" w:rsidR="00C3718E" w:rsidRPr="00C3718E" w:rsidRDefault="00C3718E" w:rsidP="001F550D">
            <w:pPr>
              <w:pStyle w:val="TableBody"/>
            </w:pPr>
            <w:r w:rsidRPr="00C3718E">
              <w:t>2003-04</w:t>
            </w:r>
          </w:p>
        </w:tc>
        <w:tc>
          <w:tcPr>
            <w:tcW w:w="0" w:type="auto"/>
            <w:noWrap/>
            <w:hideMark/>
          </w:tcPr>
          <w:p w14:paraId="121E8B0F" w14:textId="77777777" w:rsidR="00C3718E" w:rsidRPr="00C3718E" w:rsidRDefault="00C3718E" w:rsidP="008144D7">
            <w:pPr>
              <w:pStyle w:val="TableBodyRight"/>
            </w:pPr>
            <w:r w:rsidRPr="00C3718E">
              <w:t>76.1%</w:t>
            </w:r>
          </w:p>
        </w:tc>
        <w:tc>
          <w:tcPr>
            <w:tcW w:w="0" w:type="auto"/>
            <w:noWrap/>
            <w:hideMark/>
          </w:tcPr>
          <w:p w14:paraId="38C97BE4" w14:textId="77777777" w:rsidR="00C3718E" w:rsidRPr="00C3718E" w:rsidRDefault="00C3718E" w:rsidP="008144D7">
            <w:pPr>
              <w:pStyle w:val="TableBodyRight"/>
            </w:pPr>
            <w:r w:rsidRPr="00C3718E">
              <w:t>46.4%</w:t>
            </w:r>
          </w:p>
        </w:tc>
        <w:tc>
          <w:tcPr>
            <w:tcW w:w="0" w:type="auto"/>
            <w:noWrap/>
            <w:hideMark/>
          </w:tcPr>
          <w:p w14:paraId="24A2B192" w14:textId="79AD1D38" w:rsidR="00C3718E" w:rsidRPr="00E517E3" w:rsidRDefault="00D45E79" w:rsidP="00E517E3">
            <w:pPr>
              <w:pStyle w:val="TableBodyRight"/>
            </w:pPr>
            <w:proofErr w:type="spellStart"/>
            <w:r w:rsidRPr="00E517E3">
              <w:t>n.a.</w:t>
            </w:r>
            <w:proofErr w:type="spellEnd"/>
          </w:p>
        </w:tc>
      </w:tr>
      <w:tr w:rsidR="00C3718E" w:rsidRPr="00C3718E" w14:paraId="17437F9F" w14:textId="77777777" w:rsidTr="009044B2">
        <w:trPr>
          <w:trHeight w:val="288"/>
        </w:trPr>
        <w:tc>
          <w:tcPr>
            <w:tcW w:w="0" w:type="auto"/>
            <w:noWrap/>
            <w:hideMark/>
          </w:tcPr>
          <w:p w14:paraId="0C1A4833" w14:textId="77777777" w:rsidR="00C3718E" w:rsidRPr="00C3718E" w:rsidRDefault="00C3718E" w:rsidP="001F550D">
            <w:pPr>
              <w:pStyle w:val="TableBody"/>
            </w:pPr>
            <w:r w:rsidRPr="00C3718E">
              <w:t>2004-05</w:t>
            </w:r>
          </w:p>
        </w:tc>
        <w:tc>
          <w:tcPr>
            <w:tcW w:w="0" w:type="auto"/>
            <w:noWrap/>
            <w:hideMark/>
          </w:tcPr>
          <w:p w14:paraId="67509043" w14:textId="77777777" w:rsidR="00C3718E" w:rsidRPr="00C3718E" w:rsidRDefault="00C3718E" w:rsidP="008144D7">
            <w:pPr>
              <w:pStyle w:val="TableBodyRight"/>
            </w:pPr>
            <w:r w:rsidRPr="00C3718E">
              <w:t>71.4%</w:t>
            </w:r>
          </w:p>
        </w:tc>
        <w:tc>
          <w:tcPr>
            <w:tcW w:w="0" w:type="auto"/>
            <w:noWrap/>
            <w:hideMark/>
          </w:tcPr>
          <w:p w14:paraId="18BB3BF9" w14:textId="77777777" w:rsidR="00C3718E" w:rsidRPr="00C3718E" w:rsidRDefault="00C3718E" w:rsidP="008144D7">
            <w:pPr>
              <w:pStyle w:val="TableBodyRight"/>
            </w:pPr>
            <w:r w:rsidRPr="00C3718E">
              <w:t>40.7%</w:t>
            </w:r>
          </w:p>
        </w:tc>
        <w:tc>
          <w:tcPr>
            <w:tcW w:w="0" w:type="auto"/>
            <w:noWrap/>
            <w:hideMark/>
          </w:tcPr>
          <w:p w14:paraId="61F88CEE" w14:textId="0146DECA" w:rsidR="00C3718E" w:rsidRPr="00E517E3" w:rsidRDefault="00D45E79" w:rsidP="00E517E3">
            <w:pPr>
              <w:pStyle w:val="TableBodyRight"/>
            </w:pPr>
            <w:proofErr w:type="spellStart"/>
            <w:r w:rsidRPr="00E517E3">
              <w:t>n.a.</w:t>
            </w:r>
            <w:proofErr w:type="spellEnd"/>
          </w:p>
        </w:tc>
      </w:tr>
      <w:tr w:rsidR="00C3718E" w:rsidRPr="00C3718E" w14:paraId="19C3E72F" w14:textId="77777777" w:rsidTr="009044B2">
        <w:trPr>
          <w:trHeight w:val="288"/>
        </w:trPr>
        <w:tc>
          <w:tcPr>
            <w:tcW w:w="0" w:type="auto"/>
            <w:noWrap/>
            <w:hideMark/>
          </w:tcPr>
          <w:p w14:paraId="1383C597" w14:textId="77777777" w:rsidR="00C3718E" w:rsidRPr="00C3718E" w:rsidRDefault="00C3718E" w:rsidP="001F550D">
            <w:pPr>
              <w:pStyle w:val="TableBody"/>
            </w:pPr>
            <w:r w:rsidRPr="00C3718E">
              <w:t>2005-06</w:t>
            </w:r>
          </w:p>
        </w:tc>
        <w:tc>
          <w:tcPr>
            <w:tcW w:w="0" w:type="auto"/>
            <w:noWrap/>
            <w:hideMark/>
          </w:tcPr>
          <w:p w14:paraId="413FE8A1" w14:textId="77777777" w:rsidR="00C3718E" w:rsidRPr="00C3718E" w:rsidRDefault="00C3718E" w:rsidP="008144D7">
            <w:pPr>
              <w:pStyle w:val="TableBodyRight"/>
            </w:pPr>
            <w:r w:rsidRPr="00C3718E">
              <w:t>67.9%</w:t>
            </w:r>
          </w:p>
        </w:tc>
        <w:tc>
          <w:tcPr>
            <w:tcW w:w="0" w:type="auto"/>
            <w:noWrap/>
            <w:hideMark/>
          </w:tcPr>
          <w:p w14:paraId="4BCC39DC" w14:textId="77777777" w:rsidR="00C3718E" w:rsidRPr="00C3718E" w:rsidRDefault="00C3718E" w:rsidP="008144D7">
            <w:pPr>
              <w:pStyle w:val="TableBodyRight"/>
            </w:pPr>
            <w:r w:rsidRPr="00C3718E">
              <w:t>50.5%</w:t>
            </w:r>
          </w:p>
        </w:tc>
        <w:tc>
          <w:tcPr>
            <w:tcW w:w="0" w:type="auto"/>
            <w:noWrap/>
            <w:hideMark/>
          </w:tcPr>
          <w:p w14:paraId="74D490CC" w14:textId="16DD9F29" w:rsidR="00C3718E" w:rsidRPr="00E517E3" w:rsidRDefault="00D45E79" w:rsidP="00E517E3">
            <w:pPr>
              <w:pStyle w:val="TableBodyRight"/>
            </w:pPr>
            <w:proofErr w:type="spellStart"/>
            <w:r w:rsidRPr="00E517E3">
              <w:t>n.a.</w:t>
            </w:r>
            <w:proofErr w:type="spellEnd"/>
          </w:p>
        </w:tc>
      </w:tr>
      <w:tr w:rsidR="00C3718E" w:rsidRPr="00C3718E" w14:paraId="163E35FD" w14:textId="77777777" w:rsidTr="009044B2">
        <w:trPr>
          <w:trHeight w:val="288"/>
        </w:trPr>
        <w:tc>
          <w:tcPr>
            <w:tcW w:w="0" w:type="auto"/>
            <w:noWrap/>
            <w:hideMark/>
          </w:tcPr>
          <w:p w14:paraId="0B88C055" w14:textId="77777777" w:rsidR="00C3718E" w:rsidRPr="00C3718E" w:rsidRDefault="00C3718E" w:rsidP="001F550D">
            <w:pPr>
              <w:pStyle w:val="TableBody"/>
            </w:pPr>
            <w:r w:rsidRPr="00C3718E">
              <w:t>2006-07</w:t>
            </w:r>
          </w:p>
        </w:tc>
        <w:tc>
          <w:tcPr>
            <w:tcW w:w="0" w:type="auto"/>
            <w:noWrap/>
            <w:hideMark/>
          </w:tcPr>
          <w:p w14:paraId="18473095" w14:textId="77777777" w:rsidR="00C3718E" w:rsidRPr="00C3718E" w:rsidRDefault="00C3718E" w:rsidP="008144D7">
            <w:pPr>
              <w:pStyle w:val="TableBodyRight"/>
            </w:pPr>
            <w:r w:rsidRPr="00C3718E">
              <w:t>78.4%</w:t>
            </w:r>
          </w:p>
        </w:tc>
        <w:tc>
          <w:tcPr>
            <w:tcW w:w="0" w:type="auto"/>
            <w:noWrap/>
            <w:hideMark/>
          </w:tcPr>
          <w:p w14:paraId="7E1F8457" w14:textId="77777777" w:rsidR="00C3718E" w:rsidRPr="00C3718E" w:rsidRDefault="00C3718E" w:rsidP="008144D7">
            <w:pPr>
              <w:pStyle w:val="TableBodyRight"/>
            </w:pPr>
            <w:r w:rsidRPr="00C3718E">
              <w:t>55.3%</w:t>
            </w:r>
          </w:p>
        </w:tc>
        <w:tc>
          <w:tcPr>
            <w:tcW w:w="0" w:type="auto"/>
            <w:noWrap/>
            <w:hideMark/>
          </w:tcPr>
          <w:p w14:paraId="1A24F0FF" w14:textId="77777777" w:rsidR="00C3718E" w:rsidRPr="00C3718E" w:rsidRDefault="00C3718E" w:rsidP="008144D7">
            <w:pPr>
              <w:pStyle w:val="TableBodyRight"/>
            </w:pPr>
            <w:r w:rsidRPr="00C3718E">
              <w:t>28.9%</w:t>
            </w:r>
          </w:p>
        </w:tc>
      </w:tr>
      <w:tr w:rsidR="00C3718E" w:rsidRPr="00C3718E" w14:paraId="4F9FF0E2" w14:textId="77777777" w:rsidTr="009044B2">
        <w:trPr>
          <w:trHeight w:val="288"/>
        </w:trPr>
        <w:tc>
          <w:tcPr>
            <w:tcW w:w="0" w:type="auto"/>
            <w:noWrap/>
            <w:hideMark/>
          </w:tcPr>
          <w:p w14:paraId="6BA9EC18" w14:textId="77777777" w:rsidR="00C3718E" w:rsidRPr="00C3718E" w:rsidRDefault="00C3718E" w:rsidP="001F550D">
            <w:pPr>
              <w:pStyle w:val="TableBody"/>
            </w:pPr>
            <w:r w:rsidRPr="00C3718E">
              <w:t>2007-08</w:t>
            </w:r>
          </w:p>
        </w:tc>
        <w:tc>
          <w:tcPr>
            <w:tcW w:w="0" w:type="auto"/>
            <w:noWrap/>
            <w:hideMark/>
          </w:tcPr>
          <w:p w14:paraId="70D355F8" w14:textId="77777777" w:rsidR="00C3718E" w:rsidRPr="00C3718E" w:rsidRDefault="00C3718E" w:rsidP="008144D7">
            <w:pPr>
              <w:pStyle w:val="TableBodyRight"/>
            </w:pPr>
            <w:r w:rsidRPr="00C3718E">
              <w:t>74.6%</w:t>
            </w:r>
          </w:p>
        </w:tc>
        <w:tc>
          <w:tcPr>
            <w:tcW w:w="0" w:type="auto"/>
            <w:noWrap/>
            <w:hideMark/>
          </w:tcPr>
          <w:p w14:paraId="7695F1AB" w14:textId="77777777" w:rsidR="00C3718E" w:rsidRPr="00C3718E" w:rsidRDefault="00C3718E" w:rsidP="008144D7">
            <w:pPr>
              <w:pStyle w:val="TableBodyRight"/>
            </w:pPr>
            <w:r w:rsidRPr="00C3718E">
              <w:t>52.5%</w:t>
            </w:r>
          </w:p>
        </w:tc>
        <w:tc>
          <w:tcPr>
            <w:tcW w:w="0" w:type="auto"/>
            <w:noWrap/>
            <w:hideMark/>
          </w:tcPr>
          <w:p w14:paraId="71652095" w14:textId="77777777" w:rsidR="00C3718E" w:rsidRPr="00C3718E" w:rsidRDefault="00C3718E" w:rsidP="008144D7">
            <w:pPr>
              <w:pStyle w:val="TableBodyRight"/>
            </w:pPr>
            <w:r w:rsidRPr="00C3718E">
              <w:t>30.6%</w:t>
            </w:r>
          </w:p>
        </w:tc>
      </w:tr>
      <w:tr w:rsidR="00C3718E" w:rsidRPr="00C3718E" w14:paraId="36E6655F" w14:textId="77777777" w:rsidTr="009044B2">
        <w:trPr>
          <w:trHeight w:val="288"/>
        </w:trPr>
        <w:tc>
          <w:tcPr>
            <w:tcW w:w="0" w:type="auto"/>
            <w:noWrap/>
            <w:hideMark/>
          </w:tcPr>
          <w:p w14:paraId="45E8F893" w14:textId="77777777" w:rsidR="00C3718E" w:rsidRPr="00C3718E" w:rsidRDefault="00C3718E" w:rsidP="001F550D">
            <w:pPr>
              <w:pStyle w:val="TableBody"/>
            </w:pPr>
            <w:r w:rsidRPr="00C3718E">
              <w:lastRenderedPageBreak/>
              <w:t>2008-09</w:t>
            </w:r>
          </w:p>
        </w:tc>
        <w:tc>
          <w:tcPr>
            <w:tcW w:w="0" w:type="auto"/>
            <w:noWrap/>
            <w:hideMark/>
          </w:tcPr>
          <w:p w14:paraId="1594FD84" w14:textId="77777777" w:rsidR="00C3718E" w:rsidRPr="00C3718E" w:rsidRDefault="00C3718E" w:rsidP="008144D7">
            <w:pPr>
              <w:pStyle w:val="TableBodyRight"/>
            </w:pPr>
            <w:r w:rsidRPr="00C3718E">
              <w:t>83.7%</w:t>
            </w:r>
          </w:p>
        </w:tc>
        <w:tc>
          <w:tcPr>
            <w:tcW w:w="0" w:type="auto"/>
            <w:noWrap/>
            <w:hideMark/>
          </w:tcPr>
          <w:p w14:paraId="0FCE69D4" w14:textId="77777777" w:rsidR="00C3718E" w:rsidRPr="00C3718E" w:rsidRDefault="00C3718E" w:rsidP="008144D7">
            <w:pPr>
              <w:pStyle w:val="TableBodyRight"/>
            </w:pPr>
            <w:r w:rsidRPr="00C3718E">
              <w:t>53.3%</w:t>
            </w:r>
          </w:p>
        </w:tc>
        <w:tc>
          <w:tcPr>
            <w:tcW w:w="0" w:type="auto"/>
            <w:noWrap/>
            <w:hideMark/>
          </w:tcPr>
          <w:p w14:paraId="7CBE9851" w14:textId="77777777" w:rsidR="00C3718E" w:rsidRPr="00C3718E" w:rsidRDefault="00C3718E" w:rsidP="008144D7">
            <w:pPr>
              <w:pStyle w:val="TableBodyRight"/>
            </w:pPr>
            <w:r w:rsidRPr="00C3718E">
              <w:t>36.0%</w:t>
            </w:r>
          </w:p>
        </w:tc>
      </w:tr>
      <w:tr w:rsidR="00C3718E" w:rsidRPr="00C3718E" w14:paraId="4EE5D643" w14:textId="77777777" w:rsidTr="009044B2">
        <w:trPr>
          <w:trHeight w:val="288"/>
        </w:trPr>
        <w:tc>
          <w:tcPr>
            <w:tcW w:w="0" w:type="auto"/>
            <w:noWrap/>
            <w:hideMark/>
          </w:tcPr>
          <w:p w14:paraId="3FCBB06C" w14:textId="77777777" w:rsidR="00C3718E" w:rsidRPr="00C3718E" w:rsidRDefault="00C3718E" w:rsidP="001F550D">
            <w:pPr>
              <w:pStyle w:val="TableBody"/>
            </w:pPr>
            <w:r w:rsidRPr="00C3718E">
              <w:t>2009-10</w:t>
            </w:r>
          </w:p>
        </w:tc>
        <w:tc>
          <w:tcPr>
            <w:tcW w:w="0" w:type="auto"/>
            <w:noWrap/>
            <w:hideMark/>
          </w:tcPr>
          <w:p w14:paraId="043C00F2" w14:textId="77777777" w:rsidR="00C3718E" w:rsidRPr="00C3718E" w:rsidRDefault="00C3718E" w:rsidP="008144D7">
            <w:pPr>
              <w:pStyle w:val="TableBodyRight"/>
            </w:pPr>
            <w:r w:rsidRPr="00C3718E">
              <w:t>85.3%</w:t>
            </w:r>
          </w:p>
        </w:tc>
        <w:tc>
          <w:tcPr>
            <w:tcW w:w="0" w:type="auto"/>
            <w:noWrap/>
            <w:hideMark/>
          </w:tcPr>
          <w:p w14:paraId="0CFCF200" w14:textId="77777777" w:rsidR="00C3718E" w:rsidRPr="00C3718E" w:rsidRDefault="00C3718E" w:rsidP="008144D7">
            <w:pPr>
              <w:pStyle w:val="TableBodyRight"/>
            </w:pPr>
            <w:r w:rsidRPr="00C3718E">
              <w:t>67.9%</w:t>
            </w:r>
          </w:p>
        </w:tc>
        <w:tc>
          <w:tcPr>
            <w:tcW w:w="0" w:type="auto"/>
            <w:noWrap/>
            <w:hideMark/>
          </w:tcPr>
          <w:p w14:paraId="5EDC924F" w14:textId="77777777" w:rsidR="00C3718E" w:rsidRPr="00C3718E" w:rsidRDefault="00C3718E" w:rsidP="008144D7">
            <w:pPr>
              <w:pStyle w:val="TableBodyRight"/>
            </w:pPr>
            <w:r w:rsidRPr="00C3718E">
              <w:t>44.4%</w:t>
            </w:r>
          </w:p>
        </w:tc>
      </w:tr>
      <w:tr w:rsidR="00C3718E" w:rsidRPr="00C3718E" w14:paraId="149FB226" w14:textId="77777777" w:rsidTr="009044B2">
        <w:trPr>
          <w:trHeight w:val="288"/>
        </w:trPr>
        <w:tc>
          <w:tcPr>
            <w:tcW w:w="0" w:type="auto"/>
            <w:noWrap/>
            <w:hideMark/>
          </w:tcPr>
          <w:p w14:paraId="6259A1F4" w14:textId="77777777" w:rsidR="00C3718E" w:rsidRPr="00C3718E" w:rsidRDefault="00C3718E" w:rsidP="001F550D">
            <w:pPr>
              <w:pStyle w:val="TableBody"/>
            </w:pPr>
            <w:r w:rsidRPr="00C3718E">
              <w:t>2010-11</w:t>
            </w:r>
          </w:p>
        </w:tc>
        <w:tc>
          <w:tcPr>
            <w:tcW w:w="0" w:type="auto"/>
            <w:noWrap/>
            <w:hideMark/>
          </w:tcPr>
          <w:p w14:paraId="23A6F0C6" w14:textId="77777777" w:rsidR="00C3718E" w:rsidRPr="00C3718E" w:rsidRDefault="00C3718E" w:rsidP="008144D7">
            <w:pPr>
              <w:pStyle w:val="TableBodyRight"/>
            </w:pPr>
            <w:r w:rsidRPr="00C3718E">
              <w:t>89.1%</w:t>
            </w:r>
          </w:p>
        </w:tc>
        <w:tc>
          <w:tcPr>
            <w:tcW w:w="0" w:type="auto"/>
            <w:noWrap/>
            <w:hideMark/>
          </w:tcPr>
          <w:p w14:paraId="566F9B51" w14:textId="77777777" w:rsidR="00C3718E" w:rsidRPr="00C3718E" w:rsidRDefault="00C3718E" w:rsidP="008144D7">
            <w:pPr>
              <w:pStyle w:val="TableBodyRight"/>
            </w:pPr>
            <w:r w:rsidRPr="00C3718E">
              <w:t>70.7%</w:t>
            </w:r>
          </w:p>
        </w:tc>
        <w:tc>
          <w:tcPr>
            <w:tcW w:w="0" w:type="auto"/>
            <w:noWrap/>
            <w:hideMark/>
          </w:tcPr>
          <w:p w14:paraId="12A665E5" w14:textId="77777777" w:rsidR="00C3718E" w:rsidRPr="00C3718E" w:rsidRDefault="00C3718E" w:rsidP="008144D7">
            <w:pPr>
              <w:pStyle w:val="TableBodyRight"/>
            </w:pPr>
            <w:r w:rsidRPr="00C3718E">
              <w:t>54.7%</w:t>
            </w:r>
          </w:p>
        </w:tc>
      </w:tr>
      <w:tr w:rsidR="00C3718E" w:rsidRPr="00C3718E" w14:paraId="59146FB6" w14:textId="77777777" w:rsidTr="009044B2">
        <w:trPr>
          <w:trHeight w:val="288"/>
        </w:trPr>
        <w:tc>
          <w:tcPr>
            <w:tcW w:w="0" w:type="auto"/>
            <w:noWrap/>
            <w:hideMark/>
          </w:tcPr>
          <w:p w14:paraId="4D8218DF" w14:textId="77777777" w:rsidR="00C3718E" w:rsidRPr="00C3718E" w:rsidRDefault="00C3718E" w:rsidP="001F550D">
            <w:pPr>
              <w:pStyle w:val="TableBody"/>
            </w:pPr>
            <w:r w:rsidRPr="00C3718E">
              <w:t>2011-12</w:t>
            </w:r>
          </w:p>
        </w:tc>
        <w:tc>
          <w:tcPr>
            <w:tcW w:w="0" w:type="auto"/>
            <w:noWrap/>
            <w:hideMark/>
          </w:tcPr>
          <w:p w14:paraId="1300FE47" w14:textId="77777777" w:rsidR="00C3718E" w:rsidRPr="00C3718E" w:rsidRDefault="00C3718E" w:rsidP="008144D7">
            <w:pPr>
              <w:pStyle w:val="TableBodyRight"/>
            </w:pPr>
            <w:r w:rsidRPr="00C3718E">
              <w:t>87.1%</w:t>
            </w:r>
          </w:p>
        </w:tc>
        <w:tc>
          <w:tcPr>
            <w:tcW w:w="0" w:type="auto"/>
            <w:noWrap/>
            <w:hideMark/>
          </w:tcPr>
          <w:p w14:paraId="2827A669" w14:textId="77777777" w:rsidR="00C3718E" w:rsidRPr="00C3718E" w:rsidRDefault="00C3718E" w:rsidP="008144D7">
            <w:pPr>
              <w:pStyle w:val="TableBodyRight"/>
            </w:pPr>
            <w:r w:rsidRPr="00C3718E">
              <w:t>67.0%</w:t>
            </w:r>
          </w:p>
        </w:tc>
        <w:tc>
          <w:tcPr>
            <w:tcW w:w="0" w:type="auto"/>
            <w:noWrap/>
            <w:hideMark/>
          </w:tcPr>
          <w:p w14:paraId="1427E1F7" w14:textId="77777777" w:rsidR="00C3718E" w:rsidRPr="00C3718E" w:rsidRDefault="00C3718E" w:rsidP="008144D7">
            <w:pPr>
              <w:pStyle w:val="TableBodyRight"/>
            </w:pPr>
            <w:r w:rsidRPr="00C3718E">
              <w:t>44.2%</w:t>
            </w:r>
          </w:p>
        </w:tc>
      </w:tr>
      <w:tr w:rsidR="00C3718E" w:rsidRPr="00C3718E" w14:paraId="55BBF025" w14:textId="77777777" w:rsidTr="009044B2">
        <w:trPr>
          <w:trHeight w:val="288"/>
        </w:trPr>
        <w:tc>
          <w:tcPr>
            <w:tcW w:w="0" w:type="auto"/>
            <w:noWrap/>
            <w:hideMark/>
          </w:tcPr>
          <w:p w14:paraId="000E6EB1" w14:textId="77777777" w:rsidR="00C3718E" w:rsidRPr="00C3718E" w:rsidRDefault="00C3718E" w:rsidP="001F550D">
            <w:pPr>
              <w:pStyle w:val="TableBody"/>
            </w:pPr>
            <w:r w:rsidRPr="00C3718E">
              <w:t>2012-13</w:t>
            </w:r>
          </w:p>
        </w:tc>
        <w:tc>
          <w:tcPr>
            <w:tcW w:w="0" w:type="auto"/>
            <w:noWrap/>
            <w:hideMark/>
          </w:tcPr>
          <w:p w14:paraId="44B91A0C" w14:textId="77777777" w:rsidR="00C3718E" w:rsidRPr="00C3718E" w:rsidRDefault="00C3718E" w:rsidP="008144D7">
            <w:pPr>
              <w:pStyle w:val="TableBodyRight"/>
            </w:pPr>
            <w:r w:rsidRPr="00C3718E">
              <w:t>92.2%</w:t>
            </w:r>
          </w:p>
        </w:tc>
        <w:tc>
          <w:tcPr>
            <w:tcW w:w="0" w:type="auto"/>
            <w:noWrap/>
            <w:hideMark/>
          </w:tcPr>
          <w:p w14:paraId="0C291C79" w14:textId="77777777" w:rsidR="00C3718E" w:rsidRPr="00C3718E" w:rsidRDefault="00C3718E" w:rsidP="008144D7">
            <w:pPr>
              <w:pStyle w:val="TableBodyRight"/>
            </w:pPr>
            <w:r w:rsidRPr="00C3718E">
              <w:t>77.6%</w:t>
            </w:r>
          </w:p>
        </w:tc>
        <w:tc>
          <w:tcPr>
            <w:tcW w:w="0" w:type="auto"/>
            <w:noWrap/>
            <w:hideMark/>
          </w:tcPr>
          <w:p w14:paraId="20361478" w14:textId="77777777" w:rsidR="00C3718E" w:rsidRPr="00C3718E" w:rsidRDefault="00C3718E" w:rsidP="008144D7">
            <w:pPr>
              <w:pStyle w:val="TableBodyRight"/>
            </w:pPr>
            <w:r w:rsidRPr="00C3718E">
              <w:t>59.7%</w:t>
            </w:r>
          </w:p>
        </w:tc>
      </w:tr>
      <w:tr w:rsidR="00C3718E" w:rsidRPr="00C3718E" w14:paraId="03850352" w14:textId="77777777" w:rsidTr="009044B2">
        <w:trPr>
          <w:trHeight w:val="288"/>
        </w:trPr>
        <w:tc>
          <w:tcPr>
            <w:tcW w:w="0" w:type="auto"/>
            <w:noWrap/>
            <w:hideMark/>
          </w:tcPr>
          <w:p w14:paraId="25F8B042" w14:textId="77777777" w:rsidR="00C3718E" w:rsidRPr="00C3718E" w:rsidRDefault="00C3718E" w:rsidP="001F550D">
            <w:pPr>
              <w:pStyle w:val="TableBody"/>
            </w:pPr>
            <w:r w:rsidRPr="00C3718E">
              <w:t>2013-14</w:t>
            </w:r>
          </w:p>
        </w:tc>
        <w:tc>
          <w:tcPr>
            <w:tcW w:w="0" w:type="auto"/>
            <w:noWrap/>
            <w:hideMark/>
          </w:tcPr>
          <w:p w14:paraId="508E8E45" w14:textId="77777777" w:rsidR="00C3718E" w:rsidRPr="00C3718E" w:rsidRDefault="00C3718E" w:rsidP="008144D7">
            <w:pPr>
              <w:pStyle w:val="TableBodyRight"/>
            </w:pPr>
            <w:r w:rsidRPr="00C3718E">
              <w:t>89.4%</w:t>
            </w:r>
          </w:p>
        </w:tc>
        <w:tc>
          <w:tcPr>
            <w:tcW w:w="0" w:type="auto"/>
            <w:noWrap/>
            <w:hideMark/>
          </w:tcPr>
          <w:p w14:paraId="07F4D30C" w14:textId="77777777" w:rsidR="00C3718E" w:rsidRPr="00C3718E" w:rsidRDefault="00C3718E" w:rsidP="008144D7">
            <w:pPr>
              <w:pStyle w:val="TableBodyRight"/>
            </w:pPr>
            <w:r w:rsidRPr="00C3718E">
              <w:t>77.8%</w:t>
            </w:r>
          </w:p>
        </w:tc>
        <w:tc>
          <w:tcPr>
            <w:tcW w:w="0" w:type="auto"/>
            <w:noWrap/>
            <w:hideMark/>
          </w:tcPr>
          <w:p w14:paraId="56512F00" w14:textId="77777777" w:rsidR="00C3718E" w:rsidRPr="00C3718E" w:rsidRDefault="00C3718E" w:rsidP="008144D7">
            <w:pPr>
              <w:pStyle w:val="TableBodyRight"/>
            </w:pPr>
            <w:r w:rsidRPr="00C3718E">
              <w:t>44.3%</w:t>
            </w:r>
          </w:p>
        </w:tc>
      </w:tr>
      <w:tr w:rsidR="00C3718E" w:rsidRPr="00C3718E" w14:paraId="265183FB" w14:textId="77777777" w:rsidTr="009044B2">
        <w:trPr>
          <w:trHeight w:val="288"/>
        </w:trPr>
        <w:tc>
          <w:tcPr>
            <w:tcW w:w="0" w:type="auto"/>
            <w:noWrap/>
            <w:hideMark/>
          </w:tcPr>
          <w:p w14:paraId="20DD1EFB" w14:textId="77777777" w:rsidR="00C3718E" w:rsidRPr="00C3718E" w:rsidRDefault="00C3718E" w:rsidP="001F550D">
            <w:pPr>
              <w:pStyle w:val="TableBody"/>
            </w:pPr>
            <w:r w:rsidRPr="00C3718E">
              <w:t>2014-15</w:t>
            </w:r>
          </w:p>
        </w:tc>
        <w:tc>
          <w:tcPr>
            <w:tcW w:w="0" w:type="auto"/>
            <w:noWrap/>
            <w:hideMark/>
          </w:tcPr>
          <w:p w14:paraId="5DFA53E1" w14:textId="77777777" w:rsidR="00C3718E" w:rsidRPr="00C3718E" w:rsidRDefault="00C3718E" w:rsidP="008144D7">
            <w:pPr>
              <w:pStyle w:val="TableBodyRight"/>
            </w:pPr>
            <w:r w:rsidRPr="00C3718E">
              <w:t>92.0%</w:t>
            </w:r>
          </w:p>
        </w:tc>
        <w:tc>
          <w:tcPr>
            <w:tcW w:w="0" w:type="auto"/>
            <w:noWrap/>
            <w:hideMark/>
          </w:tcPr>
          <w:p w14:paraId="6770D0A1" w14:textId="77777777" w:rsidR="00C3718E" w:rsidRPr="00C3718E" w:rsidRDefault="00C3718E" w:rsidP="008144D7">
            <w:pPr>
              <w:pStyle w:val="TableBodyRight"/>
            </w:pPr>
            <w:r w:rsidRPr="00C3718E">
              <w:t>74.0%</w:t>
            </w:r>
          </w:p>
        </w:tc>
        <w:tc>
          <w:tcPr>
            <w:tcW w:w="0" w:type="auto"/>
            <w:noWrap/>
            <w:hideMark/>
          </w:tcPr>
          <w:p w14:paraId="6E008DEC" w14:textId="77777777" w:rsidR="00C3718E" w:rsidRPr="00C3718E" w:rsidRDefault="00C3718E" w:rsidP="008144D7">
            <w:pPr>
              <w:pStyle w:val="TableBodyRight"/>
            </w:pPr>
            <w:r w:rsidRPr="00C3718E">
              <w:t>42.0%</w:t>
            </w:r>
          </w:p>
        </w:tc>
      </w:tr>
      <w:tr w:rsidR="00C3718E" w:rsidRPr="00C3718E" w14:paraId="49116079" w14:textId="77777777" w:rsidTr="009044B2">
        <w:trPr>
          <w:trHeight w:val="288"/>
        </w:trPr>
        <w:tc>
          <w:tcPr>
            <w:tcW w:w="0" w:type="auto"/>
            <w:noWrap/>
            <w:hideMark/>
          </w:tcPr>
          <w:p w14:paraId="204107BB" w14:textId="77777777" w:rsidR="00C3718E" w:rsidRPr="00C3718E" w:rsidRDefault="00C3718E" w:rsidP="001F550D">
            <w:pPr>
              <w:pStyle w:val="TableBody"/>
            </w:pPr>
            <w:r w:rsidRPr="00C3718E">
              <w:t>2015-16</w:t>
            </w:r>
          </w:p>
        </w:tc>
        <w:tc>
          <w:tcPr>
            <w:tcW w:w="0" w:type="auto"/>
            <w:noWrap/>
            <w:hideMark/>
          </w:tcPr>
          <w:p w14:paraId="79D258B6" w14:textId="77777777" w:rsidR="00C3718E" w:rsidRPr="00C3718E" w:rsidRDefault="00C3718E" w:rsidP="008144D7">
            <w:pPr>
              <w:pStyle w:val="TableBodyRight"/>
            </w:pPr>
            <w:r w:rsidRPr="00C3718E">
              <w:t>88.0%</w:t>
            </w:r>
          </w:p>
        </w:tc>
        <w:tc>
          <w:tcPr>
            <w:tcW w:w="0" w:type="auto"/>
            <w:noWrap/>
            <w:hideMark/>
          </w:tcPr>
          <w:p w14:paraId="15A23EC6" w14:textId="77777777" w:rsidR="00C3718E" w:rsidRPr="00C3718E" w:rsidRDefault="00C3718E" w:rsidP="008144D7">
            <w:pPr>
              <w:pStyle w:val="TableBodyRight"/>
            </w:pPr>
            <w:r w:rsidRPr="00C3718E">
              <w:t>78.5%</w:t>
            </w:r>
          </w:p>
        </w:tc>
        <w:tc>
          <w:tcPr>
            <w:tcW w:w="0" w:type="auto"/>
            <w:noWrap/>
            <w:hideMark/>
          </w:tcPr>
          <w:p w14:paraId="0C4EE0C3" w14:textId="77777777" w:rsidR="00C3718E" w:rsidRPr="00C3718E" w:rsidRDefault="00C3718E" w:rsidP="008144D7">
            <w:pPr>
              <w:pStyle w:val="TableBodyRight"/>
            </w:pPr>
            <w:r w:rsidRPr="00C3718E">
              <w:t>56.0%</w:t>
            </w:r>
          </w:p>
        </w:tc>
      </w:tr>
      <w:tr w:rsidR="00C3718E" w:rsidRPr="00C3718E" w14:paraId="39ED65D4" w14:textId="77777777" w:rsidTr="009044B2">
        <w:trPr>
          <w:trHeight w:val="288"/>
        </w:trPr>
        <w:tc>
          <w:tcPr>
            <w:tcW w:w="0" w:type="auto"/>
            <w:noWrap/>
            <w:hideMark/>
          </w:tcPr>
          <w:p w14:paraId="3AAECE4F" w14:textId="77777777" w:rsidR="00C3718E" w:rsidRPr="00C3718E" w:rsidRDefault="00C3718E" w:rsidP="001F550D">
            <w:pPr>
              <w:pStyle w:val="TableBody"/>
            </w:pPr>
            <w:r w:rsidRPr="00C3718E">
              <w:t>2016-17</w:t>
            </w:r>
          </w:p>
        </w:tc>
        <w:tc>
          <w:tcPr>
            <w:tcW w:w="0" w:type="auto"/>
            <w:noWrap/>
            <w:hideMark/>
          </w:tcPr>
          <w:p w14:paraId="5F2D8A0F" w14:textId="77777777" w:rsidR="00C3718E" w:rsidRPr="00C3718E" w:rsidRDefault="00C3718E" w:rsidP="008144D7">
            <w:pPr>
              <w:pStyle w:val="TableBodyRight"/>
            </w:pPr>
            <w:r w:rsidRPr="00C3718E">
              <w:t>93.0%</w:t>
            </w:r>
          </w:p>
        </w:tc>
        <w:tc>
          <w:tcPr>
            <w:tcW w:w="0" w:type="auto"/>
            <w:noWrap/>
            <w:hideMark/>
          </w:tcPr>
          <w:p w14:paraId="711647B9" w14:textId="77777777" w:rsidR="00C3718E" w:rsidRPr="00C3718E" w:rsidRDefault="00C3718E" w:rsidP="008144D7">
            <w:pPr>
              <w:pStyle w:val="TableBodyRight"/>
            </w:pPr>
            <w:r w:rsidRPr="00C3718E">
              <w:t>89.0%</w:t>
            </w:r>
          </w:p>
        </w:tc>
        <w:tc>
          <w:tcPr>
            <w:tcW w:w="0" w:type="auto"/>
            <w:noWrap/>
            <w:hideMark/>
          </w:tcPr>
          <w:p w14:paraId="7ECA8215" w14:textId="77777777" w:rsidR="00C3718E" w:rsidRPr="00C3718E" w:rsidRDefault="00C3718E" w:rsidP="008144D7">
            <w:pPr>
              <w:pStyle w:val="TableBodyRight"/>
            </w:pPr>
            <w:r w:rsidRPr="00C3718E">
              <w:t>78.0%</w:t>
            </w:r>
          </w:p>
        </w:tc>
      </w:tr>
      <w:tr w:rsidR="00C3718E" w:rsidRPr="00C3718E" w14:paraId="2ED9D915" w14:textId="77777777" w:rsidTr="009044B2">
        <w:trPr>
          <w:trHeight w:val="288"/>
        </w:trPr>
        <w:tc>
          <w:tcPr>
            <w:tcW w:w="0" w:type="auto"/>
            <w:noWrap/>
            <w:hideMark/>
          </w:tcPr>
          <w:p w14:paraId="636835C7" w14:textId="77777777" w:rsidR="00C3718E" w:rsidRPr="00C3718E" w:rsidRDefault="00C3718E" w:rsidP="001F550D">
            <w:pPr>
              <w:pStyle w:val="TableBody"/>
            </w:pPr>
            <w:r w:rsidRPr="00C3718E">
              <w:t>2017-18</w:t>
            </w:r>
          </w:p>
        </w:tc>
        <w:tc>
          <w:tcPr>
            <w:tcW w:w="0" w:type="auto"/>
            <w:noWrap/>
            <w:hideMark/>
          </w:tcPr>
          <w:p w14:paraId="2FE4033D" w14:textId="77777777" w:rsidR="00C3718E" w:rsidRPr="00C3718E" w:rsidRDefault="00C3718E" w:rsidP="008144D7">
            <w:pPr>
              <w:pStyle w:val="TableBodyRight"/>
            </w:pPr>
            <w:r w:rsidRPr="00C3718E">
              <w:t>92.0%</w:t>
            </w:r>
          </w:p>
        </w:tc>
        <w:tc>
          <w:tcPr>
            <w:tcW w:w="0" w:type="auto"/>
            <w:noWrap/>
            <w:hideMark/>
          </w:tcPr>
          <w:p w14:paraId="595CFCDF" w14:textId="77777777" w:rsidR="00C3718E" w:rsidRPr="00C3718E" w:rsidRDefault="00C3718E" w:rsidP="008144D7">
            <w:pPr>
              <w:pStyle w:val="TableBodyRight"/>
            </w:pPr>
            <w:r w:rsidRPr="00C3718E">
              <w:t>85.0%</w:t>
            </w:r>
          </w:p>
        </w:tc>
        <w:tc>
          <w:tcPr>
            <w:tcW w:w="0" w:type="auto"/>
            <w:noWrap/>
            <w:hideMark/>
          </w:tcPr>
          <w:p w14:paraId="5F5DDC50" w14:textId="77777777" w:rsidR="00C3718E" w:rsidRPr="00C3718E" w:rsidRDefault="00C3718E" w:rsidP="008144D7">
            <w:pPr>
              <w:pStyle w:val="TableBodyRight"/>
            </w:pPr>
            <w:r w:rsidRPr="00C3718E">
              <w:t>80.0%</w:t>
            </w:r>
          </w:p>
        </w:tc>
      </w:tr>
      <w:tr w:rsidR="00C3718E" w:rsidRPr="00C3718E" w14:paraId="6C9CCF0E" w14:textId="77777777" w:rsidTr="009044B2">
        <w:trPr>
          <w:trHeight w:val="288"/>
        </w:trPr>
        <w:tc>
          <w:tcPr>
            <w:tcW w:w="0" w:type="auto"/>
            <w:noWrap/>
            <w:hideMark/>
          </w:tcPr>
          <w:p w14:paraId="7669C34E" w14:textId="77777777" w:rsidR="00C3718E" w:rsidRPr="00C3718E" w:rsidRDefault="00C3718E" w:rsidP="001F550D">
            <w:pPr>
              <w:pStyle w:val="TableBody"/>
            </w:pPr>
            <w:r w:rsidRPr="00C3718E">
              <w:t>2018-19</w:t>
            </w:r>
          </w:p>
        </w:tc>
        <w:tc>
          <w:tcPr>
            <w:tcW w:w="0" w:type="auto"/>
            <w:noWrap/>
            <w:hideMark/>
          </w:tcPr>
          <w:p w14:paraId="52768EE1" w14:textId="77777777" w:rsidR="00C3718E" w:rsidRPr="00C3718E" w:rsidRDefault="00C3718E" w:rsidP="008144D7">
            <w:pPr>
              <w:pStyle w:val="TableBodyRight"/>
            </w:pPr>
            <w:r w:rsidRPr="00C3718E">
              <w:t>94.0%</w:t>
            </w:r>
          </w:p>
        </w:tc>
        <w:tc>
          <w:tcPr>
            <w:tcW w:w="0" w:type="auto"/>
            <w:noWrap/>
            <w:hideMark/>
          </w:tcPr>
          <w:p w14:paraId="29543E35" w14:textId="77777777" w:rsidR="00C3718E" w:rsidRPr="00C3718E" w:rsidRDefault="00C3718E" w:rsidP="008144D7">
            <w:pPr>
              <w:pStyle w:val="TableBodyRight"/>
            </w:pPr>
            <w:r w:rsidRPr="00C3718E">
              <w:t>91.0%</w:t>
            </w:r>
          </w:p>
        </w:tc>
        <w:tc>
          <w:tcPr>
            <w:tcW w:w="0" w:type="auto"/>
            <w:noWrap/>
            <w:hideMark/>
          </w:tcPr>
          <w:p w14:paraId="1FE34362" w14:textId="77777777" w:rsidR="00C3718E" w:rsidRPr="00C3718E" w:rsidRDefault="00C3718E" w:rsidP="008144D7">
            <w:pPr>
              <w:pStyle w:val="TableBodyRight"/>
            </w:pPr>
            <w:r w:rsidRPr="00C3718E">
              <w:t>80.0%</w:t>
            </w:r>
          </w:p>
        </w:tc>
      </w:tr>
      <w:tr w:rsidR="00C3718E" w:rsidRPr="00C3718E" w14:paraId="4724B7BB" w14:textId="77777777" w:rsidTr="009044B2">
        <w:trPr>
          <w:trHeight w:val="288"/>
        </w:trPr>
        <w:tc>
          <w:tcPr>
            <w:tcW w:w="0" w:type="auto"/>
            <w:noWrap/>
            <w:hideMark/>
          </w:tcPr>
          <w:p w14:paraId="56C03EBA" w14:textId="77777777" w:rsidR="00C3718E" w:rsidRPr="00C3718E" w:rsidRDefault="00C3718E" w:rsidP="001F550D">
            <w:pPr>
              <w:pStyle w:val="TableBody"/>
            </w:pPr>
            <w:r w:rsidRPr="00C3718E">
              <w:t>2019-20</w:t>
            </w:r>
          </w:p>
        </w:tc>
        <w:tc>
          <w:tcPr>
            <w:tcW w:w="0" w:type="auto"/>
            <w:noWrap/>
            <w:hideMark/>
          </w:tcPr>
          <w:p w14:paraId="28333C1D" w14:textId="77777777" w:rsidR="00C3718E" w:rsidRPr="00C3718E" w:rsidRDefault="00C3718E" w:rsidP="008144D7">
            <w:pPr>
              <w:pStyle w:val="TableBodyRight"/>
            </w:pPr>
            <w:r w:rsidRPr="00C3718E">
              <w:t>79.0%</w:t>
            </w:r>
          </w:p>
        </w:tc>
        <w:tc>
          <w:tcPr>
            <w:tcW w:w="0" w:type="auto"/>
            <w:noWrap/>
            <w:hideMark/>
          </w:tcPr>
          <w:p w14:paraId="5095F682" w14:textId="77777777" w:rsidR="00C3718E" w:rsidRPr="00C3718E" w:rsidRDefault="00C3718E" w:rsidP="008144D7">
            <w:pPr>
              <w:pStyle w:val="TableBodyRight"/>
            </w:pPr>
            <w:r w:rsidRPr="00C3718E">
              <w:t>85.0%</w:t>
            </w:r>
          </w:p>
        </w:tc>
        <w:tc>
          <w:tcPr>
            <w:tcW w:w="0" w:type="auto"/>
            <w:noWrap/>
            <w:hideMark/>
          </w:tcPr>
          <w:p w14:paraId="241EA821" w14:textId="77777777" w:rsidR="00C3718E" w:rsidRPr="00C3718E" w:rsidRDefault="00C3718E" w:rsidP="008144D7">
            <w:pPr>
              <w:pStyle w:val="TableBodyRight"/>
            </w:pPr>
            <w:r w:rsidRPr="00C3718E">
              <w:t>73.0%</w:t>
            </w:r>
          </w:p>
        </w:tc>
      </w:tr>
      <w:tr w:rsidR="00C3718E" w:rsidRPr="00C3718E" w14:paraId="064FBE5C" w14:textId="77777777" w:rsidTr="009044B2">
        <w:trPr>
          <w:trHeight w:val="288"/>
        </w:trPr>
        <w:tc>
          <w:tcPr>
            <w:tcW w:w="0" w:type="auto"/>
            <w:noWrap/>
            <w:hideMark/>
          </w:tcPr>
          <w:p w14:paraId="66A94E2F" w14:textId="77777777" w:rsidR="00C3718E" w:rsidRPr="00C3718E" w:rsidRDefault="00C3718E" w:rsidP="001F550D">
            <w:pPr>
              <w:pStyle w:val="TableBody"/>
            </w:pPr>
            <w:r w:rsidRPr="00C3718E">
              <w:t>2020-21</w:t>
            </w:r>
          </w:p>
        </w:tc>
        <w:tc>
          <w:tcPr>
            <w:tcW w:w="0" w:type="auto"/>
            <w:noWrap/>
            <w:hideMark/>
          </w:tcPr>
          <w:p w14:paraId="08294555" w14:textId="77777777" w:rsidR="00C3718E" w:rsidRPr="00C3718E" w:rsidRDefault="00C3718E" w:rsidP="008144D7">
            <w:pPr>
              <w:pStyle w:val="TableBodyRight"/>
            </w:pPr>
            <w:r w:rsidRPr="00C3718E">
              <w:t>88.0%</w:t>
            </w:r>
          </w:p>
        </w:tc>
        <w:tc>
          <w:tcPr>
            <w:tcW w:w="0" w:type="auto"/>
            <w:noWrap/>
            <w:hideMark/>
          </w:tcPr>
          <w:p w14:paraId="325582B4" w14:textId="77777777" w:rsidR="00C3718E" w:rsidRPr="00C3718E" w:rsidRDefault="00C3718E" w:rsidP="008144D7">
            <w:pPr>
              <w:pStyle w:val="TableBodyRight"/>
            </w:pPr>
            <w:r w:rsidRPr="00C3718E">
              <w:t>87.0%</w:t>
            </w:r>
          </w:p>
        </w:tc>
        <w:tc>
          <w:tcPr>
            <w:tcW w:w="0" w:type="auto"/>
            <w:noWrap/>
            <w:hideMark/>
          </w:tcPr>
          <w:p w14:paraId="15840F68" w14:textId="77777777" w:rsidR="00C3718E" w:rsidRPr="00C3718E" w:rsidRDefault="00C3718E" w:rsidP="008144D7">
            <w:pPr>
              <w:pStyle w:val="TableBodyRight"/>
            </w:pPr>
            <w:r w:rsidRPr="00C3718E">
              <w:t>72.0%</w:t>
            </w:r>
          </w:p>
        </w:tc>
      </w:tr>
    </w:tbl>
    <w:p w14:paraId="7C231C84" w14:textId="645056A9" w:rsidR="00E62AE6" w:rsidRPr="0031029F" w:rsidRDefault="00E62AE6" w:rsidP="0031029F">
      <w:r w:rsidRPr="0031029F">
        <w:t>The lengths of prison sentences for these three serious violent offences have all generally increased, some more than others (Figure</w:t>
      </w:r>
      <w:r w:rsidR="00A5381A">
        <w:t>s</w:t>
      </w:r>
      <w:r w:rsidRPr="0031029F">
        <w:t xml:space="preserve"> 9 and 10). The average charge-level prison sentences have increased by 83.7% for intentionally causing serious injury, 59.3% for recklessly causing serious injury and 130.8% for intentionally causing injury.</w:t>
      </w:r>
      <w:r w:rsidRPr="00E62AE6">
        <w:rPr>
          <w:rStyle w:val="Superscript"/>
        </w:rPr>
        <w:footnoteReference w:id="26"/>
      </w:r>
      <w:r w:rsidRPr="0031029F">
        <w:t xml:space="preserve"> The total effective sentences in cases where these offences were the principal proven offence increased by 77.6%, 93.3% and 130% respectively. And the average non-parole period in those cases increased by 93.1%, 100.0% and 64.7% respectively. Some of these increases in prison sentence lengths may reflect a change in the higher courts in the nature of cases involving these offences, particularly if more cases are being finalised in the summary jurisdiction, leaving more serious cases to be dealt with in the higher courts. </w:t>
      </w:r>
    </w:p>
    <w:p w14:paraId="6A09FC78" w14:textId="77777777" w:rsidR="00E62AE6" w:rsidRPr="00E62AE6" w:rsidRDefault="00E62AE6" w:rsidP="00E5783B">
      <w:pPr>
        <w:pStyle w:val="Caption"/>
      </w:pPr>
      <w:r w:rsidRPr="00E62AE6">
        <w:t>Figure 9: Average charge-level prison sentences for serious violent offences, 2001–02 to 2020–21</w:t>
      </w:r>
    </w:p>
    <w:tbl>
      <w:tblPr>
        <w:tblStyle w:val="Table"/>
        <w:tblW w:w="5000" w:type="pct"/>
        <w:tblLook w:val="04A0" w:firstRow="1" w:lastRow="0" w:firstColumn="1" w:lastColumn="0" w:noHBand="0" w:noVBand="1"/>
      </w:tblPr>
      <w:tblGrid>
        <w:gridCol w:w="1246"/>
        <w:gridCol w:w="2845"/>
        <w:gridCol w:w="2661"/>
        <w:gridCol w:w="2264"/>
      </w:tblGrid>
      <w:tr w:rsidR="008672DB" w:rsidRPr="008672DB" w14:paraId="6B746328" w14:textId="77777777" w:rsidTr="002379DD">
        <w:trPr>
          <w:trHeight w:val="288"/>
          <w:tblHeader/>
        </w:trPr>
        <w:tc>
          <w:tcPr>
            <w:tcW w:w="1024" w:type="pct"/>
            <w:noWrap/>
            <w:hideMark/>
          </w:tcPr>
          <w:p w14:paraId="0F269E56" w14:textId="77777777" w:rsidR="008672DB" w:rsidRPr="008672DB" w:rsidRDefault="008672DB" w:rsidP="003A3EE5">
            <w:pPr>
              <w:pStyle w:val="TableHeading"/>
            </w:pPr>
            <w:r w:rsidRPr="008672DB">
              <w:t>Financial year</w:t>
            </w:r>
          </w:p>
        </w:tc>
        <w:tc>
          <w:tcPr>
            <w:tcW w:w="1403" w:type="pct"/>
            <w:noWrap/>
            <w:hideMark/>
          </w:tcPr>
          <w:p w14:paraId="57951166" w14:textId="4AE55C12" w:rsidR="008672DB" w:rsidRPr="008672DB" w:rsidRDefault="008672DB" w:rsidP="003A3EE5">
            <w:pPr>
              <w:pStyle w:val="TableHeadingRight"/>
            </w:pPr>
            <w:r w:rsidRPr="008672DB">
              <w:t xml:space="preserve">Intentionally </w:t>
            </w:r>
            <w:r w:rsidR="00C36C32">
              <w:t>causing</w:t>
            </w:r>
            <w:r w:rsidR="00C36C32" w:rsidRPr="00623DAF">
              <w:t xml:space="preserve"> </w:t>
            </w:r>
            <w:r w:rsidRPr="008672DB">
              <w:t>serious injury</w:t>
            </w:r>
          </w:p>
        </w:tc>
        <w:tc>
          <w:tcPr>
            <w:tcW w:w="1170" w:type="pct"/>
            <w:noWrap/>
            <w:hideMark/>
          </w:tcPr>
          <w:p w14:paraId="0CC94CD3" w14:textId="068D2746" w:rsidR="008672DB" w:rsidRPr="008672DB" w:rsidRDefault="008672DB" w:rsidP="003A3EE5">
            <w:pPr>
              <w:pStyle w:val="TableHeadingRight"/>
            </w:pPr>
            <w:r w:rsidRPr="008672DB">
              <w:t xml:space="preserve">Recklessly </w:t>
            </w:r>
            <w:r w:rsidR="00C36C32">
              <w:t>causing</w:t>
            </w:r>
            <w:r w:rsidR="00C36C32" w:rsidRPr="00623DAF">
              <w:t xml:space="preserve"> </w:t>
            </w:r>
            <w:r w:rsidRPr="008672DB">
              <w:t>serious injury</w:t>
            </w:r>
          </w:p>
        </w:tc>
        <w:tc>
          <w:tcPr>
            <w:tcW w:w="1403" w:type="pct"/>
            <w:noWrap/>
            <w:hideMark/>
          </w:tcPr>
          <w:p w14:paraId="2194FB2B" w14:textId="59320FBE" w:rsidR="008672DB" w:rsidRPr="008672DB" w:rsidRDefault="008672DB" w:rsidP="003A3EE5">
            <w:pPr>
              <w:pStyle w:val="TableHeadingRight"/>
            </w:pPr>
            <w:r w:rsidRPr="008672DB">
              <w:t xml:space="preserve">Intentionally </w:t>
            </w:r>
            <w:r w:rsidR="00C36C32">
              <w:t>causing</w:t>
            </w:r>
            <w:r w:rsidR="00C36C32" w:rsidRPr="00623DAF">
              <w:t xml:space="preserve"> </w:t>
            </w:r>
            <w:r w:rsidRPr="008672DB">
              <w:t>injury</w:t>
            </w:r>
          </w:p>
        </w:tc>
      </w:tr>
      <w:tr w:rsidR="008672DB" w:rsidRPr="008672DB" w14:paraId="11AB6E71" w14:textId="77777777" w:rsidTr="00114117">
        <w:trPr>
          <w:trHeight w:val="288"/>
        </w:trPr>
        <w:tc>
          <w:tcPr>
            <w:tcW w:w="1024" w:type="pct"/>
            <w:noWrap/>
            <w:hideMark/>
          </w:tcPr>
          <w:p w14:paraId="6B0CDAC2" w14:textId="77777777" w:rsidR="008672DB" w:rsidRPr="008672DB" w:rsidRDefault="008672DB" w:rsidP="001F550D">
            <w:pPr>
              <w:pStyle w:val="TableBody"/>
            </w:pPr>
            <w:r w:rsidRPr="008672DB">
              <w:t>2001-02</w:t>
            </w:r>
          </w:p>
        </w:tc>
        <w:tc>
          <w:tcPr>
            <w:tcW w:w="1403" w:type="pct"/>
            <w:noWrap/>
            <w:hideMark/>
          </w:tcPr>
          <w:p w14:paraId="67312D99" w14:textId="77777777" w:rsidR="008672DB" w:rsidRPr="008672DB" w:rsidRDefault="008672DB" w:rsidP="00672D2E">
            <w:pPr>
              <w:pStyle w:val="TableBodyRight"/>
            </w:pPr>
            <w:r w:rsidRPr="008672DB">
              <w:t>3.6</w:t>
            </w:r>
          </w:p>
        </w:tc>
        <w:tc>
          <w:tcPr>
            <w:tcW w:w="1170" w:type="pct"/>
            <w:noWrap/>
            <w:hideMark/>
          </w:tcPr>
          <w:p w14:paraId="64AF40CA" w14:textId="77777777" w:rsidR="008672DB" w:rsidRPr="008672DB" w:rsidRDefault="008672DB" w:rsidP="00672D2E">
            <w:pPr>
              <w:pStyle w:val="TableBodyRight"/>
            </w:pPr>
            <w:r w:rsidRPr="008672DB">
              <w:t>2.3</w:t>
            </w:r>
          </w:p>
        </w:tc>
        <w:tc>
          <w:tcPr>
            <w:tcW w:w="1403" w:type="pct"/>
            <w:noWrap/>
            <w:hideMark/>
          </w:tcPr>
          <w:p w14:paraId="3255690A" w14:textId="7A9413D6" w:rsidR="008672DB" w:rsidRPr="00E517E3" w:rsidRDefault="00114117" w:rsidP="00E517E3">
            <w:pPr>
              <w:pStyle w:val="TableBodyRight"/>
            </w:pPr>
            <w:proofErr w:type="spellStart"/>
            <w:r w:rsidRPr="00E517E3">
              <w:t>n.a.</w:t>
            </w:r>
            <w:proofErr w:type="spellEnd"/>
          </w:p>
        </w:tc>
      </w:tr>
      <w:tr w:rsidR="008672DB" w:rsidRPr="008672DB" w14:paraId="420962F0" w14:textId="77777777" w:rsidTr="00114117">
        <w:trPr>
          <w:trHeight w:val="288"/>
        </w:trPr>
        <w:tc>
          <w:tcPr>
            <w:tcW w:w="1024" w:type="pct"/>
            <w:noWrap/>
            <w:hideMark/>
          </w:tcPr>
          <w:p w14:paraId="78B8954D" w14:textId="77777777" w:rsidR="008672DB" w:rsidRPr="008672DB" w:rsidRDefault="008672DB" w:rsidP="001F550D">
            <w:pPr>
              <w:pStyle w:val="TableBody"/>
            </w:pPr>
            <w:r w:rsidRPr="008672DB">
              <w:t>2002-03</w:t>
            </w:r>
          </w:p>
        </w:tc>
        <w:tc>
          <w:tcPr>
            <w:tcW w:w="1403" w:type="pct"/>
            <w:noWrap/>
            <w:hideMark/>
          </w:tcPr>
          <w:p w14:paraId="5C44AA46" w14:textId="77777777" w:rsidR="008672DB" w:rsidRPr="008672DB" w:rsidRDefault="008672DB" w:rsidP="00672D2E">
            <w:pPr>
              <w:pStyle w:val="TableBodyRight"/>
            </w:pPr>
            <w:r w:rsidRPr="008672DB">
              <w:t>3.2</w:t>
            </w:r>
          </w:p>
        </w:tc>
        <w:tc>
          <w:tcPr>
            <w:tcW w:w="1170" w:type="pct"/>
            <w:noWrap/>
            <w:hideMark/>
          </w:tcPr>
          <w:p w14:paraId="514530A5" w14:textId="77777777" w:rsidR="008672DB" w:rsidRPr="008672DB" w:rsidRDefault="008672DB" w:rsidP="00672D2E">
            <w:pPr>
              <w:pStyle w:val="TableBodyRight"/>
            </w:pPr>
            <w:r w:rsidRPr="008672DB">
              <w:t>2.6</w:t>
            </w:r>
          </w:p>
        </w:tc>
        <w:tc>
          <w:tcPr>
            <w:tcW w:w="1403" w:type="pct"/>
            <w:noWrap/>
            <w:hideMark/>
          </w:tcPr>
          <w:p w14:paraId="66681563" w14:textId="1DC9F3C7" w:rsidR="008672DB" w:rsidRPr="00E517E3" w:rsidRDefault="00114117" w:rsidP="00E517E3">
            <w:pPr>
              <w:pStyle w:val="TableBodyRight"/>
            </w:pPr>
            <w:proofErr w:type="spellStart"/>
            <w:r w:rsidRPr="00E517E3">
              <w:t>n.a.</w:t>
            </w:r>
            <w:proofErr w:type="spellEnd"/>
          </w:p>
        </w:tc>
      </w:tr>
      <w:tr w:rsidR="008672DB" w:rsidRPr="008672DB" w14:paraId="7048B4F6" w14:textId="77777777" w:rsidTr="00114117">
        <w:trPr>
          <w:trHeight w:val="288"/>
        </w:trPr>
        <w:tc>
          <w:tcPr>
            <w:tcW w:w="1024" w:type="pct"/>
            <w:noWrap/>
            <w:hideMark/>
          </w:tcPr>
          <w:p w14:paraId="7D256135" w14:textId="77777777" w:rsidR="008672DB" w:rsidRPr="008672DB" w:rsidRDefault="008672DB" w:rsidP="001F550D">
            <w:pPr>
              <w:pStyle w:val="TableBody"/>
            </w:pPr>
            <w:r w:rsidRPr="008672DB">
              <w:t>2003-04</w:t>
            </w:r>
          </w:p>
        </w:tc>
        <w:tc>
          <w:tcPr>
            <w:tcW w:w="1403" w:type="pct"/>
            <w:noWrap/>
            <w:hideMark/>
          </w:tcPr>
          <w:p w14:paraId="1E0F2E29" w14:textId="77777777" w:rsidR="008672DB" w:rsidRPr="008672DB" w:rsidRDefault="008672DB" w:rsidP="00672D2E">
            <w:pPr>
              <w:pStyle w:val="TableBodyRight"/>
            </w:pPr>
            <w:r w:rsidRPr="008672DB">
              <w:t>3.6</w:t>
            </w:r>
          </w:p>
        </w:tc>
        <w:tc>
          <w:tcPr>
            <w:tcW w:w="1170" w:type="pct"/>
            <w:noWrap/>
            <w:hideMark/>
          </w:tcPr>
          <w:p w14:paraId="476A90C5" w14:textId="77777777" w:rsidR="008672DB" w:rsidRPr="008672DB" w:rsidRDefault="008672DB" w:rsidP="00672D2E">
            <w:pPr>
              <w:pStyle w:val="TableBodyRight"/>
            </w:pPr>
            <w:r w:rsidRPr="008672DB">
              <w:t>2.2</w:t>
            </w:r>
          </w:p>
        </w:tc>
        <w:tc>
          <w:tcPr>
            <w:tcW w:w="1403" w:type="pct"/>
            <w:noWrap/>
            <w:hideMark/>
          </w:tcPr>
          <w:p w14:paraId="5E40A00B" w14:textId="6799D6A8" w:rsidR="008672DB" w:rsidRPr="00E517E3" w:rsidRDefault="00114117" w:rsidP="00E517E3">
            <w:pPr>
              <w:pStyle w:val="TableBodyRight"/>
            </w:pPr>
            <w:proofErr w:type="spellStart"/>
            <w:r w:rsidRPr="00E517E3">
              <w:t>n.a.</w:t>
            </w:r>
            <w:proofErr w:type="spellEnd"/>
          </w:p>
        </w:tc>
      </w:tr>
      <w:tr w:rsidR="008672DB" w:rsidRPr="008672DB" w14:paraId="6012C9BD" w14:textId="77777777" w:rsidTr="00114117">
        <w:trPr>
          <w:trHeight w:val="288"/>
        </w:trPr>
        <w:tc>
          <w:tcPr>
            <w:tcW w:w="1024" w:type="pct"/>
            <w:noWrap/>
            <w:hideMark/>
          </w:tcPr>
          <w:p w14:paraId="305341F2" w14:textId="77777777" w:rsidR="008672DB" w:rsidRPr="008672DB" w:rsidRDefault="008672DB" w:rsidP="001F550D">
            <w:pPr>
              <w:pStyle w:val="TableBody"/>
            </w:pPr>
            <w:r w:rsidRPr="008672DB">
              <w:lastRenderedPageBreak/>
              <w:t>2004-05</w:t>
            </w:r>
          </w:p>
        </w:tc>
        <w:tc>
          <w:tcPr>
            <w:tcW w:w="1403" w:type="pct"/>
            <w:noWrap/>
            <w:hideMark/>
          </w:tcPr>
          <w:p w14:paraId="0515AF11" w14:textId="77777777" w:rsidR="008672DB" w:rsidRPr="008672DB" w:rsidRDefault="008672DB" w:rsidP="00672D2E">
            <w:pPr>
              <w:pStyle w:val="TableBodyRight"/>
            </w:pPr>
            <w:r w:rsidRPr="008672DB">
              <w:t>3.0</w:t>
            </w:r>
          </w:p>
        </w:tc>
        <w:tc>
          <w:tcPr>
            <w:tcW w:w="1170" w:type="pct"/>
            <w:noWrap/>
            <w:hideMark/>
          </w:tcPr>
          <w:p w14:paraId="2BE9E3F6" w14:textId="77777777" w:rsidR="008672DB" w:rsidRPr="008672DB" w:rsidRDefault="008672DB" w:rsidP="00672D2E">
            <w:pPr>
              <w:pStyle w:val="TableBodyRight"/>
            </w:pPr>
            <w:r w:rsidRPr="008672DB">
              <w:t>2.7</w:t>
            </w:r>
          </w:p>
        </w:tc>
        <w:tc>
          <w:tcPr>
            <w:tcW w:w="1403" w:type="pct"/>
            <w:noWrap/>
            <w:hideMark/>
          </w:tcPr>
          <w:p w14:paraId="46DB2477" w14:textId="13CCE22C" w:rsidR="008672DB" w:rsidRPr="00E517E3" w:rsidRDefault="00114117" w:rsidP="00E517E3">
            <w:pPr>
              <w:pStyle w:val="TableBodyRight"/>
            </w:pPr>
            <w:proofErr w:type="spellStart"/>
            <w:r w:rsidRPr="00E517E3">
              <w:t>n.a.</w:t>
            </w:r>
            <w:proofErr w:type="spellEnd"/>
          </w:p>
        </w:tc>
      </w:tr>
      <w:tr w:rsidR="008672DB" w:rsidRPr="008672DB" w14:paraId="69C50757" w14:textId="77777777" w:rsidTr="00114117">
        <w:trPr>
          <w:trHeight w:val="288"/>
        </w:trPr>
        <w:tc>
          <w:tcPr>
            <w:tcW w:w="1024" w:type="pct"/>
            <w:noWrap/>
            <w:hideMark/>
          </w:tcPr>
          <w:p w14:paraId="4BD22FB3" w14:textId="77777777" w:rsidR="008672DB" w:rsidRPr="008672DB" w:rsidRDefault="008672DB" w:rsidP="001F550D">
            <w:pPr>
              <w:pStyle w:val="TableBody"/>
            </w:pPr>
            <w:r w:rsidRPr="008672DB">
              <w:t>2005-06</w:t>
            </w:r>
          </w:p>
        </w:tc>
        <w:tc>
          <w:tcPr>
            <w:tcW w:w="1403" w:type="pct"/>
            <w:noWrap/>
            <w:hideMark/>
          </w:tcPr>
          <w:p w14:paraId="597CD046" w14:textId="77777777" w:rsidR="008672DB" w:rsidRPr="008672DB" w:rsidRDefault="008672DB" w:rsidP="00672D2E">
            <w:pPr>
              <w:pStyle w:val="TableBodyRight"/>
            </w:pPr>
            <w:r w:rsidRPr="008672DB">
              <w:t>3.7</w:t>
            </w:r>
          </w:p>
        </w:tc>
        <w:tc>
          <w:tcPr>
            <w:tcW w:w="1170" w:type="pct"/>
            <w:noWrap/>
            <w:hideMark/>
          </w:tcPr>
          <w:p w14:paraId="244EFD00" w14:textId="77777777" w:rsidR="008672DB" w:rsidRPr="008672DB" w:rsidRDefault="008672DB" w:rsidP="00672D2E">
            <w:pPr>
              <w:pStyle w:val="TableBodyRight"/>
            </w:pPr>
            <w:r w:rsidRPr="008672DB">
              <w:t>1.9</w:t>
            </w:r>
          </w:p>
        </w:tc>
        <w:tc>
          <w:tcPr>
            <w:tcW w:w="1403" w:type="pct"/>
            <w:noWrap/>
            <w:hideMark/>
          </w:tcPr>
          <w:p w14:paraId="054CAE3D" w14:textId="360D5E1E" w:rsidR="008672DB" w:rsidRPr="00E517E3" w:rsidRDefault="00114117" w:rsidP="00E517E3">
            <w:pPr>
              <w:pStyle w:val="TableBodyRight"/>
            </w:pPr>
            <w:proofErr w:type="spellStart"/>
            <w:r w:rsidRPr="00E517E3">
              <w:t>n.a.</w:t>
            </w:r>
            <w:proofErr w:type="spellEnd"/>
          </w:p>
        </w:tc>
      </w:tr>
      <w:tr w:rsidR="008672DB" w:rsidRPr="008672DB" w14:paraId="650954C4" w14:textId="77777777" w:rsidTr="00114117">
        <w:trPr>
          <w:trHeight w:val="288"/>
        </w:trPr>
        <w:tc>
          <w:tcPr>
            <w:tcW w:w="1024" w:type="pct"/>
            <w:noWrap/>
            <w:hideMark/>
          </w:tcPr>
          <w:p w14:paraId="46B782C0" w14:textId="77777777" w:rsidR="008672DB" w:rsidRPr="008672DB" w:rsidRDefault="008672DB" w:rsidP="001F550D">
            <w:pPr>
              <w:pStyle w:val="TableBody"/>
            </w:pPr>
            <w:r w:rsidRPr="008672DB">
              <w:t>2006-07</w:t>
            </w:r>
          </w:p>
        </w:tc>
        <w:tc>
          <w:tcPr>
            <w:tcW w:w="1403" w:type="pct"/>
            <w:noWrap/>
            <w:hideMark/>
          </w:tcPr>
          <w:p w14:paraId="091FDA0B" w14:textId="77777777" w:rsidR="008672DB" w:rsidRPr="008672DB" w:rsidRDefault="008672DB" w:rsidP="00672D2E">
            <w:pPr>
              <w:pStyle w:val="TableBodyRight"/>
            </w:pPr>
            <w:r w:rsidRPr="008672DB">
              <w:t>3.9</w:t>
            </w:r>
          </w:p>
        </w:tc>
        <w:tc>
          <w:tcPr>
            <w:tcW w:w="1170" w:type="pct"/>
            <w:noWrap/>
            <w:hideMark/>
          </w:tcPr>
          <w:p w14:paraId="25FC86C1" w14:textId="77777777" w:rsidR="008672DB" w:rsidRPr="008672DB" w:rsidRDefault="008672DB" w:rsidP="00672D2E">
            <w:pPr>
              <w:pStyle w:val="TableBodyRight"/>
            </w:pPr>
            <w:r w:rsidRPr="008672DB">
              <w:t>1.9</w:t>
            </w:r>
          </w:p>
        </w:tc>
        <w:tc>
          <w:tcPr>
            <w:tcW w:w="1403" w:type="pct"/>
            <w:noWrap/>
            <w:hideMark/>
          </w:tcPr>
          <w:p w14:paraId="63CA5AC6" w14:textId="77777777" w:rsidR="008672DB" w:rsidRPr="008672DB" w:rsidRDefault="008672DB" w:rsidP="00672D2E">
            <w:pPr>
              <w:pStyle w:val="TableBodyRight"/>
            </w:pPr>
            <w:r w:rsidRPr="008672DB">
              <w:t>1.1</w:t>
            </w:r>
          </w:p>
        </w:tc>
      </w:tr>
      <w:tr w:rsidR="008672DB" w:rsidRPr="008672DB" w14:paraId="0B56672E" w14:textId="77777777" w:rsidTr="00114117">
        <w:trPr>
          <w:trHeight w:val="288"/>
        </w:trPr>
        <w:tc>
          <w:tcPr>
            <w:tcW w:w="1024" w:type="pct"/>
            <w:noWrap/>
            <w:hideMark/>
          </w:tcPr>
          <w:p w14:paraId="3205C031" w14:textId="77777777" w:rsidR="008672DB" w:rsidRPr="008672DB" w:rsidRDefault="008672DB" w:rsidP="001F550D">
            <w:pPr>
              <w:pStyle w:val="TableBody"/>
            </w:pPr>
            <w:r w:rsidRPr="008672DB">
              <w:t>2007-08</w:t>
            </w:r>
          </w:p>
        </w:tc>
        <w:tc>
          <w:tcPr>
            <w:tcW w:w="1403" w:type="pct"/>
            <w:noWrap/>
            <w:hideMark/>
          </w:tcPr>
          <w:p w14:paraId="21AADB3D" w14:textId="77777777" w:rsidR="008672DB" w:rsidRPr="008672DB" w:rsidRDefault="008672DB" w:rsidP="00672D2E">
            <w:pPr>
              <w:pStyle w:val="TableBodyRight"/>
            </w:pPr>
            <w:r w:rsidRPr="008672DB">
              <w:t>4.0</w:t>
            </w:r>
          </w:p>
        </w:tc>
        <w:tc>
          <w:tcPr>
            <w:tcW w:w="1170" w:type="pct"/>
            <w:noWrap/>
            <w:hideMark/>
          </w:tcPr>
          <w:p w14:paraId="32A978EB" w14:textId="77777777" w:rsidR="008672DB" w:rsidRPr="008672DB" w:rsidRDefault="008672DB" w:rsidP="00672D2E">
            <w:pPr>
              <w:pStyle w:val="TableBodyRight"/>
            </w:pPr>
            <w:r w:rsidRPr="008672DB">
              <w:t>2.7</w:t>
            </w:r>
          </w:p>
        </w:tc>
        <w:tc>
          <w:tcPr>
            <w:tcW w:w="1403" w:type="pct"/>
            <w:noWrap/>
            <w:hideMark/>
          </w:tcPr>
          <w:p w14:paraId="2A90AD55" w14:textId="77777777" w:rsidR="008672DB" w:rsidRPr="008672DB" w:rsidRDefault="008672DB" w:rsidP="00672D2E">
            <w:pPr>
              <w:pStyle w:val="TableBodyRight"/>
            </w:pPr>
            <w:r w:rsidRPr="008672DB">
              <w:t>1.0</w:t>
            </w:r>
          </w:p>
        </w:tc>
      </w:tr>
      <w:tr w:rsidR="008672DB" w:rsidRPr="008672DB" w14:paraId="3FF2B704" w14:textId="77777777" w:rsidTr="00114117">
        <w:trPr>
          <w:trHeight w:val="288"/>
        </w:trPr>
        <w:tc>
          <w:tcPr>
            <w:tcW w:w="1024" w:type="pct"/>
            <w:noWrap/>
            <w:hideMark/>
          </w:tcPr>
          <w:p w14:paraId="0CC10643" w14:textId="77777777" w:rsidR="008672DB" w:rsidRPr="008672DB" w:rsidRDefault="008672DB" w:rsidP="001F550D">
            <w:pPr>
              <w:pStyle w:val="TableBody"/>
            </w:pPr>
            <w:r w:rsidRPr="008672DB">
              <w:t>2008-09</w:t>
            </w:r>
          </w:p>
        </w:tc>
        <w:tc>
          <w:tcPr>
            <w:tcW w:w="1403" w:type="pct"/>
            <w:noWrap/>
            <w:hideMark/>
          </w:tcPr>
          <w:p w14:paraId="6419F4CE" w14:textId="77777777" w:rsidR="008672DB" w:rsidRPr="008672DB" w:rsidRDefault="008672DB" w:rsidP="00672D2E">
            <w:pPr>
              <w:pStyle w:val="TableBodyRight"/>
            </w:pPr>
            <w:r w:rsidRPr="008672DB">
              <w:t>3.7</w:t>
            </w:r>
          </w:p>
        </w:tc>
        <w:tc>
          <w:tcPr>
            <w:tcW w:w="1170" w:type="pct"/>
            <w:noWrap/>
            <w:hideMark/>
          </w:tcPr>
          <w:p w14:paraId="52D17314" w14:textId="77777777" w:rsidR="008672DB" w:rsidRPr="008672DB" w:rsidRDefault="008672DB" w:rsidP="00672D2E">
            <w:pPr>
              <w:pStyle w:val="TableBodyRight"/>
            </w:pPr>
            <w:r w:rsidRPr="008672DB">
              <w:t>2.4</w:t>
            </w:r>
          </w:p>
        </w:tc>
        <w:tc>
          <w:tcPr>
            <w:tcW w:w="1403" w:type="pct"/>
            <w:noWrap/>
            <w:hideMark/>
          </w:tcPr>
          <w:p w14:paraId="4838A3DA" w14:textId="77777777" w:rsidR="008672DB" w:rsidRPr="008672DB" w:rsidRDefault="008672DB" w:rsidP="00672D2E">
            <w:pPr>
              <w:pStyle w:val="TableBodyRight"/>
            </w:pPr>
            <w:r w:rsidRPr="008672DB">
              <w:t>1.7</w:t>
            </w:r>
          </w:p>
        </w:tc>
      </w:tr>
      <w:tr w:rsidR="008672DB" w:rsidRPr="008672DB" w14:paraId="7785229A" w14:textId="77777777" w:rsidTr="00114117">
        <w:trPr>
          <w:trHeight w:val="288"/>
        </w:trPr>
        <w:tc>
          <w:tcPr>
            <w:tcW w:w="1024" w:type="pct"/>
            <w:noWrap/>
            <w:hideMark/>
          </w:tcPr>
          <w:p w14:paraId="5D63DF9B" w14:textId="77777777" w:rsidR="008672DB" w:rsidRPr="008672DB" w:rsidRDefault="008672DB" w:rsidP="001F550D">
            <w:pPr>
              <w:pStyle w:val="TableBody"/>
            </w:pPr>
            <w:r w:rsidRPr="008672DB">
              <w:t>2009-10</w:t>
            </w:r>
          </w:p>
        </w:tc>
        <w:tc>
          <w:tcPr>
            <w:tcW w:w="1403" w:type="pct"/>
            <w:noWrap/>
            <w:hideMark/>
          </w:tcPr>
          <w:p w14:paraId="5B861E44" w14:textId="77777777" w:rsidR="008672DB" w:rsidRPr="008672DB" w:rsidRDefault="008672DB" w:rsidP="00672D2E">
            <w:pPr>
              <w:pStyle w:val="TableBodyRight"/>
            </w:pPr>
            <w:r w:rsidRPr="008672DB">
              <w:t>4.6</w:t>
            </w:r>
          </w:p>
        </w:tc>
        <w:tc>
          <w:tcPr>
            <w:tcW w:w="1170" w:type="pct"/>
            <w:noWrap/>
            <w:hideMark/>
          </w:tcPr>
          <w:p w14:paraId="4343F231" w14:textId="77777777" w:rsidR="008672DB" w:rsidRPr="008672DB" w:rsidRDefault="008672DB" w:rsidP="00672D2E">
            <w:pPr>
              <w:pStyle w:val="TableBodyRight"/>
            </w:pPr>
            <w:r w:rsidRPr="008672DB">
              <w:t>2.8</w:t>
            </w:r>
          </w:p>
        </w:tc>
        <w:tc>
          <w:tcPr>
            <w:tcW w:w="1403" w:type="pct"/>
            <w:noWrap/>
            <w:hideMark/>
          </w:tcPr>
          <w:p w14:paraId="20AF1353" w14:textId="77777777" w:rsidR="008672DB" w:rsidRPr="008672DB" w:rsidRDefault="008672DB" w:rsidP="00672D2E">
            <w:pPr>
              <w:pStyle w:val="TableBodyRight"/>
            </w:pPr>
            <w:r w:rsidRPr="008672DB">
              <w:t>1.2</w:t>
            </w:r>
          </w:p>
        </w:tc>
      </w:tr>
      <w:tr w:rsidR="008672DB" w:rsidRPr="008672DB" w14:paraId="582F4A85" w14:textId="77777777" w:rsidTr="00114117">
        <w:trPr>
          <w:trHeight w:val="288"/>
        </w:trPr>
        <w:tc>
          <w:tcPr>
            <w:tcW w:w="1024" w:type="pct"/>
            <w:noWrap/>
            <w:hideMark/>
          </w:tcPr>
          <w:p w14:paraId="498D6AC7" w14:textId="77777777" w:rsidR="008672DB" w:rsidRPr="008672DB" w:rsidRDefault="008672DB" w:rsidP="001F550D">
            <w:pPr>
              <w:pStyle w:val="TableBody"/>
            </w:pPr>
            <w:r w:rsidRPr="008672DB">
              <w:t>2010-11</w:t>
            </w:r>
          </w:p>
        </w:tc>
        <w:tc>
          <w:tcPr>
            <w:tcW w:w="1403" w:type="pct"/>
            <w:noWrap/>
            <w:hideMark/>
          </w:tcPr>
          <w:p w14:paraId="51461F72" w14:textId="77777777" w:rsidR="008672DB" w:rsidRPr="008672DB" w:rsidRDefault="008672DB" w:rsidP="00672D2E">
            <w:pPr>
              <w:pStyle w:val="TableBodyRight"/>
            </w:pPr>
            <w:r w:rsidRPr="008672DB">
              <w:t>4.7</w:t>
            </w:r>
          </w:p>
        </w:tc>
        <w:tc>
          <w:tcPr>
            <w:tcW w:w="1170" w:type="pct"/>
            <w:noWrap/>
            <w:hideMark/>
          </w:tcPr>
          <w:p w14:paraId="0A313960" w14:textId="77777777" w:rsidR="008672DB" w:rsidRPr="008672DB" w:rsidRDefault="008672DB" w:rsidP="00672D2E">
            <w:pPr>
              <w:pStyle w:val="TableBodyRight"/>
            </w:pPr>
            <w:r w:rsidRPr="008672DB">
              <w:t>2.7</w:t>
            </w:r>
          </w:p>
        </w:tc>
        <w:tc>
          <w:tcPr>
            <w:tcW w:w="1403" w:type="pct"/>
            <w:noWrap/>
            <w:hideMark/>
          </w:tcPr>
          <w:p w14:paraId="1D72CD00" w14:textId="77777777" w:rsidR="008672DB" w:rsidRPr="008672DB" w:rsidRDefault="008672DB" w:rsidP="00672D2E">
            <w:pPr>
              <w:pStyle w:val="TableBodyRight"/>
            </w:pPr>
            <w:r w:rsidRPr="008672DB">
              <w:t>1.9</w:t>
            </w:r>
          </w:p>
        </w:tc>
      </w:tr>
      <w:tr w:rsidR="008672DB" w:rsidRPr="008672DB" w14:paraId="42CC876F" w14:textId="77777777" w:rsidTr="00114117">
        <w:trPr>
          <w:trHeight w:val="288"/>
        </w:trPr>
        <w:tc>
          <w:tcPr>
            <w:tcW w:w="1024" w:type="pct"/>
            <w:noWrap/>
            <w:hideMark/>
          </w:tcPr>
          <w:p w14:paraId="294AC222" w14:textId="77777777" w:rsidR="008672DB" w:rsidRPr="008672DB" w:rsidRDefault="008672DB" w:rsidP="001F550D">
            <w:pPr>
              <w:pStyle w:val="TableBody"/>
            </w:pPr>
            <w:r w:rsidRPr="008672DB">
              <w:t>2011-12</w:t>
            </w:r>
          </w:p>
        </w:tc>
        <w:tc>
          <w:tcPr>
            <w:tcW w:w="1403" w:type="pct"/>
            <w:noWrap/>
            <w:hideMark/>
          </w:tcPr>
          <w:p w14:paraId="340668D2" w14:textId="77777777" w:rsidR="008672DB" w:rsidRPr="008672DB" w:rsidRDefault="008672DB" w:rsidP="00672D2E">
            <w:pPr>
              <w:pStyle w:val="TableBodyRight"/>
            </w:pPr>
            <w:r w:rsidRPr="008672DB">
              <w:t>4.3</w:t>
            </w:r>
          </w:p>
        </w:tc>
        <w:tc>
          <w:tcPr>
            <w:tcW w:w="1170" w:type="pct"/>
            <w:noWrap/>
            <w:hideMark/>
          </w:tcPr>
          <w:p w14:paraId="74F00B4A" w14:textId="77777777" w:rsidR="008672DB" w:rsidRPr="008672DB" w:rsidRDefault="008672DB" w:rsidP="00672D2E">
            <w:pPr>
              <w:pStyle w:val="TableBodyRight"/>
            </w:pPr>
            <w:r w:rsidRPr="008672DB">
              <w:t>2.7</w:t>
            </w:r>
          </w:p>
        </w:tc>
        <w:tc>
          <w:tcPr>
            <w:tcW w:w="1403" w:type="pct"/>
            <w:noWrap/>
            <w:hideMark/>
          </w:tcPr>
          <w:p w14:paraId="37EE0F44" w14:textId="77777777" w:rsidR="008672DB" w:rsidRPr="008672DB" w:rsidRDefault="008672DB" w:rsidP="00672D2E">
            <w:pPr>
              <w:pStyle w:val="TableBodyRight"/>
            </w:pPr>
            <w:r w:rsidRPr="008672DB">
              <w:t>1.7</w:t>
            </w:r>
          </w:p>
        </w:tc>
      </w:tr>
      <w:tr w:rsidR="008672DB" w:rsidRPr="008672DB" w14:paraId="5512C256" w14:textId="77777777" w:rsidTr="00114117">
        <w:trPr>
          <w:trHeight w:val="288"/>
        </w:trPr>
        <w:tc>
          <w:tcPr>
            <w:tcW w:w="1024" w:type="pct"/>
            <w:noWrap/>
            <w:hideMark/>
          </w:tcPr>
          <w:p w14:paraId="3B747E19" w14:textId="77777777" w:rsidR="008672DB" w:rsidRPr="008672DB" w:rsidRDefault="008672DB" w:rsidP="001F550D">
            <w:pPr>
              <w:pStyle w:val="TableBody"/>
            </w:pPr>
            <w:r w:rsidRPr="008672DB">
              <w:t>2012-13</w:t>
            </w:r>
          </w:p>
        </w:tc>
        <w:tc>
          <w:tcPr>
            <w:tcW w:w="1403" w:type="pct"/>
            <w:noWrap/>
            <w:hideMark/>
          </w:tcPr>
          <w:p w14:paraId="7F165793" w14:textId="77777777" w:rsidR="008672DB" w:rsidRPr="008672DB" w:rsidRDefault="008672DB" w:rsidP="00672D2E">
            <w:pPr>
              <w:pStyle w:val="TableBodyRight"/>
            </w:pPr>
            <w:r w:rsidRPr="008672DB">
              <w:t>4.8</w:t>
            </w:r>
          </w:p>
        </w:tc>
        <w:tc>
          <w:tcPr>
            <w:tcW w:w="1170" w:type="pct"/>
            <w:noWrap/>
            <w:hideMark/>
          </w:tcPr>
          <w:p w14:paraId="172AA215" w14:textId="77777777" w:rsidR="008672DB" w:rsidRPr="008672DB" w:rsidRDefault="008672DB" w:rsidP="00672D2E">
            <w:pPr>
              <w:pStyle w:val="TableBodyRight"/>
            </w:pPr>
            <w:r w:rsidRPr="008672DB">
              <w:t>2.8</w:t>
            </w:r>
          </w:p>
        </w:tc>
        <w:tc>
          <w:tcPr>
            <w:tcW w:w="1403" w:type="pct"/>
            <w:noWrap/>
            <w:hideMark/>
          </w:tcPr>
          <w:p w14:paraId="5998C6E2" w14:textId="77777777" w:rsidR="008672DB" w:rsidRPr="008672DB" w:rsidRDefault="008672DB" w:rsidP="00672D2E">
            <w:pPr>
              <w:pStyle w:val="TableBodyRight"/>
            </w:pPr>
            <w:r w:rsidRPr="008672DB">
              <w:t>1.3</w:t>
            </w:r>
          </w:p>
        </w:tc>
      </w:tr>
      <w:tr w:rsidR="008672DB" w:rsidRPr="008672DB" w14:paraId="7BAF9EA8" w14:textId="77777777" w:rsidTr="00114117">
        <w:trPr>
          <w:trHeight w:val="288"/>
        </w:trPr>
        <w:tc>
          <w:tcPr>
            <w:tcW w:w="1024" w:type="pct"/>
            <w:noWrap/>
            <w:hideMark/>
          </w:tcPr>
          <w:p w14:paraId="4BB64F35" w14:textId="77777777" w:rsidR="008672DB" w:rsidRPr="008672DB" w:rsidRDefault="008672DB" w:rsidP="001F550D">
            <w:pPr>
              <w:pStyle w:val="TableBody"/>
            </w:pPr>
            <w:r w:rsidRPr="008672DB">
              <w:t>2013-14</w:t>
            </w:r>
          </w:p>
        </w:tc>
        <w:tc>
          <w:tcPr>
            <w:tcW w:w="1403" w:type="pct"/>
            <w:noWrap/>
            <w:hideMark/>
          </w:tcPr>
          <w:p w14:paraId="2C0988A9" w14:textId="77777777" w:rsidR="008672DB" w:rsidRPr="008672DB" w:rsidRDefault="008672DB" w:rsidP="00672D2E">
            <w:pPr>
              <w:pStyle w:val="TableBodyRight"/>
            </w:pPr>
            <w:r w:rsidRPr="008672DB">
              <w:t>5.1</w:t>
            </w:r>
          </w:p>
        </w:tc>
        <w:tc>
          <w:tcPr>
            <w:tcW w:w="1170" w:type="pct"/>
            <w:noWrap/>
            <w:hideMark/>
          </w:tcPr>
          <w:p w14:paraId="04CC7E29" w14:textId="77777777" w:rsidR="008672DB" w:rsidRPr="008672DB" w:rsidRDefault="008672DB" w:rsidP="00672D2E">
            <w:pPr>
              <w:pStyle w:val="TableBodyRight"/>
            </w:pPr>
            <w:r w:rsidRPr="008672DB">
              <w:t>2.6</w:t>
            </w:r>
          </w:p>
        </w:tc>
        <w:tc>
          <w:tcPr>
            <w:tcW w:w="1403" w:type="pct"/>
            <w:noWrap/>
            <w:hideMark/>
          </w:tcPr>
          <w:p w14:paraId="3410984D" w14:textId="77777777" w:rsidR="008672DB" w:rsidRPr="008672DB" w:rsidRDefault="008672DB" w:rsidP="00672D2E">
            <w:pPr>
              <w:pStyle w:val="TableBodyRight"/>
            </w:pPr>
            <w:r w:rsidRPr="008672DB">
              <w:t>1.8</w:t>
            </w:r>
          </w:p>
        </w:tc>
      </w:tr>
      <w:tr w:rsidR="008672DB" w:rsidRPr="008672DB" w14:paraId="4BE9E303" w14:textId="77777777" w:rsidTr="00114117">
        <w:trPr>
          <w:trHeight w:val="288"/>
        </w:trPr>
        <w:tc>
          <w:tcPr>
            <w:tcW w:w="1024" w:type="pct"/>
            <w:noWrap/>
            <w:hideMark/>
          </w:tcPr>
          <w:p w14:paraId="1B668753" w14:textId="77777777" w:rsidR="008672DB" w:rsidRPr="008672DB" w:rsidRDefault="008672DB" w:rsidP="001F550D">
            <w:pPr>
              <w:pStyle w:val="TableBody"/>
            </w:pPr>
            <w:r w:rsidRPr="008672DB">
              <w:t>2014-15</w:t>
            </w:r>
          </w:p>
        </w:tc>
        <w:tc>
          <w:tcPr>
            <w:tcW w:w="1403" w:type="pct"/>
            <w:noWrap/>
            <w:hideMark/>
          </w:tcPr>
          <w:p w14:paraId="47622B08" w14:textId="77777777" w:rsidR="008672DB" w:rsidRPr="008672DB" w:rsidRDefault="008672DB" w:rsidP="00672D2E">
            <w:pPr>
              <w:pStyle w:val="TableBodyRight"/>
            </w:pPr>
            <w:r w:rsidRPr="008672DB">
              <w:t>5.0</w:t>
            </w:r>
          </w:p>
        </w:tc>
        <w:tc>
          <w:tcPr>
            <w:tcW w:w="1170" w:type="pct"/>
            <w:noWrap/>
            <w:hideMark/>
          </w:tcPr>
          <w:p w14:paraId="1C19AE5F" w14:textId="77777777" w:rsidR="008672DB" w:rsidRPr="008672DB" w:rsidRDefault="008672DB" w:rsidP="00672D2E">
            <w:pPr>
              <w:pStyle w:val="TableBodyRight"/>
            </w:pPr>
            <w:r w:rsidRPr="008672DB">
              <w:t>2.1</w:t>
            </w:r>
          </w:p>
        </w:tc>
        <w:tc>
          <w:tcPr>
            <w:tcW w:w="1403" w:type="pct"/>
            <w:noWrap/>
            <w:hideMark/>
          </w:tcPr>
          <w:p w14:paraId="20432B89" w14:textId="77777777" w:rsidR="008672DB" w:rsidRPr="008672DB" w:rsidRDefault="008672DB" w:rsidP="00672D2E">
            <w:pPr>
              <w:pStyle w:val="TableBodyRight"/>
            </w:pPr>
            <w:r w:rsidRPr="008672DB">
              <w:t>1.4</w:t>
            </w:r>
          </w:p>
        </w:tc>
      </w:tr>
      <w:tr w:rsidR="008672DB" w:rsidRPr="008672DB" w14:paraId="4DAFD962" w14:textId="77777777" w:rsidTr="00114117">
        <w:trPr>
          <w:trHeight w:val="288"/>
        </w:trPr>
        <w:tc>
          <w:tcPr>
            <w:tcW w:w="1024" w:type="pct"/>
            <w:noWrap/>
            <w:hideMark/>
          </w:tcPr>
          <w:p w14:paraId="66B6C56D" w14:textId="77777777" w:rsidR="008672DB" w:rsidRPr="008672DB" w:rsidRDefault="008672DB" w:rsidP="001F550D">
            <w:pPr>
              <w:pStyle w:val="TableBody"/>
            </w:pPr>
            <w:r w:rsidRPr="008672DB">
              <w:t>2015-16</w:t>
            </w:r>
          </w:p>
        </w:tc>
        <w:tc>
          <w:tcPr>
            <w:tcW w:w="1403" w:type="pct"/>
            <w:noWrap/>
            <w:hideMark/>
          </w:tcPr>
          <w:p w14:paraId="0CC0D08D" w14:textId="77777777" w:rsidR="008672DB" w:rsidRPr="008672DB" w:rsidRDefault="008672DB" w:rsidP="00672D2E">
            <w:pPr>
              <w:pStyle w:val="TableBodyRight"/>
            </w:pPr>
            <w:r w:rsidRPr="008672DB">
              <w:t>4.3</w:t>
            </w:r>
          </w:p>
        </w:tc>
        <w:tc>
          <w:tcPr>
            <w:tcW w:w="1170" w:type="pct"/>
            <w:noWrap/>
            <w:hideMark/>
          </w:tcPr>
          <w:p w14:paraId="5C0D5E8E" w14:textId="77777777" w:rsidR="008672DB" w:rsidRPr="008672DB" w:rsidRDefault="008672DB" w:rsidP="00672D2E">
            <w:pPr>
              <w:pStyle w:val="TableBodyRight"/>
            </w:pPr>
            <w:r w:rsidRPr="008672DB">
              <w:t>1.8</w:t>
            </w:r>
          </w:p>
        </w:tc>
        <w:tc>
          <w:tcPr>
            <w:tcW w:w="1403" w:type="pct"/>
            <w:noWrap/>
            <w:hideMark/>
          </w:tcPr>
          <w:p w14:paraId="07F1434F" w14:textId="77777777" w:rsidR="008672DB" w:rsidRPr="008672DB" w:rsidRDefault="008672DB" w:rsidP="00672D2E">
            <w:pPr>
              <w:pStyle w:val="TableBodyRight"/>
            </w:pPr>
            <w:r w:rsidRPr="008672DB">
              <w:t>1.5</w:t>
            </w:r>
          </w:p>
        </w:tc>
      </w:tr>
      <w:tr w:rsidR="008672DB" w:rsidRPr="008672DB" w14:paraId="70DDB348" w14:textId="77777777" w:rsidTr="00114117">
        <w:trPr>
          <w:trHeight w:val="288"/>
        </w:trPr>
        <w:tc>
          <w:tcPr>
            <w:tcW w:w="1024" w:type="pct"/>
            <w:noWrap/>
            <w:hideMark/>
          </w:tcPr>
          <w:p w14:paraId="6E335A78" w14:textId="77777777" w:rsidR="008672DB" w:rsidRPr="008672DB" w:rsidRDefault="008672DB" w:rsidP="001F550D">
            <w:pPr>
              <w:pStyle w:val="TableBody"/>
            </w:pPr>
            <w:r w:rsidRPr="008672DB">
              <w:t>2016-17</w:t>
            </w:r>
          </w:p>
        </w:tc>
        <w:tc>
          <w:tcPr>
            <w:tcW w:w="1403" w:type="pct"/>
            <w:noWrap/>
            <w:hideMark/>
          </w:tcPr>
          <w:p w14:paraId="43228D94" w14:textId="77777777" w:rsidR="008672DB" w:rsidRPr="008672DB" w:rsidRDefault="008672DB" w:rsidP="00672D2E">
            <w:pPr>
              <w:pStyle w:val="TableBodyRight"/>
            </w:pPr>
            <w:r w:rsidRPr="008672DB">
              <w:t>5.0</w:t>
            </w:r>
          </w:p>
        </w:tc>
        <w:tc>
          <w:tcPr>
            <w:tcW w:w="1170" w:type="pct"/>
            <w:noWrap/>
            <w:hideMark/>
          </w:tcPr>
          <w:p w14:paraId="1F9E3478" w14:textId="77777777" w:rsidR="008672DB" w:rsidRPr="008672DB" w:rsidRDefault="008672DB" w:rsidP="00672D2E">
            <w:pPr>
              <w:pStyle w:val="TableBodyRight"/>
            </w:pPr>
            <w:r w:rsidRPr="008672DB">
              <w:t>3.1</w:t>
            </w:r>
          </w:p>
        </w:tc>
        <w:tc>
          <w:tcPr>
            <w:tcW w:w="1403" w:type="pct"/>
            <w:noWrap/>
            <w:hideMark/>
          </w:tcPr>
          <w:p w14:paraId="134FA0EF" w14:textId="77777777" w:rsidR="008672DB" w:rsidRPr="008672DB" w:rsidRDefault="008672DB" w:rsidP="00672D2E">
            <w:pPr>
              <w:pStyle w:val="TableBodyRight"/>
            </w:pPr>
            <w:r w:rsidRPr="008672DB">
              <w:t>1.6</w:t>
            </w:r>
          </w:p>
        </w:tc>
      </w:tr>
      <w:tr w:rsidR="008672DB" w:rsidRPr="008672DB" w14:paraId="6F0881FB" w14:textId="77777777" w:rsidTr="00114117">
        <w:trPr>
          <w:trHeight w:val="288"/>
        </w:trPr>
        <w:tc>
          <w:tcPr>
            <w:tcW w:w="1024" w:type="pct"/>
            <w:noWrap/>
            <w:hideMark/>
          </w:tcPr>
          <w:p w14:paraId="0433D5C9" w14:textId="77777777" w:rsidR="008672DB" w:rsidRPr="008672DB" w:rsidRDefault="008672DB" w:rsidP="001F550D">
            <w:pPr>
              <w:pStyle w:val="TableBody"/>
            </w:pPr>
            <w:r w:rsidRPr="008672DB">
              <w:t>2017-18</w:t>
            </w:r>
          </w:p>
        </w:tc>
        <w:tc>
          <w:tcPr>
            <w:tcW w:w="1403" w:type="pct"/>
            <w:noWrap/>
            <w:hideMark/>
          </w:tcPr>
          <w:p w14:paraId="539D209D" w14:textId="77777777" w:rsidR="008672DB" w:rsidRPr="008672DB" w:rsidRDefault="008672DB" w:rsidP="00672D2E">
            <w:pPr>
              <w:pStyle w:val="TableBodyRight"/>
            </w:pPr>
            <w:r w:rsidRPr="008672DB">
              <w:t>5.6</w:t>
            </w:r>
          </w:p>
        </w:tc>
        <w:tc>
          <w:tcPr>
            <w:tcW w:w="1170" w:type="pct"/>
            <w:noWrap/>
            <w:hideMark/>
          </w:tcPr>
          <w:p w14:paraId="4DF90166" w14:textId="77777777" w:rsidR="008672DB" w:rsidRPr="008672DB" w:rsidRDefault="008672DB" w:rsidP="00672D2E">
            <w:pPr>
              <w:pStyle w:val="TableBodyRight"/>
            </w:pPr>
            <w:r w:rsidRPr="008672DB">
              <w:t>3.8</w:t>
            </w:r>
          </w:p>
        </w:tc>
        <w:tc>
          <w:tcPr>
            <w:tcW w:w="1403" w:type="pct"/>
            <w:noWrap/>
            <w:hideMark/>
          </w:tcPr>
          <w:p w14:paraId="64B78224" w14:textId="77777777" w:rsidR="008672DB" w:rsidRPr="008672DB" w:rsidRDefault="008672DB" w:rsidP="00672D2E">
            <w:pPr>
              <w:pStyle w:val="TableBodyRight"/>
            </w:pPr>
            <w:r w:rsidRPr="008672DB">
              <w:t>1.4</w:t>
            </w:r>
          </w:p>
        </w:tc>
      </w:tr>
      <w:tr w:rsidR="008672DB" w:rsidRPr="008672DB" w14:paraId="775C6A71" w14:textId="77777777" w:rsidTr="00114117">
        <w:trPr>
          <w:trHeight w:val="288"/>
        </w:trPr>
        <w:tc>
          <w:tcPr>
            <w:tcW w:w="1024" w:type="pct"/>
            <w:noWrap/>
            <w:hideMark/>
          </w:tcPr>
          <w:p w14:paraId="346F7165" w14:textId="77777777" w:rsidR="008672DB" w:rsidRPr="008672DB" w:rsidRDefault="008672DB" w:rsidP="001F550D">
            <w:pPr>
              <w:pStyle w:val="TableBody"/>
            </w:pPr>
            <w:r w:rsidRPr="008672DB">
              <w:t>2018-19</w:t>
            </w:r>
          </w:p>
        </w:tc>
        <w:tc>
          <w:tcPr>
            <w:tcW w:w="1403" w:type="pct"/>
            <w:noWrap/>
            <w:hideMark/>
          </w:tcPr>
          <w:p w14:paraId="325E093B" w14:textId="77777777" w:rsidR="008672DB" w:rsidRPr="008672DB" w:rsidRDefault="008672DB" w:rsidP="00672D2E">
            <w:pPr>
              <w:pStyle w:val="TableBodyRight"/>
            </w:pPr>
            <w:r w:rsidRPr="008672DB">
              <w:t>5.6</w:t>
            </w:r>
          </w:p>
        </w:tc>
        <w:tc>
          <w:tcPr>
            <w:tcW w:w="1170" w:type="pct"/>
            <w:noWrap/>
            <w:hideMark/>
          </w:tcPr>
          <w:p w14:paraId="5C94F898" w14:textId="77777777" w:rsidR="008672DB" w:rsidRPr="008672DB" w:rsidRDefault="008672DB" w:rsidP="00672D2E">
            <w:pPr>
              <w:pStyle w:val="TableBodyRight"/>
            </w:pPr>
            <w:r w:rsidRPr="008672DB">
              <w:t>4.1</w:t>
            </w:r>
          </w:p>
        </w:tc>
        <w:tc>
          <w:tcPr>
            <w:tcW w:w="1403" w:type="pct"/>
            <w:noWrap/>
            <w:hideMark/>
          </w:tcPr>
          <w:p w14:paraId="5A11C917" w14:textId="77777777" w:rsidR="008672DB" w:rsidRPr="008672DB" w:rsidRDefault="008672DB" w:rsidP="00672D2E">
            <w:pPr>
              <w:pStyle w:val="TableBodyRight"/>
            </w:pPr>
            <w:r w:rsidRPr="008672DB">
              <w:t>2.4</w:t>
            </w:r>
          </w:p>
        </w:tc>
      </w:tr>
      <w:tr w:rsidR="008672DB" w:rsidRPr="008672DB" w14:paraId="5D5FFBB5" w14:textId="77777777" w:rsidTr="00114117">
        <w:trPr>
          <w:trHeight w:val="288"/>
        </w:trPr>
        <w:tc>
          <w:tcPr>
            <w:tcW w:w="1024" w:type="pct"/>
            <w:noWrap/>
            <w:hideMark/>
          </w:tcPr>
          <w:p w14:paraId="2F6C7141" w14:textId="77777777" w:rsidR="008672DB" w:rsidRPr="008672DB" w:rsidRDefault="008672DB" w:rsidP="001F550D">
            <w:pPr>
              <w:pStyle w:val="TableBody"/>
            </w:pPr>
            <w:r w:rsidRPr="008672DB">
              <w:t>2019-20</w:t>
            </w:r>
          </w:p>
        </w:tc>
        <w:tc>
          <w:tcPr>
            <w:tcW w:w="1403" w:type="pct"/>
            <w:noWrap/>
            <w:hideMark/>
          </w:tcPr>
          <w:p w14:paraId="6E419C5C" w14:textId="77777777" w:rsidR="008672DB" w:rsidRPr="008672DB" w:rsidRDefault="008672DB" w:rsidP="00672D2E">
            <w:pPr>
              <w:pStyle w:val="TableBodyRight"/>
            </w:pPr>
            <w:r w:rsidRPr="008672DB">
              <w:t>5.6</w:t>
            </w:r>
          </w:p>
        </w:tc>
        <w:tc>
          <w:tcPr>
            <w:tcW w:w="1170" w:type="pct"/>
            <w:noWrap/>
            <w:hideMark/>
          </w:tcPr>
          <w:p w14:paraId="661855C7" w14:textId="77777777" w:rsidR="008672DB" w:rsidRPr="008672DB" w:rsidRDefault="008672DB" w:rsidP="00672D2E">
            <w:pPr>
              <w:pStyle w:val="TableBodyRight"/>
            </w:pPr>
            <w:r w:rsidRPr="008672DB">
              <w:t>3.7</w:t>
            </w:r>
          </w:p>
        </w:tc>
        <w:tc>
          <w:tcPr>
            <w:tcW w:w="1403" w:type="pct"/>
            <w:noWrap/>
            <w:hideMark/>
          </w:tcPr>
          <w:p w14:paraId="4E9FA3E9" w14:textId="77777777" w:rsidR="008672DB" w:rsidRPr="008672DB" w:rsidRDefault="008672DB" w:rsidP="00672D2E">
            <w:pPr>
              <w:pStyle w:val="TableBodyRight"/>
            </w:pPr>
            <w:r w:rsidRPr="008672DB">
              <w:t>2.0</w:t>
            </w:r>
          </w:p>
        </w:tc>
      </w:tr>
      <w:tr w:rsidR="008672DB" w:rsidRPr="008672DB" w14:paraId="0F619F86" w14:textId="77777777" w:rsidTr="00114117">
        <w:trPr>
          <w:trHeight w:val="288"/>
        </w:trPr>
        <w:tc>
          <w:tcPr>
            <w:tcW w:w="1024" w:type="pct"/>
            <w:noWrap/>
            <w:hideMark/>
          </w:tcPr>
          <w:p w14:paraId="46483555" w14:textId="77777777" w:rsidR="008672DB" w:rsidRPr="008672DB" w:rsidRDefault="008672DB" w:rsidP="001F550D">
            <w:pPr>
              <w:pStyle w:val="TableBody"/>
            </w:pPr>
            <w:r w:rsidRPr="008672DB">
              <w:t>2020-21</w:t>
            </w:r>
          </w:p>
        </w:tc>
        <w:tc>
          <w:tcPr>
            <w:tcW w:w="1403" w:type="pct"/>
            <w:noWrap/>
            <w:hideMark/>
          </w:tcPr>
          <w:p w14:paraId="5B32CAE7" w14:textId="77777777" w:rsidR="008672DB" w:rsidRPr="008672DB" w:rsidRDefault="008672DB" w:rsidP="00672D2E">
            <w:pPr>
              <w:pStyle w:val="TableBodyRight"/>
            </w:pPr>
            <w:r w:rsidRPr="008672DB">
              <w:t>6.6</w:t>
            </w:r>
          </w:p>
        </w:tc>
        <w:tc>
          <w:tcPr>
            <w:tcW w:w="1170" w:type="pct"/>
            <w:noWrap/>
            <w:hideMark/>
          </w:tcPr>
          <w:p w14:paraId="469EF5A1" w14:textId="77777777" w:rsidR="008672DB" w:rsidRPr="008672DB" w:rsidRDefault="008672DB" w:rsidP="00672D2E">
            <w:pPr>
              <w:pStyle w:val="TableBodyRight"/>
            </w:pPr>
            <w:r w:rsidRPr="008672DB">
              <w:t>3.6</w:t>
            </w:r>
          </w:p>
        </w:tc>
        <w:tc>
          <w:tcPr>
            <w:tcW w:w="1403" w:type="pct"/>
            <w:noWrap/>
            <w:hideMark/>
          </w:tcPr>
          <w:p w14:paraId="5B42090A" w14:textId="77777777" w:rsidR="008672DB" w:rsidRPr="008672DB" w:rsidRDefault="008672DB" w:rsidP="00672D2E">
            <w:pPr>
              <w:pStyle w:val="TableBodyRight"/>
            </w:pPr>
            <w:r w:rsidRPr="008672DB">
              <w:t>2.5</w:t>
            </w:r>
          </w:p>
        </w:tc>
      </w:tr>
    </w:tbl>
    <w:p w14:paraId="334C71E3" w14:textId="77777777" w:rsidR="00E62AE6" w:rsidRPr="00E62AE6" w:rsidRDefault="00E62AE6" w:rsidP="00E5783B">
      <w:pPr>
        <w:pStyle w:val="Caption"/>
      </w:pPr>
      <w:r w:rsidRPr="00E62AE6">
        <w:t>Figure 10: Average total effective sentences and non-parole periods for people sentenced for serious violent offences, 2001–02 to 2020–21</w:t>
      </w:r>
    </w:p>
    <w:tbl>
      <w:tblPr>
        <w:tblStyle w:val="Table"/>
        <w:tblW w:w="5221" w:type="pct"/>
        <w:tblLayout w:type="fixed"/>
        <w:tblLook w:val="04A0" w:firstRow="1" w:lastRow="0" w:firstColumn="1" w:lastColumn="0" w:noHBand="0" w:noVBand="1"/>
      </w:tblPr>
      <w:tblGrid>
        <w:gridCol w:w="1288"/>
        <w:gridCol w:w="1361"/>
        <w:gridCol w:w="1290"/>
        <w:gridCol w:w="1420"/>
        <w:gridCol w:w="1418"/>
        <w:gridCol w:w="1361"/>
        <w:gridCol w:w="1277"/>
      </w:tblGrid>
      <w:tr w:rsidR="000C7CB4" w:rsidRPr="00685A8A" w14:paraId="1C7DDC72" w14:textId="77777777" w:rsidTr="00B91008">
        <w:trPr>
          <w:trHeight w:val="288"/>
          <w:tblHeader/>
        </w:trPr>
        <w:tc>
          <w:tcPr>
            <w:tcW w:w="684" w:type="pct"/>
            <w:noWrap/>
            <w:hideMark/>
          </w:tcPr>
          <w:p w14:paraId="7E516E04" w14:textId="77777777" w:rsidR="00685A8A" w:rsidRPr="00685A8A" w:rsidRDefault="00685A8A" w:rsidP="00E517E3">
            <w:pPr>
              <w:pStyle w:val="TableHeading"/>
            </w:pPr>
            <w:r w:rsidRPr="00685A8A">
              <w:t>Financial year</w:t>
            </w:r>
          </w:p>
        </w:tc>
        <w:tc>
          <w:tcPr>
            <w:tcW w:w="723" w:type="pct"/>
            <w:noWrap/>
            <w:hideMark/>
          </w:tcPr>
          <w:p w14:paraId="14F69474" w14:textId="2430907D" w:rsidR="00685A8A" w:rsidRPr="00685A8A" w:rsidRDefault="00685A8A" w:rsidP="00E517E3">
            <w:pPr>
              <w:pStyle w:val="TableHeadingRight"/>
            </w:pPr>
            <w:r w:rsidRPr="00685A8A">
              <w:t xml:space="preserve">Intentionally </w:t>
            </w:r>
            <w:r w:rsidR="00ED3634">
              <w:t>causing</w:t>
            </w:r>
            <w:r w:rsidR="00ED3634" w:rsidRPr="00623DAF">
              <w:t xml:space="preserve"> </w:t>
            </w:r>
            <w:r w:rsidRPr="00685A8A">
              <w:t>serious injury (</w:t>
            </w:r>
            <w:r w:rsidR="00ED3634" w:rsidRPr="00E62AE6">
              <w:t>total effective sentence</w:t>
            </w:r>
            <w:r w:rsidRPr="00685A8A">
              <w:t>)</w:t>
            </w:r>
          </w:p>
        </w:tc>
        <w:tc>
          <w:tcPr>
            <w:tcW w:w="685" w:type="pct"/>
            <w:noWrap/>
            <w:hideMark/>
          </w:tcPr>
          <w:p w14:paraId="52A9E980" w14:textId="5AC8DB73" w:rsidR="00685A8A" w:rsidRPr="00685A8A" w:rsidRDefault="00685A8A" w:rsidP="00E517E3">
            <w:pPr>
              <w:pStyle w:val="TableHeadingRight"/>
            </w:pPr>
            <w:r w:rsidRPr="00685A8A">
              <w:t xml:space="preserve">Intentionally </w:t>
            </w:r>
            <w:r w:rsidR="00ED3634">
              <w:t>causing</w:t>
            </w:r>
            <w:r w:rsidR="00ED3634" w:rsidRPr="00623DAF">
              <w:t xml:space="preserve"> </w:t>
            </w:r>
            <w:r w:rsidRPr="00685A8A">
              <w:t>serious injury (</w:t>
            </w:r>
            <w:r w:rsidR="00ED3634" w:rsidRPr="00E62AE6">
              <w:t>non-parole period</w:t>
            </w:r>
            <w:r w:rsidRPr="00685A8A">
              <w:t>)</w:t>
            </w:r>
          </w:p>
        </w:tc>
        <w:tc>
          <w:tcPr>
            <w:tcW w:w="754" w:type="pct"/>
            <w:noWrap/>
            <w:hideMark/>
          </w:tcPr>
          <w:p w14:paraId="5B6FB8A7" w14:textId="3282D7CE" w:rsidR="00685A8A" w:rsidRPr="00685A8A" w:rsidRDefault="00685A8A" w:rsidP="00E517E3">
            <w:pPr>
              <w:pStyle w:val="TableHeadingRight"/>
            </w:pPr>
            <w:r w:rsidRPr="00685A8A">
              <w:t xml:space="preserve">Recklessly </w:t>
            </w:r>
            <w:r w:rsidR="00ED3634">
              <w:t>causing</w:t>
            </w:r>
            <w:r w:rsidR="00ED3634" w:rsidRPr="00623DAF">
              <w:t xml:space="preserve"> </w:t>
            </w:r>
            <w:r w:rsidRPr="00685A8A">
              <w:t>serious injury (</w:t>
            </w:r>
            <w:r w:rsidR="00ED3634" w:rsidRPr="00E62AE6">
              <w:t>total effective sentence</w:t>
            </w:r>
            <w:r w:rsidRPr="00685A8A">
              <w:t>)</w:t>
            </w:r>
          </w:p>
        </w:tc>
        <w:tc>
          <w:tcPr>
            <w:tcW w:w="753" w:type="pct"/>
            <w:noWrap/>
            <w:hideMark/>
          </w:tcPr>
          <w:p w14:paraId="680BC0BF" w14:textId="64030284" w:rsidR="00685A8A" w:rsidRPr="00685A8A" w:rsidRDefault="00685A8A" w:rsidP="00E517E3">
            <w:pPr>
              <w:pStyle w:val="TableHeadingRight"/>
            </w:pPr>
            <w:r w:rsidRPr="00685A8A">
              <w:t xml:space="preserve">Recklessly </w:t>
            </w:r>
            <w:r w:rsidR="00ED3634">
              <w:t>causing</w:t>
            </w:r>
            <w:r w:rsidR="00ED3634" w:rsidRPr="00623DAF">
              <w:t xml:space="preserve"> </w:t>
            </w:r>
            <w:r w:rsidRPr="00685A8A">
              <w:t>serious injury (</w:t>
            </w:r>
            <w:r w:rsidR="00ED3634" w:rsidRPr="00E62AE6">
              <w:t>non-parole period</w:t>
            </w:r>
            <w:r w:rsidRPr="00685A8A">
              <w:t>)</w:t>
            </w:r>
          </w:p>
        </w:tc>
        <w:tc>
          <w:tcPr>
            <w:tcW w:w="723" w:type="pct"/>
            <w:noWrap/>
            <w:hideMark/>
          </w:tcPr>
          <w:p w14:paraId="25EE56AD" w14:textId="203637E3" w:rsidR="00685A8A" w:rsidRPr="00685A8A" w:rsidRDefault="00685A8A" w:rsidP="00E517E3">
            <w:pPr>
              <w:pStyle w:val="TableHeadingRight"/>
            </w:pPr>
            <w:r w:rsidRPr="00685A8A">
              <w:t xml:space="preserve">Intentionally </w:t>
            </w:r>
            <w:r w:rsidR="00ED3634">
              <w:t>causing</w:t>
            </w:r>
            <w:r w:rsidR="00ED3634" w:rsidRPr="00623DAF">
              <w:t xml:space="preserve"> </w:t>
            </w:r>
            <w:r w:rsidRPr="00685A8A">
              <w:t>injury (</w:t>
            </w:r>
            <w:r w:rsidR="00ED3634" w:rsidRPr="00E62AE6">
              <w:t>total effective sentence</w:t>
            </w:r>
            <w:r w:rsidRPr="00685A8A">
              <w:t>)</w:t>
            </w:r>
          </w:p>
        </w:tc>
        <w:tc>
          <w:tcPr>
            <w:tcW w:w="680" w:type="pct"/>
            <w:noWrap/>
            <w:hideMark/>
          </w:tcPr>
          <w:p w14:paraId="437FE4EB" w14:textId="0C20FCA5" w:rsidR="00685A8A" w:rsidRPr="00685A8A" w:rsidRDefault="00685A8A" w:rsidP="00E517E3">
            <w:pPr>
              <w:pStyle w:val="TableHeadingRight"/>
            </w:pPr>
            <w:r w:rsidRPr="00685A8A">
              <w:t xml:space="preserve">Intentionally </w:t>
            </w:r>
            <w:r w:rsidR="00ED3634">
              <w:t>causing</w:t>
            </w:r>
            <w:r w:rsidR="00ED3634" w:rsidRPr="00623DAF">
              <w:t xml:space="preserve"> </w:t>
            </w:r>
            <w:r w:rsidRPr="00685A8A">
              <w:t>injury (</w:t>
            </w:r>
            <w:r w:rsidR="00ED3634" w:rsidRPr="00E62AE6">
              <w:t>non-parole period</w:t>
            </w:r>
            <w:r w:rsidRPr="00685A8A">
              <w:t>)</w:t>
            </w:r>
          </w:p>
        </w:tc>
      </w:tr>
      <w:tr w:rsidR="000C7CB4" w:rsidRPr="00685A8A" w14:paraId="29EE750A" w14:textId="77777777" w:rsidTr="00B91008">
        <w:trPr>
          <w:trHeight w:val="288"/>
        </w:trPr>
        <w:tc>
          <w:tcPr>
            <w:tcW w:w="684" w:type="pct"/>
            <w:noWrap/>
            <w:hideMark/>
          </w:tcPr>
          <w:p w14:paraId="237EC96C" w14:textId="77777777" w:rsidR="00685A8A" w:rsidRPr="00685A8A" w:rsidRDefault="00685A8A" w:rsidP="001F550D">
            <w:pPr>
              <w:pStyle w:val="TableBody"/>
            </w:pPr>
            <w:r w:rsidRPr="00685A8A">
              <w:t>2001-02</w:t>
            </w:r>
          </w:p>
        </w:tc>
        <w:tc>
          <w:tcPr>
            <w:tcW w:w="723" w:type="pct"/>
            <w:noWrap/>
            <w:hideMark/>
          </w:tcPr>
          <w:p w14:paraId="5201FD10" w14:textId="77777777" w:rsidR="00685A8A" w:rsidRPr="00685A8A" w:rsidRDefault="00685A8A" w:rsidP="00E517E3">
            <w:pPr>
              <w:pStyle w:val="TableBodyRight"/>
            </w:pPr>
            <w:r w:rsidRPr="00685A8A">
              <w:t>4.1</w:t>
            </w:r>
          </w:p>
        </w:tc>
        <w:tc>
          <w:tcPr>
            <w:tcW w:w="685" w:type="pct"/>
            <w:noWrap/>
            <w:hideMark/>
          </w:tcPr>
          <w:p w14:paraId="31563DEF" w14:textId="77777777" w:rsidR="00685A8A" w:rsidRPr="00685A8A" w:rsidRDefault="00685A8A" w:rsidP="00E517E3">
            <w:pPr>
              <w:pStyle w:val="TableBodyRight"/>
            </w:pPr>
            <w:r w:rsidRPr="00685A8A">
              <w:t>2.4</w:t>
            </w:r>
          </w:p>
        </w:tc>
        <w:tc>
          <w:tcPr>
            <w:tcW w:w="754" w:type="pct"/>
            <w:noWrap/>
            <w:hideMark/>
          </w:tcPr>
          <w:p w14:paraId="5492BB9C" w14:textId="77777777" w:rsidR="00685A8A" w:rsidRPr="00685A8A" w:rsidRDefault="00685A8A" w:rsidP="00E517E3">
            <w:pPr>
              <w:pStyle w:val="TableBodyRight"/>
            </w:pPr>
            <w:r w:rsidRPr="00685A8A">
              <w:t>2.5</w:t>
            </w:r>
          </w:p>
        </w:tc>
        <w:tc>
          <w:tcPr>
            <w:tcW w:w="753" w:type="pct"/>
            <w:noWrap/>
            <w:hideMark/>
          </w:tcPr>
          <w:p w14:paraId="1C343BF2" w14:textId="77777777" w:rsidR="00685A8A" w:rsidRPr="00685A8A" w:rsidRDefault="00685A8A" w:rsidP="00E517E3">
            <w:pPr>
              <w:pStyle w:val="TableBodyRight"/>
            </w:pPr>
            <w:r w:rsidRPr="00685A8A">
              <w:t>1.5</w:t>
            </w:r>
          </w:p>
        </w:tc>
        <w:tc>
          <w:tcPr>
            <w:tcW w:w="723" w:type="pct"/>
            <w:noWrap/>
            <w:hideMark/>
          </w:tcPr>
          <w:p w14:paraId="1AEC7873" w14:textId="7B311FBC" w:rsidR="00685A8A" w:rsidRPr="00E517E3" w:rsidRDefault="00E517E3" w:rsidP="00E517E3">
            <w:pPr>
              <w:pStyle w:val="TableBodyRight"/>
            </w:pPr>
            <w:proofErr w:type="spellStart"/>
            <w:r w:rsidRPr="00E517E3">
              <w:t>n.a.</w:t>
            </w:r>
            <w:proofErr w:type="spellEnd"/>
          </w:p>
        </w:tc>
        <w:tc>
          <w:tcPr>
            <w:tcW w:w="680" w:type="pct"/>
            <w:noWrap/>
            <w:hideMark/>
          </w:tcPr>
          <w:p w14:paraId="7CD59CD4" w14:textId="54D49646" w:rsidR="00685A8A" w:rsidRPr="00E517E3" w:rsidRDefault="00E517E3" w:rsidP="00E517E3">
            <w:pPr>
              <w:pStyle w:val="TableBodyRight"/>
            </w:pPr>
            <w:proofErr w:type="spellStart"/>
            <w:r w:rsidRPr="00E517E3">
              <w:t>n.a.</w:t>
            </w:r>
            <w:proofErr w:type="spellEnd"/>
          </w:p>
        </w:tc>
      </w:tr>
      <w:tr w:rsidR="000C7CB4" w:rsidRPr="00685A8A" w14:paraId="11A619EC" w14:textId="77777777" w:rsidTr="00B91008">
        <w:trPr>
          <w:trHeight w:val="288"/>
        </w:trPr>
        <w:tc>
          <w:tcPr>
            <w:tcW w:w="684" w:type="pct"/>
            <w:noWrap/>
            <w:hideMark/>
          </w:tcPr>
          <w:p w14:paraId="3C0CDC92" w14:textId="77777777" w:rsidR="00685A8A" w:rsidRPr="00685A8A" w:rsidRDefault="00685A8A" w:rsidP="001F550D">
            <w:pPr>
              <w:pStyle w:val="TableBody"/>
            </w:pPr>
            <w:r w:rsidRPr="00685A8A">
              <w:t>2002-03</w:t>
            </w:r>
          </w:p>
        </w:tc>
        <w:tc>
          <w:tcPr>
            <w:tcW w:w="723" w:type="pct"/>
            <w:noWrap/>
            <w:hideMark/>
          </w:tcPr>
          <w:p w14:paraId="5476A202" w14:textId="77777777" w:rsidR="00685A8A" w:rsidRPr="00685A8A" w:rsidRDefault="00685A8A" w:rsidP="00E517E3">
            <w:pPr>
              <w:pStyle w:val="TableBodyRight"/>
            </w:pPr>
            <w:r w:rsidRPr="00685A8A">
              <w:t>3.6</w:t>
            </w:r>
          </w:p>
        </w:tc>
        <w:tc>
          <w:tcPr>
            <w:tcW w:w="685" w:type="pct"/>
            <w:noWrap/>
            <w:hideMark/>
          </w:tcPr>
          <w:p w14:paraId="6631FFD0" w14:textId="77777777" w:rsidR="00685A8A" w:rsidRPr="00685A8A" w:rsidRDefault="00685A8A" w:rsidP="00E517E3">
            <w:pPr>
              <w:pStyle w:val="TableBodyRight"/>
            </w:pPr>
            <w:r w:rsidRPr="00685A8A">
              <w:t>2.2</w:t>
            </w:r>
          </w:p>
        </w:tc>
        <w:tc>
          <w:tcPr>
            <w:tcW w:w="754" w:type="pct"/>
            <w:noWrap/>
            <w:hideMark/>
          </w:tcPr>
          <w:p w14:paraId="272FCDA5" w14:textId="77777777" w:rsidR="00685A8A" w:rsidRPr="00685A8A" w:rsidRDefault="00685A8A" w:rsidP="00E517E3">
            <w:pPr>
              <w:pStyle w:val="TableBodyRight"/>
            </w:pPr>
            <w:r w:rsidRPr="00685A8A">
              <w:t>3.0</w:t>
            </w:r>
          </w:p>
        </w:tc>
        <w:tc>
          <w:tcPr>
            <w:tcW w:w="753" w:type="pct"/>
            <w:noWrap/>
            <w:hideMark/>
          </w:tcPr>
          <w:p w14:paraId="6FF0E8D0" w14:textId="77777777" w:rsidR="00685A8A" w:rsidRPr="00685A8A" w:rsidRDefault="00685A8A" w:rsidP="00E517E3">
            <w:pPr>
              <w:pStyle w:val="TableBodyRight"/>
            </w:pPr>
            <w:r w:rsidRPr="00685A8A">
              <w:t>1.9</w:t>
            </w:r>
          </w:p>
        </w:tc>
        <w:tc>
          <w:tcPr>
            <w:tcW w:w="723" w:type="pct"/>
            <w:noWrap/>
            <w:hideMark/>
          </w:tcPr>
          <w:p w14:paraId="08206469" w14:textId="37751993" w:rsidR="00685A8A" w:rsidRPr="00E517E3" w:rsidRDefault="00E517E3" w:rsidP="00E517E3">
            <w:pPr>
              <w:pStyle w:val="TableBodyRight"/>
            </w:pPr>
            <w:proofErr w:type="spellStart"/>
            <w:r w:rsidRPr="00E517E3">
              <w:t>n.a.</w:t>
            </w:r>
            <w:proofErr w:type="spellEnd"/>
          </w:p>
        </w:tc>
        <w:tc>
          <w:tcPr>
            <w:tcW w:w="680" w:type="pct"/>
            <w:noWrap/>
            <w:hideMark/>
          </w:tcPr>
          <w:p w14:paraId="5DB8B289" w14:textId="7A95EE97" w:rsidR="00685A8A" w:rsidRPr="00E517E3" w:rsidRDefault="00E517E3" w:rsidP="00E517E3">
            <w:pPr>
              <w:pStyle w:val="TableBodyRight"/>
            </w:pPr>
            <w:proofErr w:type="spellStart"/>
            <w:r w:rsidRPr="00E517E3">
              <w:t>n.a.</w:t>
            </w:r>
            <w:proofErr w:type="spellEnd"/>
          </w:p>
        </w:tc>
      </w:tr>
      <w:tr w:rsidR="000C7CB4" w:rsidRPr="00685A8A" w14:paraId="3BCF24FF" w14:textId="77777777" w:rsidTr="00B91008">
        <w:trPr>
          <w:trHeight w:val="288"/>
        </w:trPr>
        <w:tc>
          <w:tcPr>
            <w:tcW w:w="684" w:type="pct"/>
            <w:noWrap/>
            <w:hideMark/>
          </w:tcPr>
          <w:p w14:paraId="2C3D38A5" w14:textId="77777777" w:rsidR="00685A8A" w:rsidRPr="00685A8A" w:rsidRDefault="00685A8A" w:rsidP="001F550D">
            <w:pPr>
              <w:pStyle w:val="TableBody"/>
            </w:pPr>
            <w:r w:rsidRPr="00685A8A">
              <w:t>2003-04</w:t>
            </w:r>
          </w:p>
        </w:tc>
        <w:tc>
          <w:tcPr>
            <w:tcW w:w="723" w:type="pct"/>
            <w:noWrap/>
            <w:hideMark/>
          </w:tcPr>
          <w:p w14:paraId="43B2D77A" w14:textId="77777777" w:rsidR="00685A8A" w:rsidRPr="00685A8A" w:rsidRDefault="00685A8A" w:rsidP="00E517E3">
            <w:pPr>
              <w:pStyle w:val="TableBodyRight"/>
            </w:pPr>
            <w:r w:rsidRPr="00685A8A">
              <w:t>4.1</w:t>
            </w:r>
          </w:p>
        </w:tc>
        <w:tc>
          <w:tcPr>
            <w:tcW w:w="685" w:type="pct"/>
            <w:noWrap/>
            <w:hideMark/>
          </w:tcPr>
          <w:p w14:paraId="3F012C60" w14:textId="77777777" w:rsidR="00685A8A" w:rsidRPr="00685A8A" w:rsidRDefault="00685A8A" w:rsidP="00E517E3">
            <w:pPr>
              <w:pStyle w:val="TableBodyRight"/>
            </w:pPr>
            <w:r w:rsidRPr="00685A8A">
              <w:t>2.7</w:t>
            </w:r>
          </w:p>
        </w:tc>
        <w:tc>
          <w:tcPr>
            <w:tcW w:w="754" w:type="pct"/>
            <w:noWrap/>
            <w:hideMark/>
          </w:tcPr>
          <w:p w14:paraId="2B103C89" w14:textId="77777777" w:rsidR="00685A8A" w:rsidRPr="00685A8A" w:rsidRDefault="00685A8A" w:rsidP="00E517E3">
            <w:pPr>
              <w:pStyle w:val="TableBodyRight"/>
            </w:pPr>
            <w:r w:rsidRPr="00685A8A">
              <w:t>2.7</w:t>
            </w:r>
          </w:p>
        </w:tc>
        <w:tc>
          <w:tcPr>
            <w:tcW w:w="753" w:type="pct"/>
            <w:noWrap/>
            <w:hideMark/>
          </w:tcPr>
          <w:p w14:paraId="28EF2F8F" w14:textId="77777777" w:rsidR="00685A8A" w:rsidRPr="00685A8A" w:rsidRDefault="00685A8A" w:rsidP="00E517E3">
            <w:pPr>
              <w:pStyle w:val="TableBodyRight"/>
            </w:pPr>
            <w:r w:rsidRPr="00685A8A">
              <w:t>1.3</w:t>
            </w:r>
          </w:p>
        </w:tc>
        <w:tc>
          <w:tcPr>
            <w:tcW w:w="723" w:type="pct"/>
            <w:noWrap/>
            <w:hideMark/>
          </w:tcPr>
          <w:p w14:paraId="7B0047FA" w14:textId="2262DCEB" w:rsidR="00685A8A" w:rsidRPr="00E517E3" w:rsidRDefault="00E517E3" w:rsidP="00E517E3">
            <w:pPr>
              <w:pStyle w:val="TableBodyRight"/>
            </w:pPr>
            <w:proofErr w:type="spellStart"/>
            <w:r w:rsidRPr="00E517E3">
              <w:t>n.a.</w:t>
            </w:r>
            <w:proofErr w:type="spellEnd"/>
          </w:p>
        </w:tc>
        <w:tc>
          <w:tcPr>
            <w:tcW w:w="680" w:type="pct"/>
            <w:noWrap/>
            <w:hideMark/>
          </w:tcPr>
          <w:p w14:paraId="54D64984" w14:textId="64EF1E06" w:rsidR="00685A8A" w:rsidRPr="00E517E3" w:rsidRDefault="00E517E3" w:rsidP="00E517E3">
            <w:pPr>
              <w:pStyle w:val="TableBodyRight"/>
            </w:pPr>
            <w:proofErr w:type="spellStart"/>
            <w:r w:rsidRPr="00E517E3">
              <w:t>n.a.</w:t>
            </w:r>
            <w:proofErr w:type="spellEnd"/>
          </w:p>
        </w:tc>
      </w:tr>
      <w:tr w:rsidR="000C7CB4" w:rsidRPr="00685A8A" w14:paraId="797A9A98" w14:textId="77777777" w:rsidTr="00B91008">
        <w:trPr>
          <w:trHeight w:val="288"/>
        </w:trPr>
        <w:tc>
          <w:tcPr>
            <w:tcW w:w="684" w:type="pct"/>
            <w:noWrap/>
            <w:hideMark/>
          </w:tcPr>
          <w:p w14:paraId="14CB0E86" w14:textId="77777777" w:rsidR="00685A8A" w:rsidRPr="00685A8A" w:rsidRDefault="00685A8A" w:rsidP="001F550D">
            <w:pPr>
              <w:pStyle w:val="TableBody"/>
            </w:pPr>
            <w:r w:rsidRPr="00685A8A">
              <w:t>2004-05</w:t>
            </w:r>
          </w:p>
        </w:tc>
        <w:tc>
          <w:tcPr>
            <w:tcW w:w="723" w:type="pct"/>
            <w:noWrap/>
            <w:hideMark/>
          </w:tcPr>
          <w:p w14:paraId="4CF8F3E2" w14:textId="77777777" w:rsidR="00685A8A" w:rsidRPr="00685A8A" w:rsidRDefault="00685A8A" w:rsidP="00E517E3">
            <w:pPr>
              <w:pStyle w:val="TableBodyRight"/>
            </w:pPr>
            <w:r w:rsidRPr="00685A8A">
              <w:t>3.6</w:t>
            </w:r>
          </w:p>
        </w:tc>
        <w:tc>
          <w:tcPr>
            <w:tcW w:w="685" w:type="pct"/>
            <w:noWrap/>
            <w:hideMark/>
          </w:tcPr>
          <w:p w14:paraId="05B110B4" w14:textId="77777777" w:rsidR="00685A8A" w:rsidRPr="00685A8A" w:rsidRDefault="00685A8A" w:rsidP="00E517E3">
            <w:pPr>
              <w:pStyle w:val="TableBodyRight"/>
            </w:pPr>
            <w:r w:rsidRPr="00685A8A">
              <w:t>2.1</w:t>
            </w:r>
          </w:p>
        </w:tc>
        <w:tc>
          <w:tcPr>
            <w:tcW w:w="754" w:type="pct"/>
            <w:noWrap/>
            <w:hideMark/>
          </w:tcPr>
          <w:p w14:paraId="74DA7692" w14:textId="77777777" w:rsidR="00685A8A" w:rsidRPr="00685A8A" w:rsidRDefault="00685A8A" w:rsidP="00E517E3">
            <w:pPr>
              <w:pStyle w:val="TableBodyRight"/>
            </w:pPr>
            <w:r w:rsidRPr="00685A8A">
              <w:t>3.0</w:t>
            </w:r>
          </w:p>
        </w:tc>
        <w:tc>
          <w:tcPr>
            <w:tcW w:w="753" w:type="pct"/>
            <w:noWrap/>
            <w:hideMark/>
          </w:tcPr>
          <w:p w14:paraId="7C03AD2E" w14:textId="77777777" w:rsidR="00685A8A" w:rsidRPr="00685A8A" w:rsidRDefault="00685A8A" w:rsidP="00E517E3">
            <w:pPr>
              <w:pStyle w:val="TableBodyRight"/>
            </w:pPr>
            <w:r w:rsidRPr="00685A8A">
              <w:t>2.1</w:t>
            </w:r>
          </w:p>
        </w:tc>
        <w:tc>
          <w:tcPr>
            <w:tcW w:w="723" w:type="pct"/>
            <w:noWrap/>
            <w:hideMark/>
          </w:tcPr>
          <w:p w14:paraId="3417BE84" w14:textId="45C1E5E8" w:rsidR="00685A8A" w:rsidRPr="00E517E3" w:rsidRDefault="00E517E3" w:rsidP="00E517E3">
            <w:pPr>
              <w:pStyle w:val="TableBodyRight"/>
            </w:pPr>
            <w:proofErr w:type="spellStart"/>
            <w:r w:rsidRPr="00E517E3">
              <w:t>n.a.</w:t>
            </w:r>
            <w:proofErr w:type="spellEnd"/>
          </w:p>
        </w:tc>
        <w:tc>
          <w:tcPr>
            <w:tcW w:w="680" w:type="pct"/>
            <w:noWrap/>
            <w:hideMark/>
          </w:tcPr>
          <w:p w14:paraId="0DF48AB9" w14:textId="445FC018" w:rsidR="00685A8A" w:rsidRPr="00E517E3" w:rsidRDefault="00E517E3" w:rsidP="00E517E3">
            <w:pPr>
              <w:pStyle w:val="TableBodyRight"/>
            </w:pPr>
            <w:proofErr w:type="spellStart"/>
            <w:r w:rsidRPr="00E517E3">
              <w:t>n.a.</w:t>
            </w:r>
            <w:proofErr w:type="spellEnd"/>
          </w:p>
        </w:tc>
      </w:tr>
      <w:tr w:rsidR="000C7CB4" w:rsidRPr="00685A8A" w14:paraId="6D86E565" w14:textId="77777777" w:rsidTr="00B91008">
        <w:trPr>
          <w:trHeight w:val="288"/>
        </w:trPr>
        <w:tc>
          <w:tcPr>
            <w:tcW w:w="684" w:type="pct"/>
            <w:noWrap/>
            <w:hideMark/>
          </w:tcPr>
          <w:p w14:paraId="6F89ACAE" w14:textId="77777777" w:rsidR="00685A8A" w:rsidRPr="00685A8A" w:rsidRDefault="00685A8A" w:rsidP="001F550D">
            <w:pPr>
              <w:pStyle w:val="TableBody"/>
            </w:pPr>
            <w:r w:rsidRPr="00685A8A">
              <w:t>2005-06</w:t>
            </w:r>
          </w:p>
        </w:tc>
        <w:tc>
          <w:tcPr>
            <w:tcW w:w="723" w:type="pct"/>
            <w:noWrap/>
            <w:hideMark/>
          </w:tcPr>
          <w:p w14:paraId="0FB28BF8" w14:textId="77777777" w:rsidR="00685A8A" w:rsidRPr="00685A8A" w:rsidRDefault="00685A8A" w:rsidP="00E517E3">
            <w:pPr>
              <w:pStyle w:val="TableBodyRight"/>
            </w:pPr>
            <w:r w:rsidRPr="00685A8A">
              <w:t>4.4</w:t>
            </w:r>
          </w:p>
        </w:tc>
        <w:tc>
          <w:tcPr>
            <w:tcW w:w="685" w:type="pct"/>
            <w:noWrap/>
            <w:hideMark/>
          </w:tcPr>
          <w:p w14:paraId="4FB06D34" w14:textId="77777777" w:rsidR="00685A8A" w:rsidRPr="00685A8A" w:rsidRDefault="00685A8A" w:rsidP="00E517E3">
            <w:pPr>
              <w:pStyle w:val="TableBodyRight"/>
            </w:pPr>
            <w:r w:rsidRPr="00685A8A">
              <w:t>2.5</w:t>
            </w:r>
          </w:p>
        </w:tc>
        <w:tc>
          <w:tcPr>
            <w:tcW w:w="754" w:type="pct"/>
            <w:noWrap/>
            <w:hideMark/>
          </w:tcPr>
          <w:p w14:paraId="3E5A4200" w14:textId="77777777" w:rsidR="00685A8A" w:rsidRPr="00685A8A" w:rsidRDefault="00685A8A" w:rsidP="00E517E3">
            <w:pPr>
              <w:pStyle w:val="TableBodyRight"/>
            </w:pPr>
            <w:r w:rsidRPr="00685A8A">
              <w:t>2.1</w:t>
            </w:r>
          </w:p>
        </w:tc>
        <w:tc>
          <w:tcPr>
            <w:tcW w:w="753" w:type="pct"/>
            <w:noWrap/>
            <w:hideMark/>
          </w:tcPr>
          <w:p w14:paraId="27A2D93C" w14:textId="77777777" w:rsidR="00685A8A" w:rsidRPr="00685A8A" w:rsidRDefault="00685A8A" w:rsidP="00E517E3">
            <w:pPr>
              <w:pStyle w:val="TableBodyRight"/>
            </w:pPr>
            <w:r w:rsidRPr="00685A8A">
              <w:t>1.2</w:t>
            </w:r>
          </w:p>
        </w:tc>
        <w:tc>
          <w:tcPr>
            <w:tcW w:w="723" w:type="pct"/>
            <w:noWrap/>
            <w:hideMark/>
          </w:tcPr>
          <w:p w14:paraId="2D74A778" w14:textId="3A9DDA83" w:rsidR="00685A8A" w:rsidRPr="00E517E3" w:rsidRDefault="00E517E3" w:rsidP="00E517E3">
            <w:pPr>
              <w:pStyle w:val="TableBodyRight"/>
            </w:pPr>
            <w:proofErr w:type="spellStart"/>
            <w:r w:rsidRPr="00E517E3">
              <w:t>n.a.</w:t>
            </w:r>
            <w:proofErr w:type="spellEnd"/>
          </w:p>
        </w:tc>
        <w:tc>
          <w:tcPr>
            <w:tcW w:w="680" w:type="pct"/>
            <w:noWrap/>
            <w:hideMark/>
          </w:tcPr>
          <w:p w14:paraId="6F4963CF" w14:textId="2859327C" w:rsidR="00685A8A" w:rsidRPr="00E517E3" w:rsidRDefault="00E517E3" w:rsidP="00E517E3">
            <w:pPr>
              <w:pStyle w:val="TableBodyRight"/>
            </w:pPr>
            <w:proofErr w:type="spellStart"/>
            <w:r w:rsidRPr="00E517E3">
              <w:t>n.a.</w:t>
            </w:r>
            <w:proofErr w:type="spellEnd"/>
          </w:p>
        </w:tc>
      </w:tr>
      <w:tr w:rsidR="000C7CB4" w:rsidRPr="00685A8A" w14:paraId="79C8D853" w14:textId="77777777" w:rsidTr="00B91008">
        <w:trPr>
          <w:trHeight w:val="288"/>
        </w:trPr>
        <w:tc>
          <w:tcPr>
            <w:tcW w:w="684" w:type="pct"/>
            <w:noWrap/>
            <w:hideMark/>
          </w:tcPr>
          <w:p w14:paraId="6B1B54CA" w14:textId="77777777" w:rsidR="00685A8A" w:rsidRPr="00685A8A" w:rsidRDefault="00685A8A" w:rsidP="001F550D">
            <w:pPr>
              <w:pStyle w:val="TableBody"/>
            </w:pPr>
            <w:r w:rsidRPr="00685A8A">
              <w:t>2006-07</w:t>
            </w:r>
          </w:p>
        </w:tc>
        <w:tc>
          <w:tcPr>
            <w:tcW w:w="723" w:type="pct"/>
            <w:noWrap/>
            <w:hideMark/>
          </w:tcPr>
          <w:p w14:paraId="1290C864" w14:textId="77777777" w:rsidR="00685A8A" w:rsidRPr="00685A8A" w:rsidRDefault="00685A8A" w:rsidP="00E517E3">
            <w:pPr>
              <w:pStyle w:val="TableBodyRight"/>
            </w:pPr>
            <w:r w:rsidRPr="00685A8A">
              <w:t>4.7</w:t>
            </w:r>
          </w:p>
        </w:tc>
        <w:tc>
          <w:tcPr>
            <w:tcW w:w="685" w:type="pct"/>
            <w:noWrap/>
            <w:hideMark/>
          </w:tcPr>
          <w:p w14:paraId="5764534F" w14:textId="77777777" w:rsidR="00685A8A" w:rsidRPr="00685A8A" w:rsidRDefault="00685A8A" w:rsidP="00E517E3">
            <w:pPr>
              <w:pStyle w:val="TableBodyRight"/>
            </w:pPr>
            <w:r w:rsidRPr="00685A8A">
              <w:t>2.8</w:t>
            </w:r>
          </w:p>
        </w:tc>
        <w:tc>
          <w:tcPr>
            <w:tcW w:w="754" w:type="pct"/>
            <w:noWrap/>
            <w:hideMark/>
          </w:tcPr>
          <w:p w14:paraId="3EDCD345" w14:textId="77777777" w:rsidR="00685A8A" w:rsidRPr="00685A8A" w:rsidRDefault="00685A8A" w:rsidP="00E517E3">
            <w:pPr>
              <w:pStyle w:val="TableBodyRight"/>
            </w:pPr>
            <w:r w:rsidRPr="00685A8A">
              <w:t>2.3</w:t>
            </w:r>
          </w:p>
        </w:tc>
        <w:tc>
          <w:tcPr>
            <w:tcW w:w="753" w:type="pct"/>
            <w:noWrap/>
            <w:hideMark/>
          </w:tcPr>
          <w:p w14:paraId="38A1C22D" w14:textId="77777777" w:rsidR="00685A8A" w:rsidRPr="00685A8A" w:rsidRDefault="00685A8A" w:rsidP="00E517E3">
            <w:pPr>
              <w:pStyle w:val="TableBodyRight"/>
            </w:pPr>
            <w:r w:rsidRPr="00685A8A">
              <w:t>1.3</w:t>
            </w:r>
          </w:p>
        </w:tc>
        <w:tc>
          <w:tcPr>
            <w:tcW w:w="723" w:type="pct"/>
            <w:noWrap/>
            <w:hideMark/>
          </w:tcPr>
          <w:p w14:paraId="30A31675" w14:textId="77777777" w:rsidR="00685A8A" w:rsidRPr="00685A8A" w:rsidRDefault="00685A8A" w:rsidP="00E517E3">
            <w:pPr>
              <w:pStyle w:val="TableBodyRight"/>
            </w:pPr>
            <w:r w:rsidRPr="00685A8A">
              <w:t>1.7</w:t>
            </w:r>
          </w:p>
        </w:tc>
        <w:tc>
          <w:tcPr>
            <w:tcW w:w="680" w:type="pct"/>
            <w:noWrap/>
            <w:hideMark/>
          </w:tcPr>
          <w:p w14:paraId="7BA165BC" w14:textId="77777777" w:rsidR="00685A8A" w:rsidRPr="00685A8A" w:rsidRDefault="00685A8A" w:rsidP="00E517E3">
            <w:pPr>
              <w:pStyle w:val="TableBodyRight"/>
            </w:pPr>
            <w:r w:rsidRPr="00685A8A">
              <w:t>1.4</w:t>
            </w:r>
          </w:p>
        </w:tc>
      </w:tr>
      <w:tr w:rsidR="000C7CB4" w:rsidRPr="00685A8A" w14:paraId="01EC3BE1" w14:textId="77777777" w:rsidTr="00B91008">
        <w:trPr>
          <w:trHeight w:val="288"/>
        </w:trPr>
        <w:tc>
          <w:tcPr>
            <w:tcW w:w="684" w:type="pct"/>
            <w:noWrap/>
            <w:hideMark/>
          </w:tcPr>
          <w:p w14:paraId="291FF23F" w14:textId="77777777" w:rsidR="00685A8A" w:rsidRPr="00685A8A" w:rsidRDefault="00685A8A" w:rsidP="001F550D">
            <w:pPr>
              <w:pStyle w:val="TableBody"/>
            </w:pPr>
            <w:r w:rsidRPr="00685A8A">
              <w:t>2007-08</w:t>
            </w:r>
          </w:p>
        </w:tc>
        <w:tc>
          <w:tcPr>
            <w:tcW w:w="723" w:type="pct"/>
            <w:noWrap/>
            <w:hideMark/>
          </w:tcPr>
          <w:p w14:paraId="499D2BBC" w14:textId="77777777" w:rsidR="00685A8A" w:rsidRPr="00685A8A" w:rsidRDefault="00685A8A" w:rsidP="00E517E3">
            <w:pPr>
              <w:pStyle w:val="TableBodyRight"/>
            </w:pPr>
            <w:r w:rsidRPr="00685A8A">
              <w:t>4.5</w:t>
            </w:r>
          </w:p>
        </w:tc>
        <w:tc>
          <w:tcPr>
            <w:tcW w:w="685" w:type="pct"/>
            <w:noWrap/>
            <w:hideMark/>
          </w:tcPr>
          <w:p w14:paraId="2DA3A4C3" w14:textId="77777777" w:rsidR="00685A8A" w:rsidRPr="00685A8A" w:rsidRDefault="00685A8A" w:rsidP="00E517E3">
            <w:pPr>
              <w:pStyle w:val="TableBodyRight"/>
            </w:pPr>
            <w:r w:rsidRPr="00685A8A">
              <w:t>2.8</w:t>
            </w:r>
          </w:p>
        </w:tc>
        <w:tc>
          <w:tcPr>
            <w:tcW w:w="754" w:type="pct"/>
            <w:noWrap/>
            <w:hideMark/>
          </w:tcPr>
          <w:p w14:paraId="79F4A208" w14:textId="77777777" w:rsidR="00685A8A" w:rsidRPr="00685A8A" w:rsidRDefault="00685A8A" w:rsidP="00E517E3">
            <w:pPr>
              <w:pStyle w:val="TableBodyRight"/>
            </w:pPr>
            <w:r w:rsidRPr="00685A8A">
              <w:t>3.1</w:t>
            </w:r>
          </w:p>
        </w:tc>
        <w:tc>
          <w:tcPr>
            <w:tcW w:w="753" w:type="pct"/>
            <w:noWrap/>
            <w:hideMark/>
          </w:tcPr>
          <w:p w14:paraId="38F8FAE7" w14:textId="77777777" w:rsidR="00685A8A" w:rsidRPr="00685A8A" w:rsidRDefault="00685A8A" w:rsidP="00E517E3">
            <w:pPr>
              <w:pStyle w:val="TableBodyRight"/>
            </w:pPr>
            <w:r w:rsidRPr="00685A8A">
              <w:t>1.9</w:t>
            </w:r>
          </w:p>
        </w:tc>
        <w:tc>
          <w:tcPr>
            <w:tcW w:w="723" w:type="pct"/>
            <w:noWrap/>
            <w:hideMark/>
          </w:tcPr>
          <w:p w14:paraId="42BE3C45" w14:textId="77777777" w:rsidR="00685A8A" w:rsidRPr="00685A8A" w:rsidRDefault="00685A8A" w:rsidP="00E517E3">
            <w:pPr>
              <w:pStyle w:val="TableBodyRight"/>
            </w:pPr>
            <w:r w:rsidRPr="00685A8A">
              <w:t>1.6</w:t>
            </w:r>
          </w:p>
        </w:tc>
        <w:tc>
          <w:tcPr>
            <w:tcW w:w="680" w:type="pct"/>
            <w:noWrap/>
            <w:hideMark/>
          </w:tcPr>
          <w:p w14:paraId="171B006E" w14:textId="77777777" w:rsidR="00685A8A" w:rsidRPr="00685A8A" w:rsidRDefault="00685A8A" w:rsidP="00E517E3">
            <w:pPr>
              <w:pStyle w:val="TableBodyRight"/>
            </w:pPr>
            <w:r w:rsidRPr="00685A8A">
              <w:t>1.1</w:t>
            </w:r>
          </w:p>
        </w:tc>
      </w:tr>
      <w:tr w:rsidR="000C7CB4" w:rsidRPr="00685A8A" w14:paraId="18701866" w14:textId="77777777" w:rsidTr="00B91008">
        <w:trPr>
          <w:trHeight w:val="288"/>
        </w:trPr>
        <w:tc>
          <w:tcPr>
            <w:tcW w:w="684" w:type="pct"/>
            <w:noWrap/>
            <w:hideMark/>
          </w:tcPr>
          <w:p w14:paraId="5EC1D7E4" w14:textId="77777777" w:rsidR="00685A8A" w:rsidRPr="00685A8A" w:rsidRDefault="00685A8A" w:rsidP="001F550D">
            <w:pPr>
              <w:pStyle w:val="TableBody"/>
            </w:pPr>
            <w:r w:rsidRPr="00685A8A">
              <w:t>2008-09</w:t>
            </w:r>
          </w:p>
        </w:tc>
        <w:tc>
          <w:tcPr>
            <w:tcW w:w="723" w:type="pct"/>
            <w:noWrap/>
            <w:hideMark/>
          </w:tcPr>
          <w:p w14:paraId="4D8425AA" w14:textId="77777777" w:rsidR="00685A8A" w:rsidRPr="00685A8A" w:rsidRDefault="00685A8A" w:rsidP="00E517E3">
            <w:pPr>
              <w:pStyle w:val="TableBodyRight"/>
            </w:pPr>
            <w:r w:rsidRPr="00685A8A">
              <w:t>4.4</w:t>
            </w:r>
          </w:p>
        </w:tc>
        <w:tc>
          <w:tcPr>
            <w:tcW w:w="685" w:type="pct"/>
            <w:noWrap/>
            <w:hideMark/>
          </w:tcPr>
          <w:p w14:paraId="61A5C173" w14:textId="77777777" w:rsidR="00685A8A" w:rsidRPr="00685A8A" w:rsidRDefault="00685A8A" w:rsidP="00E517E3">
            <w:pPr>
              <w:pStyle w:val="TableBodyRight"/>
            </w:pPr>
            <w:r w:rsidRPr="00685A8A">
              <w:t>2.6</w:t>
            </w:r>
          </w:p>
        </w:tc>
        <w:tc>
          <w:tcPr>
            <w:tcW w:w="754" w:type="pct"/>
            <w:noWrap/>
            <w:hideMark/>
          </w:tcPr>
          <w:p w14:paraId="2EFB38B0" w14:textId="77777777" w:rsidR="00685A8A" w:rsidRPr="00685A8A" w:rsidRDefault="00685A8A" w:rsidP="00E517E3">
            <w:pPr>
              <w:pStyle w:val="TableBodyRight"/>
            </w:pPr>
            <w:r w:rsidRPr="00685A8A">
              <w:t>2.8</w:t>
            </w:r>
          </w:p>
        </w:tc>
        <w:tc>
          <w:tcPr>
            <w:tcW w:w="753" w:type="pct"/>
            <w:noWrap/>
            <w:hideMark/>
          </w:tcPr>
          <w:p w14:paraId="76BA7E98" w14:textId="77777777" w:rsidR="00685A8A" w:rsidRPr="00685A8A" w:rsidRDefault="00685A8A" w:rsidP="00E517E3">
            <w:pPr>
              <w:pStyle w:val="TableBodyRight"/>
            </w:pPr>
            <w:r w:rsidRPr="00685A8A">
              <w:t>1.6</w:t>
            </w:r>
          </w:p>
        </w:tc>
        <w:tc>
          <w:tcPr>
            <w:tcW w:w="723" w:type="pct"/>
            <w:noWrap/>
            <w:hideMark/>
          </w:tcPr>
          <w:p w14:paraId="6B977212" w14:textId="77777777" w:rsidR="00685A8A" w:rsidRPr="00685A8A" w:rsidRDefault="00685A8A" w:rsidP="00E517E3">
            <w:pPr>
              <w:pStyle w:val="TableBodyRight"/>
            </w:pPr>
            <w:r w:rsidRPr="00685A8A">
              <w:t>2.3</w:t>
            </w:r>
          </w:p>
        </w:tc>
        <w:tc>
          <w:tcPr>
            <w:tcW w:w="680" w:type="pct"/>
            <w:noWrap/>
            <w:hideMark/>
          </w:tcPr>
          <w:p w14:paraId="2C000943" w14:textId="77777777" w:rsidR="00685A8A" w:rsidRPr="00685A8A" w:rsidRDefault="00685A8A" w:rsidP="00E517E3">
            <w:pPr>
              <w:pStyle w:val="TableBodyRight"/>
            </w:pPr>
            <w:r w:rsidRPr="00685A8A">
              <w:t>1.7</w:t>
            </w:r>
          </w:p>
        </w:tc>
      </w:tr>
      <w:tr w:rsidR="000C7CB4" w:rsidRPr="00685A8A" w14:paraId="5D953B6C" w14:textId="77777777" w:rsidTr="00B91008">
        <w:trPr>
          <w:trHeight w:val="288"/>
        </w:trPr>
        <w:tc>
          <w:tcPr>
            <w:tcW w:w="684" w:type="pct"/>
            <w:noWrap/>
            <w:hideMark/>
          </w:tcPr>
          <w:p w14:paraId="1F64B85B" w14:textId="77777777" w:rsidR="00685A8A" w:rsidRPr="00685A8A" w:rsidRDefault="00685A8A" w:rsidP="001F550D">
            <w:pPr>
              <w:pStyle w:val="TableBody"/>
            </w:pPr>
            <w:r w:rsidRPr="00685A8A">
              <w:t>2009-10</w:t>
            </w:r>
          </w:p>
        </w:tc>
        <w:tc>
          <w:tcPr>
            <w:tcW w:w="723" w:type="pct"/>
            <w:noWrap/>
            <w:hideMark/>
          </w:tcPr>
          <w:p w14:paraId="7601307B" w14:textId="77777777" w:rsidR="00685A8A" w:rsidRPr="00685A8A" w:rsidRDefault="00685A8A" w:rsidP="00E517E3">
            <w:pPr>
              <w:pStyle w:val="TableBodyRight"/>
            </w:pPr>
            <w:r w:rsidRPr="00685A8A">
              <w:t>5.7</w:t>
            </w:r>
          </w:p>
        </w:tc>
        <w:tc>
          <w:tcPr>
            <w:tcW w:w="685" w:type="pct"/>
            <w:noWrap/>
            <w:hideMark/>
          </w:tcPr>
          <w:p w14:paraId="26ADCC15" w14:textId="77777777" w:rsidR="00685A8A" w:rsidRPr="00685A8A" w:rsidRDefault="00685A8A" w:rsidP="00E517E3">
            <w:pPr>
              <w:pStyle w:val="TableBodyRight"/>
            </w:pPr>
            <w:r w:rsidRPr="00685A8A">
              <w:t>3.6</w:t>
            </w:r>
          </w:p>
        </w:tc>
        <w:tc>
          <w:tcPr>
            <w:tcW w:w="754" w:type="pct"/>
            <w:noWrap/>
            <w:hideMark/>
          </w:tcPr>
          <w:p w14:paraId="747AFC98" w14:textId="77777777" w:rsidR="00685A8A" w:rsidRPr="00685A8A" w:rsidRDefault="00685A8A" w:rsidP="00E517E3">
            <w:pPr>
              <w:pStyle w:val="TableBodyRight"/>
            </w:pPr>
            <w:r w:rsidRPr="00685A8A">
              <w:t>3.2</w:t>
            </w:r>
          </w:p>
        </w:tc>
        <w:tc>
          <w:tcPr>
            <w:tcW w:w="753" w:type="pct"/>
            <w:noWrap/>
            <w:hideMark/>
          </w:tcPr>
          <w:p w14:paraId="2D39518D" w14:textId="77777777" w:rsidR="00685A8A" w:rsidRPr="00685A8A" w:rsidRDefault="00685A8A" w:rsidP="00E517E3">
            <w:pPr>
              <w:pStyle w:val="TableBodyRight"/>
            </w:pPr>
            <w:r w:rsidRPr="00685A8A">
              <w:t>1.8</w:t>
            </w:r>
          </w:p>
        </w:tc>
        <w:tc>
          <w:tcPr>
            <w:tcW w:w="723" w:type="pct"/>
            <w:noWrap/>
            <w:hideMark/>
          </w:tcPr>
          <w:p w14:paraId="0AFA4B4B" w14:textId="77777777" w:rsidR="00685A8A" w:rsidRPr="00685A8A" w:rsidRDefault="00685A8A" w:rsidP="00E517E3">
            <w:pPr>
              <w:pStyle w:val="TableBodyRight"/>
            </w:pPr>
            <w:r w:rsidRPr="00685A8A">
              <w:t>1.8</w:t>
            </w:r>
          </w:p>
        </w:tc>
        <w:tc>
          <w:tcPr>
            <w:tcW w:w="680" w:type="pct"/>
            <w:noWrap/>
            <w:hideMark/>
          </w:tcPr>
          <w:p w14:paraId="3F273125" w14:textId="77777777" w:rsidR="00685A8A" w:rsidRPr="00685A8A" w:rsidRDefault="00685A8A" w:rsidP="00E517E3">
            <w:pPr>
              <w:pStyle w:val="TableBodyRight"/>
            </w:pPr>
            <w:r w:rsidRPr="00685A8A">
              <w:t>1.7</w:t>
            </w:r>
          </w:p>
        </w:tc>
      </w:tr>
      <w:tr w:rsidR="000C7CB4" w:rsidRPr="00685A8A" w14:paraId="07DB55C8" w14:textId="77777777" w:rsidTr="00B91008">
        <w:trPr>
          <w:trHeight w:val="288"/>
        </w:trPr>
        <w:tc>
          <w:tcPr>
            <w:tcW w:w="684" w:type="pct"/>
            <w:noWrap/>
            <w:hideMark/>
          </w:tcPr>
          <w:p w14:paraId="4115760D" w14:textId="77777777" w:rsidR="00685A8A" w:rsidRPr="00685A8A" w:rsidRDefault="00685A8A" w:rsidP="001F550D">
            <w:pPr>
              <w:pStyle w:val="TableBody"/>
            </w:pPr>
            <w:r w:rsidRPr="00685A8A">
              <w:t>2010-11</w:t>
            </w:r>
          </w:p>
        </w:tc>
        <w:tc>
          <w:tcPr>
            <w:tcW w:w="723" w:type="pct"/>
            <w:noWrap/>
            <w:hideMark/>
          </w:tcPr>
          <w:p w14:paraId="6F5EA610" w14:textId="77777777" w:rsidR="00685A8A" w:rsidRPr="00685A8A" w:rsidRDefault="00685A8A" w:rsidP="00E517E3">
            <w:pPr>
              <w:pStyle w:val="TableBodyRight"/>
            </w:pPr>
            <w:r w:rsidRPr="00685A8A">
              <w:t>5.2</w:t>
            </w:r>
          </w:p>
        </w:tc>
        <w:tc>
          <w:tcPr>
            <w:tcW w:w="685" w:type="pct"/>
            <w:noWrap/>
            <w:hideMark/>
          </w:tcPr>
          <w:p w14:paraId="1D15AFBF" w14:textId="77777777" w:rsidR="00685A8A" w:rsidRPr="00685A8A" w:rsidRDefault="00685A8A" w:rsidP="00E517E3">
            <w:pPr>
              <w:pStyle w:val="TableBodyRight"/>
            </w:pPr>
            <w:r w:rsidRPr="00685A8A">
              <w:t>3.2</w:t>
            </w:r>
          </w:p>
        </w:tc>
        <w:tc>
          <w:tcPr>
            <w:tcW w:w="754" w:type="pct"/>
            <w:noWrap/>
            <w:hideMark/>
          </w:tcPr>
          <w:p w14:paraId="6403F6A5" w14:textId="77777777" w:rsidR="00685A8A" w:rsidRPr="00685A8A" w:rsidRDefault="00685A8A" w:rsidP="00E517E3">
            <w:pPr>
              <w:pStyle w:val="TableBodyRight"/>
            </w:pPr>
            <w:r w:rsidRPr="00685A8A">
              <w:t>2.9</w:t>
            </w:r>
          </w:p>
        </w:tc>
        <w:tc>
          <w:tcPr>
            <w:tcW w:w="753" w:type="pct"/>
            <w:noWrap/>
            <w:hideMark/>
          </w:tcPr>
          <w:p w14:paraId="071A03FE" w14:textId="77777777" w:rsidR="00685A8A" w:rsidRPr="00685A8A" w:rsidRDefault="00685A8A" w:rsidP="00E517E3">
            <w:pPr>
              <w:pStyle w:val="TableBodyRight"/>
            </w:pPr>
            <w:r w:rsidRPr="00685A8A">
              <w:t>1.6</w:t>
            </w:r>
          </w:p>
        </w:tc>
        <w:tc>
          <w:tcPr>
            <w:tcW w:w="723" w:type="pct"/>
            <w:noWrap/>
            <w:hideMark/>
          </w:tcPr>
          <w:p w14:paraId="0C17D7E8" w14:textId="77777777" w:rsidR="00685A8A" w:rsidRPr="00685A8A" w:rsidRDefault="00685A8A" w:rsidP="00E517E3">
            <w:pPr>
              <w:pStyle w:val="TableBodyRight"/>
            </w:pPr>
            <w:r w:rsidRPr="00685A8A">
              <w:t>2.3</w:t>
            </w:r>
          </w:p>
        </w:tc>
        <w:tc>
          <w:tcPr>
            <w:tcW w:w="680" w:type="pct"/>
            <w:noWrap/>
            <w:hideMark/>
          </w:tcPr>
          <w:p w14:paraId="09C28E57" w14:textId="77777777" w:rsidR="00685A8A" w:rsidRPr="00685A8A" w:rsidRDefault="00685A8A" w:rsidP="00E517E3">
            <w:pPr>
              <w:pStyle w:val="TableBodyRight"/>
            </w:pPr>
            <w:r w:rsidRPr="00685A8A">
              <w:t>1.3</w:t>
            </w:r>
          </w:p>
        </w:tc>
      </w:tr>
      <w:tr w:rsidR="000C7CB4" w:rsidRPr="00685A8A" w14:paraId="47710D5A" w14:textId="77777777" w:rsidTr="00B91008">
        <w:trPr>
          <w:trHeight w:val="288"/>
        </w:trPr>
        <w:tc>
          <w:tcPr>
            <w:tcW w:w="684" w:type="pct"/>
            <w:noWrap/>
            <w:hideMark/>
          </w:tcPr>
          <w:p w14:paraId="047699A6" w14:textId="77777777" w:rsidR="00685A8A" w:rsidRPr="00685A8A" w:rsidRDefault="00685A8A" w:rsidP="001F550D">
            <w:pPr>
              <w:pStyle w:val="TableBody"/>
            </w:pPr>
            <w:r w:rsidRPr="00685A8A">
              <w:t>2011-12</w:t>
            </w:r>
          </w:p>
        </w:tc>
        <w:tc>
          <w:tcPr>
            <w:tcW w:w="723" w:type="pct"/>
            <w:noWrap/>
            <w:hideMark/>
          </w:tcPr>
          <w:p w14:paraId="54F12D6D" w14:textId="77777777" w:rsidR="00685A8A" w:rsidRPr="00685A8A" w:rsidRDefault="00685A8A" w:rsidP="00E517E3">
            <w:pPr>
              <w:pStyle w:val="TableBodyRight"/>
            </w:pPr>
            <w:r w:rsidRPr="00685A8A">
              <w:t>4.9</w:t>
            </w:r>
          </w:p>
        </w:tc>
        <w:tc>
          <w:tcPr>
            <w:tcW w:w="685" w:type="pct"/>
            <w:noWrap/>
            <w:hideMark/>
          </w:tcPr>
          <w:p w14:paraId="43688A4F" w14:textId="77777777" w:rsidR="00685A8A" w:rsidRPr="00685A8A" w:rsidRDefault="00685A8A" w:rsidP="00E517E3">
            <w:pPr>
              <w:pStyle w:val="TableBodyRight"/>
            </w:pPr>
            <w:r w:rsidRPr="00685A8A">
              <w:t>3.1</w:t>
            </w:r>
          </w:p>
        </w:tc>
        <w:tc>
          <w:tcPr>
            <w:tcW w:w="754" w:type="pct"/>
            <w:noWrap/>
            <w:hideMark/>
          </w:tcPr>
          <w:p w14:paraId="1C8EDF21" w14:textId="77777777" w:rsidR="00685A8A" w:rsidRPr="00685A8A" w:rsidRDefault="00685A8A" w:rsidP="00E517E3">
            <w:pPr>
              <w:pStyle w:val="TableBodyRight"/>
            </w:pPr>
            <w:r w:rsidRPr="00685A8A">
              <w:t>3.1</w:t>
            </w:r>
          </w:p>
        </w:tc>
        <w:tc>
          <w:tcPr>
            <w:tcW w:w="753" w:type="pct"/>
            <w:noWrap/>
            <w:hideMark/>
          </w:tcPr>
          <w:p w14:paraId="3012B414" w14:textId="77777777" w:rsidR="00685A8A" w:rsidRPr="00685A8A" w:rsidRDefault="00685A8A" w:rsidP="00E517E3">
            <w:pPr>
              <w:pStyle w:val="TableBodyRight"/>
            </w:pPr>
            <w:r w:rsidRPr="00685A8A">
              <w:t>1.8</w:t>
            </w:r>
          </w:p>
        </w:tc>
        <w:tc>
          <w:tcPr>
            <w:tcW w:w="723" w:type="pct"/>
            <w:noWrap/>
            <w:hideMark/>
          </w:tcPr>
          <w:p w14:paraId="58933ADB" w14:textId="77777777" w:rsidR="00685A8A" w:rsidRPr="00685A8A" w:rsidRDefault="00685A8A" w:rsidP="00E517E3">
            <w:pPr>
              <w:pStyle w:val="TableBodyRight"/>
            </w:pPr>
            <w:r w:rsidRPr="00685A8A">
              <w:t>2.4</w:t>
            </w:r>
          </w:p>
        </w:tc>
        <w:tc>
          <w:tcPr>
            <w:tcW w:w="680" w:type="pct"/>
            <w:noWrap/>
            <w:hideMark/>
          </w:tcPr>
          <w:p w14:paraId="2345CA5D" w14:textId="77777777" w:rsidR="00685A8A" w:rsidRPr="00685A8A" w:rsidRDefault="00685A8A" w:rsidP="00E517E3">
            <w:pPr>
              <w:pStyle w:val="TableBodyRight"/>
            </w:pPr>
            <w:r w:rsidRPr="00685A8A">
              <w:t>1.3</w:t>
            </w:r>
          </w:p>
        </w:tc>
      </w:tr>
      <w:tr w:rsidR="000C7CB4" w:rsidRPr="00685A8A" w14:paraId="710B8DB9" w14:textId="77777777" w:rsidTr="00B91008">
        <w:trPr>
          <w:trHeight w:val="288"/>
        </w:trPr>
        <w:tc>
          <w:tcPr>
            <w:tcW w:w="684" w:type="pct"/>
            <w:noWrap/>
            <w:hideMark/>
          </w:tcPr>
          <w:p w14:paraId="571A1F0B" w14:textId="77777777" w:rsidR="00685A8A" w:rsidRPr="00685A8A" w:rsidRDefault="00685A8A" w:rsidP="001F550D">
            <w:pPr>
              <w:pStyle w:val="TableBody"/>
            </w:pPr>
            <w:r w:rsidRPr="00685A8A">
              <w:t>2012-13</w:t>
            </w:r>
          </w:p>
        </w:tc>
        <w:tc>
          <w:tcPr>
            <w:tcW w:w="723" w:type="pct"/>
            <w:noWrap/>
            <w:hideMark/>
          </w:tcPr>
          <w:p w14:paraId="2025D1AC" w14:textId="77777777" w:rsidR="00685A8A" w:rsidRPr="00685A8A" w:rsidRDefault="00685A8A" w:rsidP="00E517E3">
            <w:pPr>
              <w:pStyle w:val="TableBodyRight"/>
            </w:pPr>
            <w:r w:rsidRPr="00685A8A">
              <w:t>5.5</w:t>
            </w:r>
          </w:p>
        </w:tc>
        <w:tc>
          <w:tcPr>
            <w:tcW w:w="685" w:type="pct"/>
            <w:noWrap/>
            <w:hideMark/>
          </w:tcPr>
          <w:p w14:paraId="65E983CE" w14:textId="77777777" w:rsidR="00685A8A" w:rsidRPr="00685A8A" w:rsidRDefault="00685A8A" w:rsidP="00E517E3">
            <w:pPr>
              <w:pStyle w:val="TableBodyRight"/>
            </w:pPr>
            <w:r w:rsidRPr="00685A8A">
              <w:t>3.7</w:t>
            </w:r>
          </w:p>
        </w:tc>
        <w:tc>
          <w:tcPr>
            <w:tcW w:w="754" w:type="pct"/>
            <w:noWrap/>
            <w:hideMark/>
          </w:tcPr>
          <w:p w14:paraId="4A726B40" w14:textId="77777777" w:rsidR="00685A8A" w:rsidRPr="00685A8A" w:rsidRDefault="00685A8A" w:rsidP="00E517E3">
            <w:pPr>
              <w:pStyle w:val="TableBodyRight"/>
            </w:pPr>
            <w:r w:rsidRPr="00685A8A">
              <w:t>3.2</w:t>
            </w:r>
          </w:p>
        </w:tc>
        <w:tc>
          <w:tcPr>
            <w:tcW w:w="753" w:type="pct"/>
            <w:noWrap/>
            <w:hideMark/>
          </w:tcPr>
          <w:p w14:paraId="228941EE" w14:textId="77777777" w:rsidR="00685A8A" w:rsidRPr="00685A8A" w:rsidRDefault="00685A8A" w:rsidP="00E517E3">
            <w:pPr>
              <w:pStyle w:val="TableBodyRight"/>
            </w:pPr>
            <w:r w:rsidRPr="00685A8A">
              <w:t>1.8</w:t>
            </w:r>
          </w:p>
        </w:tc>
        <w:tc>
          <w:tcPr>
            <w:tcW w:w="723" w:type="pct"/>
            <w:noWrap/>
            <w:hideMark/>
          </w:tcPr>
          <w:p w14:paraId="06B30C79" w14:textId="77777777" w:rsidR="00685A8A" w:rsidRPr="00685A8A" w:rsidRDefault="00685A8A" w:rsidP="00E517E3">
            <w:pPr>
              <w:pStyle w:val="TableBodyRight"/>
            </w:pPr>
            <w:r w:rsidRPr="00685A8A">
              <w:t>1.7</w:t>
            </w:r>
          </w:p>
        </w:tc>
        <w:tc>
          <w:tcPr>
            <w:tcW w:w="680" w:type="pct"/>
            <w:noWrap/>
            <w:hideMark/>
          </w:tcPr>
          <w:p w14:paraId="1DF23C99" w14:textId="77777777" w:rsidR="00685A8A" w:rsidRPr="00685A8A" w:rsidRDefault="00685A8A" w:rsidP="00E517E3">
            <w:pPr>
              <w:pStyle w:val="TableBodyRight"/>
            </w:pPr>
            <w:r w:rsidRPr="00685A8A">
              <w:t>1.3</w:t>
            </w:r>
          </w:p>
        </w:tc>
      </w:tr>
      <w:tr w:rsidR="000C7CB4" w:rsidRPr="00685A8A" w14:paraId="5CF5C533" w14:textId="77777777" w:rsidTr="00B91008">
        <w:trPr>
          <w:trHeight w:val="288"/>
        </w:trPr>
        <w:tc>
          <w:tcPr>
            <w:tcW w:w="684" w:type="pct"/>
            <w:noWrap/>
            <w:hideMark/>
          </w:tcPr>
          <w:p w14:paraId="6348F1BC" w14:textId="77777777" w:rsidR="00685A8A" w:rsidRPr="00685A8A" w:rsidRDefault="00685A8A" w:rsidP="001F550D">
            <w:pPr>
              <w:pStyle w:val="TableBody"/>
            </w:pPr>
            <w:r w:rsidRPr="00685A8A">
              <w:t>2013-14</w:t>
            </w:r>
          </w:p>
        </w:tc>
        <w:tc>
          <w:tcPr>
            <w:tcW w:w="723" w:type="pct"/>
            <w:noWrap/>
            <w:hideMark/>
          </w:tcPr>
          <w:p w14:paraId="006E9922" w14:textId="77777777" w:rsidR="00685A8A" w:rsidRPr="00685A8A" w:rsidRDefault="00685A8A" w:rsidP="00E517E3">
            <w:pPr>
              <w:pStyle w:val="TableBodyRight"/>
            </w:pPr>
            <w:r w:rsidRPr="00685A8A">
              <w:t>5.5</w:t>
            </w:r>
          </w:p>
        </w:tc>
        <w:tc>
          <w:tcPr>
            <w:tcW w:w="685" w:type="pct"/>
            <w:noWrap/>
            <w:hideMark/>
          </w:tcPr>
          <w:p w14:paraId="2DF56D0B" w14:textId="77777777" w:rsidR="00685A8A" w:rsidRPr="00685A8A" w:rsidRDefault="00685A8A" w:rsidP="00E517E3">
            <w:pPr>
              <w:pStyle w:val="TableBodyRight"/>
            </w:pPr>
            <w:r w:rsidRPr="00685A8A">
              <w:t>3.5</w:t>
            </w:r>
          </w:p>
        </w:tc>
        <w:tc>
          <w:tcPr>
            <w:tcW w:w="754" w:type="pct"/>
            <w:noWrap/>
            <w:hideMark/>
          </w:tcPr>
          <w:p w14:paraId="3B65019C" w14:textId="77777777" w:rsidR="00685A8A" w:rsidRPr="00685A8A" w:rsidRDefault="00685A8A" w:rsidP="00E517E3">
            <w:pPr>
              <w:pStyle w:val="TableBodyRight"/>
            </w:pPr>
            <w:r w:rsidRPr="00685A8A">
              <w:t>2.8</w:t>
            </w:r>
          </w:p>
        </w:tc>
        <w:tc>
          <w:tcPr>
            <w:tcW w:w="753" w:type="pct"/>
            <w:noWrap/>
            <w:hideMark/>
          </w:tcPr>
          <w:p w14:paraId="2CFB8F02" w14:textId="77777777" w:rsidR="00685A8A" w:rsidRPr="00685A8A" w:rsidRDefault="00685A8A" w:rsidP="00E517E3">
            <w:pPr>
              <w:pStyle w:val="TableBodyRight"/>
            </w:pPr>
            <w:r w:rsidRPr="00685A8A">
              <w:t>1.7</w:t>
            </w:r>
          </w:p>
        </w:tc>
        <w:tc>
          <w:tcPr>
            <w:tcW w:w="723" w:type="pct"/>
            <w:noWrap/>
            <w:hideMark/>
          </w:tcPr>
          <w:p w14:paraId="49AA0CE7" w14:textId="77777777" w:rsidR="00685A8A" w:rsidRPr="00685A8A" w:rsidRDefault="00685A8A" w:rsidP="00E517E3">
            <w:pPr>
              <w:pStyle w:val="TableBodyRight"/>
            </w:pPr>
            <w:r w:rsidRPr="00685A8A">
              <w:t>2.1</w:t>
            </w:r>
          </w:p>
        </w:tc>
        <w:tc>
          <w:tcPr>
            <w:tcW w:w="680" w:type="pct"/>
            <w:noWrap/>
            <w:hideMark/>
          </w:tcPr>
          <w:p w14:paraId="1BBDD735" w14:textId="77777777" w:rsidR="00685A8A" w:rsidRPr="00685A8A" w:rsidRDefault="00685A8A" w:rsidP="00E517E3">
            <w:pPr>
              <w:pStyle w:val="TableBodyRight"/>
            </w:pPr>
            <w:r w:rsidRPr="00685A8A">
              <w:t>1.3</w:t>
            </w:r>
          </w:p>
        </w:tc>
      </w:tr>
      <w:tr w:rsidR="000C7CB4" w:rsidRPr="00685A8A" w14:paraId="7DDEA845" w14:textId="77777777" w:rsidTr="00B91008">
        <w:trPr>
          <w:trHeight w:val="288"/>
        </w:trPr>
        <w:tc>
          <w:tcPr>
            <w:tcW w:w="684" w:type="pct"/>
            <w:noWrap/>
            <w:hideMark/>
          </w:tcPr>
          <w:p w14:paraId="5B9B112A" w14:textId="77777777" w:rsidR="00685A8A" w:rsidRPr="00685A8A" w:rsidRDefault="00685A8A" w:rsidP="001F550D">
            <w:pPr>
              <w:pStyle w:val="TableBody"/>
            </w:pPr>
            <w:r w:rsidRPr="00685A8A">
              <w:t>2014-15</w:t>
            </w:r>
          </w:p>
        </w:tc>
        <w:tc>
          <w:tcPr>
            <w:tcW w:w="723" w:type="pct"/>
            <w:noWrap/>
            <w:hideMark/>
          </w:tcPr>
          <w:p w14:paraId="66EE57B7" w14:textId="77777777" w:rsidR="00685A8A" w:rsidRPr="00685A8A" w:rsidRDefault="00685A8A" w:rsidP="00E517E3">
            <w:pPr>
              <w:pStyle w:val="TableBodyRight"/>
            </w:pPr>
            <w:r w:rsidRPr="00685A8A">
              <w:t>6.0</w:t>
            </w:r>
          </w:p>
        </w:tc>
        <w:tc>
          <w:tcPr>
            <w:tcW w:w="685" w:type="pct"/>
            <w:noWrap/>
            <w:hideMark/>
          </w:tcPr>
          <w:p w14:paraId="60A7F10E" w14:textId="77777777" w:rsidR="00685A8A" w:rsidRPr="00685A8A" w:rsidRDefault="00685A8A" w:rsidP="00E517E3">
            <w:pPr>
              <w:pStyle w:val="TableBodyRight"/>
            </w:pPr>
            <w:r w:rsidRPr="00685A8A">
              <w:t>3.8</w:t>
            </w:r>
          </w:p>
        </w:tc>
        <w:tc>
          <w:tcPr>
            <w:tcW w:w="754" w:type="pct"/>
            <w:noWrap/>
            <w:hideMark/>
          </w:tcPr>
          <w:p w14:paraId="25D77D4E" w14:textId="77777777" w:rsidR="00685A8A" w:rsidRPr="00685A8A" w:rsidRDefault="00685A8A" w:rsidP="00E517E3">
            <w:pPr>
              <w:pStyle w:val="TableBodyRight"/>
            </w:pPr>
            <w:r w:rsidRPr="00685A8A">
              <w:t>3.4</w:t>
            </w:r>
          </w:p>
        </w:tc>
        <w:tc>
          <w:tcPr>
            <w:tcW w:w="753" w:type="pct"/>
            <w:noWrap/>
            <w:hideMark/>
          </w:tcPr>
          <w:p w14:paraId="56EEDD4B" w14:textId="77777777" w:rsidR="00685A8A" w:rsidRPr="00685A8A" w:rsidRDefault="00685A8A" w:rsidP="00E517E3">
            <w:pPr>
              <w:pStyle w:val="TableBodyRight"/>
            </w:pPr>
            <w:r w:rsidRPr="00685A8A">
              <w:t>2.0</w:t>
            </w:r>
          </w:p>
        </w:tc>
        <w:tc>
          <w:tcPr>
            <w:tcW w:w="723" w:type="pct"/>
            <w:noWrap/>
            <w:hideMark/>
          </w:tcPr>
          <w:p w14:paraId="24AC7CC9" w14:textId="77777777" w:rsidR="00685A8A" w:rsidRPr="00685A8A" w:rsidRDefault="00685A8A" w:rsidP="00E517E3">
            <w:pPr>
              <w:pStyle w:val="TableBodyRight"/>
            </w:pPr>
            <w:r w:rsidRPr="00685A8A">
              <w:t>3.2</w:t>
            </w:r>
          </w:p>
        </w:tc>
        <w:tc>
          <w:tcPr>
            <w:tcW w:w="680" w:type="pct"/>
            <w:noWrap/>
            <w:hideMark/>
          </w:tcPr>
          <w:p w14:paraId="083BEC23" w14:textId="77777777" w:rsidR="00685A8A" w:rsidRPr="00685A8A" w:rsidRDefault="00685A8A" w:rsidP="00E517E3">
            <w:pPr>
              <w:pStyle w:val="TableBodyRight"/>
            </w:pPr>
            <w:r w:rsidRPr="00685A8A">
              <w:t>1.9</w:t>
            </w:r>
          </w:p>
        </w:tc>
      </w:tr>
      <w:tr w:rsidR="000C7CB4" w:rsidRPr="00685A8A" w14:paraId="7BC70DF9" w14:textId="77777777" w:rsidTr="00B91008">
        <w:trPr>
          <w:trHeight w:val="288"/>
        </w:trPr>
        <w:tc>
          <w:tcPr>
            <w:tcW w:w="684" w:type="pct"/>
            <w:noWrap/>
            <w:hideMark/>
          </w:tcPr>
          <w:p w14:paraId="61EA49B0" w14:textId="77777777" w:rsidR="00685A8A" w:rsidRPr="00685A8A" w:rsidRDefault="00685A8A" w:rsidP="001F550D">
            <w:pPr>
              <w:pStyle w:val="TableBody"/>
            </w:pPr>
            <w:r w:rsidRPr="00685A8A">
              <w:t>2015-16</w:t>
            </w:r>
          </w:p>
        </w:tc>
        <w:tc>
          <w:tcPr>
            <w:tcW w:w="723" w:type="pct"/>
            <w:noWrap/>
            <w:hideMark/>
          </w:tcPr>
          <w:p w14:paraId="7419D10E" w14:textId="77777777" w:rsidR="00685A8A" w:rsidRPr="00685A8A" w:rsidRDefault="00685A8A" w:rsidP="00E517E3">
            <w:pPr>
              <w:pStyle w:val="TableBodyRight"/>
            </w:pPr>
            <w:r w:rsidRPr="00685A8A">
              <w:t>5.8</w:t>
            </w:r>
          </w:p>
        </w:tc>
        <w:tc>
          <w:tcPr>
            <w:tcW w:w="685" w:type="pct"/>
            <w:noWrap/>
            <w:hideMark/>
          </w:tcPr>
          <w:p w14:paraId="1D760A69" w14:textId="77777777" w:rsidR="00685A8A" w:rsidRPr="00685A8A" w:rsidRDefault="00685A8A" w:rsidP="00E517E3">
            <w:pPr>
              <w:pStyle w:val="TableBodyRight"/>
            </w:pPr>
            <w:r w:rsidRPr="00685A8A">
              <w:t>3.6</w:t>
            </w:r>
          </w:p>
        </w:tc>
        <w:tc>
          <w:tcPr>
            <w:tcW w:w="754" w:type="pct"/>
            <w:noWrap/>
            <w:hideMark/>
          </w:tcPr>
          <w:p w14:paraId="547A2F97" w14:textId="77777777" w:rsidR="00685A8A" w:rsidRPr="00685A8A" w:rsidRDefault="00685A8A" w:rsidP="00E517E3">
            <w:pPr>
              <w:pStyle w:val="TableBodyRight"/>
            </w:pPr>
            <w:r w:rsidRPr="00685A8A">
              <w:t>3.8</w:t>
            </w:r>
          </w:p>
        </w:tc>
        <w:tc>
          <w:tcPr>
            <w:tcW w:w="753" w:type="pct"/>
            <w:noWrap/>
            <w:hideMark/>
          </w:tcPr>
          <w:p w14:paraId="6E809EB3" w14:textId="77777777" w:rsidR="00685A8A" w:rsidRPr="00685A8A" w:rsidRDefault="00685A8A" w:rsidP="00E517E3">
            <w:pPr>
              <w:pStyle w:val="TableBodyRight"/>
            </w:pPr>
            <w:r w:rsidRPr="00685A8A">
              <w:t>2.2</w:t>
            </w:r>
          </w:p>
        </w:tc>
        <w:tc>
          <w:tcPr>
            <w:tcW w:w="723" w:type="pct"/>
            <w:noWrap/>
            <w:hideMark/>
          </w:tcPr>
          <w:p w14:paraId="575539FA" w14:textId="77777777" w:rsidR="00685A8A" w:rsidRPr="00685A8A" w:rsidRDefault="00685A8A" w:rsidP="00E517E3">
            <w:pPr>
              <w:pStyle w:val="TableBodyRight"/>
            </w:pPr>
            <w:r w:rsidRPr="00685A8A">
              <w:t>3.3</w:t>
            </w:r>
          </w:p>
        </w:tc>
        <w:tc>
          <w:tcPr>
            <w:tcW w:w="680" w:type="pct"/>
            <w:noWrap/>
            <w:hideMark/>
          </w:tcPr>
          <w:p w14:paraId="7B9E1CE2" w14:textId="77777777" w:rsidR="00685A8A" w:rsidRPr="00685A8A" w:rsidRDefault="00685A8A" w:rsidP="00E517E3">
            <w:pPr>
              <w:pStyle w:val="TableBodyRight"/>
            </w:pPr>
            <w:r w:rsidRPr="00685A8A">
              <w:t>2.2</w:t>
            </w:r>
          </w:p>
        </w:tc>
      </w:tr>
      <w:tr w:rsidR="000C7CB4" w:rsidRPr="00685A8A" w14:paraId="62E4CBBA" w14:textId="77777777" w:rsidTr="00B91008">
        <w:trPr>
          <w:trHeight w:val="288"/>
        </w:trPr>
        <w:tc>
          <w:tcPr>
            <w:tcW w:w="684" w:type="pct"/>
            <w:noWrap/>
            <w:hideMark/>
          </w:tcPr>
          <w:p w14:paraId="1E6FFDAC" w14:textId="77777777" w:rsidR="00685A8A" w:rsidRPr="00685A8A" w:rsidRDefault="00685A8A" w:rsidP="001F550D">
            <w:pPr>
              <w:pStyle w:val="TableBody"/>
            </w:pPr>
            <w:r w:rsidRPr="00685A8A">
              <w:t>2016-17</w:t>
            </w:r>
          </w:p>
        </w:tc>
        <w:tc>
          <w:tcPr>
            <w:tcW w:w="723" w:type="pct"/>
            <w:noWrap/>
            <w:hideMark/>
          </w:tcPr>
          <w:p w14:paraId="49637ED5" w14:textId="77777777" w:rsidR="00685A8A" w:rsidRPr="00685A8A" w:rsidRDefault="00685A8A" w:rsidP="00E517E3">
            <w:pPr>
              <w:pStyle w:val="TableBodyRight"/>
            </w:pPr>
            <w:r w:rsidRPr="00685A8A">
              <w:t>5.8</w:t>
            </w:r>
          </w:p>
        </w:tc>
        <w:tc>
          <w:tcPr>
            <w:tcW w:w="685" w:type="pct"/>
            <w:noWrap/>
            <w:hideMark/>
          </w:tcPr>
          <w:p w14:paraId="090598EF" w14:textId="77777777" w:rsidR="00685A8A" w:rsidRPr="00685A8A" w:rsidRDefault="00685A8A" w:rsidP="00E517E3">
            <w:pPr>
              <w:pStyle w:val="TableBodyRight"/>
            </w:pPr>
            <w:r w:rsidRPr="00685A8A">
              <w:t>3.6</w:t>
            </w:r>
          </w:p>
        </w:tc>
        <w:tc>
          <w:tcPr>
            <w:tcW w:w="754" w:type="pct"/>
            <w:noWrap/>
            <w:hideMark/>
          </w:tcPr>
          <w:p w14:paraId="36C8BD5A" w14:textId="77777777" w:rsidR="00685A8A" w:rsidRPr="00685A8A" w:rsidRDefault="00685A8A" w:rsidP="00E517E3">
            <w:pPr>
              <w:pStyle w:val="TableBodyRight"/>
            </w:pPr>
            <w:r w:rsidRPr="00685A8A">
              <w:t>4.6</w:t>
            </w:r>
          </w:p>
        </w:tc>
        <w:tc>
          <w:tcPr>
            <w:tcW w:w="753" w:type="pct"/>
            <w:noWrap/>
            <w:hideMark/>
          </w:tcPr>
          <w:p w14:paraId="4E14E5D5" w14:textId="77777777" w:rsidR="00685A8A" w:rsidRPr="00685A8A" w:rsidRDefault="00685A8A" w:rsidP="00E517E3">
            <w:pPr>
              <w:pStyle w:val="TableBodyRight"/>
            </w:pPr>
            <w:r w:rsidRPr="00685A8A">
              <w:t>2.9</w:t>
            </w:r>
          </w:p>
        </w:tc>
        <w:tc>
          <w:tcPr>
            <w:tcW w:w="723" w:type="pct"/>
            <w:noWrap/>
            <w:hideMark/>
          </w:tcPr>
          <w:p w14:paraId="12C208CE" w14:textId="77777777" w:rsidR="00685A8A" w:rsidRPr="00685A8A" w:rsidRDefault="00685A8A" w:rsidP="00E517E3">
            <w:pPr>
              <w:pStyle w:val="TableBodyRight"/>
            </w:pPr>
            <w:r w:rsidRPr="00685A8A">
              <w:t>3.1</w:t>
            </w:r>
          </w:p>
        </w:tc>
        <w:tc>
          <w:tcPr>
            <w:tcW w:w="680" w:type="pct"/>
            <w:noWrap/>
            <w:hideMark/>
          </w:tcPr>
          <w:p w14:paraId="38D873F2" w14:textId="77777777" w:rsidR="00685A8A" w:rsidRPr="00685A8A" w:rsidRDefault="00685A8A" w:rsidP="00E517E3">
            <w:pPr>
              <w:pStyle w:val="TableBodyRight"/>
            </w:pPr>
            <w:r w:rsidRPr="00685A8A">
              <w:t>1.9</w:t>
            </w:r>
          </w:p>
        </w:tc>
      </w:tr>
      <w:tr w:rsidR="000C7CB4" w:rsidRPr="00685A8A" w14:paraId="264CEC3D" w14:textId="77777777" w:rsidTr="00B91008">
        <w:trPr>
          <w:trHeight w:val="288"/>
        </w:trPr>
        <w:tc>
          <w:tcPr>
            <w:tcW w:w="684" w:type="pct"/>
            <w:noWrap/>
            <w:hideMark/>
          </w:tcPr>
          <w:p w14:paraId="7E687CFA" w14:textId="77777777" w:rsidR="00685A8A" w:rsidRPr="00685A8A" w:rsidRDefault="00685A8A" w:rsidP="001F550D">
            <w:pPr>
              <w:pStyle w:val="TableBody"/>
            </w:pPr>
            <w:r w:rsidRPr="00685A8A">
              <w:t>2017-18</w:t>
            </w:r>
          </w:p>
        </w:tc>
        <w:tc>
          <w:tcPr>
            <w:tcW w:w="723" w:type="pct"/>
            <w:noWrap/>
            <w:hideMark/>
          </w:tcPr>
          <w:p w14:paraId="098F7DEE" w14:textId="77777777" w:rsidR="00685A8A" w:rsidRPr="00685A8A" w:rsidRDefault="00685A8A" w:rsidP="00E517E3">
            <w:pPr>
              <w:pStyle w:val="TableBodyRight"/>
            </w:pPr>
            <w:r w:rsidRPr="00685A8A">
              <w:t>6.8</w:t>
            </w:r>
          </w:p>
        </w:tc>
        <w:tc>
          <w:tcPr>
            <w:tcW w:w="685" w:type="pct"/>
            <w:noWrap/>
            <w:hideMark/>
          </w:tcPr>
          <w:p w14:paraId="60DED7B8" w14:textId="77777777" w:rsidR="00685A8A" w:rsidRPr="00685A8A" w:rsidRDefault="00685A8A" w:rsidP="00E517E3">
            <w:pPr>
              <w:pStyle w:val="TableBodyRight"/>
            </w:pPr>
            <w:r w:rsidRPr="00685A8A">
              <w:t>4.3</w:t>
            </w:r>
          </w:p>
        </w:tc>
        <w:tc>
          <w:tcPr>
            <w:tcW w:w="754" w:type="pct"/>
            <w:noWrap/>
            <w:hideMark/>
          </w:tcPr>
          <w:p w14:paraId="600699E4" w14:textId="77777777" w:rsidR="00685A8A" w:rsidRPr="00685A8A" w:rsidRDefault="00685A8A" w:rsidP="00E517E3">
            <w:pPr>
              <w:pStyle w:val="TableBodyRight"/>
            </w:pPr>
            <w:r w:rsidRPr="00685A8A">
              <w:t>4.8</w:t>
            </w:r>
          </w:p>
        </w:tc>
        <w:tc>
          <w:tcPr>
            <w:tcW w:w="753" w:type="pct"/>
            <w:noWrap/>
            <w:hideMark/>
          </w:tcPr>
          <w:p w14:paraId="784A96D1" w14:textId="77777777" w:rsidR="00685A8A" w:rsidRPr="00685A8A" w:rsidRDefault="00685A8A" w:rsidP="00E517E3">
            <w:pPr>
              <w:pStyle w:val="TableBodyRight"/>
            </w:pPr>
            <w:r w:rsidRPr="00685A8A">
              <w:t>2.9</w:t>
            </w:r>
          </w:p>
        </w:tc>
        <w:tc>
          <w:tcPr>
            <w:tcW w:w="723" w:type="pct"/>
            <w:noWrap/>
            <w:hideMark/>
          </w:tcPr>
          <w:p w14:paraId="6088CBB5" w14:textId="77777777" w:rsidR="00685A8A" w:rsidRPr="00685A8A" w:rsidRDefault="00685A8A" w:rsidP="00E517E3">
            <w:pPr>
              <w:pStyle w:val="TableBodyRight"/>
            </w:pPr>
            <w:r w:rsidRPr="00685A8A">
              <w:t>3.1</w:t>
            </w:r>
          </w:p>
        </w:tc>
        <w:tc>
          <w:tcPr>
            <w:tcW w:w="680" w:type="pct"/>
            <w:noWrap/>
            <w:hideMark/>
          </w:tcPr>
          <w:p w14:paraId="7AFBBB49" w14:textId="77777777" w:rsidR="00685A8A" w:rsidRPr="00685A8A" w:rsidRDefault="00685A8A" w:rsidP="00E517E3">
            <w:pPr>
              <w:pStyle w:val="TableBodyRight"/>
            </w:pPr>
            <w:r w:rsidRPr="00685A8A">
              <w:t>1.9</w:t>
            </w:r>
          </w:p>
        </w:tc>
      </w:tr>
      <w:tr w:rsidR="000C7CB4" w:rsidRPr="00685A8A" w14:paraId="1AFE57AC" w14:textId="77777777" w:rsidTr="00B91008">
        <w:trPr>
          <w:trHeight w:val="288"/>
        </w:trPr>
        <w:tc>
          <w:tcPr>
            <w:tcW w:w="684" w:type="pct"/>
            <w:noWrap/>
            <w:hideMark/>
          </w:tcPr>
          <w:p w14:paraId="700F986E" w14:textId="77777777" w:rsidR="00685A8A" w:rsidRPr="00685A8A" w:rsidRDefault="00685A8A" w:rsidP="001F550D">
            <w:pPr>
              <w:pStyle w:val="TableBody"/>
            </w:pPr>
            <w:r w:rsidRPr="00685A8A">
              <w:t>2018-19</w:t>
            </w:r>
          </w:p>
        </w:tc>
        <w:tc>
          <w:tcPr>
            <w:tcW w:w="723" w:type="pct"/>
            <w:noWrap/>
            <w:hideMark/>
          </w:tcPr>
          <w:p w14:paraId="21579D9D" w14:textId="77777777" w:rsidR="00685A8A" w:rsidRPr="00685A8A" w:rsidRDefault="00685A8A" w:rsidP="00E517E3">
            <w:pPr>
              <w:pStyle w:val="TableBodyRight"/>
            </w:pPr>
            <w:r w:rsidRPr="00685A8A">
              <w:t>6.4</w:t>
            </w:r>
          </w:p>
        </w:tc>
        <w:tc>
          <w:tcPr>
            <w:tcW w:w="685" w:type="pct"/>
            <w:noWrap/>
            <w:hideMark/>
          </w:tcPr>
          <w:p w14:paraId="39464802" w14:textId="77777777" w:rsidR="00685A8A" w:rsidRPr="00685A8A" w:rsidRDefault="00685A8A" w:rsidP="00E517E3">
            <w:pPr>
              <w:pStyle w:val="TableBodyRight"/>
            </w:pPr>
            <w:r w:rsidRPr="00685A8A">
              <w:t>4.1</w:t>
            </w:r>
          </w:p>
        </w:tc>
        <w:tc>
          <w:tcPr>
            <w:tcW w:w="754" w:type="pct"/>
            <w:noWrap/>
            <w:hideMark/>
          </w:tcPr>
          <w:p w14:paraId="58454280" w14:textId="77777777" w:rsidR="00685A8A" w:rsidRPr="00685A8A" w:rsidRDefault="00685A8A" w:rsidP="00E517E3">
            <w:pPr>
              <w:pStyle w:val="TableBodyRight"/>
            </w:pPr>
            <w:r w:rsidRPr="00685A8A">
              <w:t>4.9</w:t>
            </w:r>
          </w:p>
        </w:tc>
        <w:tc>
          <w:tcPr>
            <w:tcW w:w="753" w:type="pct"/>
            <w:noWrap/>
            <w:hideMark/>
          </w:tcPr>
          <w:p w14:paraId="7415172B" w14:textId="77777777" w:rsidR="00685A8A" w:rsidRPr="00685A8A" w:rsidRDefault="00685A8A" w:rsidP="00E517E3">
            <w:pPr>
              <w:pStyle w:val="TableBodyRight"/>
            </w:pPr>
            <w:r w:rsidRPr="00685A8A">
              <w:t>3.1</w:t>
            </w:r>
          </w:p>
        </w:tc>
        <w:tc>
          <w:tcPr>
            <w:tcW w:w="723" w:type="pct"/>
            <w:noWrap/>
            <w:hideMark/>
          </w:tcPr>
          <w:p w14:paraId="6826B153" w14:textId="77777777" w:rsidR="00685A8A" w:rsidRPr="00685A8A" w:rsidRDefault="00685A8A" w:rsidP="00E517E3">
            <w:pPr>
              <w:pStyle w:val="TableBodyRight"/>
            </w:pPr>
            <w:r w:rsidRPr="00685A8A">
              <w:t>4.3</w:t>
            </w:r>
          </w:p>
        </w:tc>
        <w:tc>
          <w:tcPr>
            <w:tcW w:w="680" w:type="pct"/>
            <w:noWrap/>
            <w:hideMark/>
          </w:tcPr>
          <w:p w14:paraId="2F6D9BCA" w14:textId="77777777" w:rsidR="00685A8A" w:rsidRPr="00685A8A" w:rsidRDefault="00685A8A" w:rsidP="00E517E3">
            <w:pPr>
              <w:pStyle w:val="TableBodyRight"/>
            </w:pPr>
            <w:r w:rsidRPr="00685A8A">
              <w:t>2.6</w:t>
            </w:r>
          </w:p>
        </w:tc>
      </w:tr>
      <w:tr w:rsidR="000C7CB4" w:rsidRPr="00685A8A" w14:paraId="16EE46E4" w14:textId="77777777" w:rsidTr="00B91008">
        <w:trPr>
          <w:trHeight w:val="288"/>
        </w:trPr>
        <w:tc>
          <w:tcPr>
            <w:tcW w:w="684" w:type="pct"/>
            <w:noWrap/>
            <w:hideMark/>
          </w:tcPr>
          <w:p w14:paraId="2A76194F" w14:textId="77777777" w:rsidR="00685A8A" w:rsidRPr="00685A8A" w:rsidRDefault="00685A8A" w:rsidP="001F550D">
            <w:pPr>
              <w:pStyle w:val="TableBody"/>
            </w:pPr>
            <w:r w:rsidRPr="00685A8A">
              <w:t>2019-20</w:t>
            </w:r>
          </w:p>
        </w:tc>
        <w:tc>
          <w:tcPr>
            <w:tcW w:w="723" w:type="pct"/>
            <w:noWrap/>
            <w:hideMark/>
          </w:tcPr>
          <w:p w14:paraId="0FB5AB8B" w14:textId="77777777" w:rsidR="00685A8A" w:rsidRPr="00685A8A" w:rsidRDefault="00685A8A" w:rsidP="00E517E3">
            <w:pPr>
              <w:pStyle w:val="TableBodyRight"/>
            </w:pPr>
            <w:r w:rsidRPr="00685A8A">
              <w:t>5.9</w:t>
            </w:r>
          </w:p>
        </w:tc>
        <w:tc>
          <w:tcPr>
            <w:tcW w:w="685" w:type="pct"/>
            <w:noWrap/>
            <w:hideMark/>
          </w:tcPr>
          <w:p w14:paraId="47829DAE" w14:textId="77777777" w:rsidR="00685A8A" w:rsidRPr="00685A8A" w:rsidRDefault="00685A8A" w:rsidP="00E517E3">
            <w:pPr>
              <w:pStyle w:val="TableBodyRight"/>
            </w:pPr>
            <w:r w:rsidRPr="00685A8A">
              <w:t>3.8</w:t>
            </w:r>
          </w:p>
        </w:tc>
        <w:tc>
          <w:tcPr>
            <w:tcW w:w="754" w:type="pct"/>
            <w:noWrap/>
            <w:hideMark/>
          </w:tcPr>
          <w:p w14:paraId="78E8002A" w14:textId="77777777" w:rsidR="00685A8A" w:rsidRPr="00685A8A" w:rsidRDefault="00685A8A" w:rsidP="00E517E3">
            <w:pPr>
              <w:pStyle w:val="TableBodyRight"/>
            </w:pPr>
            <w:r w:rsidRPr="00685A8A">
              <w:t>4.6</w:t>
            </w:r>
          </w:p>
        </w:tc>
        <w:tc>
          <w:tcPr>
            <w:tcW w:w="753" w:type="pct"/>
            <w:noWrap/>
            <w:hideMark/>
          </w:tcPr>
          <w:p w14:paraId="775B30EF" w14:textId="77777777" w:rsidR="00685A8A" w:rsidRPr="00685A8A" w:rsidRDefault="00685A8A" w:rsidP="00E517E3">
            <w:pPr>
              <w:pStyle w:val="TableBodyRight"/>
            </w:pPr>
            <w:r w:rsidRPr="00685A8A">
              <w:t>2.9</w:t>
            </w:r>
          </w:p>
        </w:tc>
        <w:tc>
          <w:tcPr>
            <w:tcW w:w="723" w:type="pct"/>
            <w:noWrap/>
            <w:hideMark/>
          </w:tcPr>
          <w:p w14:paraId="00712D66" w14:textId="77777777" w:rsidR="00685A8A" w:rsidRPr="00685A8A" w:rsidRDefault="00685A8A" w:rsidP="00E517E3">
            <w:pPr>
              <w:pStyle w:val="TableBodyRight"/>
            </w:pPr>
            <w:r w:rsidRPr="00685A8A">
              <w:t>3.7</w:t>
            </w:r>
          </w:p>
        </w:tc>
        <w:tc>
          <w:tcPr>
            <w:tcW w:w="680" w:type="pct"/>
            <w:noWrap/>
            <w:hideMark/>
          </w:tcPr>
          <w:p w14:paraId="10E75D2D" w14:textId="77777777" w:rsidR="00685A8A" w:rsidRPr="00685A8A" w:rsidRDefault="00685A8A" w:rsidP="00E517E3">
            <w:pPr>
              <w:pStyle w:val="TableBodyRight"/>
            </w:pPr>
            <w:r w:rsidRPr="00685A8A">
              <w:t>2.3</w:t>
            </w:r>
          </w:p>
        </w:tc>
      </w:tr>
      <w:tr w:rsidR="000C7CB4" w:rsidRPr="00685A8A" w14:paraId="4F46AF05" w14:textId="77777777" w:rsidTr="00B91008">
        <w:trPr>
          <w:trHeight w:val="288"/>
        </w:trPr>
        <w:tc>
          <w:tcPr>
            <w:tcW w:w="684" w:type="pct"/>
            <w:noWrap/>
            <w:hideMark/>
          </w:tcPr>
          <w:p w14:paraId="4E225901" w14:textId="77777777" w:rsidR="00685A8A" w:rsidRPr="00685A8A" w:rsidRDefault="00685A8A" w:rsidP="001F550D">
            <w:pPr>
              <w:pStyle w:val="TableBody"/>
            </w:pPr>
            <w:r w:rsidRPr="00685A8A">
              <w:lastRenderedPageBreak/>
              <w:t>2020-21</w:t>
            </w:r>
          </w:p>
        </w:tc>
        <w:tc>
          <w:tcPr>
            <w:tcW w:w="723" w:type="pct"/>
            <w:noWrap/>
            <w:hideMark/>
          </w:tcPr>
          <w:p w14:paraId="16BD5817" w14:textId="77777777" w:rsidR="00685A8A" w:rsidRPr="00685A8A" w:rsidRDefault="00685A8A" w:rsidP="00E517E3">
            <w:pPr>
              <w:pStyle w:val="TableBodyRight"/>
            </w:pPr>
            <w:r w:rsidRPr="00685A8A">
              <w:t>7.3</w:t>
            </w:r>
          </w:p>
        </w:tc>
        <w:tc>
          <w:tcPr>
            <w:tcW w:w="685" w:type="pct"/>
            <w:noWrap/>
            <w:hideMark/>
          </w:tcPr>
          <w:p w14:paraId="78E9288B" w14:textId="77777777" w:rsidR="00685A8A" w:rsidRPr="00685A8A" w:rsidRDefault="00685A8A" w:rsidP="00E517E3">
            <w:pPr>
              <w:pStyle w:val="TableBodyRight"/>
            </w:pPr>
            <w:r w:rsidRPr="00685A8A">
              <w:t>4.7</w:t>
            </w:r>
          </w:p>
        </w:tc>
        <w:tc>
          <w:tcPr>
            <w:tcW w:w="754" w:type="pct"/>
            <w:noWrap/>
            <w:hideMark/>
          </w:tcPr>
          <w:p w14:paraId="23C5538F" w14:textId="77777777" w:rsidR="00685A8A" w:rsidRPr="00685A8A" w:rsidRDefault="00685A8A" w:rsidP="00E517E3">
            <w:pPr>
              <w:pStyle w:val="TableBodyRight"/>
            </w:pPr>
            <w:r w:rsidRPr="00685A8A">
              <w:t>4.8</w:t>
            </w:r>
          </w:p>
        </w:tc>
        <w:tc>
          <w:tcPr>
            <w:tcW w:w="753" w:type="pct"/>
            <w:noWrap/>
            <w:hideMark/>
          </w:tcPr>
          <w:p w14:paraId="6423608D" w14:textId="77777777" w:rsidR="00685A8A" w:rsidRPr="00685A8A" w:rsidRDefault="00685A8A" w:rsidP="00E517E3">
            <w:pPr>
              <w:pStyle w:val="TableBodyRight"/>
            </w:pPr>
            <w:r w:rsidRPr="00685A8A">
              <w:t>3.0</w:t>
            </w:r>
          </w:p>
        </w:tc>
        <w:tc>
          <w:tcPr>
            <w:tcW w:w="723" w:type="pct"/>
            <w:noWrap/>
            <w:hideMark/>
          </w:tcPr>
          <w:p w14:paraId="3C3BE5A1" w14:textId="77777777" w:rsidR="00685A8A" w:rsidRPr="00685A8A" w:rsidRDefault="00685A8A" w:rsidP="00E517E3">
            <w:pPr>
              <w:pStyle w:val="TableBodyRight"/>
            </w:pPr>
            <w:r w:rsidRPr="00685A8A">
              <w:t>3.8</w:t>
            </w:r>
          </w:p>
        </w:tc>
        <w:tc>
          <w:tcPr>
            <w:tcW w:w="680" w:type="pct"/>
            <w:noWrap/>
            <w:hideMark/>
          </w:tcPr>
          <w:p w14:paraId="60E5143F" w14:textId="77777777" w:rsidR="00685A8A" w:rsidRPr="00685A8A" w:rsidRDefault="00685A8A" w:rsidP="00E517E3">
            <w:pPr>
              <w:pStyle w:val="TableBodyRight"/>
            </w:pPr>
            <w:r w:rsidRPr="00685A8A">
              <w:t>2.3</w:t>
            </w:r>
          </w:p>
        </w:tc>
      </w:tr>
    </w:tbl>
    <w:p w14:paraId="7306BDB7" w14:textId="77777777" w:rsidR="00E62AE6" w:rsidRPr="00E62AE6" w:rsidRDefault="00E62AE6" w:rsidP="00CD4BE8">
      <w:pPr>
        <w:pStyle w:val="Heading1"/>
      </w:pPr>
      <w:bookmarkStart w:id="6" w:name="_Toc112770336"/>
      <w:r w:rsidRPr="00E62AE6">
        <w:lastRenderedPageBreak/>
        <w:t>Serious drug offences</w:t>
      </w:r>
      <w:bookmarkEnd w:id="6"/>
    </w:p>
    <w:p w14:paraId="64A90F63" w14:textId="77777777" w:rsidR="00E62AE6" w:rsidRPr="0031029F" w:rsidRDefault="00E62AE6" w:rsidP="0031029F">
      <w:r w:rsidRPr="00E62AE6">
        <w:rPr>
          <w:rStyle w:val="Italic"/>
        </w:rPr>
        <w:t xml:space="preserve">Snapshots </w:t>
      </w:r>
      <w:r w:rsidRPr="0031029F">
        <w:t xml:space="preserve">cover five serious drug offences: cultivating a commercial quantity of narcotic plants, cultivating a non-commercial quantity of narcotic plants, trafficking in a large commercial quantity of drugs, trafficking in a commercial quantity of drugs and trafficking in a non-commercial quantity of drugs. Given that most cases involving a </w:t>
      </w:r>
      <w:r w:rsidRPr="00E62AE6">
        <w:rPr>
          <w:rStyle w:val="Italic"/>
        </w:rPr>
        <w:t>non-commercial</w:t>
      </w:r>
      <w:r w:rsidRPr="0031029F">
        <w:t xml:space="preserve"> </w:t>
      </w:r>
      <w:r w:rsidRPr="00E62AE6">
        <w:rPr>
          <w:rStyle w:val="Italic"/>
        </w:rPr>
        <w:t>quantity</w:t>
      </w:r>
      <w:r w:rsidRPr="0031029F">
        <w:t xml:space="preserve"> of plants or drugs are dealt with in the Magistrates’ Court, the data below includes the number of cases in the higher courts involving non-commercial quantities for context, but not sentencing outcomes. The number of people sentenced for trafficking in or cultivating a commercial quantity or a large commercial quantity of plants or drugs was fairly stable each year (Figure 11). There was, though, a significant decline in the number of cases in the higher courts involving trafficking in a non-commercial quantity of drugs; it is possible that those cases are now being dealt with in the Magistrates’ Court instead. </w:t>
      </w:r>
    </w:p>
    <w:p w14:paraId="44C0372F" w14:textId="77777777" w:rsidR="00E62AE6" w:rsidRPr="00E62AE6" w:rsidRDefault="00E62AE6" w:rsidP="00E5783B">
      <w:pPr>
        <w:pStyle w:val="Caption"/>
      </w:pPr>
      <w:r w:rsidRPr="00E62AE6">
        <w:t>Figure 11: Number of people sentenced in the higher courts for serious drug offences, 2001–02 to 2020–21</w:t>
      </w:r>
    </w:p>
    <w:tbl>
      <w:tblPr>
        <w:tblStyle w:val="Table"/>
        <w:tblW w:w="5079" w:type="pct"/>
        <w:tblLayout w:type="fixed"/>
        <w:tblLook w:val="04A0" w:firstRow="1" w:lastRow="0" w:firstColumn="1" w:lastColumn="0" w:noHBand="0" w:noVBand="1"/>
      </w:tblPr>
      <w:tblGrid>
        <w:gridCol w:w="1505"/>
        <w:gridCol w:w="1531"/>
        <w:gridCol w:w="1531"/>
        <w:gridCol w:w="1531"/>
        <w:gridCol w:w="1531"/>
        <w:gridCol w:w="1529"/>
      </w:tblGrid>
      <w:tr w:rsidR="00473DCA" w:rsidRPr="00385C00" w14:paraId="7028B68A" w14:textId="77777777" w:rsidTr="000F418F">
        <w:trPr>
          <w:trHeight w:val="288"/>
          <w:tblHeader/>
        </w:trPr>
        <w:tc>
          <w:tcPr>
            <w:tcW w:w="821" w:type="pct"/>
            <w:noWrap/>
            <w:hideMark/>
          </w:tcPr>
          <w:p w14:paraId="58C3DC6E" w14:textId="77777777" w:rsidR="00385C00" w:rsidRPr="00385C00" w:rsidRDefault="00385C00" w:rsidP="00473DCA">
            <w:pPr>
              <w:pStyle w:val="TableHeading"/>
            </w:pPr>
            <w:r w:rsidRPr="00385C00">
              <w:t>Financial year</w:t>
            </w:r>
          </w:p>
        </w:tc>
        <w:tc>
          <w:tcPr>
            <w:tcW w:w="836" w:type="pct"/>
            <w:noWrap/>
            <w:hideMark/>
          </w:tcPr>
          <w:p w14:paraId="6CEC5AD3" w14:textId="26C94A5C" w:rsidR="00385C00" w:rsidRPr="00385C00" w:rsidRDefault="00385C00" w:rsidP="00473DCA">
            <w:pPr>
              <w:pStyle w:val="TableHeadingRight"/>
            </w:pPr>
            <w:r w:rsidRPr="00385C00">
              <w:t xml:space="preserve">Traffick </w:t>
            </w:r>
            <w:r w:rsidR="00F10BB9">
              <w:t>in a large commercial quantity</w:t>
            </w:r>
          </w:p>
        </w:tc>
        <w:tc>
          <w:tcPr>
            <w:tcW w:w="836" w:type="pct"/>
            <w:noWrap/>
            <w:hideMark/>
          </w:tcPr>
          <w:p w14:paraId="42653BF3" w14:textId="19CC384D" w:rsidR="00385C00" w:rsidRPr="00385C00" w:rsidRDefault="00385C00" w:rsidP="00473DCA">
            <w:pPr>
              <w:pStyle w:val="TableHeadingRight"/>
            </w:pPr>
            <w:r w:rsidRPr="00385C00">
              <w:t xml:space="preserve">Traffick </w:t>
            </w:r>
            <w:r w:rsidR="00987FA3">
              <w:t>in a commercial quantity</w:t>
            </w:r>
          </w:p>
        </w:tc>
        <w:tc>
          <w:tcPr>
            <w:tcW w:w="836" w:type="pct"/>
            <w:noWrap/>
            <w:hideMark/>
          </w:tcPr>
          <w:p w14:paraId="40B9B750" w14:textId="32975D22" w:rsidR="00385C00" w:rsidRPr="00385C00" w:rsidRDefault="00385C00" w:rsidP="00473DCA">
            <w:pPr>
              <w:pStyle w:val="TableHeadingRight"/>
            </w:pPr>
            <w:r w:rsidRPr="00385C00">
              <w:t xml:space="preserve">Cultivate </w:t>
            </w:r>
            <w:r w:rsidR="00987FA3">
              <w:t>a commercial quantity</w:t>
            </w:r>
          </w:p>
        </w:tc>
        <w:tc>
          <w:tcPr>
            <w:tcW w:w="836" w:type="pct"/>
            <w:noWrap/>
            <w:hideMark/>
          </w:tcPr>
          <w:p w14:paraId="2FBA5054" w14:textId="653362AF" w:rsidR="00385C00" w:rsidRPr="00385C00" w:rsidRDefault="00385C00" w:rsidP="00473DCA">
            <w:pPr>
              <w:pStyle w:val="TableHeadingRight"/>
            </w:pPr>
            <w:r w:rsidRPr="00385C00">
              <w:t xml:space="preserve">Traffick </w:t>
            </w:r>
            <w:r w:rsidR="00987FA3">
              <w:t>a non-commercial quantity</w:t>
            </w:r>
          </w:p>
        </w:tc>
        <w:tc>
          <w:tcPr>
            <w:tcW w:w="836" w:type="pct"/>
            <w:noWrap/>
            <w:hideMark/>
          </w:tcPr>
          <w:p w14:paraId="19A87F4F" w14:textId="0B651F73" w:rsidR="00385C00" w:rsidRPr="00385C00" w:rsidRDefault="00385C00" w:rsidP="00473DCA">
            <w:pPr>
              <w:pStyle w:val="TableHeadingRight"/>
            </w:pPr>
            <w:r w:rsidRPr="00385C00">
              <w:t xml:space="preserve">Cultivate </w:t>
            </w:r>
            <w:r w:rsidR="00987FA3">
              <w:t>a non-commercial quantity</w:t>
            </w:r>
          </w:p>
        </w:tc>
      </w:tr>
      <w:tr w:rsidR="00473DCA" w:rsidRPr="00385C00" w14:paraId="5544F764" w14:textId="77777777" w:rsidTr="000F418F">
        <w:trPr>
          <w:trHeight w:val="288"/>
        </w:trPr>
        <w:tc>
          <w:tcPr>
            <w:tcW w:w="821" w:type="pct"/>
            <w:noWrap/>
            <w:hideMark/>
          </w:tcPr>
          <w:p w14:paraId="64EFB8DA" w14:textId="77777777" w:rsidR="00385C00" w:rsidRPr="00385C00" w:rsidRDefault="00385C00" w:rsidP="001F550D">
            <w:pPr>
              <w:pStyle w:val="TableBody"/>
            </w:pPr>
            <w:r w:rsidRPr="00385C00">
              <w:t>2002-03</w:t>
            </w:r>
          </w:p>
        </w:tc>
        <w:tc>
          <w:tcPr>
            <w:tcW w:w="836" w:type="pct"/>
            <w:noWrap/>
            <w:hideMark/>
          </w:tcPr>
          <w:p w14:paraId="5B93729D" w14:textId="77777777" w:rsidR="00385C00" w:rsidRPr="00385C00" w:rsidRDefault="00385C00" w:rsidP="0079136E">
            <w:pPr>
              <w:pStyle w:val="TableBodyRight"/>
            </w:pPr>
            <w:r w:rsidRPr="00385C00">
              <w:t>2</w:t>
            </w:r>
          </w:p>
        </w:tc>
        <w:tc>
          <w:tcPr>
            <w:tcW w:w="836" w:type="pct"/>
            <w:noWrap/>
            <w:hideMark/>
          </w:tcPr>
          <w:p w14:paraId="42A0CEB2" w14:textId="77777777" w:rsidR="00385C00" w:rsidRPr="00385C00" w:rsidRDefault="00385C00" w:rsidP="0079136E">
            <w:pPr>
              <w:pStyle w:val="TableBodyRight"/>
            </w:pPr>
            <w:r w:rsidRPr="00385C00">
              <w:t>37</w:t>
            </w:r>
          </w:p>
        </w:tc>
        <w:tc>
          <w:tcPr>
            <w:tcW w:w="836" w:type="pct"/>
            <w:noWrap/>
            <w:hideMark/>
          </w:tcPr>
          <w:p w14:paraId="2E265E74" w14:textId="77777777" w:rsidR="00385C00" w:rsidRPr="00385C00" w:rsidRDefault="00385C00" w:rsidP="0079136E">
            <w:pPr>
              <w:pStyle w:val="TableBodyRight"/>
            </w:pPr>
            <w:r w:rsidRPr="00385C00">
              <w:t>15</w:t>
            </w:r>
          </w:p>
        </w:tc>
        <w:tc>
          <w:tcPr>
            <w:tcW w:w="836" w:type="pct"/>
            <w:noWrap/>
            <w:hideMark/>
          </w:tcPr>
          <w:p w14:paraId="11024F2D" w14:textId="77777777" w:rsidR="00385C00" w:rsidRPr="00385C00" w:rsidRDefault="00385C00" w:rsidP="0079136E">
            <w:pPr>
              <w:pStyle w:val="TableBodyRight"/>
            </w:pPr>
            <w:r w:rsidRPr="00385C00">
              <w:t>125</w:t>
            </w:r>
          </w:p>
        </w:tc>
        <w:tc>
          <w:tcPr>
            <w:tcW w:w="836" w:type="pct"/>
            <w:noWrap/>
            <w:hideMark/>
          </w:tcPr>
          <w:p w14:paraId="20A42C52" w14:textId="33C4C341" w:rsidR="00385C00" w:rsidRPr="0079136E" w:rsidRDefault="00E947DF" w:rsidP="0079136E">
            <w:pPr>
              <w:pStyle w:val="TableBodyRight"/>
            </w:pPr>
            <w:proofErr w:type="spellStart"/>
            <w:r w:rsidRPr="0079136E">
              <w:t>n.a.</w:t>
            </w:r>
            <w:proofErr w:type="spellEnd"/>
          </w:p>
        </w:tc>
      </w:tr>
      <w:tr w:rsidR="00473DCA" w:rsidRPr="00385C00" w14:paraId="52FCCFE9" w14:textId="77777777" w:rsidTr="000F418F">
        <w:trPr>
          <w:trHeight w:val="288"/>
        </w:trPr>
        <w:tc>
          <w:tcPr>
            <w:tcW w:w="821" w:type="pct"/>
            <w:noWrap/>
            <w:hideMark/>
          </w:tcPr>
          <w:p w14:paraId="51D39A9B" w14:textId="77777777" w:rsidR="00385C00" w:rsidRPr="00385C00" w:rsidRDefault="00385C00" w:rsidP="001F550D">
            <w:pPr>
              <w:pStyle w:val="TableBody"/>
            </w:pPr>
            <w:r w:rsidRPr="00385C00">
              <w:t>2003-04</w:t>
            </w:r>
          </w:p>
        </w:tc>
        <w:tc>
          <w:tcPr>
            <w:tcW w:w="836" w:type="pct"/>
            <w:noWrap/>
            <w:hideMark/>
          </w:tcPr>
          <w:p w14:paraId="3DDF2000" w14:textId="77777777" w:rsidR="00385C00" w:rsidRPr="00385C00" w:rsidRDefault="00385C00" w:rsidP="0079136E">
            <w:pPr>
              <w:pStyle w:val="TableBodyRight"/>
            </w:pPr>
            <w:r w:rsidRPr="00385C00">
              <w:t>5</w:t>
            </w:r>
          </w:p>
        </w:tc>
        <w:tc>
          <w:tcPr>
            <w:tcW w:w="836" w:type="pct"/>
            <w:noWrap/>
            <w:hideMark/>
          </w:tcPr>
          <w:p w14:paraId="33DB64DC" w14:textId="77777777" w:rsidR="00385C00" w:rsidRPr="00385C00" w:rsidRDefault="00385C00" w:rsidP="0079136E">
            <w:pPr>
              <w:pStyle w:val="TableBodyRight"/>
            </w:pPr>
            <w:r w:rsidRPr="00385C00">
              <w:t>42</w:t>
            </w:r>
          </w:p>
        </w:tc>
        <w:tc>
          <w:tcPr>
            <w:tcW w:w="836" w:type="pct"/>
            <w:noWrap/>
            <w:hideMark/>
          </w:tcPr>
          <w:p w14:paraId="02B922FE" w14:textId="77777777" w:rsidR="00385C00" w:rsidRPr="00385C00" w:rsidRDefault="00385C00" w:rsidP="0079136E">
            <w:pPr>
              <w:pStyle w:val="TableBodyRight"/>
            </w:pPr>
            <w:r w:rsidRPr="00385C00">
              <w:t>55</w:t>
            </w:r>
          </w:p>
        </w:tc>
        <w:tc>
          <w:tcPr>
            <w:tcW w:w="836" w:type="pct"/>
            <w:noWrap/>
            <w:hideMark/>
          </w:tcPr>
          <w:p w14:paraId="1380204D" w14:textId="77777777" w:rsidR="00385C00" w:rsidRPr="00385C00" w:rsidRDefault="00385C00" w:rsidP="0079136E">
            <w:pPr>
              <w:pStyle w:val="TableBodyRight"/>
            </w:pPr>
            <w:r w:rsidRPr="00385C00">
              <w:t>154</w:t>
            </w:r>
          </w:p>
        </w:tc>
        <w:tc>
          <w:tcPr>
            <w:tcW w:w="836" w:type="pct"/>
            <w:noWrap/>
            <w:hideMark/>
          </w:tcPr>
          <w:p w14:paraId="3563DC07" w14:textId="427BBFBD" w:rsidR="00385C00" w:rsidRPr="0079136E" w:rsidRDefault="00E947DF" w:rsidP="0079136E">
            <w:pPr>
              <w:pStyle w:val="TableBodyRight"/>
            </w:pPr>
            <w:proofErr w:type="spellStart"/>
            <w:r w:rsidRPr="0079136E">
              <w:t>n.a.</w:t>
            </w:r>
            <w:proofErr w:type="spellEnd"/>
          </w:p>
        </w:tc>
      </w:tr>
      <w:tr w:rsidR="00473DCA" w:rsidRPr="00385C00" w14:paraId="639742DA" w14:textId="77777777" w:rsidTr="000F418F">
        <w:trPr>
          <w:trHeight w:val="288"/>
        </w:trPr>
        <w:tc>
          <w:tcPr>
            <w:tcW w:w="821" w:type="pct"/>
            <w:noWrap/>
            <w:hideMark/>
          </w:tcPr>
          <w:p w14:paraId="47C0EF8A" w14:textId="77777777" w:rsidR="00385C00" w:rsidRPr="00385C00" w:rsidRDefault="00385C00" w:rsidP="001F550D">
            <w:pPr>
              <w:pStyle w:val="TableBody"/>
            </w:pPr>
            <w:r w:rsidRPr="00385C00">
              <w:t>2004-05</w:t>
            </w:r>
          </w:p>
        </w:tc>
        <w:tc>
          <w:tcPr>
            <w:tcW w:w="836" w:type="pct"/>
            <w:noWrap/>
            <w:hideMark/>
          </w:tcPr>
          <w:p w14:paraId="4FB26F6D" w14:textId="77777777" w:rsidR="00385C00" w:rsidRPr="00385C00" w:rsidRDefault="00385C00" w:rsidP="0079136E">
            <w:pPr>
              <w:pStyle w:val="TableBodyRight"/>
            </w:pPr>
            <w:r w:rsidRPr="00385C00">
              <w:t>1</w:t>
            </w:r>
          </w:p>
        </w:tc>
        <w:tc>
          <w:tcPr>
            <w:tcW w:w="836" w:type="pct"/>
            <w:noWrap/>
            <w:hideMark/>
          </w:tcPr>
          <w:p w14:paraId="0B6990D4" w14:textId="77777777" w:rsidR="00385C00" w:rsidRPr="00385C00" w:rsidRDefault="00385C00" w:rsidP="0079136E">
            <w:pPr>
              <w:pStyle w:val="TableBodyRight"/>
            </w:pPr>
            <w:r w:rsidRPr="00385C00">
              <w:t>42</w:t>
            </w:r>
          </w:p>
        </w:tc>
        <w:tc>
          <w:tcPr>
            <w:tcW w:w="836" w:type="pct"/>
            <w:noWrap/>
            <w:hideMark/>
          </w:tcPr>
          <w:p w14:paraId="6BE5BB87" w14:textId="77777777" w:rsidR="00385C00" w:rsidRPr="00385C00" w:rsidRDefault="00385C00" w:rsidP="0079136E">
            <w:pPr>
              <w:pStyle w:val="TableBodyRight"/>
            </w:pPr>
            <w:r w:rsidRPr="00385C00">
              <w:t>69</w:t>
            </w:r>
          </w:p>
        </w:tc>
        <w:tc>
          <w:tcPr>
            <w:tcW w:w="836" w:type="pct"/>
            <w:noWrap/>
            <w:hideMark/>
          </w:tcPr>
          <w:p w14:paraId="675811D1" w14:textId="77777777" w:rsidR="00385C00" w:rsidRPr="00385C00" w:rsidRDefault="00385C00" w:rsidP="0079136E">
            <w:pPr>
              <w:pStyle w:val="TableBodyRight"/>
            </w:pPr>
            <w:r w:rsidRPr="00385C00">
              <w:t>101</w:t>
            </w:r>
          </w:p>
        </w:tc>
        <w:tc>
          <w:tcPr>
            <w:tcW w:w="836" w:type="pct"/>
            <w:noWrap/>
            <w:hideMark/>
          </w:tcPr>
          <w:p w14:paraId="38B06ECB" w14:textId="77777777" w:rsidR="00385C00" w:rsidRPr="00385C00" w:rsidRDefault="00385C00" w:rsidP="0079136E">
            <w:pPr>
              <w:pStyle w:val="TableBodyRight"/>
            </w:pPr>
            <w:r w:rsidRPr="00385C00">
              <w:t>16</w:t>
            </w:r>
          </w:p>
        </w:tc>
      </w:tr>
      <w:tr w:rsidR="00473DCA" w:rsidRPr="00385C00" w14:paraId="72ABE040" w14:textId="77777777" w:rsidTr="000F418F">
        <w:trPr>
          <w:trHeight w:val="288"/>
        </w:trPr>
        <w:tc>
          <w:tcPr>
            <w:tcW w:w="821" w:type="pct"/>
            <w:noWrap/>
            <w:hideMark/>
          </w:tcPr>
          <w:p w14:paraId="3CEC8E9F" w14:textId="77777777" w:rsidR="00385C00" w:rsidRPr="00385C00" w:rsidRDefault="00385C00" w:rsidP="001F550D">
            <w:pPr>
              <w:pStyle w:val="TableBody"/>
            </w:pPr>
            <w:r w:rsidRPr="00385C00">
              <w:t>2005-06</w:t>
            </w:r>
          </w:p>
        </w:tc>
        <w:tc>
          <w:tcPr>
            <w:tcW w:w="836" w:type="pct"/>
            <w:noWrap/>
            <w:hideMark/>
          </w:tcPr>
          <w:p w14:paraId="5A28330A" w14:textId="77777777" w:rsidR="00385C00" w:rsidRPr="00385C00" w:rsidRDefault="00385C00" w:rsidP="0079136E">
            <w:pPr>
              <w:pStyle w:val="TableBodyRight"/>
            </w:pPr>
            <w:r w:rsidRPr="00385C00">
              <w:t>19</w:t>
            </w:r>
          </w:p>
        </w:tc>
        <w:tc>
          <w:tcPr>
            <w:tcW w:w="836" w:type="pct"/>
            <w:noWrap/>
            <w:hideMark/>
          </w:tcPr>
          <w:p w14:paraId="533AF933" w14:textId="77777777" w:rsidR="00385C00" w:rsidRPr="00385C00" w:rsidRDefault="00385C00" w:rsidP="0079136E">
            <w:pPr>
              <w:pStyle w:val="TableBodyRight"/>
            </w:pPr>
            <w:r w:rsidRPr="00385C00">
              <w:t>41</w:t>
            </w:r>
          </w:p>
        </w:tc>
        <w:tc>
          <w:tcPr>
            <w:tcW w:w="836" w:type="pct"/>
            <w:noWrap/>
            <w:hideMark/>
          </w:tcPr>
          <w:p w14:paraId="1876E8F4" w14:textId="77777777" w:rsidR="00385C00" w:rsidRPr="00385C00" w:rsidRDefault="00385C00" w:rsidP="0079136E">
            <w:pPr>
              <w:pStyle w:val="TableBodyRight"/>
            </w:pPr>
            <w:r w:rsidRPr="00385C00">
              <w:t>56</w:t>
            </w:r>
          </w:p>
        </w:tc>
        <w:tc>
          <w:tcPr>
            <w:tcW w:w="836" w:type="pct"/>
            <w:noWrap/>
            <w:hideMark/>
          </w:tcPr>
          <w:p w14:paraId="24D3A0CC" w14:textId="77777777" w:rsidR="00385C00" w:rsidRPr="00385C00" w:rsidRDefault="00385C00" w:rsidP="0079136E">
            <w:pPr>
              <w:pStyle w:val="TableBodyRight"/>
            </w:pPr>
            <w:r w:rsidRPr="00385C00">
              <w:t>161</w:t>
            </w:r>
          </w:p>
        </w:tc>
        <w:tc>
          <w:tcPr>
            <w:tcW w:w="836" w:type="pct"/>
            <w:noWrap/>
            <w:hideMark/>
          </w:tcPr>
          <w:p w14:paraId="65CC88E0" w14:textId="77777777" w:rsidR="00385C00" w:rsidRPr="00385C00" w:rsidRDefault="00385C00" w:rsidP="0079136E">
            <w:pPr>
              <w:pStyle w:val="TableBodyRight"/>
            </w:pPr>
            <w:r w:rsidRPr="00385C00">
              <w:t>22</w:t>
            </w:r>
          </w:p>
        </w:tc>
      </w:tr>
      <w:tr w:rsidR="00473DCA" w:rsidRPr="00385C00" w14:paraId="375E029D" w14:textId="77777777" w:rsidTr="000F418F">
        <w:trPr>
          <w:trHeight w:val="288"/>
        </w:trPr>
        <w:tc>
          <w:tcPr>
            <w:tcW w:w="821" w:type="pct"/>
            <w:noWrap/>
            <w:hideMark/>
          </w:tcPr>
          <w:p w14:paraId="46C6E026" w14:textId="77777777" w:rsidR="00385C00" w:rsidRPr="00385C00" w:rsidRDefault="00385C00" w:rsidP="001F550D">
            <w:pPr>
              <w:pStyle w:val="TableBody"/>
            </w:pPr>
            <w:r w:rsidRPr="00385C00">
              <w:t>2006-07</w:t>
            </w:r>
          </w:p>
        </w:tc>
        <w:tc>
          <w:tcPr>
            <w:tcW w:w="836" w:type="pct"/>
            <w:noWrap/>
            <w:hideMark/>
          </w:tcPr>
          <w:p w14:paraId="5691F708" w14:textId="77777777" w:rsidR="00385C00" w:rsidRPr="00385C00" w:rsidRDefault="00385C00" w:rsidP="0079136E">
            <w:pPr>
              <w:pStyle w:val="TableBodyRight"/>
            </w:pPr>
            <w:r w:rsidRPr="00385C00">
              <w:t>20</w:t>
            </w:r>
          </w:p>
        </w:tc>
        <w:tc>
          <w:tcPr>
            <w:tcW w:w="836" w:type="pct"/>
            <w:noWrap/>
            <w:hideMark/>
          </w:tcPr>
          <w:p w14:paraId="38BED6F5" w14:textId="77777777" w:rsidR="00385C00" w:rsidRPr="00385C00" w:rsidRDefault="00385C00" w:rsidP="0079136E">
            <w:pPr>
              <w:pStyle w:val="TableBodyRight"/>
            </w:pPr>
            <w:r w:rsidRPr="00385C00">
              <w:t>30</w:t>
            </w:r>
          </w:p>
        </w:tc>
        <w:tc>
          <w:tcPr>
            <w:tcW w:w="836" w:type="pct"/>
            <w:noWrap/>
            <w:hideMark/>
          </w:tcPr>
          <w:p w14:paraId="0C4941CF" w14:textId="77777777" w:rsidR="00385C00" w:rsidRPr="00385C00" w:rsidRDefault="00385C00" w:rsidP="0079136E">
            <w:pPr>
              <w:pStyle w:val="TableBodyRight"/>
            </w:pPr>
            <w:r w:rsidRPr="00385C00">
              <w:t>54</w:t>
            </w:r>
          </w:p>
        </w:tc>
        <w:tc>
          <w:tcPr>
            <w:tcW w:w="836" w:type="pct"/>
            <w:noWrap/>
            <w:hideMark/>
          </w:tcPr>
          <w:p w14:paraId="716E5CA4" w14:textId="77777777" w:rsidR="00385C00" w:rsidRPr="00385C00" w:rsidRDefault="00385C00" w:rsidP="0079136E">
            <w:pPr>
              <w:pStyle w:val="TableBodyRight"/>
            </w:pPr>
            <w:r w:rsidRPr="00385C00">
              <w:t>80</w:t>
            </w:r>
          </w:p>
        </w:tc>
        <w:tc>
          <w:tcPr>
            <w:tcW w:w="836" w:type="pct"/>
            <w:noWrap/>
            <w:hideMark/>
          </w:tcPr>
          <w:p w14:paraId="31E4F37E" w14:textId="77777777" w:rsidR="00385C00" w:rsidRPr="00385C00" w:rsidRDefault="00385C00" w:rsidP="0079136E">
            <w:pPr>
              <w:pStyle w:val="TableBodyRight"/>
            </w:pPr>
            <w:r w:rsidRPr="00385C00">
              <w:t>19</w:t>
            </w:r>
          </w:p>
        </w:tc>
      </w:tr>
      <w:tr w:rsidR="00473DCA" w:rsidRPr="00385C00" w14:paraId="5AF4E2BF" w14:textId="77777777" w:rsidTr="000F418F">
        <w:trPr>
          <w:trHeight w:val="288"/>
        </w:trPr>
        <w:tc>
          <w:tcPr>
            <w:tcW w:w="821" w:type="pct"/>
            <w:noWrap/>
            <w:hideMark/>
          </w:tcPr>
          <w:p w14:paraId="2C9712B5" w14:textId="77777777" w:rsidR="00385C00" w:rsidRPr="00385C00" w:rsidRDefault="00385C00" w:rsidP="001F550D">
            <w:pPr>
              <w:pStyle w:val="TableBody"/>
            </w:pPr>
            <w:r w:rsidRPr="00385C00">
              <w:t>2007-08</w:t>
            </w:r>
          </w:p>
        </w:tc>
        <w:tc>
          <w:tcPr>
            <w:tcW w:w="836" w:type="pct"/>
            <w:noWrap/>
            <w:hideMark/>
          </w:tcPr>
          <w:p w14:paraId="3AB58325" w14:textId="77777777" w:rsidR="00385C00" w:rsidRPr="00385C00" w:rsidRDefault="00385C00" w:rsidP="0079136E">
            <w:pPr>
              <w:pStyle w:val="TableBodyRight"/>
            </w:pPr>
            <w:r w:rsidRPr="00385C00">
              <w:t>16</w:t>
            </w:r>
          </w:p>
        </w:tc>
        <w:tc>
          <w:tcPr>
            <w:tcW w:w="836" w:type="pct"/>
            <w:noWrap/>
            <w:hideMark/>
          </w:tcPr>
          <w:p w14:paraId="6074F0AA" w14:textId="77777777" w:rsidR="00385C00" w:rsidRPr="00385C00" w:rsidRDefault="00385C00" w:rsidP="0079136E">
            <w:pPr>
              <w:pStyle w:val="TableBodyRight"/>
            </w:pPr>
            <w:r w:rsidRPr="00385C00">
              <w:t>39</w:t>
            </w:r>
          </w:p>
        </w:tc>
        <w:tc>
          <w:tcPr>
            <w:tcW w:w="836" w:type="pct"/>
            <w:noWrap/>
            <w:hideMark/>
          </w:tcPr>
          <w:p w14:paraId="01419BE1" w14:textId="77777777" w:rsidR="00385C00" w:rsidRPr="00385C00" w:rsidRDefault="00385C00" w:rsidP="0079136E">
            <w:pPr>
              <w:pStyle w:val="TableBodyRight"/>
            </w:pPr>
            <w:r w:rsidRPr="00385C00">
              <w:t>50</w:t>
            </w:r>
          </w:p>
        </w:tc>
        <w:tc>
          <w:tcPr>
            <w:tcW w:w="836" w:type="pct"/>
            <w:noWrap/>
            <w:hideMark/>
          </w:tcPr>
          <w:p w14:paraId="4D05AC5A" w14:textId="77777777" w:rsidR="00385C00" w:rsidRPr="00385C00" w:rsidRDefault="00385C00" w:rsidP="0079136E">
            <w:pPr>
              <w:pStyle w:val="TableBodyRight"/>
            </w:pPr>
            <w:r w:rsidRPr="00385C00">
              <w:t>121</w:t>
            </w:r>
          </w:p>
        </w:tc>
        <w:tc>
          <w:tcPr>
            <w:tcW w:w="836" w:type="pct"/>
            <w:noWrap/>
            <w:hideMark/>
          </w:tcPr>
          <w:p w14:paraId="6DB1D994" w14:textId="77777777" w:rsidR="00385C00" w:rsidRPr="00385C00" w:rsidRDefault="00385C00" w:rsidP="0079136E">
            <w:pPr>
              <w:pStyle w:val="TableBodyRight"/>
            </w:pPr>
            <w:r w:rsidRPr="00385C00">
              <w:t>24</w:t>
            </w:r>
          </w:p>
        </w:tc>
      </w:tr>
      <w:tr w:rsidR="00473DCA" w:rsidRPr="00385C00" w14:paraId="7849D8EE" w14:textId="77777777" w:rsidTr="000F418F">
        <w:trPr>
          <w:trHeight w:val="288"/>
        </w:trPr>
        <w:tc>
          <w:tcPr>
            <w:tcW w:w="821" w:type="pct"/>
            <w:noWrap/>
            <w:hideMark/>
          </w:tcPr>
          <w:p w14:paraId="7FABAD72" w14:textId="77777777" w:rsidR="00385C00" w:rsidRPr="00385C00" w:rsidRDefault="00385C00" w:rsidP="001F550D">
            <w:pPr>
              <w:pStyle w:val="TableBody"/>
            </w:pPr>
            <w:r w:rsidRPr="00385C00">
              <w:t>2008-09</w:t>
            </w:r>
          </w:p>
        </w:tc>
        <w:tc>
          <w:tcPr>
            <w:tcW w:w="836" w:type="pct"/>
            <w:noWrap/>
            <w:hideMark/>
          </w:tcPr>
          <w:p w14:paraId="7829FC7A" w14:textId="77777777" w:rsidR="00385C00" w:rsidRPr="00385C00" w:rsidRDefault="00385C00" w:rsidP="0079136E">
            <w:pPr>
              <w:pStyle w:val="TableBodyRight"/>
            </w:pPr>
            <w:r w:rsidRPr="00385C00">
              <w:t>12</w:t>
            </w:r>
          </w:p>
        </w:tc>
        <w:tc>
          <w:tcPr>
            <w:tcW w:w="836" w:type="pct"/>
            <w:noWrap/>
            <w:hideMark/>
          </w:tcPr>
          <w:p w14:paraId="7DC7BD24" w14:textId="77777777" w:rsidR="00385C00" w:rsidRPr="00385C00" w:rsidRDefault="00385C00" w:rsidP="0079136E">
            <w:pPr>
              <w:pStyle w:val="TableBodyRight"/>
            </w:pPr>
            <w:r w:rsidRPr="00385C00">
              <w:t>27</w:t>
            </w:r>
          </w:p>
        </w:tc>
        <w:tc>
          <w:tcPr>
            <w:tcW w:w="836" w:type="pct"/>
            <w:noWrap/>
            <w:hideMark/>
          </w:tcPr>
          <w:p w14:paraId="72B012C6" w14:textId="77777777" w:rsidR="00385C00" w:rsidRPr="00385C00" w:rsidRDefault="00385C00" w:rsidP="0079136E">
            <w:pPr>
              <w:pStyle w:val="TableBodyRight"/>
            </w:pPr>
            <w:r w:rsidRPr="00385C00">
              <w:t>66</w:t>
            </w:r>
          </w:p>
        </w:tc>
        <w:tc>
          <w:tcPr>
            <w:tcW w:w="836" w:type="pct"/>
            <w:noWrap/>
            <w:hideMark/>
          </w:tcPr>
          <w:p w14:paraId="67CD2A24" w14:textId="77777777" w:rsidR="00385C00" w:rsidRPr="00385C00" w:rsidRDefault="00385C00" w:rsidP="0079136E">
            <w:pPr>
              <w:pStyle w:val="TableBodyRight"/>
            </w:pPr>
            <w:r w:rsidRPr="00385C00">
              <w:t>120</w:t>
            </w:r>
          </w:p>
        </w:tc>
        <w:tc>
          <w:tcPr>
            <w:tcW w:w="836" w:type="pct"/>
            <w:noWrap/>
            <w:hideMark/>
          </w:tcPr>
          <w:p w14:paraId="44D69CCA" w14:textId="77777777" w:rsidR="00385C00" w:rsidRPr="00385C00" w:rsidRDefault="00385C00" w:rsidP="0079136E">
            <w:pPr>
              <w:pStyle w:val="TableBodyRight"/>
            </w:pPr>
            <w:r w:rsidRPr="00385C00">
              <w:t>13</w:t>
            </w:r>
          </w:p>
        </w:tc>
      </w:tr>
      <w:tr w:rsidR="00473DCA" w:rsidRPr="00385C00" w14:paraId="2BCF4FEB" w14:textId="77777777" w:rsidTr="000F418F">
        <w:trPr>
          <w:trHeight w:val="288"/>
        </w:trPr>
        <w:tc>
          <w:tcPr>
            <w:tcW w:w="821" w:type="pct"/>
            <w:noWrap/>
            <w:hideMark/>
          </w:tcPr>
          <w:p w14:paraId="441423B6" w14:textId="77777777" w:rsidR="00385C00" w:rsidRPr="00385C00" w:rsidRDefault="00385C00" w:rsidP="001F550D">
            <w:pPr>
              <w:pStyle w:val="TableBody"/>
            </w:pPr>
            <w:r w:rsidRPr="00385C00">
              <w:t>2009-10</w:t>
            </w:r>
          </w:p>
        </w:tc>
        <w:tc>
          <w:tcPr>
            <w:tcW w:w="836" w:type="pct"/>
            <w:noWrap/>
            <w:hideMark/>
          </w:tcPr>
          <w:p w14:paraId="53AAE3B1" w14:textId="77777777" w:rsidR="00385C00" w:rsidRPr="00385C00" w:rsidRDefault="00385C00" w:rsidP="0079136E">
            <w:pPr>
              <w:pStyle w:val="TableBodyRight"/>
            </w:pPr>
            <w:r w:rsidRPr="00385C00">
              <w:t>21</w:t>
            </w:r>
          </w:p>
        </w:tc>
        <w:tc>
          <w:tcPr>
            <w:tcW w:w="836" w:type="pct"/>
            <w:noWrap/>
            <w:hideMark/>
          </w:tcPr>
          <w:p w14:paraId="5DEDF0B0" w14:textId="77777777" w:rsidR="00385C00" w:rsidRPr="00385C00" w:rsidRDefault="00385C00" w:rsidP="0079136E">
            <w:pPr>
              <w:pStyle w:val="TableBodyRight"/>
            </w:pPr>
            <w:r w:rsidRPr="00385C00">
              <w:t>28</w:t>
            </w:r>
          </w:p>
        </w:tc>
        <w:tc>
          <w:tcPr>
            <w:tcW w:w="836" w:type="pct"/>
            <w:noWrap/>
            <w:hideMark/>
          </w:tcPr>
          <w:p w14:paraId="0C3785A7" w14:textId="77777777" w:rsidR="00385C00" w:rsidRPr="00385C00" w:rsidRDefault="00385C00" w:rsidP="0079136E">
            <w:pPr>
              <w:pStyle w:val="TableBodyRight"/>
            </w:pPr>
            <w:r w:rsidRPr="00385C00">
              <w:t>66</w:t>
            </w:r>
          </w:p>
        </w:tc>
        <w:tc>
          <w:tcPr>
            <w:tcW w:w="836" w:type="pct"/>
            <w:noWrap/>
            <w:hideMark/>
          </w:tcPr>
          <w:p w14:paraId="490F18DB" w14:textId="77777777" w:rsidR="00385C00" w:rsidRPr="00385C00" w:rsidRDefault="00385C00" w:rsidP="0079136E">
            <w:pPr>
              <w:pStyle w:val="TableBodyRight"/>
            </w:pPr>
            <w:r w:rsidRPr="00385C00">
              <w:t>140</w:t>
            </w:r>
          </w:p>
        </w:tc>
        <w:tc>
          <w:tcPr>
            <w:tcW w:w="836" w:type="pct"/>
            <w:noWrap/>
            <w:hideMark/>
          </w:tcPr>
          <w:p w14:paraId="63396472" w14:textId="77777777" w:rsidR="00385C00" w:rsidRPr="00385C00" w:rsidRDefault="00385C00" w:rsidP="0079136E">
            <w:pPr>
              <w:pStyle w:val="TableBodyRight"/>
            </w:pPr>
            <w:r w:rsidRPr="00385C00">
              <w:t>16</w:t>
            </w:r>
          </w:p>
        </w:tc>
      </w:tr>
      <w:tr w:rsidR="00473DCA" w:rsidRPr="00385C00" w14:paraId="01D738F3" w14:textId="77777777" w:rsidTr="000F418F">
        <w:trPr>
          <w:trHeight w:val="288"/>
        </w:trPr>
        <w:tc>
          <w:tcPr>
            <w:tcW w:w="821" w:type="pct"/>
            <w:noWrap/>
            <w:hideMark/>
          </w:tcPr>
          <w:p w14:paraId="4B39B06E" w14:textId="77777777" w:rsidR="00385C00" w:rsidRPr="00385C00" w:rsidRDefault="00385C00" w:rsidP="001F550D">
            <w:pPr>
              <w:pStyle w:val="TableBody"/>
            </w:pPr>
            <w:r w:rsidRPr="00385C00">
              <w:t>2010-11</w:t>
            </w:r>
          </w:p>
        </w:tc>
        <w:tc>
          <w:tcPr>
            <w:tcW w:w="836" w:type="pct"/>
            <w:noWrap/>
            <w:hideMark/>
          </w:tcPr>
          <w:p w14:paraId="7F323F6D" w14:textId="77777777" w:rsidR="00385C00" w:rsidRPr="00385C00" w:rsidRDefault="00385C00" w:rsidP="0079136E">
            <w:pPr>
              <w:pStyle w:val="TableBodyRight"/>
            </w:pPr>
            <w:r w:rsidRPr="00385C00">
              <w:t>19</w:t>
            </w:r>
          </w:p>
        </w:tc>
        <w:tc>
          <w:tcPr>
            <w:tcW w:w="836" w:type="pct"/>
            <w:noWrap/>
            <w:hideMark/>
          </w:tcPr>
          <w:p w14:paraId="45B84623" w14:textId="77777777" w:rsidR="00385C00" w:rsidRPr="00385C00" w:rsidRDefault="00385C00" w:rsidP="0079136E">
            <w:pPr>
              <w:pStyle w:val="TableBodyRight"/>
            </w:pPr>
            <w:r w:rsidRPr="00385C00">
              <w:t>28</w:t>
            </w:r>
          </w:p>
        </w:tc>
        <w:tc>
          <w:tcPr>
            <w:tcW w:w="836" w:type="pct"/>
            <w:noWrap/>
            <w:hideMark/>
          </w:tcPr>
          <w:p w14:paraId="49678B33" w14:textId="77777777" w:rsidR="00385C00" w:rsidRPr="00385C00" w:rsidRDefault="00385C00" w:rsidP="0079136E">
            <w:pPr>
              <w:pStyle w:val="TableBodyRight"/>
            </w:pPr>
            <w:r w:rsidRPr="00385C00">
              <w:t>83</w:t>
            </w:r>
          </w:p>
        </w:tc>
        <w:tc>
          <w:tcPr>
            <w:tcW w:w="836" w:type="pct"/>
            <w:noWrap/>
            <w:hideMark/>
          </w:tcPr>
          <w:p w14:paraId="2453FF3E" w14:textId="77777777" w:rsidR="00385C00" w:rsidRPr="00385C00" w:rsidRDefault="00385C00" w:rsidP="0079136E">
            <w:pPr>
              <w:pStyle w:val="TableBodyRight"/>
            </w:pPr>
            <w:r w:rsidRPr="00385C00">
              <w:t>110</w:t>
            </w:r>
          </w:p>
        </w:tc>
        <w:tc>
          <w:tcPr>
            <w:tcW w:w="836" w:type="pct"/>
            <w:noWrap/>
            <w:hideMark/>
          </w:tcPr>
          <w:p w14:paraId="4573AD96" w14:textId="77777777" w:rsidR="00385C00" w:rsidRPr="00385C00" w:rsidRDefault="00385C00" w:rsidP="0079136E">
            <w:pPr>
              <w:pStyle w:val="TableBodyRight"/>
            </w:pPr>
            <w:r w:rsidRPr="00385C00">
              <w:t>35</w:t>
            </w:r>
          </w:p>
        </w:tc>
      </w:tr>
      <w:tr w:rsidR="00473DCA" w:rsidRPr="00385C00" w14:paraId="147419BF" w14:textId="77777777" w:rsidTr="000F418F">
        <w:trPr>
          <w:trHeight w:val="288"/>
        </w:trPr>
        <w:tc>
          <w:tcPr>
            <w:tcW w:w="821" w:type="pct"/>
            <w:noWrap/>
            <w:hideMark/>
          </w:tcPr>
          <w:p w14:paraId="38B07382" w14:textId="77777777" w:rsidR="00385C00" w:rsidRPr="00385C00" w:rsidRDefault="00385C00" w:rsidP="001F550D">
            <w:pPr>
              <w:pStyle w:val="TableBody"/>
            </w:pPr>
            <w:r w:rsidRPr="00385C00">
              <w:t>2011-12</w:t>
            </w:r>
          </w:p>
        </w:tc>
        <w:tc>
          <w:tcPr>
            <w:tcW w:w="836" w:type="pct"/>
            <w:noWrap/>
            <w:hideMark/>
          </w:tcPr>
          <w:p w14:paraId="644C02AA" w14:textId="77777777" w:rsidR="00385C00" w:rsidRPr="00385C00" w:rsidRDefault="00385C00" w:rsidP="0079136E">
            <w:pPr>
              <w:pStyle w:val="TableBodyRight"/>
            </w:pPr>
            <w:r w:rsidRPr="00385C00">
              <w:t>10</w:t>
            </w:r>
          </w:p>
        </w:tc>
        <w:tc>
          <w:tcPr>
            <w:tcW w:w="836" w:type="pct"/>
            <w:noWrap/>
            <w:hideMark/>
          </w:tcPr>
          <w:p w14:paraId="530F2CB1" w14:textId="77777777" w:rsidR="00385C00" w:rsidRPr="00385C00" w:rsidRDefault="00385C00" w:rsidP="0079136E">
            <w:pPr>
              <w:pStyle w:val="TableBodyRight"/>
            </w:pPr>
            <w:r w:rsidRPr="00385C00">
              <w:t>31</w:t>
            </w:r>
          </w:p>
        </w:tc>
        <w:tc>
          <w:tcPr>
            <w:tcW w:w="836" w:type="pct"/>
            <w:noWrap/>
            <w:hideMark/>
          </w:tcPr>
          <w:p w14:paraId="08326296" w14:textId="77777777" w:rsidR="00385C00" w:rsidRPr="00385C00" w:rsidRDefault="00385C00" w:rsidP="0079136E">
            <w:pPr>
              <w:pStyle w:val="TableBodyRight"/>
            </w:pPr>
            <w:r w:rsidRPr="00385C00">
              <w:t>82</w:t>
            </w:r>
          </w:p>
        </w:tc>
        <w:tc>
          <w:tcPr>
            <w:tcW w:w="836" w:type="pct"/>
            <w:noWrap/>
            <w:hideMark/>
          </w:tcPr>
          <w:p w14:paraId="0FFCD7A2" w14:textId="77777777" w:rsidR="00385C00" w:rsidRPr="00385C00" w:rsidRDefault="00385C00" w:rsidP="0079136E">
            <w:pPr>
              <w:pStyle w:val="TableBodyRight"/>
            </w:pPr>
            <w:r w:rsidRPr="00385C00">
              <w:t>102</w:t>
            </w:r>
          </w:p>
        </w:tc>
        <w:tc>
          <w:tcPr>
            <w:tcW w:w="836" w:type="pct"/>
            <w:noWrap/>
            <w:hideMark/>
          </w:tcPr>
          <w:p w14:paraId="71E90BBC" w14:textId="77777777" w:rsidR="00385C00" w:rsidRPr="00385C00" w:rsidRDefault="00385C00" w:rsidP="0079136E">
            <w:pPr>
              <w:pStyle w:val="TableBodyRight"/>
            </w:pPr>
            <w:r w:rsidRPr="00385C00">
              <w:t>29</w:t>
            </w:r>
          </w:p>
        </w:tc>
      </w:tr>
      <w:tr w:rsidR="00473DCA" w:rsidRPr="00385C00" w14:paraId="198AA871" w14:textId="77777777" w:rsidTr="000F418F">
        <w:trPr>
          <w:trHeight w:val="288"/>
        </w:trPr>
        <w:tc>
          <w:tcPr>
            <w:tcW w:w="821" w:type="pct"/>
            <w:noWrap/>
            <w:hideMark/>
          </w:tcPr>
          <w:p w14:paraId="450C5DF9" w14:textId="77777777" w:rsidR="00385C00" w:rsidRPr="00385C00" w:rsidRDefault="00385C00" w:rsidP="001F550D">
            <w:pPr>
              <w:pStyle w:val="TableBody"/>
            </w:pPr>
            <w:r w:rsidRPr="00385C00">
              <w:t>2012-13</w:t>
            </w:r>
          </w:p>
        </w:tc>
        <w:tc>
          <w:tcPr>
            <w:tcW w:w="836" w:type="pct"/>
            <w:noWrap/>
            <w:hideMark/>
          </w:tcPr>
          <w:p w14:paraId="067DEC08" w14:textId="77777777" w:rsidR="00385C00" w:rsidRPr="00385C00" w:rsidRDefault="00385C00" w:rsidP="0079136E">
            <w:pPr>
              <w:pStyle w:val="TableBodyRight"/>
            </w:pPr>
            <w:r w:rsidRPr="00385C00">
              <w:t>15</w:t>
            </w:r>
          </w:p>
        </w:tc>
        <w:tc>
          <w:tcPr>
            <w:tcW w:w="836" w:type="pct"/>
            <w:noWrap/>
            <w:hideMark/>
          </w:tcPr>
          <w:p w14:paraId="27D4A8D4" w14:textId="77777777" w:rsidR="00385C00" w:rsidRPr="00385C00" w:rsidRDefault="00385C00" w:rsidP="0079136E">
            <w:pPr>
              <w:pStyle w:val="TableBodyRight"/>
            </w:pPr>
            <w:r w:rsidRPr="00385C00">
              <w:t>26</w:t>
            </w:r>
          </w:p>
        </w:tc>
        <w:tc>
          <w:tcPr>
            <w:tcW w:w="836" w:type="pct"/>
            <w:noWrap/>
            <w:hideMark/>
          </w:tcPr>
          <w:p w14:paraId="245D9027" w14:textId="77777777" w:rsidR="00385C00" w:rsidRPr="00385C00" w:rsidRDefault="00385C00" w:rsidP="0079136E">
            <w:pPr>
              <w:pStyle w:val="TableBodyRight"/>
            </w:pPr>
            <w:r w:rsidRPr="00385C00">
              <w:t>98</w:t>
            </w:r>
          </w:p>
        </w:tc>
        <w:tc>
          <w:tcPr>
            <w:tcW w:w="836" w:type="pct"/>
            <w:noWrap/>
            <w:hideMark/>
          </w:tcPr>
          <w:p w14:paraId="346FF86B" w14:textId="77777777" w:rsidR="00385C00" w:rsidRPr="00385C00" w:rsidRDefault="00385C00" w:rsidP="0079136E">
            <w:pPr>
              <w:pStyle w:val="TableBodyRight"/>
            </w:pPr>
            <w:r w:rsidRPr="00385C00">
              <w:t>66</w:t>
            </w:r>
          </w:p>
        </w:tc>
        <w:tc>
          <w:tcPr>
            <w:tcW w:w="836" w:type="pct"/>
            <w:noWrap/>
            <w:hideMark/>
          </w:tcPr>
          <w:p w14:paraId="4699E8F4" w14:textId="77777777" w:rsidR="00385C00" w:rsidRPr="00385C00" w:rsidRDefault="00385C00" w:rsidP="0079136E">
            <w:pPr>
              <w:pStyle w:val="TableBodyRight"/>
            </w:pPr>
            <w:r w:rsidRPr="00385C00">
              <w:t>28</w:t>
            </w:r>
          </w:p>
        </w:tc>
      </w:tr>
      <w:tr w:rsidR="00473DCA" w:rsidRPr="00385C00" w14:paraId="6C511A2B" w14:textId="77777777" w:rsidTr="000F418F">
        <w:trPr>
          <w:trHeight w:val="288"/>
        </w:trPr>
        <w:tc>
          <w:tcPr>
            <w:tcW w:w="821" w:type="pct"/>
            <w:noWrap/>
            <w:hideMark/>
          </w:tcPr>
          <w:p w14:paraId="776CBBAF" w14:textId="77777777" w:rsidR="00385C00" w:rsidRPr="00385C00" w:rsidRDefault="00385C00" w:rsidP="001F550D">
            <w:pPr>
              <w:pStyle w:val="TableBody"/>
            </w:pPr>
            <w:r w:rsidRPr="00385C00">
              <w:t>2013-14</w:t>
            </w:r>
          </w:p>
        </w:tc>
        <w:tc>
          <w:tcPr>
            <w:tcW w:w="836" w:type="pct"/>
            <w:noWrap/>
            <w:hideMark/>
          </w:tcPr>
          <w:p w14:paraId="2169111A" w14:textId="77777777" w:rsidR="00385C00" w:rsidRPr="00385C00" w:rsidRDefault="00385C00" w:rsidP="0079136E">
            <w:pPr>
              <w:pStyle w:val="TableBodyRight"/>
            </w:pPr>
            <w:r w:rsidRPr="00385C00">
              <w:t>5</w:t>
            </w:r>
          </w:p>
        </w:tc>
        <w:tc>
          <w:tcPr>
            <w:tcW w:w="836" w:type="pct"/>
            <w:noWrap/>
            <w:hideMark/>
          </w:tcPr>
          <w:p w14:paraId="56C1D4E8" w14:textId="77777777" w:rsidR="00385C00" w:rsidRPr="00385C00" w:rsidRDefault="00385C00" w:rsidP="0079136E">
            <w:pPr>
              <w:pStyle w:val="TableBodyRight"/>
            </w:pPr>
            <w:r w:rsidRPr="00385C00">
              <w:t>33</w:t>
            </w:r>
          </w:p>
        </w:tc>
        <w:tc>
          <w:tcPr>
            <w:tcW w:w="836" w:type="pct"/>
            <w:noWrap/>
            <w:hideMark/>
          </w:tcPr>
          <w:p w14:paraId="6511A68A" w14:textId="77777777" w:rsidR="00385C00" w:rsidRPr="00385C00" w:rsidRDefault="00385C00" w:rsidP="0079136E">
            <w:pPr>
              <w:pStyle w:val="TableBodyRight"/>
            </w:pPr>
            <w:r w:rsidRPr="00385C00">
              <w:t>89</w:t>
            </w:r>
          </w:p>
        </w:tc>
        <w:tc>
          <w:tcPr>
            <w:tcW w:w="836" w:type="pct"/>
            <w:noWrap/>
            <w:hideMark/>
          </w:tcPr>
          <w:p w14:paraId="712EE94D" w14:textId="77777777" w:rsidR="00385C00" w:rsidRPr="00385C00" w:rsidRDefault="00385C00" w:rsidP="0079136E">
            <w:pPr>
              <w:pStyle w:val="TableBodyRight"/>
            </w:pPr>
            <w:r w:rsidRPr="00385C00">
              <w:t>73</w:t>
            </w:r>
          </w:p>
        </w:tc>
        <w:tc>
          <w:tcPr>
            <w:tcW w:w="836" w:type="pct"/>
            <w:noWrap/>
            <w:hideMark/>
          </w:tcPr>
          <w:p w14:paraId="2FB921C4" w14:textId="77777777" w:rsidR="00385C00" w:rsidRPr="00385C00" w:rsidRDefault="00385C00" w:rsidP="0079136E">
            <w:pPr>
              <w:pStyle w:val="TableBodyRight"/>
            </w:pPr>
            <w:r w:rsidRPr="00385C00">
              <w:t>23</w:t>
            </w:r>
          </w:p>
        </w:tc>
      </w:tr>
      <w:tr w:rsidR="00473DCA" w:rsidRPr="00385C00" w14:paraId="196D1719" w14:textId="77777777" w:rsidTr="000F418F">
        <w:trPr>
          <w:trHeight w:val="288"/>
        </w:trPr>
        <w:tc>
          <w:tcPr>
            <w:tcW w:w="821" w:type="pct"/>
            <w:noWrap/>
            <w:hideMark/>
          </w:tcPr>
          <w:p w14:paraId="7E65C5C6" w14:textId="77777777" w:rsidR="00385C00" w:rsidRPr="00385C00" w:rsidRDefault="00385C00" w:rsidP="001F550D">
            <w:pPr>
              <w:pStyle w:val="TableBody"/>
            </w:pPr>
            <w:r w:rsidRPr="00385C00">
              <w:t>2014-15</w:t>
            </w:r>
          </w:p>
        </w:tc>
        <w:tc>
          <w:tcPr>
            <w:tcW w:w="836" w:type="pct"/>
            <w:noWrap/>
            <w:hideMark/>
          </w:tcPr>
          <w:p w14:paraId="21613B56" w14:textId="77777777" w:rsidR="00385C00" w:rsidRPr="00385C00" w:rsidRDefault="00385C00" w:rsidP="0079136E">
            <w:pPr>
              <w:pStyle w:val="TableBodyRight"/>
            </w:pPr>
            <w:r w:rsidRPr="00385C00">
              <w:t>12</w:t>
            </w:r>
          </w:p>
        </w:tc>
        <w:tc>
          <w:tcPr>
            <w:tcW w:w="836" w:type="pct"/>
            <w:noWrap/>
            <w:hideMark/>
          </w:tcPr>
          <w:p w14:paraId="2A2E1634" w14:textId="77777777" w:rsidR="00385C00" w:rsidRPr="00385C00" w:rsidRDefault="00385C00" w:rsidP="0079136E">
            <w:pPr>
              <w:pStyle w:val="TableBodyRight"/>
            </w:pPr>
            <w:r w:rsidRPr="00385C00">
              <w:t>35</w:t>
            </w:r>
          </w:p>
        </w:tc>
        <w:tc>
          <w:tcPr>
            <w:tcW w:w="836" w:type="pct"/>
            <w:noWrap/>
            <w:hideMark/>
          </w:tcPr>
          <w:p w14:paraId="45169910" w14:textId="77777777" w:rsidR="00385C00" w:rsidRPr="00385C00" w:rsidRDefault="00385C00" w:rsidP="0079136E">
            <w:pPr>
              <w:pStyle w:val="TableBodyRight"/>
            </w:pPr>
            <w:r w:rsidRPr="00385C00">
              <w:t>61</w:t>
            </w:r>
          </w:p>
        </w:tc>
        <w:tc>
          <w:tcPr>
            <w:tcW w:w="836" w:type="pct"/>
            <w:noWrap/>
            <w:hideMark/>
          </w:tcPr>
          <w:p w14:paraId="0EFAE24B" w14:textId="77777777" w:rsidR="00385C00" w:rsidRPr="00385C00" w:rsidRDefault="00385C00" w:rsidP="0079136E">
            <w:pPr>
              <w:pStyle w:val="TableBodyRight"/>
            </w:pPr>
            <w:r w:rsidRPr="00385C00">
              <w:t>60</w:t>
            </w:r>
          </w:p>
        </w:tc>
        <w:tc>
          <w:tcPr>
            <w:tcW w:w="836" w:type="pct"/>
            <w:noWrap/>
            <w:hideMark/>
          </w:tcPr>
          <w:p w14:paraId="49C804CD" w14:textId="77777777" w:rsidR="00385C00" w:rsidRPr="00385C00" w:rsidRDefault="00385C00" w:rsidP="0079136E">
            <w:pPr>
              <w:pStyle w:val="TableBodyRight"/>
            </w:pPr>
            <w:r w:rsidRPr="00385C00">
              <w:t>22</w:t>
            </w:r>
          </w:p>
        </w:tc>
      </w:tr>
      <w:tr w:rsidR="00473DCA" w:rsidRPr="00385C00" w14:paraId="3A91708F" w14:textId="77777777" w:rsidTr="000F418F">
        <w:trPr>
          <w:trHeight w:val="288"/>
        </w:trPr>
        <w:tc>
          <w:tcPr>
            <w:tcW w:w="821" w:type="pct"/>
            <w:noWrap/>
            <w:hideMark/>
          </w:tcPr>
          <w:p w14:paraId="091BDFC5" w14:textId="77777777" w:rsidR="00385C00" w:rsidRPr="00385C00" w:rsidRDefault="00385C00" w:rsidP="001F550D">
            <w:pPr>
              <w:pStyle w:val="TableBody"/>
            </w:pPr>
            <w:r w:rsidRPr="00385C00">
              <w:t>2015-16</w:t>
            </w:r>
          </w:p>
        </w:tc>
        <w:tc>
          <w:tcPr>
            <w:tcW w:w="836" w:type="pct"/>
            <w:noWrap/>
            <w:hideMark/>
          </w:tcPr>
          <w:p w14:paraId="0D643933" w14:textId="77777777" w:rsidR="00385C00" w:rsidRPr="00385C00" w:rsidRDefault="00385C00" w:rsidP="0079136E">
            <w:pPr>
              <w:pStyle w:val="TableBodyRight"/>
            </w:pPr>
            <w:r w:rsidRPr="00385C00">
              <w:t>25</w:t>
            </w:r>
          </w:p>
        </w:tc>
        <w:tc>
          <w:tcPr>
            <w:tcW w:w="836" w:type="pct"/>
            <w:noWrap/>
            <w:hideMark/>
          </w:tcPr>
          <w:p w14:paraId="58F30895" w14:textId="77777777" w:rsidR="00385C00" w:rsidRPr="00385C00" w:rsidRDefault="00385C00" w:rsidP="0079136E">
            <w:pPr>
              <w:pStyle w:val="TableBodyRight"/>
            </w:pPr>
            <w:r w:rsidRPr="00385C00">
              <w:t>40</w:t>
            </w:r>
          </w:p>
        </w:tc>
        <w:tc>
          <w:tcPr>
            <w:tcW w:w="836" w:type="pct"/>
            <w:noWrap/>
            <w:hideMark/>
          </w:tcPr>
          <w:p w14:paraId="7E9D18A9" w14:textId="77777777" w:rsidR="00385C00" w:rsidRPr="00385C00" w:rsidRDefault="00385C00" w:rsidP="0079136E">
            <w:pPr>
              <w:pStyle w:val="TableBodyRight"/>
            </w:pPr>
            <w:r w:rsidRPr="00385C00">
              <w:t>94</w:t>
            </w:r>
          </w:p>
        </w:tc>
        <w:tc>
          <w:tcPr>
            <w:tcW w:w="836" w:type="pct"/>
            <w:noWrap/>
            <w:hideMark/>
          </w:tcPr>
          <w:p w14:paraId="6BC8181C" w14:textId="77777777" w:rsidR="00385C00" w:rsidRPr="00385C00" w:rsidRDefault="00385C00" w:rsidP="0079136E">
            <w:pPr>
              <w:pStyle w:val="TableBodyRight"/>
            </w:pPr>
            <w:r w:rsidRPr="00385C00">
              <w:t>74</w:t>
            </w:r>
          </w:p>
        </w:tc>
        <w:tc>
          <w:tcPr>
            <w:tcW w:w="836" w:type="pct"/>
            <w:noWrap/>
            <w:hideMark/>
          </w:tcPr>
          <w:p w14:paraId="7651C8CE" w14:textId="77777777" w:rsidR="00385C00" w:rsidRPr="00385C00" w:rsidRDefault="00385C00" w:rsidP="0079136E">
            <w:pPr>
              <w:pStyle w:val="TableBodyRight"/>
            </w:pPr>
            <w:r w:rsidRPr="00385C00">
              <w:t>22</w:t>
            </w:r>
          </w:p>
        </w:tc>
      </w:tr>
      <w:tr w:rsidR="00473DCA" w:rsidRPr="00385C00" w14:paraId="4842E9B0" w14:textId="77777777" w:rsidTr="000F418F">
        <w:trPr>
          <w:trHeight w:val="288"/>
        </w:trPr>
        <w:tc>
          <w:tcPr>
            <w:tcW w:w="821" w:type="pct"/>
            <w:noWrap/>
            <w:hideMark/>
          </w:tcPr>
          <w:p w14:paraId="7898032D" w14:textId="77777777" w:rsidR="00385C00" w:rsidRPr="00385C00" w:rsidRDefault="00385C00" w:rsidP="001F550D">
            <w:pPr>
              <w:pStyle w:val="TableBody"/>
            </w:pPr>
            <w:r w:rsidRPr="00385C00">
              <w:t>2016-17</w:t>
            </w:r>
          </w:p>
        </w:tc>
        <w:tc>
          <w:tcPr>
            <w:tcW w:w="836" w:type="pct"/>
            <w:noWrap/>
            <w:hideMark/>
          </w:tcPr>
          <w:p w14:paraId="7ABEBE65" w14:textId="77777777" w:rsidR="00385C00" w:rsidRPr="00385C00" w:rsidRDefault="00385C00" w:rsidP="0079136E">
            <w:pPr>
              <w:pStyle w:val="TableBodyRight"/>
            </w:pPr>
            <w:r w:rsidRPr="00385C00">
              <w:t>9</w:t>
            </w:r>
          </w:p>
        </w:tc>
        <w:tc>
          <w:tcPr>
            <w:tcW w:w="836" w:type="pct"/>
            <w:noWrap/>
            <w:hideMark/>
          </w:tcPr>
          <w:p w14:paraId="029B1C03" w14:textId="77777777" w:rsidR="00385C00" w:rsidRPr="00385C00" w:rsidRDefault="00385C00" w:rsidP="0079136E">
            <w:pPr>
              <w:pStyle w:val="TableBodyRight"/>
            </w:pPr>
            <w:r w:rsidRPr="00385C00">
              <w:t>41</w:t>
            </w:r>
          </w:p>
        </w:tc>
        <w:tc>
          <w:tcPr>
            <w:tcW w:w="836" w:type="pct"/>
            <w:noWrap/>
            <w:hideMark/>
          </w:tcPr>
          <w:p w14:paraId="138E412F" w14:textId="77777777" w:rsidR="00385C00" w:rsidRPr="00385C00" w:rsidRDefault="00385C00" w:rsidP="0079136E">
            <w:pPr>
              <w:pStyle w:val="TableBodyRight"/>
            </w:pPr>
            <w:r w:rsidRPr="00385C00">
              <w:t>100</w:t>
            </w:r>
          </w:p>
        </w:tc>
        <w:tc>
          <w:tcPr>
            <w:tcW w:w="836" w:type="pct"/>
            <w:noWrap/>
            <w:hideMark/>
          </w:tcPr>
          <w:p w14:paraId="5367745A" w14:textId="77777777" w:rsidR="00385C00" w:rsidRPr="00385C00" w:rsidRDefault="00385C00" w:rsidP="0079136E">
            <w:pPr>
              <w:pStyle w:val="TableBodyRight"/>
            </w:pPr>
            <w:r w:rsidRPr="00385C00">
              <w:t>62</w:t>
            </w:r>
          </w:p>
        </w:tc>
        <w:tc>
          <w:tcPr>
            <w:tcW w:w="836" w:type="pct"/>
            <w:noWrap/>
            <w:hideMark/>
          </w:tcPr>
          <w:p w14:paraId="42E78E17" w14:textId="77777777" w:rsidR="00385C00" w:rsidRPr="00385C00" w:rsidRDefault="00385C00" w:rsidP="0079136E">
            <w:pPr>
              <w:pStyle w:val="TableBodyRight"/>
            </w:pPr>
            <w:r w:rsidRPr="00385C00">
              <w:t>19</w:t>
            </w:r>
          </w:p>
        </w:tc>
      </w:tr>
      <w:tr w:rsidR="00473DCA" w:rsidRPr="00385C00" w14:paraId="5859B5D1" w14:textId="77777777" w:rsidTr="000F418F">
        <w:trPr>
          <w:trHeight w:val="288"/>
        </w:trPr>
        <w:tc>
          <w:tcPr>
            <w:tcW w:w="821" w:type="pct"/>
            <w:noWrap/>
            <w:hideMark/>
          </w:tcPr>
          <w:p w14:paraId="4A0BDCE7" w14:textId="77777777" w:rsidR="00385C00" w:rsidRPr="00385C00" w:rsidRDefault="00385C00" w:rsidP="001F550D">
            <w:pPr>
              <w:pStyle w:val="TableBody"/>
            </w:pPr>
            <w:r w:rsidRPr="00385C00">
              <w:t>2017-18</w:t>
            </w:r>
          </w:p>
        </w:tc>
        <w:tc>
          <w:tcPr>
            <w:tcW w:w="836" w:type="pct"/>
            <w:noWrap/>
            <w:hideMark/>
          </w:tcPr>
          <w:p w14:paraId="44266D33" w14:textId="77777777" w:rsidR="00385C00" w:rsidRPr="00385C00" w:rsidRDefault="00385C00" w:rsidP="0079136E">
            <w:pPr>
              <w:pStyle w:val="TableBodyRight"/>
            </w:pPr>
            <w:r w:rsidRPr="00385C00">
              <w:t>9</w:t>
            </w:r>
          </w:p>
        </w:tc>
        <w:tc>
          <w:tcPr>
            <w:tcW w:w="836" w:type="pct"/>
            <w:noWrap/>
            <w:hideMark/>
          </w:tcPr>
          <w:p w14:paraId="11380ADB" w14:textId="77777777" w:rsidR="00385C00" w:rsidRPr="00385C00" w:rsidRDefault="00385C00" w:rsidP="0079136E">
            <w:pPr>
              <w:pStyle w:val="TableBodyRight"/>
            </w:pPr>
            <w:r w:rsidRPr="00385C00">
              <w:t>31</w:t>
            </w:r>
          </w:p>
        </w:tc>
        <w:tc>
          <w:tcPr>
            <w:tcW w:w="836" w:type="pct"/>
            <w:noWrap/>
            <w:hideMark/>
          </w:tcPr>
          <w:p w14:paraId="2E05386B" w14:textId="77777777" w:rsidR="00385C00" w:rsidRPr="00385C00" w:rsidRDefault="00385C00" w:rsidP="0079136E">
            <w:pPr>
              <w:pStyle w:val="TableBodyRight"/>
            </w:pPr>
            <w:r w:rsidRPr="00385C00">
              <w:t>74</w:t>
            </w:r>
          </w:p>
        </w:tc>
        <w:tc>
          <w:tcPr>
            <w:tcW w:w="836" w:type="pct"/>
            <w:noWrap/>
            <w:hideMark/>
          </w:tcPr>
          <w:p w14:paraId="195237F1" w14:textId="77777777" w:rsidR="00385C00" w:rsidRPr="00385C00" w:rsidRDefault="00385C00" w:rsidP="0079136E">
            <w:pPr>
              <w:pStyle w:val="TableBodyRight"/>
            </w:pPr>
            <w:r w:rsidRPr="00385C00">
              <w:t>43</w:t>
            </w:r>
          </w:p>
        </w:tc>
        <w:tc>
          <w:tcPr>
            <w:tcW w:w="836" w:type="pct"/>
            <w:noWrap/>
            <w:hideMark/>
          </w:tcPr>
          <w:p w14:paraId="0238CE94" w14:textId="77777777" w:rsidR="00385C00" w:rsidRPr="00385C00" w:rsidRDefault="00385C00" w:rsidP="0079136E">
            <w:pPr>
              <w:pStyle w:val="TableBodyRight"/>
            </w:pPr>
            <w:r w:rsidRPr="00385C00">
              <w:t>13</w:t>
            </w:r>
          </w:p>
        </w:tc>
      </w:tr>
      <w:tr w:rsidR="00473DCA" w:rsidRPr="00385C00" w14:paraId="16567DF9" w14:textId="77777777" w:rsidTr="000F418F">
        <w:trPr>
          <w:trHeight w:val="288"/>
        </w:trPr>
        <w:tc>
          <w:tcPr>
            <w:tcW w:w="821" w:type="pct"/>
            <w:noWrap/>
            <w:hideMark/>
          </w:tcPr>
          <w:p w14:paraId="04A0F9A9" w14:textId="77777777" w:rsidR="00385C00" w:rsidRPr="00385C00" w:rsidRDefault="00385C00" w:rsidP="001F550D">
            <w:pPr>
              <w:pStyle w:val="TableBody"/>
            </w:pPr>
            <w:r w:rsidRPr="00385C00">
              <w:t>2018-19</w:t>
            </w:r>
          </w:p>
        </w:tc>
        <w:tc>
          <w:tcPr>
            <w:tcW w:w="836" w:type="pct"/>
            <w:noWrap/>
            <w:hideMark/>
          </w:tcPr>
          <w:p w14:paraId="2E966DA3" w14:textId="77777777" w:rsidR="00385C00" w:rsidRPr="00385C00" w:rsidRDefault="00385C00" w:rsidP="0079136E">
            <w:pPr>
              <w:pStyle w:val="TableBodyRight"/>
            </w:pPr>
            <w:r w:rsidRPr="00385C00">
              <w:t>17</w:t>
            </w:r>
          </w:p>
        </w:tc>
        <w:tc>
          <w:tcPr>
            <w:tcW w:w="836" w:type="pct"/>
            <w:noWrap/>
            <w:hideMark/>
          </w:tcPr>
          <w:p w14:paraId="5BF8C441" w14:textId="77777777" w:rsidR="00385C00" w:rsidRPr="00385C00" w:rsidRDefault="00385C00" w:rsidP="0079136E">
            <w:pPr>
              <w:pStyle w:val="TableBodyRight"/>
            </w:pPr>
            <w:r w:rsidRPr="00385C00">
              <w:t>51</w:t>
            </w:r>
          </w:p>
        </w:tc>
        <w:tc>
          <w:tcPr>
            <w:tcW w:w="836" w:type="pct"/>
            <w:noWrap/>
            <w:hideMark/>
          </w:tcPr>
          <w:p w14:paraId="718DDABC" w14:textId="77777777" w:rsidR="00385C00" w:rsidRPr="00385C00" w:rsidRDefault="00385C00" w:rsidP="0079136E">
            <w:pPr>
              <w:pStyle w:val="TableBodyRight"/>
            </w:pPr>
            <w:r w:rsidRPr="00385C00">
              <w:t>68</w:t>
            </w:r>
          </w:p>
        </w:tc>
        <w:tc>
          <w:tcPr>
            <w:tcW w:w="836" w:type="pct"/>
            <w:noWrap/>
            <w:hideMark/>
          </w:tcPr>
          <w:p w14:paraId="6A0D586E" w14:textId="77777777" w:rsidR="00385C00" w:rsidRPr="00385C00" w:rsidRDefault="00385C00" w:rsidP="0079136E">
            <w:pPr>
              <w:pStyle w:val="TableBodyRight"/>
            </w:pPr>
            <w:r w:rsidRPr="00385C00">
              <w:t>60</w:t>
            </w:r>
          </w:p>
        </w:tc>
        <w:tc>
          <w:tcPr>
            <w:tcW w:w="836" w:type="pct"/>
            <w:noWrap/>
            <w:hideMark/>
          </w:tcPr>
          <w:p w14:paraId="1D0650CD" w14:textId="77777777" w:rsidR="00385C00" w:rsidRPr="00385C00" w:rsidRDefault="00385C00" w:rsidP="0079136E">
            <w:pPr>
              <w:pStyle w:val="TableBodyRight"/>
            </w:pPr>
            <w:r w:rsidRPr="00385C00">
              <w:t>15</w:t>
            </w:r>
          </w:p>
        </w:tc>
      </w:tr>
      <w:tr w:rsidR="00473DCA" w:rsidRPr="00385C00" w14:paraId="2E6F9244" w14:textId="77777777" w:rsidTr="000F418F">
        <w:trPr>
          <w:trHeight w:val="288"/>
        </w:trPr>
        <w:tc>
          <w:tcPr>
            <w:tcW w:w="821" w:type="pct"/>
            <w:noWrap/>
            <w:hideMark/>
          </w:tcPr>
          <w:p w14:paraId="0F2B8776" w14:textId="77777777" w:rsidR="00385C00" w:rsidRPr="00385C00" w:rsidRDefault="00385C00" w:rsidP="001F550D">
            <w:pPr>
              <w:pStyle w:val="TableBody"/>
            </w:pPr>
            <w:r w:rsidRPr="00385C00">
              <w:t>2019-20</w:t>
            </w:r>
          </w:p>
        </w:tc>
        <w:tc>
          <w:tcPr>
            <w:tcW w:w="836" w:type="pct"/>
            <w:noWrap/>
            <w:hideMark/>
          </w:tcPr>
          <w:p w14:paraId="13F870B8" w14:textId="77777777" w:rsidR="00385C00" w:rsidRPr="00385C00" w:rsidRDefault="00385C00" w:rsidP="0079136E">
            <w:pPr>
              <w:pStyle w:val="TableBodyRight"/>
            </w:pPr>
            <w:r w:rsidRPr="00385C00">
              <w:t>29</w:t>
            </w:r>
          </w:p>
        </w:tc>
        <w:tc>
          <w:tcPr>
            <w:tcW w:w="836" w:type="pct"/>
            <w:noWrap/>
            <w:hideMark/>
          </w:tcPr>
          <w:p w14:paraId="3D08F4D2" w14:textId="77777777" w:rsidR="00385C00" w:rsidRPr="00385C00" w:rsidRDefault="00385C00" w:rsidP="0079136E">
            <w:pPr>
              <w:pStyle w:val="TableBodyRight"/>
            </w:pPr>
            <w:r w:rsidRPr="00385C00">
              <w:t>53</w:t>
            </w:r>
          </w:p>
        </w:tc>
        <w:tc>
          <w:tcPr>
            <w:tcW w:w="836" w:type="pct"/>
            <w:noWrap/>
            <w:hideMark/>
          </w:tcPr>
          <w:p w14:paraId="1BA4FC0D" w14:textId="77777777" w:rsidR="00385C00" w:rsidRPr="00385C00" w:rsidRDefault="00385C00" w:rsidP="0079136E">
            <w:pPr>
              <w:pStyle w:val="TableBodyRight"/>
            </w:pPr>
            <w:r w:rsidRPr="00385C00">
              <w:t>45</w:t>
            </w:r>
          </w:p>
        </w:tc>
        <w:tc>
          <w:tcPr>
            <w:tcW w:w="836" w:type="pct"/>
            <w:noWrap/>
            <w:hideMark/>
          </w:tcPr>
          <w:p w14:paraId="23663772" w14:textId="77777777" w:rsidR="00385C00" w:rsidRPr="00385C00" w:rsidRDefault="00385C00" w:rsidP="0079136E">
            <w:pPr>
              <w:pStyle w:val="TableBodyRight"/>
            </w:pPr>
            <w:r w:rsidRPr="00385C00">
              <w:t>52</w:t>
            </w:r>
          </w:p>
        </w:tc>
        <w:tc>
          <w:tcPr>
            <w:tcW w:w="836" w:type="pct"/>
            <w:noWrap/>
            <w:hideMark/>
          </w:tcPr>
          <w:p w14:paraId="2369D726" w14:textId="77777777" w:rsidR="00385C00" w:rsidRPr="00385C00" w:rsidRDefault="00385C00" w:rsidP="0079136E">
            <w:pPr>
              <w:pStyle w:val="TableBodyRight"/>
            </w:pPr>
            <w:r w:rsidRPr="00385C00">
              <w:t>19</w:t>
            </w:r>
          </w:p>
        </w:tc>
      </w:tr>
      <w:tr w:rsidR="00473DCA" w:rsidRPr="00385C00" w14:paraId="1C5E08DC" w14:textId="77777777" w:rsidTr="000F418F">
        <w:trPr>
          <w:trHeight w:val="288"/>
        </w:trPr>
        <w:tc>
          <w:tcPr>
            <w:tcW w:w="821" w:type="pct"/>
            <w:noWrap/>
            <w:hideMark/>
          </w:tcPr>
          <w:p w14:paraId="094AFCCB" w14:textId="77777777" w:rsidR="00385C00" w:rsidRPr="00385C00" w:rsidRDefault="00385C00" w:rsidP="001F550D">
            <w:pPr>
              <w:pStyle w:val="TableBody"/>
            </w:pPr>
            <w:r w:rsidRPr="00385C00">
              <w:lastRenderedPageBreak/>
              <w:t>2020-21</w:t>
            </w:r>
          </w:p>
        </w:tc>
        <w:tc>
          <w:tcPr>
            <w:tcW w:w="836" w:type="pct"/>
            <w:noWrap/>
            <w:hideMark/>
          </w:tcPr>
          <w:p w14:paraId="1CD0B32B" w14:textId="77777777" w:rsidR="00385C00" w:rsidRPr="00385C00" w:rsidRDefault="00385C00" w:rsidP="0079136E">
            <w:pPr>
              <w:pStyle w:val="TableBodyRight"/>
            </w:pPr>
            <w:r w:rsidRPr="00385C00">
              <w:t>12</w:t>
            </w:r>
          </w:p>
        </w:tc>
        <w:tc>
          <w:tcPr>
            <w:tcW w:w="836" w:type="pct"/>
            <w:noWrap/>
            <w:hideMark/>
          </w:tcPr>
          <w:p w14:paraId="0D762DAC" w14:textId="77777777" w:rsidR="00385C00" w:rsidRPr="00385C00" w:rsidRDefault="00385C00" w:rsidP="0079136E">
            <w:pPr>
              <w:pStyle w:val="TableBodyRight"/>
            </w:pPr>
            <w:r w:rsidRPr="00385C00">
              <w:t>42</w:t>
            </w:r>
          </w:p>
        </w:tc>
        <w:tc>
          <w:tcPr>
            <w:tcW w:w="836" w:type="pct"/>
            <w:noWrap/>
            <w:hideMark/>
          </w:tcPr>
          <w:p w14:paraId="09C2EA0B" w14:textId="77777777" w:rsidR="00385C00" w:rsidRPr="00385C00" w:rsidRDefault="00385C00" w:rsidP="0079136E">
            <w:pPr>
              <w:pStyle w:val="TableBodyRight"/>
            </w:pPr>
            <w:r w:rsidRPr="00385C00">
              <w:t>58</w:t>
            </w:r>
          </w:p>
        </w:tc>
        <w:tc>
          <w:tcPr>
            <w:tcW w:w="836" w:type="pct"/>
            <w:noWrap/>
            <w:hideMark/>
          </w:tcPr>
          <w:p w14:paraId="15995136" w14:textId="77777777" w:rsidR="00385C00" w:rsidRPr="00385C00" w:rsidRDefault="00385C00" w:rsidP="0079136E">
            <w:pPr>
              <w:pStyle w:val="TableBodyRight"/>
            </w:pPr>
            <w:r w:rsidRPr="00385C00">
              <w:t>36</w:t>
            </w:r>
          </w:p>
        </w:tc>
        <w:tc>
          <w:tcPr>
            <w:tcW w:w="836" w:type="pct"/>
            <w:noWrap/>
            <w:hideMark/>
          </w:tcPr>
          <w:p w14:paraId="35CD3459" w14:textId="77777777" w:rsidR="00385C00" w:rsidRPr="00385C00" w:rsidRDefault="00385C00" w:rsidP="0079136E">
            <w:pPr>
              <w:pStyle w:val="TableBodyRight"/>
            </w:pPr>
            <w:r w:rsidRPr="00385C00">
              <w:t>18</w:t>
            </w:r>
          </w:p>
        </w:tc>
      </w:tr>
    </w:tbl>
    <w:p w14:paraId="52E478E0" w14:textId="77777777" w:rsidR="00E62AE6" w:rsidRPr="0031029F" w:rsidRDefault="00E62AE6" w:rsidP="0031029F">
      <w:r w:rsidRPr="0031029F">
        <w:t>Trafficking in a large commercial quantity of drugs – a category 1 offence – almost exclusively received immediate custodial sentences (there were four wholly suspended sentences). Trafficking in a commercial quantity of drugs has had an increasing rate of custodial sentences in the most recent four years; this may be attributable to its classification as a category 2 offence since 2017.</w:t>
      </w:r>
      <w:r w:rsidRPr="00E62AE6">
        <w:rPr>
          <w:rStyle w:val="Superscript"/>
        </w:rPr>
        <w:footnoteReference w:id="27"/>
      </w:r>
      <w:r w:rsidRPr="0031029F">
        <w:t xml:space="preserve"> There was also a significant increase in the rate of immediate custodial sentences for cultivating a commercial quantity of narcotic plants, with 95% or more cases receiving a custodial sentence in the most recent five years (Figure 12).</w:t>
      </w:r>
    </w:p>
    <w:p w14:paraId="21FE10C7" w14:textId="77777777" w:rsidR="00E62AE6" w:rsidRPr="00E62AE6" w:rsidRDefault="00E62AE6" w:rsidP="00E5783B">
      <w:pPr>
        <w:pStyle w:val="Caption"/>
      </w:pPr>
      <w:r w:rsidRPr="00E5783B">
        <w:t>Figure 12:</w:t>
      </w:r>
      <w:r w:rsidRPr="00E62AE6">
        <w:t xml:space="preserve"> Percentage of people receiving immediate custodial sentences in the higher courts for serious drug offences, 2001–02 to 2020–21</w:t>
      </w:r>
    </w:p>
    <w:tbl>
      <w:tblPr>
        <w:tblStyle w:val="Table"/>
        <w:tblW w:w="5000" w:type="pct"/>
        <w:tblLayout w:type="fixed"/>
        <w:tblLook w:val="04A0" w:firstRow="1" w:lastRow="0" w:firstColumn="1" w:lastColumn="0" w:noHBand="0" w:noVBand="1"/>
      </w:tblPr>
      <w:tblGrid>
        <w:gridCol w:w="2254"/>
        <w:gridCol w:w="2254"/>
        <w:gridCol w:w="2254"/>
        <w:gridCol w:w="2254"/>
      </w:tblGrid>
      <w:tr w:rsidR="00EE5910" w:rsidRPr="007E7EEB" w14:paraId="65C01B39" w14:textId="77777777" w:rsidTr="006F7525">
        <w:trPr>
          <w:trHeight w:val="288"/>
          <w:tblHeader/>
        </w:trPr>
        <w:tc>
          <w:tcPr>
            <w:tcW w:w="1250" w:type="pct"/>
            <w:noWrap/>
            <w:hideMark/>
          </w:tcPr>
          <w:p w14:paraId="10F7DA65" w14:textId="77777777" w:rsidR="007E7EEB" w:rsidRPr="007E7EEB" w:rsidRDefault="007E7EEB" w:rsidP="002D5497">
            <w:pPr>
              <w:pStyle w:val="TableHeading"/>
            </w:pPr>
            <w:r w:rsidRPr="007E7EEB">
              <w:t>Financial year</w:t>
            </w:r>
          </w:p>
        </w:tc>
        <w:tc>
          <w:tcPr>
            <w:tcW w:w="1250" w:type="pct"/>
            <w:noWrap/>
            <w:hideMark/>
          </w:tcPr>
          <w:p w14:paraId="0F8207B9" w14:textId="4A0AE5F3" w:rsidR="007E7EEB" w:rsidRPr="007E7EEB" w:rsidRDefault="007E7EEB" w:rsidP="002D5497">
            <w:pPr>
              <w:pStyle w:val="TableHeadingRight"/>
            </w:pPr>
            <w:r w:rsidRPr="007E7EEB">
              <w:t xml:space="preserve">Traffick </w:t>
            </w:r>
            <w:r w:rsidR="00E458B3">
              <w:t>in a large commercial quantity</w:t>
            </w:r>
          </w:p>
        </w:tc>
        <w:tc>
          <w:tcPr>
            <w:tcW w:w="1250" w:type="pct"/>
            <w:noWrap/>
            <w:hideMark/>
          </w:tcPr>
          <w:p w14:paraId="0A6EEC13" w14:textId="293976A0" w:rsidR="007E7EEB" w:rsidRPr="007E7EEB" w:rsidRDefault="007E7EEB" w:rsidP="002D5497">
            <w:pPr>
              <w:pStyle w:val="TableHeadingRight"/>
            </w:pPr>
            <w:r w:rsidRPr="007E7EEB">
              <w:t xml:space="preserve">Traffick </w:t>
            </w:r>
            <w:r w:rsidR="00B00CC5">
              <w:t>in a commercial quantity</w:t>
            </w:r>
          </w:p>
        </w:tc>
        <w:tc>
          <w:tcPr>
            <w:tcW w:w="1250" w:type="pct"/>
            <w:noWrap/>
            <w:hideMark/>
          </w:tcPr>
          <w:p w14:paraId="5C633A4A" w14:textId="61ECD0F5" w:rsidR="007E7EEB" w:rsidRPr="007E7EEB" w:rsidRDefault="007E7EEB" w:rsidP="002D5497">
            <w:pPr>
              <w:pStyle w:val="TableHeadingRight"/>
            </w:pPr>
            <w:r w:rsidRPr="007E7EEB">
              <w:t xml:space="preserve">Cultivate </w:t>
            </w:r>
            <w:r w:rsidR="00EE5910">
              <w:t>a commercial quantity</w:t>
            </w:r>
          </w:p>
        </w:tc>
      </w:tr>
      <w:tr w:rsidR="00EE5910" w:rsidRPr="007E7EEB" w14:paraId="5F7EACA0" w14:textId="77777777" w:rsidTr="006F7525">
        <w:trPr>
          <w:trHeight w:val="288"/>
        </w:trPr>
        <w:tc>
          <w:tcPr>
            <w:tcW w:w="1250" w:type="pct"/>
            <w:noWrap/>
            <w:hideMark/>
          </w:tcPr>
          <w:p w14:paraId="15E13A98" w14:textId="77777777" w:rsidR="007E7EEB" w:rsidRPr="007E7EEB" w:rsidRDefault="007E7EEB" w:rsidP="001F550D">
            <w:pPr>
              <w:pStyle w:val="TableBody"/>
            </w:pPr>
            <w:r w:rsidRPr="007E7EEB">
              <w:t>2002-03</w:t>
            </w:r>
          </w:p>
        </w:tc>
        <w:tc>
          <w:tcPr>
            <w:tcW w:w="1250" w:type="pct"/>
            <w:noWrap/>
            <w:hideMark/>
          </w:tcPr>
          <w:p w14:paraId="7C91875F" w14:textId="77777777" w:rsidR="007E7EEB" w:rsidRPr="007E7EEB" w:rsidRDefault="007E7EEB" w:rsidP="001F550D">
            <w:pPr>
              <w:pStyle w:val="TableBodyRight"/>
            </w:pPr>
            <w:r w:rsidRPr="007E7EEB">
              <w:t>100.0%</w:t>
            </w:r>
          </w:p>
        </w:tc>
        <w:tc>
          <w:tcPr>
            <w:tcW w:w="1250" w:type="pct"/>
            <w:noWrap/>
            <w:hideMark/>
          </w:tcPr>
          <w:p w14:paraId="76034384" w14:textId="77777777" w:rsidR="007E7EEB" w:rsidRPr="007E7EEB" w:rsidRDefault="007E7EEB" w:rsidP="001F550D">
            <w:pPr>
              <w:pStyle w:val="TableBodyRight"/>
            </w:pPr>
            <w:r w:rsidRPr="007E7EEB">
              <w:t>89.2%</w:t>
            </w:r>
          </w:p>
        </w:tc>
        <w:tc>
          <w:tcPr>
            <w:tcW w:w="1250" w:type="pct"/>
            <w:noWrap/>
            <w:hideMark/>
          </w:tcPr>
          <w:p w14:paraId="76421077" w14:textId="77777777" w:rsidR="007E7EEB" w:rsidRPr="007E7EEB" w:rsidRDefault="007E7EEB" w:rsidP="001F550D">
            <w:pPr>
              <w:pStyle w:val="TableBodyRight"/>
            </w:pPr>
            <w:r w:rsidRPr="007E7EEB">
              <w:t>66.7%</w:t>
            </w:r>
          </w:p>
        </w:tc>
      </w:tr>
      <w:tr w:rsidR="00EE5910" w:rsidRPr="007E7EEB" w14:paraId="14848F28" w14:textId="77777777" w:rsidTr="006F7525">
        <w:trPr>
          <w:trHeight w:val="288"/>
        </w:trPr>
        <w:tc>
          <w:tcPr>
            <w:tcW w:w="1250" w:type="pct"/>
            <w:noWrap/>
            <w:hideMark/>
          </w:tcPr>
          <w:p w14:paraId="19B158A9" w14:textId="77777777" w:rsidR="007E7EEB" w:rsidRPr="007E7EEB" w:rsidRDefault="007E7EEB" w:rsidP="001F550D">
            <w:pPr>
              <w:pStyle w:val="TableBody"/>
            </w:pPr>
            <w:r w:rsidRPr="007E7EEB">
              <w:t>2003-04</w:t>
            </w:r>
          </w:p>
        </w:tc>
        <w:tc>
          <w:tcPr>
            <w:tcW w:w="1250" w:type="pct"/>
            <w:noWrap/>
            <w:hideMark/>
          </w:tcPr>
          <w:p w14:paraId="43A2F967" w14:textId="77777777" w:rsidR="007E7EEB" w:rsidRPr="007E7EEB" w:rsidRDefault="007E7EEB" w:rsidP="001F550D">
            <w:pPr>
              <w:pStyle w:val="TableBodyRight"/>
            </w:pPr>
            <w:r w:rsidRPr="007E7EEB">
              <w:t>100.0%</w:t>
            </w:r>
          </w:p>
        </w:tc>
        <w:tc>
          <w:tcPr>
            <w:tcW w:w="1250" w:type="pct"/>
            <w:noWrap/>
            <w:hideMark/>
          </w:tcPr>
          <w:p w14:paraId="5E46AC1F" w14:textId="77777777" w:rsidR="007E7EEB" w:rsidRPr="007E7EEB" w:rsidRDefault="007E7EEB" w:rsidP="001F550D">
            <w:pPr>
              <w:pStyle w:val="TableBodyRight"/>
            </w:pPr>
            <w:r w:rsidRPr="007E7EEB">
              <w:t>88.1%</w:t>
            </w:r>
          </w:p>
        </w:tc>
        <w:tc>
          <w:tcPr>
            <w:tcW w:w="1250" w:type="pct"/>
            <w:noWrap/>
            <w:hideMark/>
          </w:tcPr>
          <w:p w14:paraId="58461AF2" w14:textId="77777777" w:rsidR="007E7EEB" w:rsidRPr="007E7EEB" w:rsidRDefault="007E7EEB" w:rsidP="001F550D">
            <w:pPr>
              <w:pStyle w:val="TableBodyRight"/>
            </w:pPr>
            <w:r w:rsidRPr="007E7EEB">
              <w:t>65.5%</w:t>
            </w:r>
          </w:p>
        </w:tc>
      </w:tr>
      <w:tr w:rsidR="00EE5910" w:rsidRPr="007E7EEB" w14:paraId="28A2AF6E" w14:textId="77777777" w:rsidTr="006F7525">
        <w:trPr>
          <w:trHeight w:val="288"/>
        </w:trPr>
        <w:tc>
          <w:tcPr>
            <w:tcW w:w="1250" w:type="pct"/>
            <w:noWrap/>
            <w:hideMark/>
          </w:tcPr>
          <w:p w14:paraId="3C74B1D2" w14:textId="77777777" w:rsidR="007E7EEB" w:rsidRPr="007E7EEB" w:rsidRDefault="007E7EEB" w:rsidP="001F550D">
            <w:pPr>
              <w:pStyle w:val="TableBody"/>
            </w:pPr>
            <w:r w:rsidRPr="007E7EEB">
              <w:t>2004-05</w:t>
            </w:r>
          </w:p>
        </w:tc>
        <w:tc>
          <w:tcPr>
            <w:tcW w:w="1250" w:type="pct"/>
            <w:noWrap/>
            <w:hideMark/>
          </w:tcPr>
          <w:p w14:paraId="63D69948" w14:textId="77777777" w:rsidR="007E7EEB" w:rsidRPr="007E7EEB" w:rsidRDefault="007E7EEB" w:rsidP="001F550D">
            <w:pPr>
              <w:pStyle w:val="TableBodyRight"/>
            </w:pPr>
            <w:r w:rsidRPr="007E7EEB">
              <w:t>100.0%</w:t>
            </w:r>
          </w:p>
        </w:tc>
        <w:tc>
          <w:tcPr>
            <w:tcW w:w="1250" w:type="pct"/>
            <w:noWrap/>
            <w:hideMark/>
          </w:tcPr>
          <w:p w14:paraId="3AC350C0" w14:textId="77777777" w:rsidR="007E7EEB" w:rsidRPr="007E7EEB" w:rsidRDefault="007E7EEB" w:rsidP="001F550D">
            <w:pPr>
              <w:pStyle w:val="TableBodyRight"/>
            </w:pPr>
            <w:r w:rsidRPr="007E7EEB">
              <w:t>85.7%</w:t>
            </w:r>
          </w:p>
        </w:tc>
        <w:tc>
          <w:tcPr>
            <w:tcW w:w="1250" w:type="pct"/>
            <w:noWrap/>
            <w:hideMark/>
          </w:tcPr>
          <w:p w14:paraId="71FD974F" w14:textId="77777777" w:rsidR="007E7EEB" w:rsidRPr="007E7EEB" w:rsidRDefault="007E7EEB" w:rsidP="001F550D">
            <w:pPr>
              <w:pStyle w:val="TableBodyRight"/>
            </w:pPr>
            <w:r w:rsidRPr="007E7EEB">
              <w:t>59.4%</w:t>
            </w:r>
          </w:p>
        </w:tc>
      </w:tr>
      <w:tr w:rsidR="00EE5910" w:rsidRPr="007E7EEB" w14:paraId="40B55AB0" w14:textId="77777777" w:rsidTr="006F7525">
        <w:trPr>
          <w:trHeight w:val="288"/>
        </w:trPr>
        <w:tc>
          <w:tcPr>
            <w:tcW w:w="1250" w:type="pct"/>
            <w:noWrap/>
            <w:hideMark/>
          </w:tcPr>
          <w:p w14:paraId="0430E103" w14:textId="77777777" w:rsidR="007E7EEB" w:rsidRPr="007E7EEB" w:rsidRDefault="007E7EEB" w:rsidP="001F550D">
            <w:pPr>
              <w:pStyle w:val="TableBody"/>
            </w:pPr>
            <w:r w:rsidRPr="007E7EEB">
              <w:t>2005-06</w:t>
            </w:r>
          </w:p>
        </w:tc>
        <w:tc>
          <w:tcPr>
            <w:tcW w:w="1250" w:type="pct"/>
            <w:noWrap/>
            <w:hideMark/>
          </w:tcPr>
          <w:p w14:paraId="6234DF98" w14:textId="77777777" w:rsidR="007E7EEB" w:rsidRPr="007E7EEB" w:rsidRDefault="007E7EEB" w:rsidP="001F550D">
            <w:pPr>
              <w:pStyle w:val="TableBodyRight"/>
            </w:pPr>
            <w:r w:rsidRPr="007E7EEB">
              <w:t>94.7%</w:t>
            </w:r>
          </w:p>
        </w:tc>
        <w:tc>
          <w:tcPr>
            <w:tcW w:w="1250" w:type="pct"/>
            <w:noWrap/>
            <w:hideMark/>
          </w:tcPr>
          <w:p w14:paraId="2172AA34" w14:textId="77777777" w:rsidR="007E7EEB" w:rsidRPr="007E7EEB" w:rsidRDefault="007E7EEB" w:rsidP="001F550D">
            <w:pPr>
              <w:pStyle w:val="TableBodyRight"/>
            </w:pPr>
            <w:r w:rsidRPr="007E7EEB">
              <w:t>82.9%</w:t>
            </w:r>
          </w:p>
        </w:tc>
        <w:tc>
          <w:tcPr>
            <w:tcW w:w="1250" w:type="pct"/>
            <w:noWrap/>
            <w:hideMark/>
          </w:tcPr>
          <w:p w14:paraId="46F85A84" w14:textId="77777777" w:rsidR="007E7EEB" w:rsidRPr="007E7EEB" w:rsidRDefault="007E7EEB" w:rsidP="001F550D">
            <w:pPr>
              <w:pStyle w:val="TableBodyRight"/>
            </w:pPr>
            <w:r w:rsidRPr="007E7EEB">
              <w:t>60.7%</w:t>
            </w:r>
          </w:p>
        </w:tc>
      </w:tr>
      <w:tr w:rsidR="00EE5910" w:rsidRPr="007E7EEB" w14:paraId="727DA754" w14:textId="77777777" w:rsidTr="006F7525">
        <w:trPr>
          <w:trHeight w:val="288"/>
        </w:trPr>
        <w:tc>
          <w:tcPr>
            <w:tcW w:w="1250" w:type="pct"/>
            <w:noWrap/>
            <w:hideMark/>
          </w:tcPr>
          <w:p w14:paraId="0864D886" w14:textId="77777777" w:rsidR="007E7EEB" w:rsidRPr="007E7EEB" w:rsidRDefault="007E7EEB" w:rsidP="001F550D">
            <w:pPr>
              <w:pStyle w:val="TableBody"/>
            </w:pPr>
            <w:r w:rsidRPr="007E7EEB">
              <w:t>2006-07</w:t>
            </w:r>
          </w:p>
        </w:tc>
        <w:tc>
          <w:tcPr>
            <w:tcW w:w="1250" w:type="pct"/>
            <w:noWrap/>
            <w:hideMark/>
          </w:tcPr>
          <w:p w14:paraId="1FD34434" w14:textId="77777777" w:rsidR="007E7EEB" w:rsidRPr="007E7EEB" w:rsidRDefault="007E7EEB" w:rsidP="001F550D">
            <w:pPr>
              <w:pStyle w:val="TableBodyRight"/>
            </w:pPr>
            <w:r w:rsidRPr="007E7EEB">
              <w:t>100.0%</w:t>
            </w:r>
          </w:p>
        </w:tc>
        <w:tc>
          <w:tcPr>
            <w:tcW w:w="1250" w:type="pct"/>
            <w:noWrap/>
            <w:hideMark/>
          </w:tcPr>
          <w:p w14:paraId="06EC4939" w14:textId="77777777" w:rsidR="007E7EEB" w:rsidRPr="007E7EEB" w:rsidRDefault="007E7EEB" w:rsidP="001F550D">
            <w:pPr>
              <w:pStyle w:val="TableBodyRight"/>
            </w:pPr>
            <w:r w:rsidRPr="007E7EEB">
              <w:t>93.3%</w:t>
            </w:r>
          </w:p>
        </w:tc>
        <w:tc>
          <w:tcPr>
            <w:tcW w:w="1250" w:type="pct"/>
            <w:noWrap/>
            <w:hideMark/>
          </w:tcPr>
          <w:p w14:paraId="31C1CA61" w14:textId="77777777" w:rsidR="007E7EEB" w:rsidRPr="007E7EEB" w:rsidRDefault="007E7EEB" w:rsidP="001F550D">
            <w:pPr>
              <w:pStyle w:val="TableBodyRight"/>
            </w:pPr>
            <w:r w:rsidRPr="007E7EEB">
              <w:t>81.5%</w:t>
            </w:r>
          </w:p>
        </w:tc>
      </w:tr>
      <w:tr w:rsidR="00EE5910" w:rsidRPr="007E7EEB" w14:paraId="7CD4A6DD" w14:textId="77777777" w:rsidTr="006F7525">
        <w:trPr>
          <w:trHeight w:val="288"/>
        </w:trPr>
        <w:tc>
          <w:tcPr>
            <w:tcW w:w="1250" w:type="pct"/>
            <w:noWrap/>
            <w:hideMark/>
          </w:tcPr>
          <w:p w14:paraId="59893547" w14:textId="77777777" w:rsidR="007E7EEB" w:rsidRPr="007E7EEB" w:rsidRDefault="007E7EEB" w:rsidP="001F550D">
            <w:pPr>
              <w:pStyle w:val="TableBody"/>
            </w:pPr>
            <w:r w:rsidRPr="007E7EEB">
              <w:t>2007-08</w:t>
            </w:r>
          </w:p>
        </w:tc>
        <w:tc>
          <w:tcPr>
            <w:tcW w:w="1250" w:type="pct"/>
            <w:noWrap/>
            <w:hideMark/>
          </w:tcPr>
          <w:p w14:paraId="7FCDD70E" w14:textId="77777777" w:rsidR="007E7EEB" w:rsidRPr="007E7EEB" w:rsidRDefault="007E7EEB" w:rsidP="001F550D">
            <w:pPr>
              <w:pStyle w:val="TableBodyRight"/>
            </w:pPr>
            <w:r w:rsidRPr="007E7EEB">
              <w:t>93.8%</w:t>
            </w:r>
          </w:p>
        </w:tc>
        <w:tc>
          <w:tcPr>
            <w:tcW w:w="1250" w:type="pct"/>
            <w:noWrap/>
            <w:hideMark/>
          </w:tcPr>
          <w:p w14:paraId="16C0345E" w14:textId="77777777" w:rsidR="007E7EEB" w:rsidRPr="007E7EEB" w:rsidRDefault="007E7EEB" w:rsidP="001F550D">
            <w:pPr>
              <w:pStyle w:val="TableBodyRight"/>
            </w:pPr>
            <w:r w:rsidRPr="007E7EEB">
              <w:t>94.9%</w:t>
            </w:r>
          </w:p>
        </w:tc>
        <w:tc>
          <w:tcPr>
            <w:tcW w:w="1250" w:type="pct"/>
            <w:noWrap/>
            <w:hideMark/>
          </w:tcPr>
          <w:p w14:paraId="66A5AC6C" w14:textId="77777777" w:rsidR="007E7EEB" w:rsidRPr="007E7EEB" w:rsidRDefault="007E7EEB" w:rsidP="001F550D">
            <w:pPr>
              <w:pStyle w:val="TableBodyRight"/>
            </w:pPr>
            <w:r w:rsidRPr="007E7EEB">
              <w:t>70.0%</w:t>
            </w:r>
          </w:p>
        </w:tc>
      </w:tr>
      <w:tr w:rsidR="00EE5910" w:rsidRPr="007E7EEB" w14:paraId="55334A9A" w14:textId="77777777" w:rsidTr="006F7525">
        <w:trPr>
          <w:trHeight w:val="288"/>
        </w:trPr>
        <w:tc>
          <w:tcPr>
            <w:tcW w:w="1250" w:type="pct"/>
            <w:noWrap/>
            <w:hideMark/>
          </w:tcPr>
          <w:p w14:paraId="05126141" w14:textId="77777777" w:rsidR="007E7EEB" w:rsidRPr="007E7EEB" w:rsidRDefault="007E7EEB" w:rsidP="001F550D">
            <w:pPr>
              <w:pStyle w:val="TableBody"/>
            </w:pPr>
            <w:r w:rsidRPr="007E7EEB">
              <w:t>2008-09</w:t>
            </w:r>
          </w:p>
        </w:tc>
        <w:tc>
          <w:tcPr>
            <w:tcW w:w="1250" w:type="pct"/>
            <w:noWrap/>
            <w:hideMark/>
          </w:tcPr>
          <w:p w14:paraId="2D299C8F" w14:textId="77777777" w:rsidR="007E7EEB" w:rsidRPr="007E7EEB" w:rsidRDefault="007E7EEB" w:rsidP="001F550D">
            <w:pPr>
              <w:pStyle w:val="TableBodyRight"/>
            </w:pPr>
            <w:r w:rsidRPr="007E7EEB">
              <w:t>91.7%</w:t>
            </w:r>
          </w:p>
        </w:tc>
        <w:tc>
          <w:tcPr>
            <w:tcW w:w="1250" w:type="pct"/>
            <w:noWrap/>
            <w:hideMark/>
          </w:tcPr>
          <w:p w14:paraId="3067D84A" w14:textId="77777777" w:rsidR="007E7EEB" w:rsidRPr="007E7EEB" w:rsidRDefault="007E7EEB" w:rsidP="001F550D">
            <w:pPr>
              <w:pStyle w:val="TableBodyRight"/>
            </w:pPr>
            <w:r w:rsidRPr="007E7EEB">
              <w:t>77.8%</w:t>
            </w:r>
          </w:p>
        </w:tc>
        <w:tc>
          <w:tcPr>
            <w:tcW w:w="1250" w:type="pct"/>
            <w:noWrap/>
            <w:hideMark/>
          </w:tcPr>
          <w:p w14:paraId="1AE16D85" w14:textId="77777777" w:rsidR="007E7EEB" w:rsidRPr="007E7EEB" w:rsidRDefault="007E7EEB" w:rsidP="001F550D">
            <w:pPr>
              <w:pStyle w:val="TableBodyRight"/>
            </w:pPr>
            <w:r w:rsidRPr="007E7EEB">
              <w:t>69.7%</w:t>
            </w:r>
          </w:p>
        </w:tc>
      </w:tr>
      <w:tr w:rsidR="00EE5910" w:rsidRPr="007E7EEB" w14:paraId="0A399C33" w14:textId="77777777" w:rsidTr="006F7525">
        <w:trPr>
          <w:trHeight w:val="288"/>
        </w:trPr>
        <w:tc>
          <w:tcPr>
            <w:tcW w:w="1250" w:type="pct"/>
            <w:noWrap/>
            <w:hideMark/>
          </w:tcPr>
          <w:p w14:paraId="2BC1D422" w14:textId="77777777" w:rsidR="007E7EEB" w:rsidRPr="007E7EEB" w:rsidRDefault="007E7EEB" w:rsidP="001F550D">
            <w:pPr>
              <w:pStyle w:val="TableBody"/>
            </w:pPr>
            <w:r w:rsidRPr="007E7EEB">
              <w:t>2009-10</w:t>
            </w:r>
          </w:p>
        </w:tc>
        <w:tc>
          <w:tcPr>
            <w:tcW w:w="1250" w:type="pct"/>
            <w:noWrap/>
            <w:hideMark/>
          </w:tcPr>
          <w:p w14:paraId="45F3DC31" w14:textId="77777777" w:rsidR="007E7EEB" w:rsidRPr="007E7EEB" w:rsidRDefault="007E7EEB" w:rsidP="001F550D">
            <w:pPr>
              <w:pStyle w:val="TableBodyRight"/>
            </w:pPr>
            <w:r w:rsidRPr="007E7EEB">
              <w:t>95.2%</w:t>
            </w:r>
          </w:p>
        </w:tc>
        <w:tc>
          <w:tcPr>
            <w:tcW w:w="1250" w:type="pct"/>
            <w:noWrap/>
            <w:hideMark/>
          </w:tcPr>
          <w:p w14:paraId="37531459" w14:textId="77777777" w:rsidR="007E7EEB" w:rsidRPr="007E7EEB" w:rsidRDefault="007E7EEB" w:rsidP="001F550D">
            <w:pPr>
              <w:pStyle w:val="TableBodyRight"/>
            </w:pPr>
            <w:r w:rsidRPr="007E7EEB">
              <w:t>82.1%</w:t>
            </w:r>
          </w:p>
        </w:tc>
        <w:tc>
          <w:tcPr>
            <w:tcW w:w="1250" w:type="pct"/>
            <w:noWrap/>
            <w:hideMark/>
          </w:tcPr>
          <w:p w14:paraId="09407E4A" w14:textId="77777777" w:rsidR="007E7EEB" w:rsidRPr="007E7EEB" w:rsidRDefault="007E7EEB" w:rsidP="001F550D">
            <w:pPr>
              <w:pStyle w:val="TableBodyRight"/>
            </w:pPr>
            <w:r w:rsidRPr="007E7EEB">
              <w:t>75.8%</w:t>
            </w:r>
          </w:p>
        </w:tc>
      </w:tr>
      <w:tr w:rsidR="00EE5910" w:rsidRPr="007E7EEB" w14:paraId="44553523" w14:textId="77777777" w:rsidTr="006F7525">
        <w:trPr>
          <w:trHeight w:val="288"/>
        </w:trPr>
        <w:tc>
          <w:tcPr>
            <w:tcW w:w="1250" w:type="pct"/>
            <w:noWrap/>
            <w:hideMark/>
          </w:tcPr>
          <w:p w14:paraId="5F2A16A9" w14:textId="77777777" w:rsidR="007E7EEB" w:rsidRPr="007E7EEB" w:rsidRDefault="007E7EEB" w:rsidP="001F550D">
            <w:pPr>
              <w:pStyle w:val="TableBody"/>
            </w:pPr>
            <w:r w:rsidRPr="007E7EEB">
              <w:t>2010-11</w:t>
            </w:r>
          </w:p>
        </w:tc>
        <w:tc>
          <w:tcPr>
            <w:tcW w:w="1250" w:type="pct"/>
            <w:noWrap/>
            <w:hideMark/>
          </w:tcPr>
          <w:p w14:paraId="6CB42BD5" w14:textId="77777777" w:rsidR="007E7EEB" w:rsidRPr="007E7EEB" w:rsidRDefault="007E7EEB" w:rsidP="001F550D">
            <w:pPr>
              <w:pStyle w:val="TableBodyRight"/>
            </w:pPr>
            <w:r w:rsidRPr="007E7EEB">
              <w:t>100.0%</w:t>
            </w:r>
          </w:p>
        </w:tc>
        <w:tc>
          <w:tcPr>
            <w:tcW w:w="1250" w:type="pct"/>
            <w:noWrap/>
            <w:hideMark/>
          </w:tcPr>
          <w:p w14:paraId="57026D6F" w14:textId="77777777" w:rsidR="007E7EEB" w:rsidRPr="007E7EEB" w:rsidRDefault="007E7EEB" w:rsidP="001F550D">
            <w:pPr>
              <w:pStyle w:val="TableBodyRight"/>
            </w:pPr>
            <w:r w:rsidRPr="007E7EEB">
              <w:t>96.4%</w:t>
            </w:r>
          </w:p>
        </w:tc>
        <w:tc>
          <w:tcPr>
            <w:tcW w:w="1250" w:type="pct"/>
            <w:noWrap/>
            <w:hideMark/>
          </w:tcPr>
          <w:p w14:paraId="132D1A43" w14:textId="77777777" w:rsidR="007E7EEB" w:rsidRPr="007E7EEB" w:rsidRDefault="007E7EEB" w:rsidP="001F550D">
            <w:pPr>
              <w:pStyle w:val="TableBodyRight"/>
            </w:pPr>
            <w:r w:rsidRPr="007E7EEB">
              <w:t>80.7%</w:t>
            </w:r>
          </w:p>
        </w:tc>
      </w:tr>
      <w:tr w:rsidR="00EE5910" w:rsidRPr="007E7EEB" w14:paraId="54C143D9" w14:textId="77777777" w:rsidTr="006F7525">
        <w:trPr>
          <w:trHeight w:val="288"/>
        </w:trPr>
        <w:tc>
          <w:tcPr>
            <w:tcW w:w="1250" w:type="pct"/>
            <w:noWrap/>
            <w:hideMark/>
          </w:tcPr>
          <w:p w14:paraId="13E44D6B" w14:textId="77777777" w:rsidR="007E7EEB" w:rsidRPr="007E7EEB" w:rsidRDefault="007E7EEB" w:rsidP="001F550D">
            <w:pPr>
              <w:pStyle w:val="TableBody"/>
            </w:pPr>
            <w:r w:rsidRPr="007E7EEB">
              <w:t>2011-12</w:t>
            </w:r>
          </w:p>
        </w:tc>
        <w:tc>
          <w:tcPr>
            <w:tcW w:w="1250" w:type="pct"/>
            <w:noWrap/>
            <w:hideMark/>
          </w:tcPr>
          <w:p w14:paraId="387AC336" w14:textId="77777777" w:rsidR="007E7EEB" w:rsidRPr="007E7EEB" w:rsidRDefault="007E7EEB" w:rsidP="001F550D">
            <w:pPr>
              <w:pStyle w:val="TableBodyRight"/>
            </w:pPr>
            <w:r w:rsidRPr="007E7EEB">
              <w:t>100.0%</w:t>
            </w:r>
          </w:p>
        </w:tc>
        <w:tc>
          <w:tcPr>
            <w:tcW w:w="1250" w:type="pct"/>
            <w:noWrap/>
            <w:hideMark/>
          </w:tcPr>
          <w:p w14:paraId="589FB114" w14:textId="77777777" w:rsidR="007E7EEB" w:rsidRPr="007E7EEB" w:rsidRDefault="007E7EEB" w:rsidP="001F550D">
            <w:pPr>
              <w:pStyle w:val="TableBodyRight"/>
            </w:pPr>
            <w:r w:rsidRPr="007E7EEB">
              <w:t>93.5%</w:t>
            </w:r>
          </w:p>
        </w:tc>
        <w:tc>
          <w:tcPr>
            <w:tcW w:w="1250" w:type="pct"/>
            <w:noWrap/>
            <w:hideMark/>
          </w:tcPr>
          <w:p w14:paraId="01592A88" w14:textId="77777777" w:rsidR="007E7EEB" w:rsidRPr="007E7EEB" w:rsidRDefault="007E7EEB" w:rsidP="001F550D">
            <w:pPr>
              <w:pStyle w:val="TableBodyRight"/>
            </w:pPr>
            <w:r w:rsidRPr="007E7EEB">
              <w:t>82.9%</w:t>
            </w:r>
          </w:p>
        </w:tc>
      </w:tr>
      <w:tr w:rsidR="00EE5910" w:rsidRPr="007E7EEB" w14:paraId="62EBC8F6" w14:textId="77777777" w:rsidTr="006F7525">
        <w:trPr>
          <w:trHeight w:val="288"/>
        </w:trPr>
        <w:tc>
          <w:tcPr>
            <w:tcW w:w="1250" w:type="pct"/>
            <w:noWrap/>
            <w:hideMark/>
          </w:tcPr>
          <w:p w14:paraId="1554CEA0" w14:textId="77777777" w:rsidR="007E7EEB" w:rsidRPr="007E7EEB" w:rsidRDefault="007E7EEB" w:rsidP="001F550D">
            <w:pPr>
              <w:pStyle w:val="TableBody"/>
            </w:pPr>
            <w:r w:rsidRPr="007E7EEB">
              <w:t>2012-13</w:t>
            </w:r>
          </w:p>
        </w:tc>
        <w:tc>
          <w:tcPr>
            <w:tcW w:w="1250" w:type="pct"/>
            <w:noWrap/>
            <w:hideMark/>
          </w:tcPr>
          <w:p w14:paraId="7187998D" w14:textId="77777777" w:rsidR="007E7EEB" w:rsidRPr="007E7EEB" w:rsidRDefault="007E7EEB" w:rsidP="001F550D">
            <w:pPr>
              <w:pStyle w:val="TableBodyRight"/>
            </w:pPr>
            <w:r w:rsidRPr="007E7EEB">
              <w:t>100.0%</w:t>
            </w:r>
          </w:p>
        </w:tc>
        <w:tc>
          <w:tcPr>
            <w:tcW w:w="1250" w:type="pct"/>
            <w:noWrap/>
            <w:hideMark/>
          </w:tcPr>
          <w:p w14:paraId="7A1AB6B9" w14:textId="77777777" w:rsidR="007E7EEB" w:rsidRPr="007E7EEB" w:rsidRDefault="007E7EEB" w:rsidP="001F550D">
            <w:pPr>
              <w:pStyle w:val="TableBodyRight"/>
            </w:pPr>
            <w:r w:rsidRPr="007E7EEB">
              <w:t>96.2%</w:t>
            </w:r>
          </w:p>
        </w:tc>
        <w:tc>
          <w:tcPr>
            <w:tcW w:w="1250" w:type="pct"/>
            <w:noWrap/>
            <w:hideMark/>
          </w:tcPr>
          <w:p w14:paraId="6DE0C4D3" w14:textId="77777777" w:rsidR="007E7EEB" w:rsidRPr="007E7EEB" w:rsidRDefault="007E7EEB" w:rsidP="001F550D">
            <w:pPr>
              <w:pStyle w:val="TableBodyRight"/>
            </w:pPr>
            <w:r w:rsidRPr="007E7EEB">
              <w:t>93.9%</w:t>
            </w:r>
          </w:p>
        </w:tc>
      </w:tr>
      <w:tr w:rsidR="00EE5910" w:rsidRPr="007E7EEB" w14:paraId="3E475578" w14:textId="77777777" w:rsidTr="006F7525">
        <w:trPr>
          <w:trHeight w:val="288"/>
        </w:trPr>
        <w:tc>
          <w:tcPr>
            <w:tcW w:w="1250" w:type="pct"/>
            <w:noWrap/>
            <w:hideMark/>
          </w:tcPr>
          <w:p w14:paraId="0A897E61" w14:textId="77777777" w:rsidR="007E7EEB" w:rsidRPr="007E7EEB" w:rsidRDefault="007E7EEB" w:rsidP="001F550D">
            <w:pPr>
              <w:pStyle w:val="TableBody"/>
            </w:pPr>
            <w:r w:rsidRPr="007E7EEB">
              <w:t>2013-14</w:t>
            </w:r>
          </w:p>
        </w:tc>
        <w:tc>
          <w:tcPr>
            <w:tcW w:w="1250" w:type="pct"/>
            <w:noWrap/>
            <w:hideMark/>
          </w:tcPr>
          <w:p w14:paraId="57C21020" w14:textId="77777777" w:rsidR="007E7EEB" w:rsidRPr="007E7EEB" w:rsidRDefault="007E7EEB" w:rsidP="001F550D">
            <w:pPr>
              <w:pStyle w:val="TableBodyRight"/>
            </w:pPr>
            <w:r w:rsidRPr="007E7EEB">
              <w:t>100.0%</w:t>
            </w:r>
          </w:p>
        </w:tc>
        <w:tc>
          <w:tcPr>
            <w:tcW w:w="1250" w:type="pct"/>
            <w:noWrap/>
            <w:hideMark/>
          </w:tcPr>
          <w:p w14:paraId="4AF18101" w14:textId="77777777" w:rsidR="007E7EEB" w:rsidRPr="007E7EEB" w:rsidRDefault="007E7EEB" w:rsidP="001F550D">
            <w:pPr>
              <w:pStyle w:val="TableBodyRight"/>
            </w:pPr>
            <w:r w:rsidRPr="007E7EEB">
              <w:t>90.9%</w:t>
            </w:r>
          </w:p>
        </w:tc>
        <w:tc>
          <w:tcPr>
            <w:tcW w:w="1250" w:type="pct"/>
            <w:noWrap/>
            <w:hideMark/>
          </w:tcPr>
          <w:p w14:paraId="2DEED3FD" w14:textId="77777777" w:rsidR="007E7EEB" w:rsidRPr="007E7EEB" w:rsidRDefault="007E7EEB" w:rsidP="001F550D">
            <w:pPr>
              <w:pStyle w:val="TableBodyRight"/>
            </w:pPr>
            <w:r w:rsidRPr="007E7EEB">
              <w:t>89.9%</w:t>
            </w:r>
          </w:p>
        </w:tc>
      </w:tr>
      <w:tr w:rsidR="00EE5910" w:rsidRPr="007E7EEB" w14:paraId="74EC8F53" w14:textId="77777777" w:rsidTr="006F7525">
        <w:trPr>
          <w:trHeight w:val="288"/>
        </w:trPr>
        <w:tc>
          <w:tcPr>
            <w:tcW w:w="1250" w:type="pct"/>
            <w:noWrap/>
            <w:hideMark/>
          </w:tcPr>
          <w:p w14:paraId="51A6BE26" w14:textId="77777777" w:rsidR="007E7EEB" w:rsidRPr="007E7EEB" w:rsidRDefault="007E7EEB" w:rsidP="001F550D">
            <w:pPr>
              <w:pStyle w:val="TableBody"/>
            </w:pPr>
            <w:r w:rsidRPr="007E7EEB">
              <w:t>2014-15</w:t>
            </w:r>
          </w:p>
        </w:tc>
        <w:tc>
          <w:tcPr>
            <w:tcW w:w="1250" w:type="pct"/>
            <w:noWrap/>
            <w:hideMark/>
          </w:tcPr>
          <w:p w14:paraId="04D9A4AE" w14:textId="77777777" w:rsidR="007E7EEB" w:rsidRPr="007E7EEB" w:rsidRDefault="007E7EEB" w:rsidP="001F550D">
            <w:pPr>
              <w:pStyle w:val="TableBodyRight"/>
            </w:pPr>
            <w:r w:rsidRPr="007E7EEB">
              <w:t>100.0%</w:t>
            </w:r>
          </w:p>
        </w:tc>
        <w:tc>
          <w:tcPr>
            <w:tcW w:w="1250" w:type="pct"/>
            <w:noWrap/>
            <w:hideMark/>
          </w:tcPr>
          <w:p w14:paraId="2C8F57C4" w14:textId="77777777" w:rsidR="007E7EEB" w:rsidRPr="007E7EEB" w:rsidRDefault="007E7EEB" w:rsidP="001F550D">
            <w:pPr>
              <w:pStyle w:val="TableBodyRight"/>
            </w:pPr>
            <w:r w:rsidRPr="007E7EEB">
              <w:t>97.0%</w:t>
            </w:r>
          </w:p>
        </w:tc>
        <w:tc>
          <w:tcPr>
            <w:tcW w:w="1250" w:type="pct"/>
            <w:noWrap/>
            <w:hideMark/>
          </w:tcPr>
          <w:p w14:paraId="1226C8A8" w14:textId="77777777" w:rsidR="007E7EEB" w:rsidRPr="007E7EEB" w:rsidRDefault="007E7EEB" w:rsidP="001F550D">
            <w:pPr>
              <w:pStyle w:val="TableBodyRight"/>
            </w:pPr>
            <w:r w:rsidRPr="007E7EEB">
              <w:t>87.0%</w:t>
            </w:r>
          </w:p>
        </w:tc>
      </w:tr>
      <w:tr w:rsidR="00EE5910" w:rsidRPr="007E7EEB" w14:paraId="5A97E60B" w14:textId="77777777" w:rsidTr="006F7525">
        <w:trPr>
          <w:trHeight w:val="288"/>
        </w:trPr>
        <w:tc>
          <w:tcPr>
            <w:tcW w:w="1250" w:type="pct"/>
            <w:noWrap/>
            <w:hideMark/>
          </w:tcPr>
          <w:p w14:paraId="32434922" w14:textId="77777777" w:rsidR="007E7EEB" w:rsidRPr="007E7EEB" w:rsidRDefault="007E7EEB" w:rsidP="001F550D">
            <w:pPr>
              <w:pStyle w:val="TableBody"/>
            </w:pPr>
            <w:r w:rsidRPr="007E7EEB">
              <w:t>2015-16</w:t>
            </w:r>
          </w:p>
        </w:tc>
        <w:tc>
          <w:tcPr>
            <w:tcW w:w="1250" w:type="pct"/>
            <w:noWrap/>
            <w:hideMark/>
          </w:tcPr>
          <w:p w14:paraId="5A595911" w14:textId="77777777" w:rsidR="007E7EEB" w:rsidRPr="007E7EEB" w:rsidRDefault="007E7EEB" w:rsidP="001F550D">
            <w:pPr>
              <w:pStyle w:val="TableBodyRight"/>
            </w:pPr>
            <w:r w:rsidRPr="007E7EEB">
              <w:t>100.0%</w:t>
            </w:r>
          </w:p>
        </w:tc>
        <w:tc>
          <w:tcPr>
            <w:tcW w:w="1250" w:type="pct"/>
            <w:noWrap/>
            <w:hideMark/>
          </w:tcPr>
          <w:p w14:paraId="30BAD876" w14:textId="77777777" w:rsidR="007E7EEB" w:rsidRPr="007E7EEB" w:rsidRDefault="007E7EEB" w:rsidP="001F550D">
            <w:pPr>
              <w:pStyle w:val="TableBodyRight"/>
            </w:pPr>
            <w:r w:rsidRPr="007E7EEB">
              <w:t>100.0%</w:t>
            </w:r>
          </w:p>
        </w:tc>
        <w:tc>
          <w:tcPr>
            <w:tcW w:w="1250" w:type="pct"/>
            <w:noWrap/>
            <w:hideMark/>
          </w:tcPr>
          <w:p w14:paraId="0B0F074E" w14:textId="77777777" w:rsidR="007E7EEB" w:rsidRPr="007E7EEB" w:rsidRDefault="007E7EEB" w:rsidP="001F550D">
            <w:pPr>
              <w:pStyle w:val="TableBodyRight"/>
            </w:pPr>
            <w:r w:rsidRPr="007E7EEB">
              <w:t>87.0%</w:t>
            </w:r>
          </w:p>
        </w:tc>
      </w:tr>
      <w:tr w:rsidR="00EE5910" w:rsidRPr="007E7EEB" w14:paraId="5A0B1762" w14:textId="77777777" w:rsidTr="006F7525">
        <w:trPr>
          <w:trHeight w:val="288"/>
        </w:trPr>
        <w:tc>
          <w:tcPr>
            <w:tcW w:w="1250" w:type="pct"/>
            <w:noWrap/>
            <w:hideMark/>
          </w:tcPr>
          <w:p w14:paraId="1061225E" w14:textId="77777777" w:rsidR="007E7EEB" w:rsidRPr="007E7EEB" w:rsidRDefault="007E7EEB" w:rsidP="001F550D">
            <w:pPr>
              <w:pStyle w:val="TableBody"/>
            </w:pPr>
            <w:r w:rsidRPr="007E7EEB">
              <w:t>2016-17</w:t>
            </w:r>
          </w:p>
        </w:tc>
        <w:tc>
          <w:tcPr>
            <w:tcW w:w="1250" w:type="pct"/>
            <w:noWrap/>
            <w:hideMark/>
          </w:tcPr>
          <w:p w14:paraId="797038FA" w14:textId="77777777" w:rsidR="007E7EEB" w:rsidRPr="007E7EEB" w:rsidRDefault="007E7EEB" w:rsidP="001F550D">
            <w:pPr>
              <w:pStyle w:val="TableBodyRight"/>
            </w:pPr>
            <w:r w:rsidRPr="007E7EEB">
              <w:t>100.0%</w:t>
            </w:r>
          </w:p>
        </w:tc>
        <w:tc>
          <w:tcPr>
            <w:tcW w:w="1250" w:type="pct"/>
            <w:noWrap/>
            <w:hideMark/>
          </w:tcPr>
          <w:p w14:paraId="6146BDF0" w14:textId="77777777" w:rsidR="007E7EEB" w:rsidRPr="007E7EEB" w:rsidRDefault="007E7EEB" w:rsidP="001F550D">
            <w:pPr>
              <w:pStyle w:val="TableBodyRight"/>
            </w:pPr>
            <w:r w:rsidRPr="007E7EEB">
              <w:t>90.0%</w:t>
            </w:r>
          </w:p>
        </w:tc>
        <w:tc>
          <w:tcPr>
            <w:tcW w:w="1250" w:type="pct"/>
            <w:noWrap/>
            <w:hideMark/>
          </w:tcPr>
          <w:p w14:paraId="71F18869" w14:textId="77777777" w:rsidR="007E7EEB" w:rsidRPr="007E7EEB" w:rsidRDefault="007E7EEB" w:rsidP="001F550D">
            <w:pPr>
              <w:pStyle w:val="TableBodyRight"/>
            </w:pPr>
            <w:r w:rsidRPr="007E7EEB">
              <w:t>97.0%</w:t>
            </w:r>
          </w:p>
        </w:tc>
      </w:tr>
      <w:tr w:rsidR="00EE5910" w:rsidRPr="007E7EEB" w14:paraId="328F431B" w14:textId="77777777" w:rsidTr="006F7525">
        <w:trPr>
          <w:trHeight w:val="288"/>
        </w:trPr>
        <w:tc>
          <w:tcPr>
            <w:tcW w:w="1250" w:type="pct"/>
            <w:noWrap/>
            <w:hideMark/>
          </w:tcPr>
          <w:p w14:paraId="768CF286" w14:textId="77777777" w:rsidR="007E7EEB" w:rsidRPr="007E7EEB" w:rsidRDefault="007E7EEB" w:rsidP="001F550D">
            <w:pPr>
              <w:pStyle w:val="TableBody"/>
            </w:pPr>
            <w:r w:rsidRPr="007E7EEB">
              <w:t>2017-18</w:t>
            </w:r>
          </w:p>
        </w:tc>
        <w:tc>
          <w:tcPr>
            <w:tcW w:w="1250" w:type="pct"/>
            <w:noWrap/>
            <w:hideMark/>
          </w:tcPr>
          <w:p w14:paraId="1840FC6A" w14:textId="77777777" w:rsidR="007E7EEB" w:rsidRPr="007E7EEB" w:rsidRDefault="007E7EEB" w:rsidP="001F550D">
            <w:pPr>
              <w:pStyle w:val="TableBodyRight"/>
            </w:pPr>
            <w:r w:rsidRPr="007E7EEB">
              <w:t>100.0%</w:t>
            </w:r>
          </w:p>
        </w:tc>
        <w:tc>
          <w:tcPr>
            <w:tcW w:w="1250" w:type="pct"/>
            <w:noWrap/>
            <w:hideMark/>
          </w:tcPr>
          <w:p w14:paraId="10201A32" w14:textId="77777777" w:rsidR="007E7EEB" w:rsidRPr="007E7EEB" w:rsidRDefault="007E7EEB" w:rsidP="001F550D">
            <w:pPr>
              <w:pStyle w:val="TableBodyRight"/>
            </w:pPr>
            <w:r w:rsidRPr="007E7EEB">
              <w:t>87.0%</w:t>
            </w:r>
          </w:p>
        </w:tc>
        <w:tc>
          <w:tcPr>
            <w:tcW w:w="1250" w:type="pct"/>
            <w:noWrap/>
            <w:hideMark/>
          </w:tcPr>
          <w:p w14:paraId="3A999FAB" w14:textId="77777777" w:rsidR="007E7EEB" w:rsidRPr="007E7EEB" w:rsidRDefault="007E7EEB" w:rsidP="001F550D">
            <w:pPr>
              <w:pStyle w:val="TableBodyRight"/>
            </w:pPr>
            <w:r w:rsidRPr="007E7EEB">
              <w:t>99.0%</w:t>
            </w:r>
          </w:p>
        </w:tc>
      </w:tr>
      <w:tr w:rsidR="00EE5910" w:rsidRPr="007E7EEB" w14:paraId="72B17B12" w14:textId="77777777" w:rsidTr="006F7525">
        <w:trPr>
          <w:trHeight w:val="288"/>
        </w:trPr>
        <w:tc>
          <w:tcPr>
            <w:tcW w:w="1250" w:type="pct"/>
            <w:noWrap/>
            <w:hideMark/>
          </w:tcPr>
          <w:p w14:paraId="3D0E306F" w14:textId="77777777" w:rsidR="007E7EEB" w:rsidRPr="007E7EEB" w:rsidRDefault="007E7EEB" w:rsidP="001F550D">
            <w:pPr>
              <w:pStyle w:val="TableBody"/>
            </w:pPr>
            <w:r w:rsidRPr="007E7EEB">
              <w:t>2018-19</w:t>
            </w:r>
          </w:p>
        </w:tc>
        <w:tc>
          <w:tcPr>
            <w:tcW w:w="1250" w:type="pct"/>
            <w:noWrap/>
            <w:hideMark/>
          </w:tcPr>
          <w:p w14:paraId="6464F30E" w14:textId="77777777" w:rsidR="007E7EEB" w:rsidRPr="007E7EEB" w:rsidRDefault="007E7EEB" w:rsidP="001F550D">
            <w:pPr>
              <w:pStyle w:val="TableBodyRight"/>
            </w:pPr>
            <w:r w:rsidRPr="007E7EEB">
              <w:t>100.0%</w:t>
            </w:r>
          </w:p>
        </w:tc>
        <w:tc>
          <w:tcPr>
            <w:tcW w:w="1250" w:type="pct"/>
            <w:noWrap/>
            <w:hideMark/>
          </w:tcPr>
          <w:p w14:paraId="0FCD4D09" w14:textId="77777777" w:rsidR="007E7EEB" w:rsidRPr="007E7EEB" w:rsidRDefault="007E7EEB" w:rsidP="001F550D">
            <w:pPr>
              <w:pStyle w:val="TableBodyRight"/>
            </w:pPr>
            <w:r w:rsidRPr="007E7EEB">
              <w:t>94.0%</w:t>
            </w:r>
          </w:p>
        </w:tc>
        <w:tc>
          <w:tcPr>
            <w:tcW w:w="1250" w:type="pct"/>
            <w:noWrap/>
            <w:hideMark/>
          </w:tcPr>
          <w:p w14:paraId="521109CA" w14:textId="77777777" w:rsidR="007E7EEB" w:rsidRPr="007E7EEB" w:rsidRDefault="007E7EEB" w:rsidP="001F550D">
            <w:pPr>
              <w:pStyle w:val="TableBodyRight"/>
            </w:pPr>
            <w:r w:rsidRPr="007E7EEB">
              <w:t>99.0%</w:t>
            </w:r>
          </w:p>
        </w:tc>
      </w:tr>
      <w:tr w:rsidR="00EE5910" w:rsidRPr="007E7EEB" w14:paraId="2E0FA071" w14:textId="77777777" w:rsidTr="006F7525">
        <w:trPr>
          <w:trHeight w:val="288"/>
        </w:trPr>
        <w:tc>
          <w:tcPr>
            <w:tcW w:w="1250" w:type="pct"/>
            <w:noWrap/>
            <w:hideMark/>
          </w:tcPr>
          <w:p w14:paraId="1DCB68F0" w14:textId="77777777" w:rsidR="007E7EEB" w:rsidRPr="007E7EEB" w:rsidRDefault="007E7EEB" w:rsidP="001F550D">
            <w:pPr>
              <w:pStyle w:val="TableBody"/>
            </w:pPr>
            <w:r w:rsidRPr="007E7EEB">
              <w:t>2019-20</w:t>
            </w:r>
          </w:p>
        </w:tc>
        <w:tc>
          <w:tcPr>
            <w:tcW w:w="1250" w:type="pct"/>
            <w:noWrap/>
            <w:hideMark/>
          </w:tcPr>
          <w:p w14:paraId="1F857B5B" w14:textId="77777777" w:rsidR="007E7EEB" w:rsidRPr="007E7EEB" w:rsidRDefault="007E7EEB" w:rsidP="001F550D">
            <w:pPr>
              <w:pStyle w:val="TableBodyRight"/>
            </w:pPr>
            <w:r w:rsidRPr="007E7EEB">
              <w:t>100.0%</w:t>
            </w:r>
          </w:p>
        </w:tc>
        <w:tc>
          <w:tcPr>
            <w:tcW w:w="1250" w:type="pct"/>
            <w:noWrap/>
            <w:hideMark/>
          </w:tcPr>
          <w:p w14:paraId="5EDA266D" w14:textId="77777777" w:rsidR="007E7EEB" w:rsidRPr="007E7EEB" w:rsidRDefault="007E7EEB" w:rsidP="001F550D">
            <w:pPr>
              <w:pStyle w:val="TableBodyRight"/>
            </w:pPr>
            <w:r w:rsidRPr="007E7EEB">
              <w:t>100.0%</w:t>
            </w:r>
          </w:p>
        </w:tc>
        <w:tc>
          <w:tcPr>
            <w:tcW w:w="1250" w:type="pct"/>
            <w:noWrap/>
            <w:hideMark/>
          </w:tcPr>
          <w:p w14:paraId="720111AA" w14:textId="77777777" w:rsidR="007E7EEB" w:rsidRPr="007E7EEB" w:rsidRDefault="007E7EEB" w:rsidP="001F550D">
            <w:pPr>
              <w:pStyle w:val="TableBodyRight"/>
            </w:pPr>
            <w:r w:rsidRPr="007E7EEB">
              <w:t>100.0%</w:t>
            </w:r>
          </w:p>
        </w:tc>
      </w:tr>
      <w:tr w:rsidR="00EE5910" w:rsidRPr="007E7EEB" w14:paraId="56EC51D5" w14:textId="77777777" w:rsidTr="006F7525">
        <w:trPr>
          <w:trHeight w:val="288"/>
        </w:trPr>
        <w:tc>
          <w:tcPr>
            <w:tcW w:w="1250" w:type="pct"/>
            <w:noWrap/>
            <w:hideMark/>
          </w:tcPr>
          <w:p w14:paraId="288AE84B" w14:textId="77777777" w:rsidR="007E7EEB" w:rsidRPr="007E7EEB" w:rsidRDefault="007E7EEB" w:rsidP="001F550D">
            <w:pPr>
              <w:pStyle w:val="TableBody"/>
            </w:pPr>
            <w:r w:rsidRPr="007E7EEB">
              <w:t>2020-21</w:t>
            </w:r>
          </w:p>
        </w:tc>
        <w:tc>
          <w:tcPr>
            <w:tcW w:w="1250" w:type="pct"/>
            <w:noWrap/>
            <w:hideMark/>
          </w:tcPr>
          <w:p w14:paraId="73FE4588" w14:textId="77777777" w:rsidR="007E7EEB" w:rsidRPr="007E7EEB" w:rsidRDefault="007E7EEB" w:rsidP="001F550D">
            <w:pPr>
              <w:pStyle w:val="TableBodyRight"/>
            </w:pPr>
            <w:r w:rsidRPr="007E7EEB">
              <w:t>100.0%</w:t>
            </w:r>
          </w:p>
        </w:tc>
        <w:tc>
          <w:tcPr>
            <w:tcW w:w="1250" w:type="pct"/>
            <w:noWrap/>
            <w:hideMark/>
          </w:tcPr>
          <w:p w14:paraId="7CBE6CC3" w14:textId="77777777" w:rsidR="007E7EEB" w:rsidRPr="007E7EEB" w:rsidRDefault="007E7EEB" w:rsidP="001F550D">
            <w:pPr>
              <w:pStyle w:val="TableBodyRight"/>
            </w:pPr>
            <w:r w:rsidRPr="007E7EEB">
              <w:t>100.0%</w:t>
            </w:r>
          </w:p>
        </w:tc>
        <w:tc>
          <w:tcPr>
            <w:tcW w:w="1250" w:type="pct"/>
            <w:noWrap/>
            <w:hideMark/>
          </w:tcPr>
          <w:p w14:paraId="305F6682" w14:textId="77777777" w:rsidR="007E7EEB" w:rsidRPr="007E7EEB" w:rsidRDefault="007E7EEB" w:rsidP="001F550D">
            <w:pPr>
              <w:pStyle w:val="TableBodyRight"/>
            </w:pPr>
            <w:r w:rsidRPr="007E7EEB">
              <w:t>95.0%</w:t>
            </w:r>
          </w:p>
        </w:tc>
      </w:tr>
    </w:tbl>
    <w:p w14:paraId="7F768C44" w14:textId="305FF335" w:rsidR="00E62AE6" w:rsidRPr="0031029F" w:rsidRDefault="00E62AE6" w:rsidP="0031029F">
      <w:r w:rsidRPr="0031029F">
        <w:lastRenderedPageBreak/>
        <w:t>The lengths of prison sentences for trafficking in or cultivating a commercial quantity of drugs or narcotic plants did not change significantly in the last two decades, fluctuating within a relatively stable range (Figure</w:t>
      </w:r>
      <w:r w:rsidR="00C74D6E">
        <w:t>s</w:t>
      </w:r>
      <w:r w:rsidRPr="0031029F">
        <w:t xml:space="preserve"> 13 and 14). It is, though, plausible that prison sentences for trafficking in a commercial quantity of drugs were beginning to increase in 2018–19 and 2019–20, and that COVID-19 is the cause of the decrease in 2020–21.</w:t>
      </w:r>
      <w:r w:rsidRPr="00E62AE6">
        <w:rPr>
          <w:rStyle w:val="Superscript"/>
        </w:rPr>
        <w:footnoteReference w:id="28"/>
      </w:r>
      <w:r w:rsidRPr="0031029F">
        <w:t xml:space="preserve"> The Court of Appeal in 2017 called for an increase in sentencing practices in the ‘upper category’ of this offence, so the timing would match.</w:t>
      </w:r>
      <w:r w:rsidRPr="00E62AE6">
        <w:rPr>
          <w:rStyle w:val="Superscript"/>
        </w:rPr>
        <w:footnoteReference w:id="29"/>
      </w:r>
      <w:r w:rsidRPr="0031029F">
        <w:t xml:space="preserve"> There was also a more sustained and significant increase in the average prison sentences for trafficking in a large commercial quantity of drugs. In the last two decades excluding 2002–03 (in which there were only two cases, both extreme outliers), the average charge-level sentence length increased by 76.8%, the average total effective sentence increased by 118.8% and the average non-parole period increased by 135.7%. These increases may be partly explained, as the Court of Appeal later clarified, by the increase in prison sentence lengths for trafficking in a commercial quantity of drugs, which was expected to have a ‘knock-on effect’ on prison sentence lengths for trafficking in a large commercial quantity of drugs.</w:t>
      </w:r>
      <w:r w:rsidRPr="00E62AE6">
        <w:rPr>
          <w:rStyle w:val="Superscript"/>
        </w:rPr>
        <w:footnoteReference w:id="30"/>
      </w:r>
      <w:r w:rsidRPr="0031029F">
        <w:t xml:space="preserve"> It would, however, appear that the increases in prison sentence lengths for trafficking in a large commercial quantity of drugs are part of a much longer-term trend.</w:t>
      </w:r>
    </w:p>
    <w:p w14:paraId="01EFF861" w14:textId="77777777" w:rsidR="00E62AE6" w:rsidRPr="00E62AE6" w:rsidRDefault="00E62AE6" w:rsidP="00E5783B">
      <w:pPr>
        <w:pStyle w:val="Caption"/>
      </w:pPr>
      <w:r w:rsidRPr="00E62AE6">
        <w:lastRenderedPageBreak/>
        <w:t>Figure 13: Average charge-level prison sentences for serious drug offences, 2002–03 to 2020–21</w:t>
      </w:r>
    </w:p>
    <w:tbl>
      <w:tblPr>
        <w:tblStyle w:val="Table"/>
        <w:tblW w:w="5000" w:type="pct"/>
        <w:tblLayout w:type="fixed"/>
        <w:tblLook w:val="04A0" w:firstRow="1" w:lastRow="0" w:firstColumn="1" w:lastColumn="0" w:noHBand="0" w:noVBand="1"/>
      </w:tblPr>
      <w:tblGrid>
        <w:gridCol w:w="2254"/>
        <w:gridCol w:w="2254"/>
        <w:gridCol w:w="2254"/>
        <w:gridCol w:w="2254"/>
      </w:tblGrid>
      <w:tr w:rsidR="00FB3B50" w:rsidRPr="005C05FF" w14:paraId="49E40B8F" w14:textId="77777777" w:rsidTr="006F7525">
        <w:trPr>
          <w:trHeight w:val="288"/>
          <w:tblHeader/>
        </w:trPr>
        <w:tc>
          <w:tcPr>
            <w:tcW w:w="1250" w:type="pct"/>
            <w:noWrap/>
            <w:hideMark/>
          </w:tcPr>
          <w:p w14:paraId="4B17B364" w14:textId="77777777" w:rsidR="005C05FF" w:rsidRPr="005C05FF" w:rsidRDefault="005C05FF" w:rsidP="00FB3B50">
            <w:pPr>
              <w:pStyle w:val="TableHeading"/>
            </w:pPr>
            <w:r w:rsidRPr="005C05FF">
              <w:t>Financial year</w:t>
            </w:r>
          </w:p>
        </w:tc>
        <w:tc>
          <w:tcPr>
            <w:tcW w:w="1250" w:type="pct"/>
            <w:noWrap/>
            <w:hideMark/>
          </w:tcPr>
          <w:p w14:paraId="6749EB40" w14:textId="5F28378F" w:rsidR="005C05FF" w:rsidRPr="005C05FF" w:rsidRDefault="005C05FF" w:rsidP="00BE1E63">
            <w:pPr>
              <w:pStyle w:val="TableHeadingRight"/>
            </w:pPr>
            <w:r w:rsidRPr="005C05FF">
              <w:t xml:space="preserve">Traffick </w:t>
            </w:r>
            <w:r w:rsidR="007C1926">
              <w:t>in a large commercial quantity</w:t>
            </w:r>
          </w:p>
        </w:tc>
        <w:tc>
          <w:tcPr>
            <w:tcW w:w="1250" w:type="pct"/>
            <w:noWrap/>
            <w:hideMark/>
          </w:tcPr>
          <w:p w14:paraId="19D2F3FB" w14:textId="39B6A867" w:rsidR="005C05FF" w:rsidRPr="005C05FF" w:rsidRDefault="005C05FF" w:rsidP="00BE1E63">
            <w:pPr>
              <w:pStyle w:val="TableHeadingRight"/>
            </w:pPr>
            <w:r w:rsidRPr="005C05FF">
              <w:t xml:space="preserve">Traffick </w:t>
            </w:r>
            <w:r w:rsidR="00CE2866">
              <w:t>in a commercial quantity</w:t>
            </w:r>
          </w:p>
        </w:tc>
        <w:tc>
          <w:tcPr>
            <w:tcW w:w="1250" w:type="pct"/>
            <w:noWrap/>
            <w:hideMark/>
          </w:tcPr>
          <w:p w14:paraId="4CE6B614" w14:textId="0649C18D" w:rsidR="005C05FF" w:rsidRPr="005C05FF" w:rsidRDefault="005C05FF" w:rsidP="00BE1E63">
            <w:pPr>
              <w:pStyle w:val="TableHeadingRight"/>
            </w:pPr>
            <w:r w:rsidRPr="005C05FF">
              <w:t xml:space="preserve">Cultivate </w:t>
            </w:r>
            <w:r w:rsidR="006F5D16">
              <w:t>a commercial quantity</w:t>
            </w:r>
          </w:p>
        </w:tc>
      </w:tr>
      <w:tr w:rsidR="005C05FF" w:rsidRPr="005C05FF" w14:paraId="3346E676" w14:textId="77777777" w:rsidTr="006F7525">
        <w:trPr>
          <w:trHeight w:val="288"/>
        </w:trPr>
        <w:tc>
          <w:tcPr>
            <w:tcW w:w="1250" w:type="pct"/>
            <w:noWrap/>
            <w:hideMark/>
          </w:tcPr>
          <w:p w14:paraId="4C9C552D" w14:textId="77777777" w:rsidR="005C05FF" w:rsidRPr="005C05FF" w:rsidRDefault="005C05FF" w:rsidP="001F550D">
            <w:pPr>
              <w:pStyle w:val="TableBody"/>
            </w:pPr>
            <w:r w:rsidRPr="005C05FF">
              <w:t>2002-03</w:t>
            </w:r>
          </w:p>
        </w:tc>
        <w:tc>
          <w:tcPr>
            <w:tcW w:w="1250" w:type="pct"/>
            <w:noWrap/>
            <w:hideMark/>
          </w:tcPr>
          <w:p w14:paraId="247C6C3A" w14:textId="59199476" w:rsidR="005C05FF" w:rsidRPr="005C05FF" w:rsidRDefault="00BE1E63" w:rsidP="00BE1E63">
            <w:pPr>
              <w:pStyle w:val="TableBodyRight"/>
            </w:pPr>
            <w:proofErr w:type="spellStart"/>
            <w:r>
              <w:t>n.a.</w:t>
            </w:r>
            <w:proofErr w:type="spellEnd"/>
          </w:p>
        </w:tc>
        <w:tc>
          <w:tcPr>
            <w:tcW w:w="1250" w:type="pct"/>
            <w:noWrap/>
            <w:hideMark/>
          </w:tcPr>
          <w:p w14:paraId="5450AE7B" w14:textId="77777777" w:rsidR="005C05FF" w:rsidRPr="005C05FF" w:rsidRDefault="005C05FF" w:rsidP="001F550D">
            <w:pPr>
              <w:pStyle w:val="TableBodyRight"/>
            </w:pPr>
            <w:r w:rsidRPr="005C05FF">
              <w:t>5.7</w:t>
            </w:r>
          </w:p>
        </w:tc>
        <w:tc>
          <w:tcPr>
            <w:tcW w:w="1250" w:type="pct"/>
            <w:noWrap/>
            <w:hideMark/>
          </w:tcPr>
          <w:p w14:paraId="3642947A" w14:textId="77777777" w:rsidR="005C05FF" w:rsidRPr="005C05FF" w:rsidRDefault="005C05FF" w:rsidP="001F550D">
            <w:pPr>
              <w:pStyle w:val="TableBodyRight"/>
            </w:pPr>
            <w:r w:rsidRPr="005C05FF">
              <w:t>2.9</w:t>
            </w:r>
          </w:p>
        </w:tc>
      </w:tr>
      <w:tr w:rsidR="005C05FF" w:rsidRPr="005C05FF" w14:paraId="617C3096" w14:textId="77777777" w:rsidTr="006F7525">
        <w:trPr>
          <w:trHeight w:val="288"/>
        </w:trPr>
        <w:tc>
          <w:tcPr>
            <w:tcW w:w="1250" w:type="pct"/>
            <w:noWrap/>
            <w:hideMark/>
          </w:tcPr>
          <w:p w14:paraId="4204040D" w14:textId="77777777" w:rsidR="005C05FF" w:rsidRPr="005C05FF" w:rsidRDefault="005C05FF" w:rsidP="001F550D">
            <w:pPr>
              <w:pStyle w:val="TableBody"/>
            </w:pPr>
            <w:r w:rsidRPr="005C05FF">
              <w:t>2003-04</w:t>
            </w:r>
          </w:p>
        </w:tc>
        <w:tc>
          <w:tcPr>
            <w:tcW w:w="1250" w:type="pct"/>
            <w:noWrap/>
            <w:hideMark/>
          </w:tcPr>
          <w:p w14:paraId="2F1C2FA1" w14:textId="77777777" w:rsidR="005C05FF" w:rsidRPr="005C05FF" w:rsidRDefault="005C05FF" w:rsidP="001F550D">
            <w:pPr>
              <w:pStyle w:val="TableBodyRight"/>
            </w:pPr>
            <w:r w:rsidRPr="005C05FF">
              <w:t>5.8</w:t>
            </w:r>
          </w:p>
        </w:tc>
        <w:tc>
          <w:tcPr>
            <w:tcW w:w="1250" w:type="pct"/>
            <w:noWrap/>
            <w:hideMark/>
          </w:tcPr>
          <w:p w14:paraId="675C0336" w14:textId="77777777" w:rsidR="005C05FF" w:rsidRPr="005C05FF" w:rsidRDefault="005C05FF" w:rsidP="001F550D">
            <w:pPr>
              <w:pStyle w:val="TableBodyRight"/>
            </w:pPr>
            <w:r w:rsidRPr="005C05FF">
              <w:t>4.7</w:t>
            </w:r>
          </w:p>
        </w:tc>
        <w:tc>
          <w:tcPr>
            <w:tcW w:w="1250" w:type="pct"/>
            <w:noWrap/>
            <w:hideMark/>
          </w:tcPr>
          <w:p w14:paraId="4FF412A5" w14:textId="77777777" w:rsidR="005C05FF" w:rsidRPr="005C05FF" w:rsidRDefault="005C05FF" w:rsidP="001F550D">
            <w:pPr>
              <w:pStyle w:val="TableBodyRight"/>
            </w:pPr>
            <w:r w:rsidRPr="005C05FF">
              <w:t>2.1</w:t>
            </w:r>
          </w:p>
        </w:tc>
      </w:tr>
      <w:tr w:rsidR="005C05FF" w:rsidRPr="005C05FF" w14:paraId="455600AD" w14:textId="77777777" w:rsidTr="006F7525">
        <w:trPr>
          <w:trHeight w:val="288"/>
        </w:trPr>
        <w:tc>
          <w:tcPr>
            <w:tcW w:w="1250" w:type="pct"/>
            <w:noWrap/>
            <w:hideMark/>
          </w:tcPr>
          <w:p w14:paraId="7460D2DD" w14:textId="77777777" w:rsidR="005C05FF" w:rsidRPr="005C05FF" w:rsidRDefault="005C05FF" w:rsidP="001F550D">
            <w:pPr>
              <w:pStyle w:val="TableBody"/>
            </w:pPr>
            <w:r w:rsidRPr="005C05FF">
              <w:t>2004-05</w:t>
            </w:r>
          </w:p>
        </w:tc>
        <w:tc>
          <w:tcPr>
            <w:tcW w:w="1250" w:type="pct"/>
            <w:noWrap/>
            <w:hideMark/>
          </w:tcPr>
          <w:p w14:paraId="41866976" w14:textId="77777777" w:rsidR="005C05FF" w:rsidRPr="005C05FF" w:rsidRDefault="005C05FF" w:rsidP="001F550D">
            <w:pPr>
              <w:pStyle w:val="TableBodyRight"/>
            </w:pPr>
            <w:r w:rsidRPr="005C05FF">
              <w:t>6.0</w:t>
            </w:r>
          </w:p>
        </w:tc>
        <w:tc>
          <w:tcPr>
            <w:tcW w:w="1250" w:type="pct"/>
            <w:noWrap/>
            <w:hideMark/>
          </w:tcPr>
          <w:p w14:paraId="5C88B366" w14:textId="77777777" w:rsidR="005C05FF" w:rsidRPr="005C05FF" w:rsidRDefault="005C05FF" w:rsidP="001F550D">
            <w:pPr>
              <w:pStyle w:val="TableBodyRight"/>
            </w:pPr>
            <w:r w:rsidRPr="005C05FF">
              <w:t>4.1</w:t>
            </w:r>
          </w:p>
        </w:tc>
        <w:tc>
          <w:tcPr>
            <w:tcW w:w="1250" w:type="pct"/>
            <w:noWrap/>
            <w:hideMark/>
          </w:tcPr>
          <w:p w14:paraId="0357409A" w14:textId="77777777" w:rsidR="005C05FF" w:rsidRPr="005C05FF" w:rsidRDefault="005C05FF" w:rsidP="001F550D">
            <w:pPr>
              <w:pStyle w:val="TableBodyRight"/>
            </w:pPr>
            <w:r w:rsidRPr="005C05FF">
              <w:t>2.6</w:t>
            </w:r>
          </w:p>
        </w:tc>
      </w:tr>
      <w:tr w:rsidR="005C05FF" w:rsidRPr="005C05FF" w14:paraId="3EE89E7C" w14:textId="77777777" w:rsidTr="006F7525">
        <w:trPr>
          <w:trHeight w:val="288"/>
        </w:trPr>
        <w:tc>
          <w:tcPr>
            <w:tcW w:w="1250" w:type="pct"/>
            <w:noWrap/>
            <w:hideMark/>
          </w:tcPr>
          <w:p w14:paraId="0F64D78D" w14:textId="77777777" w:rsidR="005C05FF" w:rsidRPr="005C05FF" w:rsidRDefault="005C05FF" w:rsidP="001F550D">
            <w:pPr>
              <w:pStyle w:val="TableBody"/>
            </w:pPr>
            <w:r w:rsidRPr="005C05FF">
              <w:t>2005-06</w:t>
            </w:r>
          </w:p>
        </w:tc>
        <w:tc>
          <w:tcPr>
            <w:tcW w:w="1250" w:type="pct"/>
            <w:noWrap/>
            <w:hideMark/>
          </w:tcPr>
          <w:p w14:paraId="2AADE283" w14:textId="77777777" w:rsidR="005C05FF" w:rsidRPr="005C05FF" w:rsidRDefault="005C05FF" w:rsidP="001F550D">
            <w:pPr>
              <w:pStyle w:val="TableBodyRight"/>
            </w:pPr>
            <w:r w:rsidRPr="005C05FF">
              <w:t>7.1</w:t>
            </w:r>
          </w:p>
        </w:tc>
        <w:tc>
          <w:tcPr>
            <w:tcW w:w="1250" w:type="pct"/>
            <w:noWrap/>
            <w:hideMark/>
          </w:tcPr>
          <w:p w14:paraId="6BD78E75" w14:textId="77777777" w:rsidR="005C05FF" w:rsidRPr="005C05FF" w:rsidRDefault="005C05FF" w:rsidP="001F550D">
            <w:pPr>
              <w:pStyle w:val="TableBodyRight"/>
            </w:pPr>
            <w:r w:rsidRPr="005C05FF">
              <w:t>3.9</w:t>
            </w:r>
          </w:p>
        </w:tc>
        <w:tc>
          <w:tcPr>
            <w:tcW w:w="1250" w:type="pct"/>
            <w:noWrap/>
            <w:hideMark/>
          </w:tcPr>
          <w:p w14:paraId="47811AA9" w14:textId="77777777" w:rsidR="005C05FF" w:rsidRPr="005C05FF" w:rsidRDefault="005C05FF" w:rsidP="001F550D">
            <w:pPr>
              <w:pStyle w:val="TableBodyRight"/>
            </w:pPr>
            <w:r w:rsidRPr="005C05FF">
              <w:t>2.2</w:t>
            </w:r>
          </w:p>
        </w:tc>
      </w:tr>
      <w:tr w:rsidR="005C05FF" w:rsidRPr="005C05FF" w14:paraId="00B73C62" w14:textId="77777777" w:rsidTr="006F7525">
        <w:trPr>
          <w:trHeight w:val="288"/>
        </w:trPr>
        <w:tc>
          <w:tcPr>
            <w:tcW w:w="1250" w:type="pct"/>
            <w:noWrap/>
            <w:hideMark/>
          </w:tcPr>
          <w:p w14:paraId="7D14D3C2" w14:textId="77777777" w:rsidR="005C05FF" w:rsidRPr="005C05FF" w:rsidRDefault="005C05FF" w:rsidP="001F550D">
            <w:pPr>
              <w:pStyle w:val="TableBody"/>
            </w:pPr>
            <w:r w:rsidRPr="005C05FF">
              <w:t>2006-07</w:t>
            </w:r>
          </w:p>
        </w:tc>
        <w:tc>
          <w:tcPr>
            <w:tcW w:w="1250" w:type="pct"/>
            <w:noWrap/>
            <w:hideMark/>
          </w:tcPr>
          <w:p w14:paraId="230CBC14" w14:textId="77777777" w:rsidR="005C05FF" w:rsidRPr="005C05FF" w:rsidRDefault="005C05FF" w:rsidP="001F550D">
            <w:pPr>
              <w:pStyle w:val="TableBodyRight"/>
            </w:pPr>
            <w:r w:rsidRPr="005C05FF">
              <w:t>6.5</w:t>
            </w:r>
          </w:p>
        </w:tc>
        <w:tc>
          <w:tcPr>
            <w:tcW w:w="1250" w:type="pct"/>
            <w:noWrap/>
            <w:hideMark/>
          </w:tcPr>
          <w:p w14:paraId="3A9815D2" w14:textId="77777777" w:rsidR="005C05FF" w:rsidRPr="005C05FF" w:rsidRDefault="005C05FF" w:rsidP="001F550D">
            <w:pPr>
              <w:pStyle w:val="TableBodyRight"/>
            </w:pPr>
            <w:r w:rsidRPr="005C05FF">
              <w:t>4.3</w:t>
            </w:r>
          </w:p>
        </w:tc>
        <w:tc>
          <w:tcPr>
            <w:tcW w:w="1250" w:type="pct"/>
            <w:noWrap/>
            <w:hideMark/>
          </w:tcPr>
          <w:p w14:paraId="7789E8DC" w14:textId="77777777" w:rsidR="005C05FF" w:rsidRPr="005C05FF" w:rsidRDefault="005C05FF" w:rsidP="001F550D">
            <w:pPr>
              <w:pStyle w:val="TableBodyRight"/>
            </w:pPr>
            <w:r w:rsidRPr="005C05FF">
              <w:t>2.5</w:t>
            </w:r>
          </w:p>
        </w:tc>
      </w:tr>
      <w:tr w:rsidR="005C05FF" w:rsidRPr="005C05FF" w14:paraId="51BA16E5" w14:textId="77777777" w:rsidTr="006F7525">
        <w:trPr>
          <w:trHeight w:val="288"/>
        </w:trPr>
        <w:tc>
          <w:tcPr>
            <w:tcW w:w="1250" w:type="pct"/>
            <w:noWrap/>
            <w:hideMark/>
          </w:tcPr>
          <w:p w14:paraId="109423D7" w14:textId="77777777" w:rsidR="005C05FF" w:rsidRPr="005C05FF" w:rsidRDefault="005C05FF" w:rsidP="001F550D">
            <w:pPr>
              <w:pStyle w:val="TableBody"/>
            </w:pPr>
            <w:r w:rsidRPr="005C05FF">
              <w:t>2007-08</w:t>
            </w:r>
          </w:p>
        </w:tc>
        <w:tc>
          <w:tcPr>
            <w:tcW w:w="1250" w:type="pct"/>
            <w:noWrap/>
            <w:hideMark/>
          </w:tcPr>
          <w:p w14:paraId="1E2FB757" w14:textId="77777777" w:rsidR="005C05FF" w:rsidRPr="005C05FF" w:rsidRDefault="005C05FF" w:rsidP="001F550D">
            <w:pPr>
              <w:pStyle w:val="TableBodyRight"/>
            </w:pPr>
            <w:r w:rsidRPr="005C05FF">
              <w:t>8.1</w:t>
            </w:r>
          </w:p>
        </w:tc>
        <w:tc>
          <w:tcPr>
            <w:tcW w:w="1250" w:type="pct"/>
            <w:noWrap/>
            <w:hideMark/>
          </w:tcPr>
          <w:p w14:paraId="2799477B" w14:textId="77777777" w:rsidR="005C05FF" w:rsidRPr="005C05FF" w:rsidRDefault="005C05FF" w:rsidP="001F550D">
            <w:pPr>
              <w:pStyle w:val="TableBodyRight"/>
            </w:pPr>
            <w:r w:rsidRPr="005C05FF">
              <w:t>3.6</w:t>
            </w:r>
          </w:p>
        </w:tc>
        <w:tc>
          <w:tcPr>
            <w:tcW w:w="1250" w:type="pct"/>
            <w:noWrap/>
            <w:hideMark/>
          </w:tcPr>
          <w:p w14:paraId="3E5804BA" w14:textId="77777777" w:rsidR="005C05FF" w:rsidRPr="005C05FF" w:rsidRDefault="005C05FF" w:rsidP="001F550D">
            <w:pPr>
              <w:pStyle w:val="TableBodyRight"/>
            </w:pPr>
            <w:r w:rsidRPr="005C05FF">
              <w:t>2.1</w:t>
            </w:r>
          </w:p>
        </w:tc>
      </w:tr>
      <w:tr w:rsidR="005C05FF" w:rsidRPr="005C05FF" w14:paraId="3BFF4746" w14:textId="77777777" w:rsidTr="006F7525">
        <w:trPr>
          <w:trHeight w:val="288"/>
        </w:trPr>
        <w:tc>
          <w:tcPr>
            <w:tcW w:w="1250" w:type="pct"/>
            <w:noWrap/>
            <w:hideMark/>
          </w:tcPr>
          <w:p w14:paraId="6B0D1DB7" w14:textId="77777777" w:rsidR="005C05FF" w:rsidRPr="005C05FF" w:rsidRDefault="005C05FF" w:rsidP="001F550D">
            <w:pPr>
              <w:pStyle w:val="TableBody"/>
            </w:pPr>
            <w:r w:rsidRPr="005C05FF">
              <w:t>2008-09</w:t>
            </w:r>
          </w:p>
        </w:tc>
        <w:tc>
          <w:tcPr>
            <w:tcW w:w="1250" w:type="pct"/>
            <w:noWrap/>
            <w:hideMark/>
          </w:tcPr>
          <w:p w14:paraId="7139DD1B" w14:textId="77777777" w:rsidR="005C05FF" w:rsidRPr="005C05FF" w:rsidRDefault="005C05FF" w:rsidP="001F550D">
            <w:pPr>
              <w:pStyle w:val="TableBodyRight"/>
            </w:pPr>
            <w:r w:rsidRPr="005C05FF">
              <w:t>7.1</w:t>
            </w:r>
          </w:p>
        </w:tc>
        <w:tc>
          <w:tcPr>
            <w:tcW w:w="1250" w:type="pct"/>
            <w:noWrap/>
            <w:hideMark/>
          </w:tcPr>
          <w:p w14:paraId="53E436BD" w14:textId="77777777" w:rsidR="005C05FF" w:rsidRPr="005C05FF" w:rsidRDefault="005C05FF" w:rsidP="001F550D">
            <w:pPr>
              <w:pStyle w:val="TableBodyRight"/>
            </w:pPr>
            <w:r w:rsidRPr="005C05FF">
              <w:t>3.7</w:t>
            </w:r>
          </w:p>
        </w:tc>
        <w:tc>
          <w:tcPr>
            <w:tcW w:w="1250" w:type="pct"/>
            <w:noWrap/>
            <w:hideMark/>
          </w:tcPr>
          <w:p w14:paraId="7514DA15" w14:textId="77777777" w:rsidR="005C05FF" w:rsidRPr="005C05FF" w:rsidRDefault="005C05FF" w:rsidP="001F550D">
            <w:pPr>
              <w:pStyle w:val="TableBodyRight"/>
            </w:pPr>
            <w:r w:rsidRPr="005C05FF">
              <w:t>2.3</w:t>
            </w:r>
          </w:p>
        </w:tc>
      </w:tr>
      <w:tr w:rsidR="005C05FF" w:rsidRPr="005C05FF" w14:paraId="42037D7B" w14:textId="77777777" w:rsidTr="006F7525">
        <w:trPr>
          <w:trHeight w:val="288"/>
        </w:trPr>
        <w:tc>
          <w:tcPr>
            <w:tcW w:w="1250" w:type="pct"/>
            <w:noWrap/>
            <w:hideMark/>
          </w:tcPr>
          <w:p w14:paraId="4B5E14C8" w14:textId="77777777" w:rsidR="005C05FF" w:rsidRPr="005C05FF" w:rsidRDefault="005C05FF" w:rsidP="001F550D">
            <w:pPr>
              <w:pStyle w:val="TableBody"/>
            </w:pPr>
            <w:r w:rsidRPr="005C05FF">
              <w:t>2009-10</w:t>
            </w:r>
          </w:p>
        </w:tc>
        <w:tc>
          <w:tcPr>
            <w:tcW w:w="1250" w:type="pct"/>
            <w:noWrap/>
            <w:hideMark/>
          </w:tcPr>
          <w:p w14:paraId="73501A04" w14:textId="77777777" w:rsidR="005C05FF" w:rsidRPr="005C05FF" w:rsidRDefault="005C05FF" w:rsidP="001F550D">
            <w:pPr>
              <w:pStyle w:val="TableBodyRight"/>
            </w:pPr>
            <w:r w:rsidRPr="005C05FF">
              <w:t>8.6</w:t>
            </w:r>
          </w:p>
        </w:tc>
        <w:tc>
          <w:tcPr>
            <w:tcW w:w="1250" w:type="pct"/>
            <w:noWrap/>
            <w:hideMark/>
          </w:tcPr>
          <w:p w14:paraId="6302F1BA" w14:textId="77777777" w:rsidR="005C05FF" w:rsidRPr="005C05FF" w:rsidRDefault="005C05FF" w:rsidP="001F550D">
            <w:pPr>
              <w:pStyle w:val="TableBodyRight"/>
            </w:pPr>
            <w:r w:rsidRPr="005C05FF">
              <w:t>3.8</w:t>
            </w:r>
          </w:p>
        </w:tc>
        <w:tc>
          <w:tcPr>
            <w:tcW w:w="1250" w:type="pct"/>
            <w:noWrap/>
            <w:hideMark/>
          </w:tcPr>
          <w:p w14:paraId="03006A87" w14:textId="77777777" w:rsidR="005C05FF" w:rsidRPr="005C05FF" w:rsidRDefault="005C05FF" w:rsidP="001F550D">
            <w:pPr>
              <w:pStyle w:val="TableBodyRight"/>
            </w:pPr>
            <w:r w:rsidRPr="005C05FF">
              <w:t>2.6</w:t>
            </w:r>
          </w:p>
        </w:tc>
      </w:tr>
      <w:tr w:rsidR="005C05FF" w:rsidRPr="005C05FF" w14:paraId="22323133" w14:textId="77777777" w:rsidTr="006F7525">
        <w:trPr>
          <w:trHeight w:val="288"/>
        </w:trPr>
        <w:tc>
          <w:tcPr>
            <w:tcW w:w="1250" w:type="pct"/>
            <w:noWrap/>
            <w:hideMark/>
          </w:tcPr>
          <w:p w14:paraId="1AF1B99F" w14:textId="77777777" w:rsidR="005C05FF" w:rsidRPr="005C05FF" w:rsidRDefault="005C05FF" w:rsidP="001F550D">
            <w:pPr>
              <w:pStyle w:val="TableBody"/>
            </w:pPr>
            <w:r w:rsidRPr="005C05FF">
              <w:t>2010-11</w:t>
            </w:r>
          </w:p>
        </w:tc>
        <w:tc>
          <w:tcPr>
            <w:tcW w:w="1250" w:type="pct"/>
            <w:noWrap/>
            <w:hideMark/>
          </w:tcPr>
          <w:p w14:paraId="466ABC63" w14:textId="77777777" w:rsidR="005C05FF" w:rsidRPr="005C05FF" w:rsidRDefault="005C05FF" w:rsidP="001F550D">
            <w:pPr>
              <w:pStyle w:val="TableBodyRight"/>
            </w:pPr>
            <w:r w:rsidRPr="005C05FF">
              <w:t>6.9</w:t>
            </w:r>
          </w:p>
        </w:tc>
        <w:tc>
          <w:tcPr>
            <w:tcW w:w="1250" w:type="pct"/>
            <w:noWrap/>
            <w:hideMark/>
          </w:tcPr>
          <w:p w14:paraId="07CA0194" w14:textId="77777777" w:rsidR="005C05FF" w:rsidRPr="005C05FF" w:rsidRDefault="005C05FF" w:rsidP="001F550D">
            <w:pPr>
              <w:pStyle w:val="TableBodyRight"/>
            </w:pPr>
            <w:r w:rsidRPr="005C05FF">
              <w:t>3.7</w:t>
            </w:r>
          </w:p>
        </w:tc>
        <w:tc>
          <w:tcPr>
            <w:tcW w:w="1250" w:type="pct"/>
            <w:noWrap/>
            <w:hideMark/>
          </w:tcPr>
          <w:p w14:paraId="6BAB358C" w14:textId="77777777" w:rsidR="005C05FF" w:rsidRPr="005C05FF" w:rsidRDefault="005C05FF" w:rsidP="001F550D">
            <w:pPr>
              <w:pStyle w:val="TableBodyRight"/>
            </w:pPr>
            <w:r w:rsidRPr="005C05FF">
              <w:t>2.2</w:t>
            </w:r>
          </w:p>
        </w:tc>
      </w:tr>
      <w:tr w:rsidR="005C05FF" w:rsidRPr="005C05FF" w14:paraId="34BECCD9" w14:textId="77777777" w:rsidTr="006F7525">
        <w:trPr>
          <w:trHeight w:val="288"/>
        </w:trPr>
        <w:tc>
          <w:tcPr>
            <w:tcW w:w="1250" w:type="pct"/>
            <w:noWrap/>
            <w:hideMark/>
          </w:tcPr>
          <w:p w14:paraId="7A963662" w14:textId="77777777" w:rsidR="005C05FF" w:rsidRPr="005C05FF" w:rsidRDefault="005C05FF" w:rsidP="001F550D">
            <w:pPr>
              <w:pStyle w:val="TableBody"/>
            </w:pPr>
            <w:r w:rsidRPr="005C05FF">
              <w:t>2011-12</w:t>
            </w:r>
          </w:p>
        </w:tc>
        <w:tc>
          <w:tcPr>
            <w:tcW w:w="1250" w:type="pct"/>
            <w:noWrap/>
            <w:hideMark/>
          </w:tcPr>
          <w:p w14:paraId="6FB14B07" w14:textId="77777777" w:rsidR="005C05FF" w:rsidRPr="005C05FF" w:rsidRDefault="005C05FF" w:rsidP="001F550D">
            <w:pPr>
              <w:pStyle w:val="TableBodyRight"/>
            </w:pPr>
            <w:r w:rsidRPr="005C05FF">
              <w:t>6.4</w:t>
            </w:r>
          </w:p>
        </w:tc>
        <w:tc>
          <w:tcPr>
            <w:tcW w:w="1250" w:type="pct"/>
            <w:noWrap/>
            <w:hideMark/>
          </w:tcPr>
          <w:p w14:paraId="7F984E70" w14:textId="77777777" w:rsidR="005C05FF" w:rsidRPr="005C05FF" w:rsidRDefault="005C05FF" w:rsidP="001F550D">
            <w:pPr>
              <w:pStyle w:val="TableBodyRight"/>
            </w:pPr>
            <w:r w:rsidRPr="005C05FF">
              <w:t>3.9</w:t>
            </w:r>
          </w:p>
        </w:tc>
        <w:tc>
          <w:tcPr>
            <w:tcW w:w="1250" w:type="pct"/>
            <w:noWrap/>
            <w:hideMark/>
          </w:tcPr>
          <w:p w14:paraId="11062B7B" w14:textId="77777777" w:rsidR="005C05FF" w:rsidRPr="005C05FF" w:rsidRDefault="005C05FF" w:rsidP="001F550D">
            <w:pPr>
              <w:pStyle w:val="TableBodyRight"/>
            </w:pPr>
            <w:r w:rsidRPr="005C05FF">
              <w:t>2.3</w:t>
            </w:r>
          </w:p>
        </w:tc>
      </w:tr>
      <w:tr w:rsidR="005C05FF" w:rsidRPr="005C05FF" w14:paraId="18FDA95E" w14:textId="77777777" w:rsidTr="006F7525">
        <w:trPr>
          <w:trHeight w:val="288"/>
        </w:trPr>
        <w:tc>
          <w:tcPr>
            <w:tcW w:w="1250" w:type="pct"/>
            <w:noWrap/>
            <w:hideMark/>
          </w:tcPr>
          <w:p w14:paraId="16C57F65" w14:textId="77777777" w:rsidR="005C05FF" w:rsidRPr="005C05FF" w:rsidRDefault="005C05FF" w:rsidP="001F550D">
            <w:pPr>
              <w:pStyle w:val="TableBody"/>
            </w:pPr>
            <w:r w:rsidRPr="005C05FF">
              <w:t>2012-13</w:t>
            </w:r>
          </w:p>
        </w:tc>
        <w:tc>
          <w:tcPr>
            <w:tcW w:w="1250" w:type="pct"/>
            <w:noWrap/>
            <w:hideMark/>
          </w:tcPr>
          <w:p w14:paraId="31B50203" w14:textId="77777777" w:rsidR="005C05FF" w:rsidRPr="005C05FF" w:rsidRDefault="005C05FF" w:rsidP="001F550D">
            <w:pPr>
              <w:pStyle w:val="TableBodyRight"/>
            </w:pPr>
            <w:r w:rsidRPr="005C05FF">
              <w:t>8.3</w:t>
            </w:r>
          </w:p>
        </w:tc>
        <w:tc>
          <w:tcPr>
            <w:tcW w:w="1250" w:type="pct"/>
            <w:noWrap/>
            <w:hideMark/>
          </w:tcPr>
          <w:p w14:paraId="081AE909" w14:textId="77777777" w:rsidR="005C05FF" w:rsidRPr="005C05FF" w:rsidRDefault="005C05FF" w:rsidP="001F550D">
            <w:pPr>
              <w:pStyle w:val="TableBodyRight"/>
            </w:pPr>
            <w:r w:rsidRPr="005C05FF">
              <w:t>3.2</w:t>
            </w:r>
          </w:p>
        </w:tc>
        <w:tc>
          <w:tcPr>
            <w:tcW w:w="1250" w:type="pct"/>
            <w:noWrap/>
            <w:hideMark/>
          </w:tcPr>
          <w:p w14:paraId="0B6ABDBD" w14:textId="77777777" w:rsidR="005C05FF" w:rsidRPr="005C05FF" w:rsidRDefault="005C05FF" w:rsidP="001F550D">
            <w:pPr>
              <w:pStyle w:val="TableBodyRight"/>
            </w:pPr>
            <w:r w:rsidRPr="005C05FF">
              <w:t>2.3</w:t>
            </w:r>
          </w:p>
        </w:tc>
      </w:tr>
      <w:tr w:rsidR="005C05FF" w:rsidRPr="005C05FF" w14:paraId="72DF8C7B" w14:textId="77777777" w:rsidTr="006F7525">
        <w:trPr>
          <w:trHeight w:val="288"/>
        </w:trPr>
        <w:tc>
          <w:tcPr>
            <w:tcW w:w="1250" w:type="pct"/>
            <w:noWrap/>
            <w:hideMark/>
          </w:tcPr>
          <w:p w14:paraId="56574D58" w14:textId="77777777" w:rsidR="005C05FF" w:rsidRPr="005C05FF" w:rsidRDefault="005C05FF" w:rsidP="001F550D">
            <w:pPr>
              <w:pStyle w:val="TableBody"/>
            </w:pPr>
            <w:r w:rsidRPr="005C05FF">
              <w:t>2013-14</w:t>
            </w:r>
          </w:p>
        </w:tc>
        <w:tc>
          <w:tcPr>
            <w:tcW w:w="1250" w:type="pct"/>
            <w:noWrap/>
            <w:hideMark/>
          </w:tcPr>
          <w:p w14:paraId="6E3F0CC5" w14:textId="77777777" w:rsidR="005C05FF" w:rsidRPr="005C05FF" w:rsidRDefault="005C05FF" w:rsidP="001F550D">
            <w:pPr>
              <w:pStyle w:val="TableBodyRight"/>
            </w:pPr>
            <w:r w:rsidRPr="005C05FF">
              <w:t>8.5</w:t>
            </w:r>
          </w:p>
        </w:tc>
        <w:tc>
          <w:tcPr>
            <w:tcW w:w="1250" w:type="pct"/>
            <w:noWrap/>
            <w:hideMark/>
          </w:tcPr>
          <w:p w14:paraId="03D9DFAD" w14:textId="77777777" w:rsidR="005C05FF" w:rsidRPr="005C05FF" w:rsidRDefault="005C05FF" w:rsidP="001F550D">
            <w:pPr>
              <w:pStyle w:val="TableBodyRight"/>
            </w:pPr>
            <w:r w:rsidRPr="005C05FF">
              <w:t>3.8</w:t>
            </w:r>
          </w:p>
        </w:tc>
        <w:tc>
          <w:tcPr>
            <w:tcW w:w="1250" w:type="pct"/>
            <w:noWrap/>
            <w:hideMark/>
          </w:tcPr>
          <w:p w14:paraId="586697EF" w14:textId="77777777" w:rsidR="005C05FF" w:rsidRPr="005C05FF" w:rsidRDefault="005C05FF" w:rsidP="001F550D">
            <w:pPr>
              <w:pStyle w:val="TableBodyRight"/>
            </w:pPr>
            <w:r w:rsidRPr="005C05FF">
              <w:t>2.2</w:t>
            </w:r>
          </w:p>
        </w:tc>
      </w:tr>
      <w:tr w:rsidR="005C05FF" w:rsidRPr="005C05FF" w14:paraId="1FA5A414" w14:textId="77777777" w:rsidTr="006F7525">
        <w:trPr>
          <w:trHeight w:val="288"/>
        </w:trPr>
        <w:tc>
          <w:tcPr>
            <w:tcW w:w="1250" w:type="pct"/>
            <w:noWrap/>
            <w:hideMark/>
          </w:tcPr>
          <w:p w14:paraId="051D30AA" w14:textId="77777777" w:rsidR="005C05FF" w:rsidRPr="005C05FF" w:rsidRDefault="005C05FF" w:rsidP="001F550D">
            <w:pPr>
              <w:pStyle w:val="TableBody"/>
            </w:pPr>
            <w:r w:rsidRPr="005C05FF">
              <w:t>2014-15</w:t>
            </w:r>
          </w:p>
        </w:tc>
        <w:tc>
          <w:tcPr>
            <w:tcW w:w="1250" w:type="pct"/>
            <w:noWrap/>
            <w:hideMark/>
          </w:tcPr>
          <w:p w14:paraId="4BE0A57A" w14:textId="77777777" w:rsidR="005C05FF" w:rsidRPr="005C05FF" w:rsidRDefault="005C05FF" w:rsidP="001F550D">
            <w:pPr>
              <w:pStyle w:val="TableBodyRight"/>
            </w:pPr>
            <w:r w:rsidRPr="005C05FF">
              <w:t>8.3</w:t>
            </w:r>
          </w:p>
        </w:tc>
        <w:tc>
          <w:tcPr>
            <w:tcW w:w="1250" w:type="pct"/>
            <w:noWrap/>
            <w:hideMark/>
          </w:tcPr>
          <w:p w14:paraId="04390A3F" w14:textId="77777777" w:rsidR="005C05FF" w:rsidRPr="005C05FF" w:rsidRDefault="005C05FF" w:rsidP="001F550D">
            <w:pPr>
              <w:pStyle w:val="TableBodyRight"/>
            </w:pPr>
            <w:r w:rsidRPr="005C05FF">
              <w:t>3.3</w:t>
            </w:r>
          </w:p>
        </w:tc>
        <w:tc>
          <w:tcPr>
            <w:tcW w:w="1250" w:type="pct"/>
            <w:noWrap/>
            <w:hideMark/>
          </w:tcPr>
          <w:p w14:paraId="1B4ACCF5" w14:textId="77777777" w:rsidR="005C05FF" w:rsidRPr="005C05FF" w:rsidRDefault="005C05FF" w:rsidP="001F550D">
            <w:pPr>
              <w:pStyle w:val="TableBodyRight"/>
            </w:pPr>
            <w:r w:rsidRPr="005C05FF">
              <w:t>1.7</w:t>
            </w:r>
          </w:p>
        </w:tc>
      </w:tr>
      <w:tr w:rsidR="005C05FF" w:rsidRPr="005C05FF" w14:paraId="10BF0513" w14:textId="77777777" w:rsidTr="006F7525">
        <w:trPr>
          <w:trHeight w:val="288"/>
        </w:trPr>
        <w:tc>
          <w:tcPr>
            <w:tcW w:w="1250" w:type="pct"/>
            <w:noWrap/>
            <w:hideMark/>
          </w:tcPr>
          <w:p w14:paraId="30945B46" w14:textId="77777777" w:rsidR="005C05FF" w:rsidRPr="005C05FF" w:rsidRDefault="005C05FF" w:rsidP="001F550D">
            <w:pPr>
              <w:pStyle w:val="TableBody"/>
            </w:pPr>
            <w:r w:rsidRPr="005C05FF">
              <w:t>2015-16</w:t>
            </w:r>
          </w:p>
        </w:tc>
        <w:tc>
          <w:tcPr>
            <w:tcW w:w="1250" w:type="pct"/>
            <w:noWrap/>
            <w:hideMark/>
          </w:tcPr>
          <w:p w14:paraId="467E5543" w14:textId="77777777" w:rsidR="005C05FF" w:rsidRPr="005C05FF" w:rsidRDefault="005C05FF" w:rsidP="001F550D">
            <w:pPr>
              <w:pStyle w:val="TableBodyRight"/>
            </w:pPr>
            <w:r w:rsidRPr="005C05FF">
              <w:t>8.3</w:t>
            </w:r>
          </w:p>
        </w:tc>
        <w:tc>
          <w:tcPr>
            <w:tcW w:w="1250" w:type="pct"/>
            <w:noWrap/>
            <w:hideMark/>
          </w:tcPr>
          <w:p w14:paraId="7799B418" w14:textId="77777777" w:rsidR="005C05FF" w:rsidRPr="005C05FF" w:rsidRDefault="005C05FF" w:rsidP="001F550D">
            <w:pPr>
              <w:pStyle w:val="TableBodyRight"/>
            </w:pPr>
            <w:r w:rsidRPr="005C05FF">
              <w:t>4.0</w:t>
            </w:r>
          </w:p>
        </w:tc>
        <w:tc>
          <w:tcPr>
            <w:tcW w:w="1250" w:type="pct"/>
            <w:noWrap/>
            <w:hideMark/>
          </w:tcPr>
          <w:p w14:paraId="5E9EE4DE" w14:textId="77777777" w:rsidR="005C05FF" w:rsidRPr="005C05FF" w:rsidRDefault="005C05FF" w:rsidP="001F550D">
            <w:pPr>
              <w:pStyle w:val="TableBodyRight"/>
            </w:pPr>
            <w:r w:rsidRPr="005C05FF">
              <w:t>1.6</w:t>
            </w:r>
          </w:p>
        </w:tc>
      </w:tr>
      <w:tr w:rsidR="005C05FF" w:rsidRPr="005C05FF" w14:paraId="493D0F86" w14:textId="77777777" w:rsidTr="006F7525">
        <w:trPr>
          <w:trHeight w:val="288"/>
        </w:trPr>
        <w:tc>
          <w:tcPr>
            <w:tcW w:w="1250" w:type="pct"/>
            <w:noWrap/>
            <w:hideMark/>
          </w:tcPr>
          <w:p w14:paraId="0B325703" w14:textId="77777777" w:rsidR="005C05FF" w:rsidRPr="005C05FF" w:rsidRDefault="005C05FF" w:rsidP="001F550D">
            <w:pPr>
              <w:pStyle w:val="TableBody"/>
            </w:pPr>
            <w:r w:rsidRPr="005C05FF">
              <w:t>2016-17</w:t>
            </w:r>
          </w:p>
        </w:tc>
        <w:tc>
          <w:tcPr>
            <w:tcW w:w="1250" w:type="pct"/>
            <w:noWrap/>
            <w:hideMark/>
          </w:tcPr>
          <w:p w14:paraId="2540CEE8" w14:textId="77777777" w:rsidR="005C05FF" w:rsidRPr="005C05FF" w:rsidRDefault="005C05FF" w:rsidP="001F550D">
            <w:pPr>
              <w:pStyle w:val="TableBodyRight"/>
            </w:pPr>
            <w:r w:rsidRPr="005C05FF">
              <w:t>7.0</w:t>
            </w:r>
          </w:p>
        </w:tc>
        <w:tc>
          <w:tcPr>
            <w:tcW w:w="1250" w:type="pct"/>
            <w:noWrap/>
            <w:hideMark/>
          </w:tcPr>
          <w:p w14:paraId="424E5254" w14:textId="77777777" w:rsidR="005C05FF" w:rsidRPr="005C05FF" w:rsidRDefault="005C05FF" w:rsidP="001F550D">
            <w:pPr>
              <w:pStyle w:val="TableBodyRight"/>
            </w:pPr>
            <w:r w:rsidRPr="005C05FF">
              <w:t>3.5</w:t>
            </w:r>
          </w:p>
        </w:tc>
        <w:tc>
          <w:tcPr>
            <w:tcW w:w="1250" w:type="pct"/>
            <w:noWrap/>
            <w:hideMark/>
          </w:tcPr>
          <w:p w14:paraId="51B93542" w14:textId="77777777" w:rsidR="005C05FF" w:rsidRPr="005C05FF" w:rsidRDefault="005C05FF" w:rsidP="001F550D">
            <w:pPr>
              <w:pStyle w:val="TableBodyRight"/>
            </w:pPr>
            <w:r w:rsidRPr="005C05FF">
              <w:t>2.2</w:t>
            </w:r>
          </w:p>
        </w:tc>
      </w:tr>
      <w:tr w:rsidR="005C05FF" w:rsidRPr="005C05FF" w14:paraId="4A17A0A1" w14:textId="77777777" w:rsidTr="006F7525">
        <w:trPr>
          <w:trHeight w:val="288"/>
        </w:trPr>
        <w:tc>
          <w:tcPr>
            <w:tcW w:w="1250" w:type="pct"/>
            <w:noWrap/>
            <w:hideMark/>
          </w:tcPr>
          <w:p w14:paraId="46896CC2" w14:textId="77777777" w:rsidR="005C05FF" w:rsidRPr="005C05FF" w:rsidRDefault="005C05FF" w:rsidP="001F550D">
            <w:pPr>
              <w:pStyle w:val="TableBody"/>
            </w:pPr>
            <w:r w:rsidRPr="005C05FF">
              <w:t>2017-18</w:t>
            </w:r>
          </w:p>
        </w:tc>
        <w:tc>
          <w:tcPr>
            <w:tcW w:w="1250" w:type="pct"/>
            <w:noWrap/>
            <w:hideMark/>
          </w:tcPr>
          <w:p w14:paraId="211E2997" w14:textId="77777777" w:rsidR="005C05FF" w:rsidRPr="005C05FF" w:rsidRDefault="005C05FF" w:rsidP="001F550D">
            <w:pPr>
              <w:pStyle w:val="TableBodyRight"/>
            </w:pPr>
            <w:r w:rsidRPr="005C05FF">
              <w:t>7.6</w:t>
            </w:r>
          </w:p>
        </w:tc>
        <w:tc>
          <w:tcPr>
            <w:tcW w:w="1250" w:type="pct"/>
            <w:noWrap/>
            <w:hideMark/>
          </w:tcPr>
          <w:p w14:paraId="1D2E5AE7" w14:textId="77777777" w:rsidR="005C05FF" w:rsidRPr="005C05FF" w:rsidRDefault="005C05FF" w:rsidP="001F550D">
            <w:pPr>
              <w:pStyle w:val="TableBodyRight"/>
            </w:pPr>
            <w:r w:rsidRPr="005C05FF">
              <w:t>3.2</w:t>
            </w:r>
          </w:p>
        </w:tc>
        <w:tc>
          <w:tcPr>
            <w:tcW w:w="1250" w:type="pct"/>
            <w:noWrap/>
            <w:hideMark/>
          </w:tcPr>
          <w:p w14:paraId="1662099E" w14:textId="77777777" w:rsidR="005C05FF" w:rsidRPr="005C05FF" w:rsidRDefault="005C05FF" w:rsidP="001F550D">
            <w:pPr>
              <w:pStyle w:val="TableBodyRight"/>
            </w:pPr>
            <w:r w:rsidRPr="005C05FF">
              <w:t>2.4</w:t>
            </w:r>
          </w:p>
        </w:tc>
      </w:tr>
      <w:tr w:rsidR="005C05FF" w:rsidRPr="005C05FF" w14:paraId="256079AC" w14:textId="77777777" w:rsidTr="006F7525">
        <w:trPr>
          <w:trHeight w:val="288"/>
        </w:trPr>
        <w:tc>
          <w:tcPr>
            <w:tcW w:w="1250" w:type="pct"/>
            <w:noWrap/>
            <w:hideMark/>
          </w:tcPr>
          <w:p w14:paraId="077A1D1A" w14:textId="77777777" w:rsidR="005C05FF" w:rsidRPr="005C05FF" w:rsidRDefault="005C05FF" w:rsidP="001F550D">
            <w:pPr>
              <w:pStyle w:val="TableBody"/>
            </w:pPr>
            <w:r w:rsidRPr="005C05FF">
              <w:t>2018-19</w:t>
            </w:r>
          </w:p>
        </w:tc>
        <w:tc>
          <w:tcPr>
            <w:tcW w:w="1250" w:type="pct"/>
            <w:noWrap/>
            <w:hideMark/>
          </w:tcPr>
          <w:p w14:paraId="72BB3566" w14:textId="77777777" w:rsidR="005C05FF" w:rsidRPr="005C05FF" w:rsidRDefault="005C05FF" w:rsidP="001F550D">
            <w:pPr>
              <w:pStyle w:val="TableBodyRight"/>
            </w:pPr>
            <w:r w:rsidRPr="005C05FF">
              <w:t>8.3</w:t>
            </w:r>
          </w:p>
        </w:tc>
        <w:tc>
          <w:tcPr>
            <w:tcW w:w="1250" w:type="pct"/>
            <w:noWrap/>
            <w:hideMark/>
          </w:tcPr>
          <w:p w14:paraId="12FC8AC9" w14:textId="77777777" w:rsidR="005C05FF" w:rsidRPr="005C05FF" w:rsidRDefault="005C05FF" w:rsidP="001F550D">
            <w:pPr>
              <w:pStyle w:val="TableBodyRight"/>
            </w:pPr>
            <w:r w:rsidRPr="005C05FF">
              <w:t>4.3</w:t>
            </w:r>
          </w:p>
        </w:tc>
        <w:tc>
          <w:tcPr>
            <w:tcW w:w="1250" w:type="pct"/>
            <w:noWrap/>
            <w:hideMark/>
          </w:tcPr>
          <w:p w14:paraId="7D64F6E4" w14:textId="77777777" w:rsidR="005C05FF" w:rsidRPr="005C05FF" w:rsidRDefault="005C05FF" w:rsidP="001F550D">
            <w:pPr>
              <w:pStyle w:val="TableBodyRight"/>
            </w:pPr>
            <w:r w:rsidRPr="005C05FF">
              <w:t>2.2</w:t>
            </w:r>
          </w:p>
        </w:tc>
      </w:tr>
      <w:tr w:rsidR="005C05FF" w:rsidRPr="005C05FF" w14:paraId="1CE4087B" w14:textId="77777777" w:rsidTr="006F7525">
        <w:trPr>
          <w:trHeight w:val="288"/>
        </w:trPr>
        <w:tc>
          <w:tcPr>
            <w:tcW w:w="1250" w:type="pct"/>
            <w:noWrap/>
            <w:hideMark/>
          </w:tcPr>
          <w:p w14:paraId="0128843E" w14:textId="77777777" w:rsidR="005C05FF" w:rsidRPr="005C05FF" w:rsidRDefault="005C05FF" w:rsidP="001F550D">
            <w:pPr>
              <w:pStyle w:val="TableBody"/>
            </w:pPr>
            <w:r w:rsidRPr="005C05FF">
              <w:t>2019-20</w:t>
            </w:r>
          </w:p>
        </w:tc>
        <w:tc>
          <w:tcPr>
            <w:tcW w:w="1250" w:type="pct"/>
            <w:noWrap/>
            <w:hideMark/>
          </w:tcPr>
          <w:p w14:paraId="0A660050" w14:textId="77777777" w:rsidR="005C05FF" w:rsidRPr="005C05FF" w:rsidRDefault="005C05FF" w:rsidP="001F550D">
            <w:pPr>
              <w:pStyle w:val="TableBodyRight"/>
            </w:pPr>
            <w:r w:rsidRPr="005C05FF">
              <w:t>9.5</w:t>
            </w:r>
          </w:p>
        </w:tc>
        <w:tc>
          <w:tcPr>
            <w:tcW w:w="1250" w:type="pct"/>
            <w:noWrap/>
            <w:hideMark/>
          </w:tcPr>
          <w:p w14:paraId="0626C2FA" w14:textId="77777777" w:rsidR="005C05FF" w:rsidRPr="005C05FF" w:rsidRDefault="005C05FF" w:rsidP="001F550D">
            <w:pPr>
              <w:pStyle w:val="TableBodyRight"/>
            </w:pPr>
            <w:r w:rsidRPr="005C05FF">
              <w:t>4.8</w:t>
            </w:r>
          </w:p>
        </w:tc>
        <w:tc>
          <w:tcPr>
            <w:tcW w:w="1250" w:type="pct"/>
            <w:noWrap/>
            <w:hideMark/>
          </w:tcPr>
          <w:p w14:paraId="18129B7F" w14:textId="77777777" w:rsidR="005C05FF" w:rsidRPr="005C05FF" w:rsidRDefault="005C05FF" w:rsidP="001F550D">
            <w:pPr>
              <w:pStyle w:val="TableBodyRight"/>
            </w:pPr>
            <w:r w:rsidRPr="005C05FF">
              <w:t>2.2</w:t>
            </w:r>
          </w:p>
        </w:tc>
      </w:tr>
      <w:tr w:rsidR="005C05FF" w:rsidRPr="005C05FF" w14:paraId="3E02405B" w14:textId="77777777" w:rsidTr="006F7525">
        <w:trPr>
          <w:trHeight w:val="288"/>
        </w:trPr>
        <w:tc>
          <w:tcPr>
            <w:tcW w:w="1250" w:type="pct"/>
            <w:noWrap/>
            <w:hideMark/>
          </w:tcPr>
          <w:p w14:paraId="73260E64" w14:textId="77777777" w:rsidR="005C05FF" w:rsidRPr="005C05FF" w:rsidRDefault="005C05FF" w:rsidP="001F550D">
            <w:pPr>
              <w:pStyle w:val="TableBody"/>
            </w:pPr>
            <w:r w:rsidRPr="005C05FF">
              <w:t>2020-21</w:t>
            </w:r>
          </w:p>
        </w:tc>
        <w:tc>
          <w:tcPr>
            <w:tcW w:w="1250" w:type="pct"/>
            <w:noWrap/>
            <w:hideMark/>
          </w:tcPr>
          <w:p w14:paraId="16030143" w14:textId="77777777" w:rsidR="005C05FF" w:rsidRPr="005C05FF" w:rsidRDefault="005C05FF" w:rsidP="001F550D">
            <w:pPr>
              <w:pStyle w:val="TableBodyRight"/>
            </w:pPr>
            <w:r w:rsidRPr="005C05FF">
              <w:t>10.2</w:t>
            </w:r>
          </w:p>
        </w:tc>
        <w:tc>
          <w:tcPr>
            <w:tcW w:w="1250" w:type="pct"/>
            <w:noWrap/>
            <w:hideMark/>
          </w:tcPr>
          <w:p w14:paraId="0C542B01" w14:textId="77777777" w:rsidR="005C05FF" w:rsidRPr="005C05FF" w:rsidRDefault="005C05FF" w:rsidP="001F550D">
            <w:pPr>
              <w:pStyle w:val="TableBodyRight"/>
            </w:pPr>
            <w:r w:rsidRPr="005C05FF">
              <w:t>3.8</w:t>
            </w:r>
          </w:p>
        </w:tc>
        <w:tc>
          <w:tcPr>
            <w:tcW w:w="1250" w:type="pct"/>
            <w:noWrap/>
            <w:hideMark/>
          </w:tcPr>
          <w:p w14:paraId="140279AB" w14:textId="77777777" w:rsidR="005C05FF" w:rsidRPr="005C05FF" w:rsidRDefault="005C05FF" w:rsidP="001F550D">
            <w:pPr>
              <w:pStyle w:val="TableBodyRight"/>
            </w:pPr>
            <w:r w:rsidRPr="005C05FF">
              <w:t>2.5</w:t>
            </w:r>
          </w:p>
        </w:tc>
      </w:tr>
    </w:tbl>
    <w:p w14:paraId="369380DD" w14:textId="77777777" w:rsidR="00E62AE6" w:rsidRPr="00E62AE6" w:rsidRDefault="00E62AE6" w:rsidP="00E5783B">
      <w:pPr>
        <w:pStyle w:val="Caption"/>
      </w:pPr>
      <w:r w:rsidRPr="00E62AE6">
        <w:t>Figure 14: Average total effective sentences and non-parole periods for people sentenced for serious drug offences, 2002–03 to 2020–21</w:t>
      </w:r>
    </w:p>
    <w:tbl>
      <w:tblPr>
        <w:tblStyle w:val="Table"/>
        <w:tblW w:w="5315" w:type="pct"/>
        <w:tblLayout w:type="fixed"/>
        <w:tblLook w:val="04A0" w:firstRow="1" w:lastRow="0" w:firstColumn="1" w:lastColumn="0" w:noHBand="0" w:noVBand="1"/>
      </w:tblPr>
      <w:tblGrid>
        <w:gridCol w:w="1360"/>
        <w:gridCol w:w="1417"/>
        <w:gridCol w:w="1361"/>
        <w:gridCol w:w="1361"/>
        <w:gridCol w:w="1361"/>
        <w:gridCol w:w="1361"/>
        <w:gridCol w:w="1363"/>
      </w:tblGrid>
      <w:tr w:rsidR="004B063A" w:rsidRPr="005C05FF" w14:paraId="61198D2D" w14:textId="77777777" w:rsidTr="0016439C">
        <w:trPr>
          <w:trHeight w:val="288"/>
          <w:tblHeader/>
        </w:trPr>
        <w:tc>
          <w:tcPr>
            <w:tcW w:w="710" w:type="pct"/>
            <w:noWrap/>
            <w:hideMark/>
          </w:tcPr>
          <w:p w14:paraId="5A666FF4" w14:textId="77777777" w:rsidR="005C05FF" w:rsidRPr="005C05FF" w:rsidRDefault="005C05FF" w:rsidP="00FB3B50">
            <w:pPr>
              <w:pStyle w:val="TableHeading"/>
            </w:pPr>
            <w:r w:rsidRPr="005C05FF">
              <w:t>Financial year</w:t>
            </w:r>
          </w:p>
        </w:tc>
        <w:tc>
          <w:tcPr>
            <w:tcW w:w="739" w:type="pct"/>
            <w:noWrap/>
            <w:hideMark/>
          </w:tcPr>
          <w:p w14:paraId="26E1C713" w14:textId="42466F43" w:rsidR="005C05FF" w:rsidRPr="005C05FF" w:rsidRDefault="005C05FF" w:rsidP="00FB3B50">
            <w:pPr>
              <w:pStyle w:val="TableHeadingRight"/>
            </w:pPr>
            <w:r w:rsidRPr="005C05FF">
              <w:t xml:space="preserve">Traffick </w:t>
            </w:r>
            <w:r w:rsidR="007C1926">
              <w:t>in a large commercial quantity</w:t>
            </w:r>
            <w:r w:rsidR="005C4C2B">
              <w:t xml:space="preserve"> </w:t>
            </w:r>
            <w:r w:rsidRPr="005C05FF">
              <w:t>(</w:t>
            </w:r>
            <w:r w:rsidR="005C4C2B" w:rsidRPr="00E62AE6">
              <w:t>total effective sentence</w:t>
            </w:r>
            <w:r w:rsidRPr="005C05FF">
              <w:t>)</w:t>
            </w:r>
          </w:p>
        </w:tc>
        <w:tc>
          <w:tcPr>
            <w:tcW w:w="710" w:type="pct"/>
            <w:noWrap/>
            <w:hideMark/>
          </w:tcPr>
          <w:p w14:paraId="3E9ED8CD" w14:textId="465E38A5" w:rsidR="005C05FF" w:rsidRPr="005C05FF" w:rsidRDefault="005C05FF" w:rsidP="00FB3B50">
            <w:pPr>
              <w:pStyle w:val="TableHeadingRight"/>
            </w:pPr>
            <w:r w:rsidRPr="005C05FF">
              <w:t xml:space="preserve">Traffick </w:t>
            </w:r>
            <w:r w:rsidR="007C1926">
              <w:t>in a large commercial quantity</w:t>
            </w:r>
            <w:r w:rsidR="005C4C2B">
              <w:t xml:space="preserve"> </w:t>
            </w:r>
            <w:r w:rsidRPr="005C05FF">
              <w:t>(</w:t>
            </w:r>
            <w:r w:rsidR="005C4C2B" w:rsidRPr="00E62AE6">
              <w:t>non-parole period</w:t>
            </w:r>
            <w:r w:rsidRPr="005C05FF">
              <w:t>)</w:t>
            </w:r>
          </w:p>
        </w:tc>
        <w:tc>
          <w:tcPr>
            <w:tcW w:w="710" w:type="pct"/>
            <w:noWrap/>
            <w:hideMark/>
          </w:tcPr>
          <w:p w14:paraId="6EF01373" w14:textId="342BDDFC" w:rsidR="005C05FF" w:rsidRPr="005C05FF" w:rsidRDefault="005C05FF" w:rsidP="00FB3B50">
            <w:pPr>
              <w:pStyle w:val="TableHeadingRight"/>
            </w:pPr>
            <w:r w:rsidRPr="005C05FF">
              <w:t xml:space="preserve">Traffick </w:t>
            </w:r>
            <w:r w:rsidR="00CE2866">
              <w:t>in a commercial quantity</w:t>
            </w:r>
            <w:r w:rsidR="005C4C2B">
              <w:t xml:space="preserve"> </w:t>
            </w:r>
            <w:r w:rsidRPr="005C05FF">
              <w:t>(</w:t>
            </w:r>
            <w:r w:rsidR="005C4C2B" w:rsidRPr="00E62AE6">
              <w:t>total effective sentence</w:t>
            </w:r>
            <w:r w:rsidRPr="005C05FF">
              <w:t>)</w:t>
            </w:r>
          </w:p>
        </w:tc>
        <w:tc>
          <w:tcPr>
            <w:tcW w:w="710" w:type="pct"/>
            <w:noWrap/>
            <w:hideMark/>
          </w:tcPr>
          <w:p w14:paraId="0B2720F6" w14:textId="234B6573" w:rsidR="005C05FF" w:rsidRPr="005C05FF" w:rsidRDefault="005C05FF" w:rsidP="00FB3B50">
            <w:pPr>
              <w:pStyle w:val="TableHeadingRight"/>
            </w:pPr>
            <w:r w:rsidRPr="005C05FF">
              <w:t xml:space="preserve">Traffick </w:t>
            </w:r>
            <w:r w:rsidR="00CE2866">
              <w:t>in a commercial quantity</w:t>
            </w:r>
            <w:r w:rsidR="005C4C2B">
              <w:t xml:space="preserve"> </w:t>
            </w:r>
            <w:r w:rsidRPr="005C05FF">
              <w:t>(</w:t>
            </w:r>
            <w:r w:rsidR="005C4C2B" w:rsidRPr="00E62AE6">
              <w:t>non-parole period</w:t>
            </w:r>
            <w:r w:rsidRPr="005C05FF">
              <w:t>)</w:t>
            </w:r>
          </w:p>
        </w:tc>
        <w:tc>
          <w:tcPr>
            <w:tcW w:w="710" w:type="pct"/>
            <w:noWrap/>
            <w:hideMark/>
          </w:tcPr>
          <w:p w14:paraId="77282C58" w14:textId="3AAE3DEA" w:rsidR="005C05FF" w:rsidRPr="005C05FF" w:rsidRDefault="005C05FF" w:rsidP="00FB3B50">
            <w:pPr>
              <w:pStyle w:val="TableHeadingRight"/>
            </w:pPr>
            <w:r w:rsidRPr="005C05FF">
              <w:t xml:space="preserve">Cultivate </w:t>
            </w:r>
            <w:r w:rsidR="006F5D16">
              <w:t>a commercial quantity</w:t>
            </w:r>
            <w:r w:rsidR="005C4C2B">
              <w:t xml:space="preserve"> </w:t>
            </w:r>
            <w:r w:rsidRPr="005C05FF">
              <w:t>(</w:t>
            </w:r>
            <w:r w:rsidR="005C4C2B" w:rsidRPr="00E62AE6">
              <w:t>total effective sentence</w:t>
            </w:r>
            <w:r w:rsidRPr="005C05FF">
              <w:t>)</w:t>
            </w:r>
          </w:p>
        </w:tc>
        <w:tc>
          <w:tcPr>
            <w:tcW w:w="711" w:type="pct"/>
            <w:noWrap/>
            <w:hideMark/>
          </w:tcPr>
          <w:p w14:paraId="5B3A27E6" w14:textId="259A7C97" w:rsidR="005C05FF" w:rsidRPr="005C05FF" w:rsidRDefault="005C05FF" w:rsidP="00FB3B50">
            <w:pPr>
              <w:pStyle w:val="TableHeadingRight"/>
            </w:pPr>
            <w:r w:rsidRPr="005C05FF">
              <w:t xml:space="preserve">Cultivate </w:t>
            </w:r>
            <w:r w:rsidR="006F5D16">
              <w:t>a commercial quantity</w:t>
            </w:r>
            <w:r w:rsidR="005C4C2B">
              <w:t xml:space="preserve"> </w:t>
            </w:r>
            <w:r w:rsidRPr="005C05FF">
              <w:t>(</w:t>
            </w:r>
            <w:r w:rsidR="005C4C2B" w:rsidRPr="00E62AE6">
              <w:t>non-parole period</w:t>
            </w:r>
            <w:r w:rsidRPr="005C05FF">
              <w:t>)</w:t>
            </w:r>
          </w:p>
        </w:tc>
      </w:tr>
      <w:tr w:rsidR="004B063A" w:rsidRPr="005C05FF" w14:paraId="4B6D4AA8" w14:textId="77777777" w:rsidTr="00A50CA4">
        <w:trPr>
          <w:trHeight w:val="288"/>
        </w:trPr>
        <w:tc>
          <w:tcPr>
            <w:tcW w:w="710" w:type="pct"/>
            <w:noWrap/>
            <w:hideMark/>
          </w:tcPr>
          <w:p w14:paraId="2C49E365" w14:textId="77777777" w:rsidR="005C05FF" w:rsidRPr="005C05FF" w:rsidRDefault="005C05FF" w:rsidP="001F550D">
            <w:pPr>
              <w:pStyle w:val="TableBody"/>
            </w:pPr>
            <w:r w:rsidRPr="005C05FF">
              <w:t>2002-03</w:t>
            </w:r>
          </w:p>
        </w:tc>
        <w:tc>
          <w:tcPr>
            <w:tcW w:w="739" w:type="pct"/>
            <w:noWrap/>
            <w:hideMark/>
          </w:tcPr>
          <w:p w14:paraId="29A570AF" w14:textId="1F49E5F3" w:rsidR="005C05FF" w:rsidRPr="00FB3B50" w:rsidRDefault="00FB3B50" w:rsidP="00FB3B50">
            <w:pPr>
              <w:pStyle w:val="TableBodyRight"/>
            </w:pPr>
            <w:proofErr w:type="spellStart"/>
            <w:r>
              <w:t>n.a.</w:t>
            </w:r>
            <w:proofErr w:type="spellEnd"/>
          </w:p>
        </w:tc>
        <w:tc>
          <w:tcPr>
            <w:tcW w:w="710" w:type="pct"/>
            <w:noWrap/>
            <w:hideMark/>
          </w:tcPr>
          <w:p w14:paraId="4AE0BEFE" w14:textId="4FD2D876" w:rsidR="005C05FF" w:rsidRPr="00FB3B50" w:rsidRDefault="00FB3B50" w:rsidP="00FB3B50">
            <w:pPr>
              <w:pStyle w:val="TableBodyRight"/>
            </w:pPr>
            <w:proofErr w:type="spellStart"/>
            <w:r>
              <w:t>n.a.</w:t>
            </w:r>
            <w:proofErr w:type="spellEnd"/>
          </w:p>
        </w:tc>
        <w:tc>
          <w:tcPr>
            <w:tcW w:w="710" w:type="pct"/>
            <w:noWrap/>
            <w:hideMark/>
          </w:tcPr>
          <w:p w14:paraId="2B0BF2D0" w14:textId="77777777" w:rsidR="005C05FF" w:rsidRPr="005C05FF" w:rsidRDefault="005C05FF" w:rsidP="001F550D">
            <w:pPr>
              <w:pStyle w:val="TableBodyRight"/>
            </w:pPr>
            <w:r w:rsidRPr="005C05FF">
              <w:t>6.3</w:t>
            </w:r>
          </w:p>
        </w:tc>
        <w:tc>
          <w:tcPr>
            <w:tcW w:w="710" w:type="pct"/>
            <w:noWrap/>
            <w:hideMark/>
          </w:tcPr>
          <w:p w14:paraId="046ED58E" w14:textId="77777777" w:rsidR="005C05FF" w:rsidRPr="005C05FF" w:rsidRDefault="005C05FF" w:rsidP="001F550D">
            <w:pPr>
              <w:pStyle w:val="TableBodyRight"/>
            </w:pPr>
            <w:r w:rsidRPr="005C05FF">
              <w:t>4.0</w:t>
            </w:r>
          </w:p>
        </w:tc>
        <w:tc>
          <w:tcPr>
            <w:tcW w:w="710" w:type="pct"/>
            <w:noWrap/>
            <w:hideMark/>
          </w:tcPr>
          <w:p w14:paraId="2B0360B5" w14:textId="77777777" w:rsidR="005C05FF" w:rsidRPr="005C05FF" w:rsidRDefault="005C05FF" w:rsidP="001F550D">
            <w:pPr>
              <w:pStyle w:val="TableBodyRight"/>
            </w:pPr>
            <w:r w:rsidRPr="005C05FF">
              <w:t>2.9</w:t>
            </w:r>
          </w:p>
        </w:tc>
        <w:tc>
          <w:tcPr>
            <w:tcW w:w="711" w:type="pct"/>
            <w:noWrap/>
            <w:hideMark/>
          </w:tcPr>
          <w:p w14:paraId="3BA1DB77" w14:textId="77777777" w:rsidR="005C05FF" w:rsidRPr="005C05FF" w:rsidRDefault="005C05FF" w:rsidP="001F550D">
            <w:pPr>
              <w:pStyle w:val="TableBodyRight"/>
            </w:pPr>
            <w:r w:rsidRPr="005C05FF">
              <w:t>1.6</w:t>
            </w:r>
          </w:p>
        </w:tc>
      </w:tr>
      <w:tr w:rsidR="004B063A" w:rsidRPr="005C05FF" w14:paraId="25E39F90" w14:textId="77777777" w:rsidTr="00A50CA4">
        <w:trPr>
          <w:trHeight w:val="288"/>
        </w:trPr>
        <w:tc>
          <w:tcPr>
            <w:tcW w:w="710" w:type="pct"/>
            <w:noWrap/>
            <w:hideMark/>
          </w:tcPr>
          <w:p w14:paraId="3AD5F47C" w14:textId="77777777" w:rsidR="005C05FF" w:rsidRPr="005C05FF" w:rsidRDefault="005C05FF" w:rsidP="001F550D">
            <w:pPr>
              <w:pStyle w:val="TableBody"/>
            </w:pPr>
            <w:r w:rsidRPr="005C05FF">
              <w:t>2003-04</w:t>
            </w:r>
          </w:p>
        </w:tc>
        <w:tc>
          <w:tcPr>
            <w:tcW w:w="739" w:type="pct"/>
            <w:noWrap/>
            <w:hideMark/>
          </w:tcPr>
          <w:p w14:paraId="3D1110A3" w14:textId="77777777" w:rsidR="005C05FF" w:rsidRPr="005C05FF" w:rsidRDefault="005C05FF" w:rsidP="001F550D">
            <w:pPr>
              <w:pStyle w:val="TableBodyRight"/>
            </w:pPr>
            <w:r w:rsidRPr="005C05FF">
              <w:t>5.8</w:t>
            </w:r>
          </w:p>
        </w:tc>
        <w:tc>
          <w:tcPr>
            <w:tcW w:w="710" w:type="pct"/>
            <w:noWrap/>
            <w:hideMark/>
          </w:tcPr>
          <w:p w14:paraId="52B82404" w14:textId="77777777" w:rsidR="005C05FF" w:rsidRPr="005C05FF" w:rsidRDefault="005C05FF" w:rsidP="001F550D">
            <w:pPr>
              <w:pStyle w:val="TableBodyRight"/>
            </w:pPr>
            <w:r w:rsidRPr="005C05FF">
              <w:t>3.5</w:t>
            </w:r>
          </w:p>
        </w:tc>
        <w:tc>
          <w:tcPr>
            <w:tcW w:w="710" w:type="pct"/>
            <w:noWrap/>
            <w:hideMark/>
          </w:tcPr>
          <w:p w14:paraId="7D4A8F62" w14:textId="77777777" w:rsidR="005C05FF" w:rsidRPr="005C05FF" w:rsidRDefault="005C05FF" w:rsidP="001F550D">
            <w:pPr>
              <w:pStyle w:val="TableBodyRight"/>
            </w:pPr>
            <w:r w:rsidRPr="005C05FF">
              <w:t>4.8</w:t>
            </w:r>
          </w:p>
        </w:tc>
        <w:tc>
          <w:tcPr>
            <w:tcW w:w="710" w:type="pct"/>
            <w:noWrap/>
            <w:hideMark/>
          </w:tcPr>
          <w:p w14:paraId="306B8BF4" w14:textId="77777777" w:rsidR="005C05FF" w:rsidRPr="005C05FF" w:rsidRDefault="005C05FF" w:rsidP="001F550D">
            <w:pPr>
              <w:pStyle w:val="TableBodyRight"/>
            </w:pPr>
            <w:r w:rsidRPr="005C05FF">
              <w:t>3.1</w:t>
            </w:r>
          </w:p>
        </w:tc>
        <w:tc>
          <w:tcPr>
            <w:tcW w:w="710" w:type="pct"/>
            <w:noWrap/>
            <w:hideMark/>
          </w:tcPr>
          <w:p w14:paraId="28E4D21B" w14:textId="77777777" w:rsidR="005C05FF" w:rsidRPr="005C05FF" w:rsidRDefault="005C05FF" w:rsidP="001F550D">
            <w:pPr>
              <w:pStyle w:val="TableBodyRight"/>
            </w:pPr>
            <w:r w:rsidRPr="005C05FF">
              <w:t>2.3</w:t>
            </w:r>
          </w:p>
        </w:tc>
        <w:tc>
          <w:tcPr>
            <w:tcW w:w="711" w:type="pct"/>
            <w:noWrap/>
            <w:hideMark/>
          </w:tcPr>
          <w:p w14:paraId="6D5D0DB4" w14:textId="77777777" w:rsidR="005C05FF" w:rsidRPr="005C05FF" w:rsidRDefault="005C05FF" w:rsidP="001F550D">
            <w:pPr>
              <w:pStyle w:val="TableBodyRight"/>
            </w:pPr>
            <w:r w:rsidRPr="005C05FF">
              <w:t>1.3</w:t>
            </w:r>
          </w:p>
        </w:tc>
      </w:tr>
      <w:tr w:rsidR="004B063A" w:rsidRPr="005C05FF" w14:paraId="76DD93C1" w14:textId="77777777" w:rsidTr="00A50CA4">
        <w:trPr>
          <w:trHeight w:val="288"/>
        </w:trPr>
        <w:tc>
          <w:tcPr>
            <w:tcW w:w="710" w:type="pct"/>
            <w:noWrap/>
            <w:hideMark/>
          </w:tcPr>
          <w:p w14:paraId="286D23D1" w14:textId="77777777" w:rsidR="005C05FF" w:rsidRPr="005C05FF" w:rsidRDefault="005C05FF" w:rsidP="001F550D">
            <w:pPr>
              <w:pStyle w:val="TableBody"/>
            </w:pPr>
            <w:r w:rsidRPr="005C05FF">
              <w:t>2004-05</w:t>
            </w:r>
          </w:p>
        </w:tc>
        <w:tc>
          <w:tcPr>
            <w:tcW w:w="739" w:type="pct"/>
            <w:noWrap/>
            <w:hideMark/>
          </w:tcPr>
          <w:p w14:paraId="7E03CDDB" w14:textId="77777777" w:rsidR="005C05FF" w:rsidRPr="005C05FF" w:rsidRDefault="005C05FF" w:rsidP="001F550D">
            <w:pPr>
              <w:pStyle w:val="TableBodyRight"/>
            </w:pPr>
            <w:r w:rsidRPr="005C05FF">
              <w:t>6.0</w:t>
            </w:r>
          </w:p>
        </w:tc>
        <w:tc>
          <w:tcPr>
            <w:tcW w:w="710" w:type="pct"/>
            <w:noWrap/>
            <w:hideMark/>
          </w:tcPr>
          <w:p w14:paraId="72FD4EF4" w14:textId="77777777" w:rsidR="005C05FF" w:rsidRPr="005C05FF" w:rsidRDefault="005C05FF" w:rsidP="001F550D">
            <w:pPr>
              <w:pStyle w:val="TableBodyRight"/>
            </w:pPr>
            <w:r w:rsidRPr="005C05FF">
              <w:t>3.0</w:t>
            </w:r>
          </w:p>
        </w:tc>
        <w:tc>
          <w:tcPr>
            <w:tcW w:w="710" w:type="pct"/>
            <w:noWrap/>
            <w:hideMark/>
          </w:tcPr>
          <w:p w14:paraId="7ACAE557" w14:textId="77777777" w:rsidR="005C05FF" w:rsidRPr="005C05FF" w:rsidRDefault="005C05FF" w:rsidP="001F550D">
            <w:pPr>
              <w:pStyle w:val="TableBodyRight"/>
            </w:pPr>
            <w:r w:rsidRPr="005C05FF">
              <w:t>4.6</w:t>
            </w:r>
          </w:p>
        </w:tc>
        <w:tc>
          <w:tcPr>
            <w:tcW w:w="710" w:type="pct"/>
            <w:noWrap/>
            <w:hideMark/>
          </w:tcPr>
          <w:p w14:paraId="54CD40CD" w14:textId="77777777" w:rsidR="005C05FF" w:rsidRPr="005C05FF" w:rsidRDefault="005C05FF" w:rsidP="001F550D">
            <w:pPr>
              <w:pStyle w:val="TableBodyRight"/>
            </w:pPr>
            <w:r w:rsidRPr="005C05FF">
              <w:t>2.8</w:t>
            </w:r>
          </w:p>
        </w:tc>
        <w:tc>
          <w:tcPr>
            <w:tcW w:w="710" w:type="pct"/>
            <w:noWrap/>
            <w:hideMark/>
          </w:tcPr>
          <w:p w14:paraId="613BDE99" w14:textId="77777777" w:rsidR="005C05FF" w:rsidRPr="005C05FF" w:rsidRDefault="005C05FF" w:rsidP="001F550D">
            <w:pPr>
              <w:pStyle w:val="TableBodyRight"/>
            </w:pPr>
            <w:r w:rsidRPr="005C05FF">
              <w:t>2.8</w:t>
            </w:r>
          </w:p>
        </w:tc>
        <w:tc>
          <w:tcPr>
            <w:tcW w:w="711" w:type="pct"/>
            <w:noWrap/>
            <w:hideMark/>
          </w:tcPr>
          <w:p w14:paraId="50D78386" w14:textId="77777777" w:rsidR="005C05FF" w:rsidRPr="005C05FF" w:rsidRDefault="005C05FF" w:rsidP="001F550D">
            <w:pPr>
              <w:pStyle w:val="TableBodyRight"/>
            </w:pPr>
            <w:r w:rsidRPr="005C05FF">
              <w:t>1.6</w:t>
            </w:r>
          </w:p>
        </w:tc>
      </w:tr>
      <w:tr w:rsidR="004B063A" w:rsidRPr="005C05FF" w14:paraId="367FD2EF" w14:textId="77777777" w:rsidTr="00A50CA4">
        <w:trPr>
          <w:trHeight w:val="288"/>
        </w:trPr>
        <w:tc>
          <w:tcPr>
            <w:tcW w:w="710" w:type="pct"/>
            <w:noWrap/>
            <w:hideMark/>
          </w:tcPr>
          <w:p w14:paraId="2D7A386B" w14:textId="77777777" w:rsidR="005C05FF" w:rsidRPr="005C05FF" w:rsidRDefault="005C05FF" w:rsidP="001F550D">
            <w:pPr>
              <w:pStyle w:val="TableBody"/>
            </w:pPr>
            <w:r w:rsidRPr="005C05FF">
              <w:t>2005-06</w:t>
            </w:r>
          </w:p>
        </w:tc>
        <w:tc>
          <w:tcPr>
            <w:tcW w:w="739" w:type="pct"/>
            <w:noWrap/>
            <w:hideMark/>
          </w:tcPr>
          <w:p w14:paraId="44D32A87" w14:textId="77777777" w:rsidR="005C05FF" w:rsidRPr="005C05FF" w:rsidRDefault="005C05FF" w:rsidP="001F550D">
            <w:pPr>
              <w:pStyle w:val="TableBodyRight"/>
            </w:pPr>
            <w:r w:rsidRPr="005C05FF">
              <w:t>8.4</w:t>
            </w:r>
          </w:p>
        </w:tc>
        <w:tc>
          <w:tcPr>
            <w:tcW w:w="710" w:type="pct"/>
            <w:noWrap/>
            <w:hideMark/>
          </w:tcPr>
          <w:p w14:paraId="741345B8" w14:textId="77777777" w:rsidR="005C05FF" w:rsidRPr="005C05FF" w:rsidRDefault="005C05FF" w:rsidP="001F550D">
            <w:pPr>
              <w:pStyle w:val="TableBodyRight"/>
            </w:pPr>
            <w:r w:rsidRPr="005C05FF">
              <w:t>5.3</w:t>
            </w:r>
          </w:p>
        </w:tc>
        <w:tc>
          <w:tcPr>
            <w:tcW w:w="710" w:type="pct"/>
            <w:noWrap/>
            <w:hideMark/>
          </w:tcPr>
          <w:p w14:paraId="2266AB64" w14:textId="77777777" w:rsidR="005C05FF" w:rsidRPr="005C05FF" w:rsidRDefault="005C05FF" w:rsidP="001F550D">
            <w:pPr>
              <w:pStyle w:val="TableBodyRight"/>
            </w:pPr>
            <w:r w:rsidRPr="005C05FF">
              <w:t>4.6</w:t>
            </w:r>
          </w:p>
        </w:tc>
        <w:tc>
          <w:tcPr>
            <w:tcW w:w="710" w:type="pct"/>
            <w:noWrap/>
            <w:hideMark/>
          </w:tcPr>
          <w:p w14:paraId="57C9E56E" w14:textId="77777777" w:rsidR="005C05FF" w:rsidRPr="005C05FF" w:rsidRDefault="005C05FF" w:rsidP="001F550D">
            <w:pPr>
              <w:pStyle w:val="TableBodyRight"/>
            </w:pPr>
            <w:r w:rsidRPr="005C05FF">
              <w:t>2.8</w:t>
            </w:r>
          </w:p>
        </w:tc>
        <w:tc>
          <w:tcPr>
            <w:tcW w:w="710" w:type="pct"/>
            <w:noWrap/>
            <w:hideMark/>
          </w:tcPr>
          <w:p w14:paraId="77739F73" w14:textId="77777777" w:rsidR="005C05FF" w:rsidRPr="005C05FF" w:rsidRDefault="005C05FF" w:rsidP="001F550D">
            <w:pPr>
              <w:pStyle w:val="TableBodyRight"/>
            </w:pPr>
            <w:r w:rsidRPr="005C05FF">
              <w:t>2.5</w:t>
            </w:r>
          </w:p>
        </w:tc>
        <w:tc>
          <w:tcPr>
            <w:tcW w:w="711" w:type="pct"/>
            <w:noWrap/>
            <w:hideMark/>
          </w:tcPr>
          <w:p w14:paraId="29B8ED99" w14:textId="77777777" w:rsidR="005C05FF" w:rsidRPr="005C05FF" w:rsidRDefault="005C05FF" w:rsidP="001F550D">
            <w:pPr>
              <w:pStyle w:val="TableBodyRight"/>
            </w:pPr>
            <w:r w:rsidRPr="005C05FF">
              <w:t>1.3</w:t>
            </w:r>
          </w:p>
        </w:tc>
      </w:tr>
      <w:tr w:rsidR="004B063A" w:rsidRPr="005C05FF" w14:paraId="120C74BE" w14:textId="77777777" w:rsidTr="00A50CA4">
        <w:trPr>
          <w:trHeight w:val="288"/>
        </w:trPr>
        <w:tc>
          <w:tcPr>
            <w:tcW w:w="710" w:type="pct"/>
            <w:noWrap/>
            <w:hideMark/>
          </w:tcPr>
          <w:p w14:paraId="60CBF82F" w14:textId="77777777" w:rsidR="005C05FF" w:rsidRPr="005C05FF" w:rsidRDefault="005C05FF" w:rsidP="001F550D">
            <w:pPr>
              <w:pStyle w:val="TableBody"/>
            </w:pPr>
            <w:r w:rsidRPr="005C05FF">
              <w:t>2006-07</w:t>
            </w:r>
          </w:p>
        </w:tc>
        <w:tc>
          <w:tcPr>
            <w:tcW w:w="739" w:type="pct"/>
            <w:noWrap/>
            <w:hideMark/>
          </w:tcPr>
          <w:p w14:paraId="0BFD095B" w14:textId="77777777" w:rsidR="005C05FF" w:rsidRPr="005C05FF" w:rsidRDefault="005C05FF" w:rsidP="001F550D">
            <w:pPr>
              <w:pStyle w:val="TableBodyRight"/>
            </w:pPr>
            <w:r w:rsidRPr="005C05FF">
              <w:t>7.0</w:t>
            </w:r>
          </w:p>
        </w:tc>
        <w:tc>
          <w:tcPr>
            <w:tcW w:w="710" w:type="pct"/>
            <w:noWrap/>
            <w:hideMark/>
          </w:tcPr>
          <w:p w14:paraId="055C9937" w14:textId="77777777" w:rsidR="005C05FF" w:rsidRPr="005C05FF" w:rsidRDefault="005C05FF" w:rsidP="001F550D">
            <w:pPr>
              <w:pStyle w:val="TableBodyRight"/>
            </w:pPr>
            <w:r w:rsidRPr="005C05FF">
              <w:t>4.4</w:t>
            </w:r>
          </w:p>
        </w:tc>
        <w:tc>
          <w:tcPr>
            <w:tcW w:w="710" w:type="pct"/>
            <w:noWrap/>
            <w:hideMark/>
          </w:tcPr>
          <w:p w14:paraId="4C6E8C73" w14:textId="77777777" w:rsidR="005C05FF" w:rsidRPr="005C05FF" w:rsidRDefault="005C05FF" w:rsidP="001F550D">
            <w:pPr>
              <w:pStyle w:val="TableBodyRight"/>
            </w:pPr>
            <w:r w:rsidRPr="005C05FF">
              <w:t>5.1</w:t>
            </w:r>
          </w:p>
        </w:tc>
        <w:tc>
          <w:tcPr>
            <w:tcW w:w="710" w:type="pct"/>
            <w:noWrap/>
            <w:hideMark/>
          </w:tcPr>
          <w:p w14:paraId="480EFDD4" w14:textId="77777777" w:rsidR="005C05FF" w:rsidRPr="005C05FF" w:rsidRDefault="005C05FF" w:rsidP="001F550D">
            <w:pPr>
              <w:pStyle w:val="TableBodyRight"/>
            </w:pPr>
            <w:r w:rsidRPr="005C05FF">
              <w:t>3.1</w:t>
            </w:r>
          </w:p>
        </w:tc>
        <w:tc>
          <w:tcPr>
            <w:tcW w:w="710" w:type="pct"/>
            <w:noWrap/>
            <w:hideMark/>
          </w:tcPr>
          <w:p w14:paraId="022C96FF" w14:textId="77777777" w:rsidR="005C05FF" w:rsidRPr="005C05FF" w:rsidRDefault="005C05FF" w:rsidP="001F550D">
            <w:pPr>
              <w:pStyle w:val="TableBodyRight"/>
            </w:pPr>
            <w:r w:rsidRPr="005C05FF">
              <w:t>2.8</w:t>
            </w:r>
          </w:p>
        </w:tc>
        <w:tc>
          <w:tcPr>
            <w:tcW w:w="711" w:type="pct"/>
            <w:noWrap/>
            <w:hideMark/>
          </w:tcPr>
          <w:p w14:paraId="03A9541C" w14:textId="77777777" w:rsidR="005C05FF" w:rsidRPr="005C05FF" w:rsidRDefault="005C05FF" w:rsidP="001F550D">
            <w:pPr>
              <w:pStyle w:val="TableBodyRight"/>
            </w:pPr>
            <w:r w:rsidRPr="005C05FF">
              <w:t>1.6</w:t>
            </w:r>
          </w:p>
        </w:tc>
      </w:tr>
      <w:tr w:rsidR="004B063A" w:rsidRPr="005C05FF" w14:paraId="43135E3F" w14:textId="77777777" w:rsidTr="00A50CA4">
        <w:trPr>
          <w:trHeight w:val="288"/>
        </w:trPr>
        <w:tc>
          <w:tcPr>
            <w:tcW w:w="710" w:type="pct"/>
            <w:noWrap/>
            <w:hideMark/>
          </w:tcPr>
          <w:p w14:paraId="02E75AD5" w14:textId="77777777" w:rsidR="005C05FF" w:rsidRPr="005C05FF" w:rsidRDefault="005C05FF" w:rsidP="001F550D">
            <w:pPr>
              <w:pStyle w:val="TableBody"/>
            </w:pPr>
            <w:r w:rsidRPr="005C05FF">
              <w:t>2007-08</w:t>
            </w:r>
          </w:p>
        </w:tc>
        <w:tc>
          <w:tcPr>
            <w:tcW w:w="739" w:type="pct"/>
            <w:noWrap/>
            <w:hideMark/>
          </w:tcPr>
          <w:p w14:paraId="0094625B" w14:textId="77777777" w:rsidR="005C05FF" w:rsidRPr="005C05FF" w:rsidRDefault="005C05FF" w:rsidP="001F550D">
            <w:pPr>
              <w:pStyle w:val="TableBodyRight"/>
            </w:pPr>
            <w:r w:rsidRPr="005C05FF">
              <w:t>8.3</w:t>
            </w:r>
          </w:p>
        </w:tc>
        <w:tc>
          <w:tcPr>
            <w:tcW w:w="710" w:type="pct"/>
            <w:noWrap/>
            <w:hideMark/>
          </w:tcPr>
          <w:p w14:paraId="578DE509" w14:textId="77777777" w:rsidR="005C05FF" w:rsidRPr="005C05FF" w:rsidRDefault="005C05FF" w:rsidP="001F550D">
            <w:pPr>
              <w:pStyle w:val="TableBodyRight"/>
            </w:pPr>
            <w:r w:rsidRPr="005C05FF">
              <w:t>5.4</w:t>
            </w:r>
          </w:p>
        </w:tc>
        <w:tc>
          <w:tcPr>
            <w:tcW w:w="710" w:type="pct"/>
            <w:noWrap/>
            <w:hideMark/>
          </w:tcPr>
          <w:p w14:paraId="79986449" w14:textId="77777777" w:rsidR="005C05FF" w:rsidRPr="005C05FF" w:rsidRDefault="005C05FF" w:rsidP="001F550D">
            <w:pPr>
              <w:pStyle w:val="TableBodyRight"/>
            </w:pPr>
            <w:r w:rsidRPr="005C05FF">
              <w:t>4.0</w:t>
            </w:r>
          </w:p>
        </w:tc>
        <w:tc>
          <w:tcPr>
            <w:tcW w:w="710" w:type="pct"/>
            <w:noWrap/>
            <w:hideMark/>
          </w:tcPr>
          <w:p w14:paraId="664C4E03" w14:textId="77777777" w:rsidR="005C05FF" w:rsidRPr="005C05FF" w:rsidRDefault="005C05FF" w:rsidP="001F550D">
            <w:pPr>
              <w:pStyle w:val="TableBodyRight"/>
            </w:pPr>
            <w:r w:rsidRPr="005C05FF">
              <w:t>2.3</w:t>
            </w:r>
          </w:p>
        </w:tc>
        <w:tc>
          <w:tcPr>
            <w:tcW w:w="710" w:type="pct"/>
            <w:noWrap/>
            <w:hideMark/>
          </w:tcPr>
          <w:p w14:paraId="1859AEEC" w14:textId="77777777" w:rsidR="005C05FF" w:rsidRPr="005C05FF" w:rsidRDefault="005C05FF" w:rsidP="001F550D">
            <w:pPr>
              <w:pStyle w:val="TableBodyRight"/>
            </w:pPr>
            <w:r w:rsidRPr="005C05FF">
              <w:t>2.3</w:t>
            </w:r>
          </w:p>
        </w:tc>
        <w:tc>
          <w:tcPr>
            <w:tcW w:w="711" w:type="pct"/>
            <w:noWrap/>
            <w:hideMark/>
          </w:tcPr>
          <w:p w14:paraId="43984171" w14:textId="77777777" w:rsidR="005C05FF" w:rsidRPr="005C05FF" w:rsidRDefault="005C05FF" w:rsidP="001F550D">
            <w:pPr>
              <w:pStyle w:val="TableBodyRight"/>
            </w:pPr>
            <w:r w:rsidRPr="005C05FF">
              <w:t>1.3</w:t>
            </w:r>
          </w:p>
        </w:tc>
      </w:tr>
      <w:tr w:rsidR="004B063A" w:rsidRPr="005C05FF" w14:paraId="4E76B4F0" w14:textId="77777777" w:rsidTr="00A50CA4">
        <w:trPr>
          <w:trHeight w:val="288"/>
        </w:trPr>
        <w:tc>
          <w:tcPr>
            <w:tcW w:w="710" w:type="pct"/>
            <w:noWrap/>
            <w:hideMark/>
          </w:tcPr>
          <w:p w14:paraId="59137AB1" w14:textId="77777777" w:rsidR="005C05FF" w:rsidRPr="005C05FF" w:rsidRDefault="005C05FF" w:rsidP="001F550D">
            <w:pPr>
              <w:pStyle w:val="TableBody"/>
            </w:pPr>
            <w:r w:rsidRPr="005C05FF">
              <w:t>2008-09</w:t>
            </w:r>
          </w:p>
        </w:tc>
        <w:tc>
          <w:tcPr>
            <w:tcW w:w="739" w:type="pct"/>
            <w:noWrap/>
            <w:hideMark/>
          </w:tcPr>
          <w:p w14:paraId="5B56B00A" w14:textId="77777777" w:rsidR="005C05FF" w:rsidRPr="005C05FF" w:rsidRDefault="005C05FF" w:rsidP="001F550D">
            <w:pPr>
              <w:pStyle w:val="TableBodyRight"/>
            </w:pPr>
            <w:r w:rsidRPr="005C05FF">
              <w:t>7.8</w:t>
            </w:r>
          </w:p>
        </w:tc>
        <w:tc>
          <w:tcPr>
            <w:tcW w:w="710" w:type="pct"/>
            <w:noWrap/>
            <w:hideMark/>
          </w:tcPr>
          <w:p w14:paraId="27AC645F" w14:textId="77777777" w:rsidR="005C05FF" w:rsidRPr="005C05FF" w:rsidRDefault="005C05FF" w:rsidP="001F550D">
            <w:pPr>
              <w:pStyle w:val="TableBodyRight"/>
            </w:pPr>
            <w:r w:rsidRPr="005C05FF">
              <w:t>4.9</w:t>
            </w:r>
          </w:p>
        </w:tc>
        <w:tc>
          <w:tcPr>
            <w:tcW w:w="710" w:type="pct"/>
            <w:noWrap/>
            <w:hideMark/>
          </w:tcPr>
          <w:p w14:paraId="1B936A34" w14:textId="77777777" w:rsidR="005C05FF" w:rsidRPr="005C05FF" w:rsidRDefault="005C05FF" w:rsidP="001F550D">
            <w:pPr>
              <w:pStyle w:val="TableBodyRight"/>
            </w:pPr>
            <w:r w:rsidRPr="005C05FF">
              <w:t>4.4</w:t>
            </w:r>
          </w:p>
        </w:tc>
        <w:tc>
          <w:tcPr>
            <w:tcW w:w="710" w:type="pct"/>
            <w:noWrap/>
            <w:hideMark/>
          </w:tcPr>
          <w:p w14:paraId="015E10A1" w14:textId="77777777" w:rsidR="005C05FF" w:rsidRPr="005C05FF" w:rsidRDefault="005C05FF" w:rsidP="001F550D">
            <w:pPr>
              <w:pStyle w:val="TableBodyRight"/>
            </w:pPr>
            <w:r w:rsidRPr="005C05FF">
              <w:t>2.5</w:t>
            </w:r>
          </w:p>
        </w:tc>
        <w:tc>
          <w:tcPr>
            <w:tcW w:w="710" w:type="pct"/>
            <w:noWrap/>
            <w:hideMark/>
          </w:tcPr>
          <w:p w14:paraId="10B0ABC3" w14:textId="77777777" w:rsidR="005C05FF" w:rsidRPr="005C05FF" w:rsidRDefault="005C05FF" w:rsidP="001F550D">
            <w:pPr>
              <w:pStyle w:val="TableBodyRight"/>
            </w:pPr>
            <w:r w:rsidRPr="005C05FF">
              <w:t>2.5</w:t>
            </w:r>
          </w:p>
        </w:tc>
        <w:tc>
          <w:tcPr>
            <w:tcW w:w="711" w:type="pct"/>
            <w:noWrap/>
            <w:hideMark/>
          </w:tcPr>
          <w:p w14:paraId="64B9FEF4" w14:textId="77777777" w:rsidR="005C05FF" w:rsidRPr="005C05FF" w:rsidRDefault="005C05FF" w:rsidP="001F550D">
            <w:pPr>
              <w:pStyle w:val="TableBodyRight"/>
            </w:pPr>
            <w:r w:rsidRPr="005C05FF">
              <w:t>1.4</w:t>
            </w:r>
          </w:p>
        </w:tc>
      </w:tr>
      <w:tr w:rsidR="004B063A" w:rsidRPr="005C05FF" w14:paraId="3A79C936" w14:textId="77777777" w:rsidTr="00A50CA4">
        <w:trPr>
          <w:trHeight w:val="288"/>
        </w:trPr>
        <w:tc>
          <w:tcPr>
            <w:tcW w:w="710" w:type="pct"/>
            <w:noWrap/>
            <w:hideMark/>
          </w:tcPr>
          <w:p w14:paraId="3B0838B3" w14:textId="77777777" w:rsidR="005C05FF" w:rsidRPr="005C05FF" w:rsidRDefault="005C05FF" w:rsidP="001F550D">
            <w:pPr>
              <w:pStyle w:val="TableBody"/>
            </w:pPr>
            <w:r w:rsidRPr="005C05FF">
              <w:t>2009-10</w:t>
            </w:r>
          </w:p>
        </w:tc>
        <w:tc>
          <w:tcPr>
            <w:tcW w:w="739" w:type="pct"/>
            <w:noWrap/>
            <w:hideMark/>
          </w:tcPr>
          <w:p w14:paraId="4573F8E1" w14:textId="77777777" w:rsidR="005C05FF" w:rsidRPr="005C05FF" w:rsidRDefault="005C05FF" w:rsidP="001F550D">
            <w:pPr>
              <w:pStyle w:val="TableBodyRight"/>
            </w:pPr>
            <w:r w:rsidRPr="005C05FF">
              <w:t>10.2</w:t>
            </w:r>
          </w:p>
        </w:tc>
        <w:tc>
          <w:tcPr>
            <w:tcW w:w="710" w:type="pct"/>
            <w:noWrap/>
            <w:hideMark/>
          </w:tcPr>
          <w:p w14:paraId="0D1F9F04" w14:textId="77777777" w:rsidR="005C05FF" w:rsidRPr="005C05FF" w:rsidRDefault="005C05FF" w:rsidP="001F550D">
            <w:pPr>
              <w:pStyle w:val="TableBodyRight"/>
            </w:pPr>
            <w:r w:rsidRPr="005C05FF">
              <w:t>6.9</w:t>
            </w:r>
          </w:p>
        </w:tc>
        <w:tc>
          <w:tcPr>
            <w:tcW w:w="710" w:type="pct"/>
            <w:noWrap/>
            <w:hideMark/>
          </w:tcPr>
          <w:p w14:paraId="112416AD" w14:textId="77777777" w:rsidR="005C05FF" w:rsidRPr="005C05FF" w:rsidRDefault="005C05FF" w:rsidP="001F550D">
            <w:pPr>
              <w:pStyle w:val="TableBodyRight"/>
            </w:pPr>
            <w:r w:rsidRPr="005C05FF">
              <w:t>4.4</w:t>
            </w:r>
          </w:p>
        </w:tc>
        <w:tc>
          <w:tcPr>
            <w:tcW w:w="710" w:type="pct"/>
            <w:noWrap/>
            <w:hideMark/>
          </w:tcPr>
          <w:p w14:paraId="3086A37F" w14:textId="77777777" w:rsidR="005C05FF" w:rsidRPr="005C05FF" w:rsidRDefault="005C05FF" w:rsidP="001F550D">
            <w:pPr>
              <w:pStyle w:val="TableBodyRight"/>
            </w:pPr>
            <w:r w:rsidRPr="005C05FF">
              <w:t>2.5</w:t>
            </w:r>
          </w:p>
        </w:tc>
        <w:tc>
          <w:tcPr>
            <w:tcW w:w="710" w:type="pct"/>
            <w:noWrap/>
            <w:hideMark/>
          </w:tcPr>
          <w:p w14:paraId="383AFEE7" w14:textId="77777777" w:rsidR="005C05FF" w:rsidRPr="005C05FF" w:rsidRDefault="005C05FF" w:rsidP="001F550D">
            <w:pPr>
              <w:pStyle w:val="TableBodyRight"/>
            </w:pPr>
            <w:r w:rsidRPr="005C05FF">
              <w:t>2.8</w:t>
            </w:r>
          </w:p>
        </w:tc>
        <w:tc>
          <w:tcPr>
            <w:tcW w:w="711" w:type="pct"/>
            <w:noWrap/>
            <w:hideMark/>
          </w:tcPr>
          <w:p w14:paraId="4A51AD7F" w14:textId="77777777" w:rsidR="005C05FF" w:rsidRPr="005C05FF" w:rsidRDefault="005C05FF" w:rsidP="001F550D">
            <w:pPr>
              <w:pStyle w:val="TableBodyRight"/>
            </w:pPr>
            <w:r w:rsidRPr="005C05FF">
              <w:t>1.5</w:t>
            </w:r>
          </w:p>
        </w:tc>
      </w:tr>
      <w:tr w:rsidR="004B063A" w:rsidRPr="005C05FF" w14:paraId="0E9F1C27" w14:textId="77777777" w:rsidTr="00A50CA4">
        <w:trPr>
          <w:trHeight w:val="288"/>
        </w:trPr>
        <w:tc>
          <w:tcPr>
            <w:tcW w:w="710" w:type="pct"/>
            <w:noWrap/>
            <w:hideMark/>
          </w:tcPr>
          <w:p w14:paraId="6D2901EB" w14:textId="77777777" w:rsidR="005C05FF" w:rsidRPr="005C05FF" w:rsidRDefault="005C05FF" w:rsidP="001F550D">
            <w:pPr>
              <w:pStyle w:val="TableBody"/>
            </w:pPr>
            <w:r w:rsidRPr="005C05FF">
              <w:t>2010-11</w:t>
            </w:r>
          </w:p>
        </w:tc>
        <w:tc>
          <w:tcPr>
            <w:tcW w:w="739" w:type="pct"/>
            <w:noWrap/>
            <w:hideMark/>
          </w:tcPr>
          <w:p w14:paraId="593B8463" w14:textId="77777777" w:rsidR="005C05FF" w:rsidRPr="005C05FF" w:rsidRDefault="005C05FF" w:rsidP="001F550D">
            <w:pPr>
              <w:pStyle w:val="TableBodyRight"/>
            </w:pPr>
            <w:r w:rsidRPr="005C05FF">
              <w:t>8.0</w:t>
            </w:r>
          </w:p>
        </w:tc>
        <w:tc>
          <w:tcPr>
            <w:tcW w:w="710" w:type="pct"/>
            <w:noWrap/>
            <w:hideMark/>
          </w:tcPr>
          <w:p w14:paraId="5B52B915" w14:textId="77777777" w:rsidR="005C05FF" w:rsidRPr="005C05FF" w:rsidRDefault="005C05FF" w:rsidP="001F550D">
            <w:pPr>
              <w:pStyle w:val="TableBodyRight"/>
            </w:pPr>
            <w:r w:rsidRPr="005C05FF">
              <w:t>5.4</w:t>
            </w:r>
          </w:p>
        </w:tc>
        <w:tc>
          <w:tcPr>
            <w:tcW w:w="710" w:type="pct"/>
            <w:noWrap/>
            <w:hideMark/>
          </w:tcPr>
          <w:p w14:paraId="0F9342C8" w14:textId="77777777" w:rsidR="005C05FF" w:rsidRPr="005C05FF" w:rsidRDefault="005C05FF" w:rsidP="001F550D">
            <w:pPr>
              <w:pStyle w:val="TableBodyRight"/>
            </w:pPr>
            <w:r w:rsidRPr="005C05FF">
              <w:t>4.5</w:t>
            </w:r>
          </w:p>
        </w:tc>
        <w:tc>
          <w:tcPr>
            <w:tcW w:w="710" w:type="pct"/>
            <w:noWrap/>
            <w:hideMark/>
          </w:tcPr>
          <w:p w14:paraId="1F75B891" w14:textId="77777777" w:rsidR="005C05FF" w:rsidRPr="005C05FF" w:rsidRDefault="005C05FF" w:rsidP="001F550D">
            <w:pPr>
              <w:pStyle w:val="TableBodyRight"/>
            </w:pPr>
            <w:r w:rsidRPr="005C05FF">
              <w:t>2.7</w:t>
            </w:r>
          </w:p>
        </w:tc>
        <w:tc>
          <w:tcPr>
            <w:tcW w:w="710" w:type="pct"/>
            <w:noWrap/>
            <w:hideMark/>
          </w:tcPr>
          <w:p w14:paraId="02365837" w14:textId="77777777" w:rsidR="005C05FF" w:rsidRPr="005C05FF" w:rsidRDefault="005C05FF" w:rsidP="001F550D">
            <w:pPr>
              <w:pStyle w:val="TableBodyRight"/>
            </w:pPr>
            <w:r w:rsidRPr="005C05FF">
              <w:t>2.4</w:t>
            </w:r>
          </w:p>
        </w:tc>
        <w:tc>
          <w:tcPr>
            <w:tcW w:w="711" w:type="pct"/>
            <w:noWrap/>
            <w:hideMark/>
          </w:tcPr>
          <w:p w14:paraId="79E2D8AB" w14:textId="77777777" w:rsidR="005C05FF" w:rsidRPr="005C05FF" w:rsidRDefault="005C05FF" w:rsidP="001F550D">
            <w:pPr>
              <w:pStyle w:val="TableBodyRight"/>
            </w:pPr>
            <w:r w:rsidRPr="005C05FF">
              <w:t>1.3</w:t>
            </w:r>
          </w:p>
        </w:tc>
      </w:tr>
      <w:tr w:rsidR="004B063A" w:rsidRPr="005C05FF" w14:paraId="07D7ECA2" w14:textId="77777777" w:rsidTr="00A50CA4">
        <w:trPr>
          <w:trHeight w:val="288"/>
        </w:trPr>
        <w:tc>
          <w:tcPr>
            <w:tcW w:w="710" w:type="pct"/>
            <w:noWrap/>
            <w:hideMark/>
          </w:tcPr>
          <w:p w14:paraId="0907AA4F" w14:textId="77777777" w:rsidR="005C05FF" w:rsidRPr="005C05FF" w:rsidRDefault="005C05FF" w:rsidP="001F550D">
            <w:pPr>
              <w:pStyle w:val="TableBody"/>
            </w:pPr>
            <w:r w:rsidRPr="005C05FF">
              <w:t>2011-12</w:t>
            </w:r>
          </w:p>
        </w:tc>
        <w:tc>
          <w:tcPr>
            <w:tcW w:w="739" w:type="pct"/>
            <w:noWrap/>
            <w:hideMark/>
          </w:tcPr>
          <w:p w14:paraId="061D5DA3" w14:textId="77777777" w:rsidR="005C05FF" w:rsidRPr="005C05FF" w:rsidRDefault="005C05FF" w:rsidP="001F550D">
            <w:pPr>
              <w:pStyle w:val="TableBodyRight"/>
            </w:pPr>
            <w:r w:rsidRPr="005C05FF">
              <w:t>6.9</w:t>
            </w:r>
          </w:p>
        </w:tc>
        <w:tc>
          <w:tcPr>
            <w:tcW w:w="710" w:type="pct"/>
            <w:noWrap/>
            <w:hideMark/>
          </w:tcPr>
          <w:p w14:paraId="2F9DEDE3" w14:textId="77777777" w:rsidR="005C05FF" w:rsidRPr="005C05FF" w:rsidRDefault="005C05FF" w:rsidP="001F550D">
            <w:pPr>
              <w:pStyle w:val="TableBodyRight"/>
            </w:pPr>
            <w:r w:rsidRPr="005C05FF">
              <w:t>4.3</w:t>
            </w:r>
          </w:p>
        </w:tc>
        <w:tc>
          <w:tcPr>
            <w:tcW w:w="710" w:type="pct"/>
            <w:noWrap/>
            <w:hideMark/>
          </w:tcPr>
          <w:p w14:paraId="58BBF5BB" w14:textId="77777777" w:rsidR="005C05FF" w:rsidRPr="005C05FF" w:rsidRDefault="005C05FF" w:rsidP="001F550D">
            <w:pPr>
              <w:pStyle w:val="TableBodyRight"/>
            </w:pPr>
            <w:r w:rsidRPr="005C05FF">
              <w:t>4.6</w:t>
            </w:r>
          </w:p>
        </w:tc>
        <w:tc>
          <w:tcPr>
            <w:tcW w:w="710" w:type="pct"/>
            <w:noWrap/>
            <w:hideMark/>
          </w:tcPr>
          <w:p w14:paraId="3DCEDFB9" w14:textId="77777777" w:rsidR="005C05FF" w:rsidRPr="005C05FF" w:rsidRDefault="005C05FF" w:rsidP="001F550D">
            <w:pPr>
              <w:pStyle w:val="TableBodyRight"/>
            </w:pPr>
            <w:r w:rsidRPr="005C05FF">
              <w:t>2.6</w:t>
            </w:r>
          </w:p>
        </w:tc>
        <w:tc>
          <w:tcPr>
            <w:tcW w:w="710" w:type="pct"/>
            <w:noWrap/>
            <w:hideMark/>
          </w:tcPr>
          <w:p w14:paraId="44699F6A" w14:textId="77777777" w:rsidR="005C05FF" w:rsidRPr="005C05FF" w:rsidRDefault="005C05FF" w:rsidP="001F550D">
            <w:pPr>
              <w:pStyle w:val="TableBodyRight"/>
            </w:pPr>
            <w:r w:rsidRPr="005C05FF">
              <w:t>2.6</w:t>
            </w:r>
          </w:p>
        </w:tc>
        <w:tc>
          <w:tcPr>
            <w:tcW w:w="711" w:type="pct"/>
            <w:noWrap/>
            <w:hideMark/>
          </w:tcPr>
          <w:p w14:paraId="23156BDE" w14:textId="77777777" w:rsidR="005C05FF" w:rsidRPr="005C05FF" w:rsidRDefault="005C05FF" w:rsidP="001F550D">
            <w:pPr>
              <w:pStyle w:val="TableBodyRight"/>
            </w:pPr>
            <w:r w:rsidRPr="005C05FF">
              <w:t>1.4</w:t>
            </w:r>
          </w:p>
        </w:tc>
      </w:tr>
      <w:tr w:rsidR="004B063A" w:rsidRPr="005C05FF" w14:paraId="2526079D" w14:textId="77777777" w:rsidTr="00A50CA4">
        <w:trPr>
          <w:trHeight w:val="288"/>
        </w:trPr>
        <w:tc>
          <w:tcPr>
            <w:tcW w:w="710" w:type="pct"/>
            <w:noWrap/>
            <w:hideMark/>
          </w:tcPr>
          <w:p w14:paraId="019DB32F" w14:textId="77777777" w:rsidR="005C05FF" w:rsidRPr="005C05FF" w:rsidRDefault="005C05FF" w:rsidP="001F550D">
            <w:pPr>
              <w:pStyle w:val="TableBody"/>
            </w:pPr>
            <w:r w:rsidRPr="005C05FF">
              <w:t>2012-13</w:t>
            </w:r>
          </w:p>
        </w:tc>
        <w:tc>
          <w:tcPr>
            <w:tcW w:w="739" w:type="pct"/>
            <w:noWrap/>
            <w:hideMark/>
          </w:tcPr>
          <w:p w14:paraId="19EFCB9F" w14:textId="77777777" w:rsidR="005C05FF" w:rsidRPr="005C05FF" w:rsidRDefault="005C05FF" w:rsidP="001F550D">
            <w:pPr>
              <w:pStyle w:val="TableBodyRight"/>
            </w:pPr>
            <w:r w:rsidRPr="005C05FF">
              <w:t>9.4</w:t>
            </w:r>
          </w:p>
        </w:tc>
        <w:tc>
          <w:tcPr>
            <w:tcW w:w="710" w:type="pct"/>
            <w:noWrap/>
            <w:hideMark/>
          </w:tcPr>
          <w:p w14:paraId="1F63596C" w14:textId="77777777" w:rsidR="005C05FF" w:rsidRPr="005C05FF" w:rsidRDefault="005C05FF" w:rsidP="001F550D">
            <w:pPr>
              <w:pStyle w:val="TableBodyRight"/>
            </w:pPr>
            <w:r w:rsidRPr="005C05FF">
              <w:t>5.3</w:t>
            </w:r>
          </w:p>
        </w:tc>
        <w:tc>
          <w:tcPr>
            <w:tcW w:w="710" w:type="pct"/>
            <w:noWrap/>
            <w:hideMark/>
          </w:tcPr>
          <w:p w14:paraId="416A4E3A" w14:textId="77777777" w:rsidR="005C05FF" w:rsidRPr="005C05FF" w:rsidRDefault="005C05FF" w:rsidP="001F550D">
            <w:pPr>
              <w:pStyle w:val="TableBodyRight"/>
            </w:pPr>
            <w:r w:rsidRPr="005C05FF">
              <w:t>3.4</w:t>
            </w:r>
          </w:p>
        </w:tc>
        <w:tc>
          <w:tcPr>
            <w:tcW w:w="710" w:type="pct"/>
            <w:noWrap/>
            <w:hideMark/>
          </w:tcPr>
          <w:p w14:paraId="2647DBEE" w14:textId="77777777" w:rsidR="005C05FF" w:rsidRPr="005C05FF" w:rsidRDefault="005C05FF" w:rsidP="001F550D">
            <w:pPr>
              <w:pStyle w:val="TableBodyRight"/>
            </w:pPr>
            <w:r w:rsidRPr="005C05FF">
              <w:t>2.1</w:t>
            </w:r>
          </w:p>
        </w:tc>
        <w:tc>
          <w:tcPr>
            <w:tcW w:w="710" w:type="pct"/>
            <w:noWrap/>
            <w:hideMark/>
          </w:tcPr>
          <w:p w14:paraId="2DCCF4F5" w14:textId="77777777" w:rsidR="005C05FF" w:rsidRPr="005C05FF" w:rsidRDefault="005C05FF" w:rsidP="001F550D">
            <w:pPr>
              <w:pStyle w:val="TableBodyRight"/>
            </w:pPr>
            <w:r w:rsidRPr="005C05FF">
              <w:t>2.5</w:t>
            </w:r>
          </w:p>
        </w:tc>
        <w:tc>
          <w:tcPr>
            <w:tcW w:w="711" w:type="pct"/>
            <w:noWrap/>
            <w:hideMark/>
          </w:tcPr>
          <w:p w14:paraId="2ADE1706" w14:textId="77777777" w:rsidR="005C05FF" w:rsidRPr="005C05FF" w:rsidRDefault="005C05FF" w:rsidP="001F550D">
            <w:pPr>
              <w:pStyle w:val="TableBodyRight"/>
            </w:pPr>
            <w:r w:rsidRPr="005C05FF">
              <w:t>1.4</w:t>
            </w:r>
          </w:p>
        </w:tc>
      </w:tr>
      <w:tr w:rsidR="004B063A" w:rsidRPr="005C05FF" w14:paraId="39D4E6D3" w14:textId="77777777" w:rsidTr="00A50CA4">
        <w:trPr>
          <w:trHeight w:val="288"/>
        </w:trPr>
        <w:tc>
          <w:tcPr>
            <w:tcW w:w="710" w:type="pct"/>
            <w:noWrap/>
            <w:hideMark/>
          </w:tcPr>
          <w:p w14:paraId="3EFEE1FC" w14:textId="77777777" w:rsidR="005C05FF" w:rsidRPr="005C05FF" w:rsidRDefault="005C05FF" w:rsidP="001F550D">
            <w:pPr>
              <w:pStyle w:val="TableBody"/>
            </w:pPr>
            <w:r w:rsidRPr="005C05FF">
              <w:t>2013-14</w:t>
            </w:r>
          </w:p>
        </w:tc>
        <w:tc>
          <w:tcPr>
            <w:tcW w:w="739" w:type="pct"/>
            <w:noWrap/>
            <w:hideMark/>
          </w:tcPr>
          <w:p w14:paraId="5330531E" w14:textId="77777777" w:rsidR="005C05FF" w:rsidRPr="005C05FF" w:rsidRDefault="005C05FF" w:rsidP="001F550D">
            <w:pPr>
              <w:pStyle w:val="TableBodyRight"/>
            </w:pPr>
            <w:r w:rsidRPr="005C05FF">
              <w:t>8.8</w:t>
            </w:r>
          </w:p>
        </w:tc>
        <w:tc>
          <w:tcPr>
            <w:tcW w:w="710" w:type="pct"/>
            <w:noWrap/>
            <w:hideMark/>
          </w:tcPr>
          <w:p w14:paraId="7FF1862D" w14:textId="77777777" w:rsidR="005C05FF" w:rsidRPr="005C05FF" w:rsidRDefault="005C05FF" w:rsidP="001F550D">
            <w:pPr>
              <w:pStyle w:val="TableBodyRight"/>
            </w:pPr>
            <w:r w:rsidRPr="005C05FF">
              <w:t>6.2</w:t>
            </w:r>
          </w:p>
        </w:tc>
        <w:tc>
          <w:tcPr>
            <w:tcW w:w="710" w:type="pct"/>
            <w:noWrap/>
            <w:hideMark/>
          </w:tcPr>
          <w:p w14:paraId="6FB57C35" w14:textId="77777777" w:rsidR="005C05FF" w:rsidRPr="005C05FF" w:rsidRDefault="005C05FF" w:rsidP="001F550D">
            <w:pPr>
              <w:pStyle w:val="TableBodyRight"/>
            </w:pPr>
            <w:r w:rsidRPr="005C05FF">
              <w:t>4.3</w:t>
            </w:r>
          </w:p>
        </w:tc>
        <w:tc>
          <w:tcPr>
            <w:tcW w:w="710" w:type="pct"/>
            <w:noWrap/>
            <w:hideMark/>
          </w:tcPr>
          <w:p w14:paraId="206AF3DE" w14:textId="77777777" w:rsidR="005C05FF" w:rsidRPr="005C05FF" w:rsidRDefault="005C05FF" w:rsidP="001F550D">
            <w:pPr>
              <w:pStyle w:val="TableBodyRight"/>
            </w:pPr>
            <w:r w:rsidRPr="005C05FF">
              <w:t>2.4</w:t>
            </w:r>
          </w:p>
        </w:tc>
        <w:tc>
          <w:tcPr>
            <w:tcW w:w="710" w:type="pct"/>
            <w:noWrap/>
            <w:hideMark/>
          </w:tcPr>
          <w:p w14:paraId="421A53CE" w14:textId="77777777" w:rsidR="005C05FF" w:rsidRPr="005C05FF" w:rsidRDefault="005C05FF" w:rsidP="001F550D">
            <w:pPr>
              <w:pStyle w:val="TableBodyRight"/>
            </w:pPr>
            <w:r w:rsidRPr="005C05FF">
              <w:t>2.3</w:t>
            </w:r>
          </w:p>
        </w:tc>
        <w:tc>
          <w:tcPr>
            <w:tcW w:w="711" w:type="pct"/>
            <w:noWrap/>
            <w:hideMark/>
          </w:tcPr>
          <w:p w14:paraId="070DDC9B" w14:textId="77777777" w:rsidR="005C05FF" w:rsidRPr="005C05FF" w:rsidRDefault="005C05FF" w:rsidP="001F550D">
            <w:pPr>
              <w:pStyle w:val="TableBodyRight"/>
            </w:pPr>
            <w:r w:rsidRPr="005C05FF">
              <w:t>1.3</w:t>
            </w:r>
          </w:p>
        </w:tc>
      </w:tr>
      <w:tr w:rsidR="004B063A" w:rsidRPr="005C05FF" w14:paraId="73441E9E" w14:textId="77777777" w:rsidTr="00A50CA4">
        <w:trPr>
          <w:trHeight w:val="288"/>
        </w:trPr>
        <w:tc>
          <w:tcPr>
            <w:tcW w:w="710" w:type="pct"/>
            <w:noWrap/>
            <w:hideMark/>
          </w:tcPr>
          <w:p w14:paraId="37A7EF31" w14:textId="77777777" w:rsidR="005C05FF" w:rsidRPr="005C05FF" w:rsidRDefault="005C05FF" w:rsidP="001F550D">
            <w:pPr>
              <w:pStyle w:val="TableBody"/>
            </w:pPr>
            <w:r w:rsidRPr="005C05FF">
              <w:t>2014-15</w:t>
            </w:r>
          </w:p>
        </w:tc>
        <w:tc>
          <w:tcPr>
            <w:tcW w:w="739" w:type="pct"/>
            <w:noWrap/>
            <w:hideMark/>
          </w:tcPr>
          <w:p w14:paraId="408FE9AA" w14:textId="77777777" w:rsidR="005C05FF" w:rsidRPr="005C05FF" w:rsidRDefault="005C05FF" w:rsidP="001F550D">
            <w:pPr>
              <w:pStyle w:val="TableBodyRight"/>
            </w:pPr>
            <w:r w:rsidRPr="005C05FF">
              <w:t>9.0</w:t>
            </w:r>
          </w:p>
        </w:tc>
        <w:tc>
          <w:tcPr>
            <w:tcW w:w="710" w:type="pct"/>
            <w:noWrap/>
            <w:hideMark/>
          </w:tcPr>
          <w:p w14:paraId="6C0407CE" w14:textId="77777777" w:rsidR="005C05FF" w:rsidRPr="005C05FF" w:rsidRDefault="005C05FF" w:rsidP="001F550D">
            <w:pPr>
              <w:pStyle w:val="TableBodyRight"/>
            </w:pPr>
            <w:r w:rsidRPr="005C05FF">
              <w:t>6.3</w:t>
            </w:r>
          </w:p>
        </w:tc>
        <w:tc>
          <w:tcPr>
            <w:tcW w:w="710" w:type="pct"/>
            <w:noWrap/>
            <w:hideMark/>
          </w:tcPr>
          <w:p w14:paraId="71AC5CFF" w14:textId="77777777" w:rsidR="005C05FF" w:rsidRPr="005C05FF" w:rsidRDefault="005C05FF" w:rsidP="001F550D">
            <w:pPr>
              <w:pStyle w:val="TableBodyRight"/>
            </w:pPr>
            <w:r w:rsidRPr="005C05FF">
              <w:t>4.3</w:t>
            </w:r>
          </w:p>
        </w:tc>
        <w:tc>
          <w:tcPr>
            <w:tcW w:w="710" w:type="pct"/>
            <w:noWrap/>
            <w:hideMark/>
          </w:tcPr>
          <w:p w14:paraId="7C78A9E1" w14:textId="77777777" w:rsidR="005C05FF" w:rsidRPr="005C05FF" w:rsidRDefault="005C05FF" w:rsidP="001F550D">
            <w:pPr>
              <w:pStyle w:val="TableBodyRight"/>
            </w:pPr>
            <w:r w:rsidRPr="005C05FF">
              <w:t>2.6</w:t>
            </w:r>
          </w:p>
        </w:tc>
        <w:tc>
          <w:tcPr>
            <w:tcW w:w="710" w:type="pct"/>
            <w:noWrap/>
            <w:hideMark/>
          </w:tcPr>
          <w:p w14:paraId="3C1A17B2" w14:textId="77777777" w:rsidR="005C05FF" w:rsidRPr="005C05FF" w:rsidRDefault="005C05FF" w:rsidP="001F550D">
            <w:pPr>
              <w:pStyle w:val="TableBodyRight"/>
            </w:pPr>
            <w:r w:rsidRPr="005C05FF">
              <w:t>2.3</w:t>
            </w:r>
          </w:p>
        </w:tc>
        <w:tc>
          <w:tcPr>
            <w:tcW w:w="711" w:type="pct"/>
            <w:noWrap/>
            <w:hideMark/>
          </w:tcPr>
          <w:p w14:paraId="500BE45A" w14:textId="77777777" w:rsidR="005C05FF" w:rsidRPr="005C05FF" w:rsidRDefault="005C05FF" w:rsidP="001F550D">
            <w:pPr>
              <w:pStyle w:val="TableBodyRight"/>
            </w:pPr>
            <w:r w:rsidRPr="005C05FF">
              <w:t>1.3</w:t>
            </w:r>
          </w:p>
        </w:tc>
      </w:tr>
      <w:tr w:rsidR="004B063A" w:rsidRPr="005C05FF" w14:paraId="29D022E3" w14:textId="77777777" w:rsidTr="00A50CA4">
        <w:trPr>
          <w:trHeight w:val="288"/>
        </w:trPr>
        <w:tc>
          <w:tcPr>
            <w:tcW w:w="710" w:type="pct"/>
            <w:noWrap/>
            <w:hideMark/>
          </w:tcPr>
          <w:p w14:paraId="17579002" w14:textId="77777777" w:rsidR="005C05FF" w:rsidRPr="005C05FF" w:rsidRDefault="005C05FF" w:rsidP="001F550D">
            <w:pPr>
              <w:pStyle w:val="TableBody"/>
            </w:pPr>
            <w:r w:rsidRPr="005C05FF">
              <w:t>2015-16</w:t>
            </w:r>
          </w:p>
        </w:tc>
        <w:tc>
          <w:tcPr>
            <w:tcW w:w="739" w:type="pct"/>
            <w:noWrap/>
            <w:hideMark/>
          </w:tcPr>
          <w:p w14:paraId="153C52E7" w14:textId="77777777" w:rsidR="005C05FF" w:rsidRPr="005C05FF" w:rsidRDefault="005C05FF" w:rsidP="001F550D">
            <w:pPr>
              <w:pStyle w:val="TableBodyRight"/>
            </w:pPr>
            <w:r w:rsidRPr="005C05FF">
              <w:t>8.8</w:t>
            </w:r>
          </w:p>
        </w:tc>
        <w:tc>
          <w:tcPr>
            <w:tcW w:w="710" w:type="pct"/>
            <w:noWrap/>
            <w:hideMark/>
          </w:tcPr>
          <w:p w14:paraId="464527E8" w14:textId="77777777" w:rsidR="005C05FF" w:rsidRPr="005C05FF" w:rsidRDefault="005C05FF" w:rsidP="001F550D">
            <w:pPr>
              <w:pStyle w:val="TableBodyRight"/>
            </w:pPr>
            <w:r w:rsidRPr="005C05FF">
              <w:t>5.8</w:t>
            </w:r>
          </w:p>
        </w:tc>
        <w:tc>
          <w:tcPr>
            <w:tcW w:w="710" w:type="pct"/>
            <w:noWrap/>
            <w:hideMark/>
          </w:tcPr>
          <w:p w14:paraId="6618CDC4" w14:textId="77777777" w:rsidR="005C05FF" w:rsidRPr="005C05FF" w:rsidRDefault="005C05FF" w:rsidP="001F550D">
            <w:pPr>
              <w:pStyle w:val="TableBodyRight"/>
            </w:pPr>
            <w:r w:rsidRPr="005C05FF">
              <w:t>4.8</w:t>
            </w:r>
          </w:p>
        </w:tc>
        <w:tc>
          <w:tcPr>
            <w:tcW w:w="710" w:type="pct"/>
            <w:noWrap/>
            <w:hideMark/>
          </w:tcPr>
          <w:p w14:paraId="609AB3EA" w14:textId="77777777" w:rsidR="005C05FF" w:rsidRPr="005C05FF" w:rsidRDefault="005C05FF" w:rsidP="001F550D">
            <w:pPr>
              <w:pStyle w:val="TableBodyRight"/>
            </w:pPr>
            <w:r w:rsidRPr="005C05FF">
              <w:t>3.0</w:t>
            </w:r>
          </w:p>
        </w:tc>
        <w:tc>
          <w:tcPr>
            <w:tcW w:w="710" w:type="pct"/>
            <w:noWrap/>
            <w:hideMark/>
          </w:tcPr>
          <w:p w14:paraId="29F4FE70" w14:textId="77777777" w:rsidR="005C05FF" w:rsidRPr="005C05FF" w:rsidRDefault="005C05FF" w:rsidP="001F550D">
            <w:pPr>
              <w:pStyle w:val="TableBodyRight"/>
            </w:pPr>
            <w:r w:rsidRPr="005C05FF">
              <w:t>2.2</w:t>
            </w:r>
          </w:p>
        </w:tc>
        <w:tc>
          <w:tcPr>
            <w:tcW w:w="711" w:type="pct"/>
            <w:noWrap/>
            <w:hideMark/>
          </w:tcPr>
          <w:p w14:paraId="36D1CDC7" w14:textId="77777777" w:rsidR="005C05FF" w:rsidRPr="005C05FF" w:rsidRDefault="005C05FF" w:rsidP="001F550D">
            <w:pPr>
              <w:pStyle w:val="TableBodyRight"/>
            </w:pPr>
            <w:r w:rsidRPr="005C05FF">
              <w:t>1.3</w:t>
            </w:r>
          </w:p>
        </w:tc>
      </w:tr>
      <w:tr w:rsidR="004B063A" w:rsidRPr="005C05FF" w14:paraId="0535E0E0" w14:textId="77777777" w:rsidTr="00A50CA4">
        <w:trPr>
          <w:trHeight w:val="288"/>
        </w:trPr>
        <w:tc>
          <w:tcPr>
            <w:tcW w:w="710" w:type="pct"/>
            <w:noWrap/>
            <w:hideMark/>
          </w:tcPr>
          <w:p w14:paraId="30D71EE8" w14:textId="77777777" w:rsidR="005C05FF" w:rsidRPr="005C05FF" w:rsidRDefault="005C05FF" w:rsidP="001F550D">
            <w:pPr>
              <w:pStyle w:val="TableBody"/>
            </w:pPr>
            <w:r w:rsidRPr="005C05FF">
              <w:lastRenderedPageBreak/>
              <w:t>2016-17</w:t>
            </w:r>
          </w:p>
        </w:tc>
        <w:tc>
          <w:tcPr>
            <w:tcW w:w="739" w:type="pct"/>
            <w:noWrap/>
            <w:hideMark/>
          </w:tcPr>
          <w:p w14:paraId="47C965D9" w14:textId="77777777" w:rsidR="005C05FF" w:rsidRPr="005C05FF" w:rsidRDefault="005C05FF" w:rsidP="001F550D">
            <w:pPr>
              <w:pStyle w:val="TableBodyRight"/>
            </w:pPr>
            <w:r w:rsidRPr="005C05FF">
              <w:t>8.5</w:t>
            </w:r>
          </w:p>
        </w:tc>
        <w:tc>
          <w:tcPr>
            <w:tcW w:w="710" w:type="pct"/>
            <w:noWrap/>
            <w:hideMark/>
          </w:tcPr>
          <w:p w14:paraId="14551F2F" w14:textId="77777777" w:rsidR="005C05FF" w:rsidRPr="005C05FF" w:rsidRDefault="005C05FF" w:rsidP="001F550D">
            <w:pPr>
              <w:pStyle w:val="TableBodyRight"/>
            </w:pPr>
            <w:r w:rsidRPr="005C05FF">
              <w:t>5.4</w:t>
            </w:r>
          </w:p>
        </w:tc>
        <w:tc>
          <w:tcPr>
            <w:tcW w:w="710" w:type="pct"/>
            <w:noWrap/>
            <w:hideMark/>
          </w:tcPr>
          <w:p w14:paraId="209A1063" w14:textId="77777777" w:rsidR="005C05FF" w:rsidRPr="005C05FF" w:rsidRDefault="005C05FF" w:rsidP="001F550D">
            <w:pPr>
              <w:pStyle w:val="TableBodyRight"/>
            </w:pPr>
            <w:r w:rsidRPr="005C05FF">
              <w:t>4.7</w:t>
            </w:r>
          </w:p>
        </w:tc>
        <w:tc>
          <w:tcPr>
            <w:tcW w:w="710" w:type="pct"/>
            <w:noWrap/>
            <w:hideMark/>
          </w:tcPr>
          <w:p w14:paraId="5173764A" w14:textId="77777777" w:rsidR="005C05FF" w:rsidRPr="005C05FF" w:rsidRDefault="005C05FF" w:rsidP="001F550D">
            <w:pPr>
              <w:pStyle w:val="TableBodyRight"/>
            </w:pPr>
            <w:r w:rsidRPr="005C05FF">
              <w:t>2.7</w:t>
            </w:r>
          </w:p>
        </w:tc>
        <w:tc>
          <w:tcPr>
            <w:tcW w:w="710" w:type="pct"/>
            <w:noWrap/>
            <w:hideMark/>
          </w:tcPr>
          <w:p w14:paraId="558DC3EE" w14:textId="77777777" w:rsidR="005C05FF" w:rsidRPr="005C05FF" w:rsidRDefault="005C05FF" w:rsidP="001F550D">
            <w:pPr>
              <w:pStyle w:val="TableBodyRight"/>
            </w:pPr>
            <w:r w:rsidRPr="005C05FF">
              <w:t>2.5</w:t>
            </w:r>
          </w:p>
        </w:tc>
        <w:tc>
          <w:tcPr>
            <w:tcW w:w="711" w:type="pct"/>
            <w:noWrap/>
            <w:hideMark/>
          </w:tcPr>
          <w:p w14:paraId="3AA27381" w14:textId="77777777" w:rsidR="005C05FF" w:rsidRPr="005C05FF" w:rsidRDefault="005C05FF" w:rsidP="001F550D">
            <w:pPr>
              <w:pStyle w:val="TableBodyRight"/>
            </w:pPr>
            <w:r w:rsidRPr="005C05FF">
              <w:t>1.4</w:t>
            </w:r>
          </w:p>
        </w:tc>
      </w:tr>
      <w:tr w:rsidR="004B063A" w:rsidRPr="005C05FF" w14:paraId="4DFB8238" w14:textId="77777777" w:rsidTr="00A50CA4">
        <w:trPr>
          <w:trHeight w:val="288"/>
        </w:trPr>
        <w:tc>
          <w:tcPr>
            <w:tcW w:w="710" w:type="pct"/>
            <w:noWrap/>
            <w:hideMark/>
          </w:tcPr>
          <w:p w14:paraId="7F00B003" w14:textId="77777777" w:rsidR="005C05FF" w:rsidRPr="005C05FF" w:rsidRDefault="005C05FF" w:rsidP="001F550D">
            <w:pPr>
              <w:pStyle w:val="TableBody"/>
            </w:pPr>
            <w:r w:rsidRPr="005C05FF">
              <w:t>2017-18</w:t>
            </w:r>
          </w:p>
        </w:tc>
        <w:tc>
          <w:tcPr>
            <w:tcW w:w="739" w:type="pct"/>
            <w:noWrap/>
            <w:hideMark/>
          </w:tcPr>
          <w:p w14:paraId="586D5D99" w14:textId="77777777" w:rsidR="005C05FF" w:rsidRPr="005C05FF" w:rsidRDefault="005C05FF" w:rsidP="001F550D">
            <w:pPr>
              <w:pStyle w:val="TableBodyRight"/>
            </w:pPr>
            <w:r w:rsidRPr="005C05FF">
              <w:t>9.4</w:t>
            </w:r>
          </w:p>
        </w:tc>
        <w:tc>
          <w:tcPr>
            <w:tcW w:w="710" w:type="pct"/>
            <w:noWrap/>
            <w:hideMark/>
          </w:tcPr>
          <w:p w14:paraId="76AC8FD2" w14:textId="77777777" w:rsidR="005C05FF" w:rsidRPr="005C05FF" w:rsidRDefault="005C05FF" w:rsidP="001F550D">
            <w:pPr>
              <w:pStyle w:val="TableBodyRight"/>
            </w:pPr>
            <w:r w:rsidRPr="005C05FF">
              <w:t>6.6</w:t>
            </w:r>
          </w:p>
        </w:tc>
        <w:tc>
          <w:tcPr>
            <w:tcW w:w="710" w:type="pct"/>
            <w:noWrap/>
            <w:hideMark/>
          </w:tcPr>
          <w:p w14:paraId="551651F1" w14:textId="77777777" w:rsidR="005C05FF" w:rsidRPr="005C05FF" w:rsidRDefault="005C05FF" w:rsidP="001F550D">
            <w:pPr>
              <w:pStyle w:val="TableBodyRight"/>
            </w:pPr>
            <w:r w:rsidRPr="005C05FF">
              <w:t>5.2</w:t>
            </w:r>
          </w:p>
        </w:tc>
        <w:tc>
          <w:tcPr>
            <w:tcW w:w="710" w:type="pct"/>
            <w:noWrap/>
            <w:hideMark/>
          </w:tcPr>
          <w:p w14:paraId="54525EB2" w14:textId="77777777" w:rsidR="005C05FF" w:rsidRPr="005C05FF" w:rsidRDefault="005C05FF" w:rsidP="001F550D">
            <w:pPr>
              <w:pStyle w:val="TableBodyRight"/>
            </w:pPr>
            <w:r w:rsidRPr="005C05FF">
              <w:t>3.1</w:t>
            </w:r>
          </w:p>
        </w:tc>
        <w:tc>
          <w:tcPr>
            <w:tcW w:w="710" w:type="pct"/>
            <w:noWrap/>
            <w:hideMark/>
          </w:tcPr>
          <w:p w14:paraId="7707ABD3" w14:textId="77777777" w:rsidR="005C05FF" w:rsidRPr="005C05FF" w:rsidRDefault="005C05FF" w:rsidP="001F550D">
            <w:pPr>
              <w:pStyle w:val="TableBodyRight"/>
            </w:pPr>
            <w:r w:rsidRPr="005C05FF">
              <w:t>2.8</w:t>
            </w:r>
          </w:p>
        </w:tc>
        <w:tc>
          <w:tcPr>
            <w:tcW w:w="711" w:type="pct"/>
            <w:noWrap/>
            <w:hideMark/>
          </w:tcPr>
          <w:p w14:paraId="7C57C3B2" w14:textId="77777777" w:rsidR="005C05FF" w:rsidRPr="005C05FF" w:rsidRDefault="005C05FF" w:rsidP="001F550D">
            <w:pPr>
              <w:pStyle w:val="TableBodyRight"/>
            </w:pPr>
            <w:r w:rsidRPr="005C05FF">
              <w:t>1.7</w:t>
            </w:r>
          </w:p>
        </w:tc>
      </w:tr>
      <w:tr w:rsidR="004B063A" w:rsidRPr="005C05FF" w14:paraId="245EC7C9" w14:textId="77777777" w:rsidTr="00A50CA4">
        <w:trPr>
          <w:trHeight w:val="288"/>
        </w:trPr>
        <w:tc>
          <w:tcPr>
            <w:tcW w:w="710" w:type="pct"/>
            <w:noWrap/>
            <w:hideMark/>
          </w:tcPr>
          <w:p w14:paraId="44BF703E" w14:textId="77777777" w:rsidR="005C05FF" w:rsidRPr="005C05FF" w:rsidRDefault="005C05FF" w:rsidP="001F550D">
            <w:pPr>
              <w:pStyle w:val="TableBody"/>
            </w:pPr>
            <w:r w:rsidRPr="005C05FF">
              <w:t>2018-19</w:t>
            </w:r>
          </w:p>
        </w:tc>
        <w:tc>
          <w:tcPr>
            <w:tcW w:w="739" w:type="pct"/>
            <w:noWrap/>
            <w:hideMark/>
          </w:tcPr>
          <w:p w14:paraId="7F41C273" w14:textId="77777777" w:rsidR="005C05FF" w:rsidRPr="005C05FF" w:rsidRDefault="005C05FF" w:rsidP="001F550D">
            <w:pPr>
              <w:pStyle w:val="TableBodyRight"/>
            </w:pPr>
            <w:r w:rsidRPr="005C05FF">
              <w:t>10.4</w:t>
            </w:r>
          </w:p>
        </w:tc>
        <w:tc>
          <w:tcPr>
            <w:tcW w:w="710" w:type="pct"/>
            <w:noWrap/>
            <w:hideMark/>
          </w:tcPr>
          <w:p w14:paraId="18CDC45E" w14:textId="77777777" w:rsidR="005C05FF" w:rsidRPr="005C05FF" w:rsidRDefault="005C05FF" w:rsidP="001F550D">
            <w:pPr>
              <w:pStyle w:val="TableBodyRight"/>
            </w:pPr>
            <w:r w:rsidRPr="005C05FF">
              <w:t>6.7</w:t>
            </w:r>
          </w:p>
        </w:tc>
        <w:tc>
          <w:tcPr>
            <w:tcW w:w="710" w:type="pct"/>
            <w:noWrap/>
            <w:hideMark/>
          </w:tcPr>
          <w:p w14:paraId="28F3171A" w14:textId="77777777" w:rsidR="005C05FF" w:rsidRPr="005C05FF" w:rsidRDefault="005C05FF" w:rsidP="001F550D">
            <w:pPr>
              <w:pStyle w:val="TableBodyRight"/>
            </w:pPr>
            <w:r w:rsidRPr="005C05FF">
              <w:t>5.5</w:t>
            </w:r>
          </w:p>
        </w:tc>
        <w:tc>
          <w:tcPr>
            <w:tcW w:w="710" w:type="pct"/>
            <w:noWrap/>
            <w:hideMark/>
          </w:tcPr>
          <w:p w14:paraId="10CA08D4" w14:textId="77777777" w:rsidR="005C05FF" w:rsidRPr="005C05FF" w:rsidRDefault="005C05FF" w:rsidP="001F550D">
            <w:pPr>
              <w:pStyle w:val="TableBodyRight"/>
            </w:pPr>
            <w:r w:rsidRPr="005C05FF">
              <w:t>3.3</w:t>
            </w:r>
          </w:p>
        </w:tc>
        <w:tc>
          <w:tcPr>
            <w:tcW w:w="710" w:type="pct"/>
            <w:noWrap/>
            <w:hideMark/>
          </w:tcPr>
          <w:p w14:paraId="31C17253" w14:textId="77777777" w:rsidR="005C05FF" w:rsidRPr="005C05FF" w:rsidRDefault="005C05FF" w:rsidP="001F550D">
            <w:pPr>
              <w:pStyle w:val="TableBodyRight"/>
            </w:pPr>
            <w:r w:rsidRPr="005C05FF">
              <w:t>2.6</w:t>
            </w:r>
          </w:p>
        </w:tc>
        <w:tc>
          <w:tcPr>
            <w:tcW w:w="711" w:type="pct"/>
            <w:noWrap/>
            <w:hideMark/>
          </w:tcPr>
          <w:p w14:paraId="654BB4AA" w14:textId="77777777" w:rsidR="005C05FF" w:rsidRPr="005C05FF" w:rsidRDefault="005C05FF" w:rsidP="001F550D">
            <w:pPr>
              <w:pStyle w:val="TableBodyRight"/>
            </w:pPr>
            <w:r w:rsidRPr="005C05FF">
              <w:t>1.5</w:t>
            </w:r>
          </w:p>
        </w:tc>
      </w:tr>
      <w:tr w:rsidR="004B063A" w:rsidRPr="005C05FF" w14:paraId="221837FB" w14:textId="77777777" w:rsidTr="00A50CA4">
        <w:trPr>
          <w:trHeight w:val="288"/>
        </w:trPr>
        <w:tc>
          <w:tcPr>
            <w:tcW w:w="710" w:type="pct"/>
            <w:noWrap/>
            <w:hideMark/>
          </w:tcPr>
          <w:p w14:paraId="63231E51" w14:textId="77777777" w:rsidR="005C05FF" w:rsidRPr="005C05FF" w:rsidRDefault="005C05FF" w:rsidP="001F550D">
            <w:pPr>
              <w:pStyle w:val="TableBody"/>
            </w:pPr>
            <w:r w:rsidRPr="005C05FF">
              <w:t>2019-20</w:t>
            </w:r>
          </w:p>
        </w:tc>
        <w:tc>
          <w:tcPr>
            <w:tcW w:w="739" w:type="pct"/>
            <w:noWrap/>
            <w:hideMark/>
          </w:tcPr>
          <w:p w14:paraId="554F0163" w14:textId="77777777" w:rsidR="005C05FF" w:rsidRPr="005C05FF" w:rsidRDefault="005C05FF" w:rsidP="001F550D">
            <w:pPr>
              <w:pStyle w:val="TableBodyRight"/>
            </w:pPr>
            <w:r w:rsidRPr="005C05FF">
              <w:t>11.3</w:t>
            </w:r>
          </w:p>
        </w:tc>
        <w:tc>
          <w:tcPr>
            <w:tcW w:w="710" w:type="pct"/>
            <w:noWrap/>
            <w:hideMark/>
          </w:tcPr>
          <w:p w14:paraId="52F50563" w14:textId="77777777" w:rsidR="005C05FF" w:rsidRPr="005C05FF" w:rsidRDefault="005C05FF" w:rsidP="001F550D">
            <w:pPr>
              <w:pStyle w:val="TableBodyRight"/>
            </w:pPr>
            <w:r w:rsidRPr="005C05FF">
              <w:t>7.4</w:t>
            </w:r>
          </w:p>
        </w:tc>
        <w:tc>
          <w:tcPr>
            <w:tcW w:w="710" w:type="pct"/>
            <w:noWrap/>
            <w:hideMark/>
          </w:tcPr>
          <w:p w14:paraId="1CDC7950" w14:textId="77777777" w:rsidR="005C05FF" w:rsidRPr="005C05FF" w:rsidRDefault="005C05FF" w:rsidP="001F550D">
            <w:pPr>
              <w:pStyle w:val="TableBodyRight"/>
            </w:pPr>
            <w:r w:rsidRPr="005C05FF">
              <w:t>5.9</w:t>
            </w:r>
          </w:p>
        </w:tc>
        <w:tc>
          <w:tcPr>
            <w:tcW w:w="710" w:type="pct"/>
            <w:noWrap/>
            <w:hideMark/>
          </w:tcPr>
          <w:p w14:paraId="5126BD71" w14:textId="77777777" w:rsidR="005C05FF" w:rsidRPr="005C05FF" w:rsidRDefault="005C05FF" w:rsidP="001F550D">
            <w:pPr>
              <w:pStyle w:val="TableBodyRight"/>
            </w:pPr>
            <w:r w:rsidRPr="005C05FF">
              <w:t>3.7</w:t>
            </w:r>
          </w:p>
        </w:tc>
        <w:tc>
          <w:tcPr>
            <w:tcW w:w="710" w:type="pct"/>
            <w:noWrap/>
            <w:hideMark/>
          </w:tcPr>
          <w:p w14:paraId="563E678C" w14:textId="77777777" w:rsidR="005C05FF" w:rsidRPr="005C05FF" w:rsidRDefault="005C05FF" w:rsidP="001F550D">
            <w:pPr>
              <w:pStyle w:val="TableBodyRight"/>
            </w:pPr>
            <w:r w:rsidRPr="005C05FF">
              <w:t>2.8</w:t>
            </w:r>
          </w:p>
        </w:tc>
        <w:tc>
          <w:tcPr>
            <w:tcW w:w="711" w:type="pct"/>
            <w:noWrap/>
            <w:hideMark/>
          </w:tcPr>
          <w:p w14:paraId="33175B59" w14:textId="77777777" w:rsidR="005C05FF" w:rsidRPr="005C05FF" w:rsidRDefault="005C05FF" w:rsidP="001F550D">
            <w:pPr>
              <w:pStyle w:val="TableBodyRight"/>
            </w:pPr>
            <w:r w:rsidRPr="005C05FF">
              <w:t>1.6</w:t>
            </w:r>
          </w:p>
        </w:tc>
      </w:tr>
      <w:tr w:rsidR="004B063A" w:rsidRPr="005C05FF" w14:paraId="7C0D7280" w14:textId="77777777" w:rsidTr="00A50CA4">
        <w:trPr>
          <w:trHeight w:val="288"/>
        </w:trPr>
        <w:tc>
          <w:tcPr>
            <w:tcW w:w="710" w:type="pct"/>
            <w:noWrap/>
            <w:hideMark/>
          </w:tcPr>
          <w:p w14:paraId="16285913" w14:textId="77777777" w:rsidR="005C05FF" w:rsidRPr="005C05FF" w:rsidRDefault="005C05FF" w:rsidP="001F550D">
            <w:pPr>
              <w:pStyle w:val="TableBody"/>
            </w:pPr>
            <w:r w:rsidRPr="005C05FF">
              <w:t>2020-21</w:t>
            </w:r>
          </w:p>
        </w:tc>
        <w:tc>
          <w:tcPr>
            <w:tcW w:w="739" w:type="pct"/>
            <w:noWrap/>
            <w:hideMark/>
          </w:tcPr>
          <w:p w14:paraId="24EDECEB" w14:textId="77777777" w:rsidR="005C05FF" w:rsidRPr="005C05FF" w:rsidRDefault="005C05FF" w:rsidP="001F550D">
            <w:pPr>
              <w:pStyle w:val="TableBodyRight"/>
            </w:pPr>
            <w:r w:rsidRPr="005C05FF">
              <w:t>12.6</w:t>
            </w:r>
          </w:p>
        </w:tc>
        <w:tc>
          <w:tcPr>
            <w:tcW w:w="710" w:type="pct"/>
            <w:noWrap/>
            <w:hideMark/>
          </w:tcPr>
          <w:p w14:paraId="56A6C3FE" w14:textId="77777777" w:rsidR="005C05FF" w:rsidRPr="005C05FF" w:rsidRDefault="005C05FF" w:rsidP="001F550D">
            <w:pPr>
              <w:pStyle w:val="TableBodyRight"/>
            </w:pPr>
            <w:r w:rsidRPr="005C05FF">
              <w:t>8.3</w:t>
            </w:r>
          </w:p>
        </w:tc>
        <w:tc>
          <w:tcPr>
            <w:tcW w:w="710" w:type="pct"/>
            <w:noWrap/>
            <w:hideMark/>
          </w:tcPr>
          <w:p w14:paraId="56B9D232" w14:textId="77777777" w:rsidR="005C05FF" w:rsidRPr="005C05FF" w:rsidRDefault="005C05FF" w:rsidP="001F550D">
            <w:pPr>
              <w:pStyle w:val="TableBodyRight"/>
            </w:pPr>
            <w:r w:rsidRPr="005C05FF">
              <w:t>4.8</w:t>
            </w:r>
          </w:p>
        </w:tc>
        <w:tc>
          <w:tcPr>
            <w:tcW w:w="710" w:type="pct"/>
            <w:noWrap/>
            <w:hideMark/>
          </w:tcPr>
          <w:p w14:paraId="31C1A9B9" w14:textId="77777777" w:rsidR="005C05FF" w:rsidRPr="005C05FF" w:rsidRDefault="005C05FF" w:rsidP="001F550D">
            <w:pPr>
              <w:pStyle w:val="TableBodyRight"/>
            </w:pPr>
            <w:r w:rsidRPr="005C05FF">
              <w:t>2.8</w:t>
            </w:r>
          </w:p>
        </w:tc>
        <w:tc>
          <w:tcPr>
            <w:tcW w:w="710" w:type="pct"/>
            <w:noWrap/>
            <w:hideMark/>
          </w:tcPr>
          <w:p w14:paraId="6D98E4B6" w14:textId="77777777" w:rsidR="005C05FF" w:rsidRPr="005C05FF" w:rsidRDefault="005C05FF" w:rsidP="001F550D">
            <w:pPr>
              <w:pStyle w:val="TableBodyRight"/>
            </w:pPr>
            <w:r w:rsidRPr="005C05FF">
              <w:t>2.8</w:t>
            </w:r>
          </w:p>
        </w:tc>
        <w:tc>
          <w:tcPr>
            <w:tcW w:w="711" w:type="pct"/>
            <w:noWrap/>
            <w:hideMark/>
          </w:tcPr>
          <w:p w14:paraId="1D8B1766" w14:textId="77777777" w:rsidR="005C05FF" w:rsidRPr="005C05FF" w:rsidRDefault="005C05FF" w:rsidP="001F550D">
            <w:pPr>
              <w:pStyle w:val="TableBodyRight"/>
            </w:pPr>
            <w:r w:rsidRPr="005C05FF">
              <w:t>1.6</w:t>
            </w:r>
          </w:p>
        </w:tc>
      </w:tr>
    </w:tbl>
    <w:p w14:paraId="0A1B5560" w14:textId="77777777" w:rsidR="00E62AE6" w:rsidRPr="00E62AE6" w:rsidRDefault="00E62AE6" w:rsidP="00CD4BE8">
      <w:pPr>
        <w:pStyle w:val="Heading1"/>
      </w:pPr>
      <w:bookmarkStart w:id="7" w:name="_Toc112770337"/>
      <w:r w:rsidRPr="00E62AE6">
        <w:lastRenderedPageBreak/>
        <w:t>Serious sex offences</w:t>
      </w:r>
      <w:bookmarkEnd w:id="7"/>
    </w:p>
    <w:p w14:paraId="55A6E91D" w14:textId="77777777" w:rsidR="00E62AE6" w:rsidRPr="0031029F" w:rsidRDefault="00E62AE6" w:rsidP="0031029F">
      <w:r w:rsidRPr="00E62AE6">
        <w:rPr>
          <w:rStyle w:val="Italic"/>
        </w:rPr>
        <w:t>Snapshots</w:t>
      </w:r>
      <w:r w:rsidRPr="0031029F">
        <w:t xml:space="preserve"> cover seven serious sex offences. The graphs below focus on the three most common offences involving penetration: rape, incest and sexual penetration of a child aged 12 to under 16. For context, the number of cases involving sexual penetration of a child aged under 12</w:t>
      </w:r>
      <w:r w:rsidRPr="00E62AE6">
        <w:rPr>
          <w:rStyle w:val="Superscript"/>
        </w:rPr>
        <w:footnoteReference w:id="31"/>
      </w:r>
      <w:r w:rsidRPr="0031029F">
        <w:t xml:space="preserve"> and persistent sexual abuse of a child aged under 16 is included in Figure 15.</w:t>
      </w:r>
      <w:r w:rsidRPr="00E62AE6">
        <w:rPr>
          <w:rStyle w:val="Superscript"/>
        </w:rPr>
        <w:footnoteReference w:id="32"/>
      </w:r>
      <w:r w:rsidRPr="0031029F">
        <w:t xml:space="preserve"> There does not appear to be any particular trend in the number of cases involving those offences. The most recent </w:t>
      </w:r>
      <w:r w:rsidRPr="00E62AE6">
        <w:rPr>
          <w:rStyle w:val="Italic"/>
        </w:rPr>
        <w:t xml:space="preserve">Snapshot </w:t>
      </w:r>
      <w:r w:rsidRPr="0031029F">
        <w:t>for incest only has data to 2018–19.</w:t>
      </w:r>
    </w:p>
    <w:p w14:paraId="7F49E1EF" w14:textId="77777777" w:rsidR="00E62AE6" w:rsidRPr="00E62AE6" w:rsidRDefault="00E62AE6" w:rsidP="00E5783B">
      <w:pPr>
        <w:pStyle w:val="Caption"/>
      </w:pPr>
      <w:r w:rsidRPr="00E62AE6">
        <w:t>Figure 15: Number of people sentenced in the higher courts for serious sex offences, 2001–02 to 2019–20</w:t>
      </w:r>
    </w:p>
    <w:tbl>
      <w:tblPr>
        <w:tblStyle w:val="Table"/>
        <w:tblW w:w="4966" w:type="pct"/>
        <w:tblLayout w:type="fixed"/>
        <w:tblLook w:val="04A0" w:firstRow="1" w:lastRow="0" w:firstColumn="1" w:lastColumn="0" w:noHBand="0" w:noVBand="1"/>
      </w:tblPr>
      <w:tblGrid>
        <w:gridCol w:w="1511"/>
        <w:gridCol w:w="1078"/>
        <w:gridCol w:w="1195"/>
        <w:gridCol w:w="1872"/>
        <w:gridCol w:w="1812"/>
        <w:gridCol w:w="1487"/>
      </w:tblGrid>
      <w:tr w:rsidR="00B15DCA" w:rsidRPr="00945812" w14:paraId="4E9849C7" w14:textId="77777777" w:rsidTr="00B403B4">
        <w:trPr>
          <w:trHeight w:val="288"/>
          <w:tblHeader/>
        </w:trPr>
        <w:tc>
          <w:tcPr>
            <w:tcW w:w="844" w:type="pct"/>
            <w:noWrap/>
            <w:hideMark/>
          </w:tcPr>
          <w:p w14:paraId="5D9019E3" w14:textId="77777777" w:rsidR="00945812" w:rsidRPr="00945812" w:rsidRDefault="00945812" w:rsidP="00B15DCA">
            <w:pPr>
              <w:pStyle w:val="TableHeading"/>
            </w:pPr>
            <w:r w:rsidRPr="00945812">
              <w:t>Financial year</w:t>
            </w:r>
          </w:p>
        </w:tc>
        <w:tc>
          <w:tcPr>
            <w:tcW w:w="602" w:type="pct"/>
            <w:noWrap/>
            <w:hideMark/>
          </w:tcPr>
          <w:p w14:paraId="7C3E0C8D" w14:textId="77777777" w:rsidR="00945812" w:rsidRPr="00945812" w:rsidRDefault="00945812" w:rsidP="00B15DCA">
            <w:pPr>
              <w:pStyle w:val="TableHeadingRight"/>
            </w:pPr>
            <w:r w:rsidRPr="00945812">
              <w:t>Rape</w:t>
            </w:r>
          </w:p>
        </w:tc>
        <w:tc>
          <w:tcPr>
            <w:tcW w:w="667" w:type="pct"/>
            <w:noWrap/>
            <w:hideMark/>
          </w:tcPr>
          <w:p w14:paraId="73747D6C" w14:textId="77777777" w:rsidR="00945812" w:rsidRPr="00945812" w:rsidRDefault="00945812" w:rsidP="00B15DCA">
            <w:pPr>
              <w:pStyle w:val="TableHeadingRight"/>
            </w:pPr>
            <w:r w:rsidRPr="00945812">
              <w:t>Incest</w:t>
            </w:r>
          </w:p>
        </w:tc>
        <w:tc>
          <w:tcPr>
            <w:tcW w:w="1045" w:type="pct"/>
            <w:noWrap/>
            <w:hideMark/>
          </w:tcPr>
          <w:p w14:paraId="56FC9058" w14:textId="77777777" w:rsidR="00945812" w:rsidRPr="00945812" w:rsidRDefault="00945812" w:rsidP="00B15DCA">
            <w:pPr>
              <w:pStyle w:val="TableHeadingRight"/>
            </w:pPr>
            <w:r w:rsidRPr="00945812">
              <w:t>Sexual penetration of a child aged under 12</w:t>
            </w:r>
          </w:p>
        </w:tc>
        <w:tc>
          <w:tcPr>
            <w:tcW w:w="1012" w:type="pct"/>
            <w:noWrap/>
            <w:hideMark/>
          </w:tcPr>
          <w:p w14:paraId="323A6067" w14:textId="38986E7E" w:rsidR="00945812" w:rsidRPr="00945812" w:rsidRDefault="00945812" w:rsidP="00B15DCA">
            <w:pPr>
              <w:pStyle w:val="TableHeadingRight"/>
            </w:pPr>
            <w:r w:rsidRPr="00945812">
              <w:t xml:space="preserve">Sexual penetration of a child aged 12 to </w:t>
            </w:r>
            <w:r w:rsidR="004C6F4D">
              <w:t>under 16</w:t>
            </w:r>
          </w:p>
        </w:tc>
        <w:tc>
          <w:tcPr>
            <w:tcW w:w="830" w:type="pct"/>
            <w:noWrap/>
            <w:hideMark/>
          </w:tcPr>
          <w:p w14:paraId="0491207F" w14:textId="77777777" w:rsidR="00945812" w:rsidRPr="00945812" w:rsidRDefault="00945812" w:rsidP="00B15DCA">
            <w:pPr>
              <w:pStyle w:val="TableHeadingRight"/>
            </w:pPr>
            <w:r w:rsidRPr="00945812">
              <w:t>Persistent sexual abuse of a child</w:t>
            </w:r>
          </w:p>
        </w:tc>
      </w:tr>
      <w:tr w:rsidR="00B15DCA" w:rsidRPr="00945812" w14:paraId="023B00FF" w14:textId="77777777" w:rsidTr="00B15DCA">
        <w:trPr>
          <w:trHeight w:val="288"/>
        </w:trPr>
        <w:tc>
          <w:tcPr>
            <w:tcW w:w="844" w:type="pct"/>
            <w:noWrap/>
            <w:hideMark/>
          </w:tcPr>
          <w:p w14:paraId="4353467D" w14:textId="77777777" w:rsidR="00945812" w:rsidRPr="00945812" w:rsidRDefault="00945812" w:rsidP="001F550D">
            <w:pPr>
              <w:pStyle w:val="TableBody"/>
            </w:pPr>
            <w:r w:rsidRPr="00945812">
              <w:t>2001-02</w:t>
            </w:r>
          </w:p>
        </w:tc>
        <w:tc>
          <w:tcPr>
            <w:tcW w:w="602" w:type="pct"/>
            <w:noWrap/>
            <w:hideMark/>
          </w:tcPr>
          <w:p w14:paraId="6CC3F22A" w14:textId="77777777" w:rsidR="00945812" w:rsidRPr="00945812" w:rsidRDefault="00945812" w:rsidP="001F550D">
            <w:pPr>
              <w:pStyle w:val="TableBodyRight"/>
            </w:pPr>
            <w:r w:rsidRPr="00945812">
              <w:t>29</w:t>
            </w:r>
          </w:p>
        </w:tc>
        <w:tc>
          <w:tcPr>
            <w:tcW w:w="667" w:type="pct"/>
            <w:noWrap/>
            <w:hideMark/>
          </w:tcPr>
          <w:p w14:paraId="342E1D69" w14:textId="335CF82F" w:rsidR="00945812" w:rsidRPr="00945812" w:rsidRDefault="0006358E" w:rsidP="0006358E">
            <w:pPr>
              <w:pStyle w:val="TableBodyRight"/>
            </w:pPr>
            <w:proofErr w:type="spellStart"/>
            <w:r>
              <w:t>n.a.</w:t>
            </w:r>
            <w:proofErr w:type="spellEnd"/>
          </w:p>
        </w:tc>
        <w:tc>
          <w:tcPr>
            <w:tcW w:w="1045" w:type="pct"/>
            <w:noWrap/>
            <w:hideMark/>
          </w:tcPr>
          <w:p w14:paraId="682B0B33" w14:textId="77777777" w:rsidR="00945812" w:rsidRPr="00945812" w:rsidRDefault="00945812" w:rsidP="001F550D">
            <w:pPr>
              <w:pStyle w:val="TableBodyRight"/>
            </w:pPr>
            <w:r w:rsidRPr="00945812">
              <w:t>18</w:t>
            </w:r>
          </w:p>
        </w:tc>
        <w:tc>
          <w:tcPr>
            <w:tcW w:w="1012" w:type="pct"/>
            <w:noWrap/>
            <w:hideMark/>
          </w:tcPr>
          <w:p w14:paraId="56599D5C" w14:textId="77777777" w:rsidR="00945812" w:rsidRPr="00945812" w:rsidRDefault="00945812" w:rsidP="001F550D">
            <w:pPr>
              <w:pStyle w:val="TableBodyRight"/>
            </w:pPr>
            <w:r w:rsidRPr="00945812">
              <w:t>35</w:t>
            </w:r>
          </w:p>
        </w:tc>
        <w:tc>
          <w:tcPr>
            <w:tcW w:w="830" w:type="pct"/>
            <w:noWrap/>
            <w:hideMark/>
          </w:tcPr>
          <w:p w14:paraId="46F6B999" w14:textId="77777777" w:rsidR="00945812" w:rsidRPr="00945812" w:rsidRDefault="00945812" w:rsidP="001F550D">
            <w:pPr>
              <w:pStyle w:val="TableBodyRight"/>
            </w:pPr>
            <w:r w:rsidRPr="00945812">
              <w:t>6</w:t>
            </w:r>
          </w:p>
        </w:tc>
      </w:tr>
      <w:tr w:rsidR="00B15DCA" w:rsidRPr="00945812" w14:paraId="144AB0DC" w14:textId="77777777" w:rsidTr="00B15DCA">
        <w:trPr>
          <w:trHeight w:val="288"/>
        </w:trPr>
        <w:tc>
          <w:tcPr>
            <w:tcW w:w="844" w:type="pct"/>
            <w:noWrap/>
            <w:hideMark/>
          </w:tcPr>
          <w:p w14:paraId="2CA1E505" w14:textId="77777777" w:rsidR="00945812" w:rsidRPr="00945812" w:rsidRDefault="00945812" w:rsidP="001F550D">
            <w:pPr>
              <w:pStyle w:val="TableBody"/>
            </w:pPr>
            <w:r w:rsidRPr="00945812">
              <w:t>2002-03</w:t>
            </w:r>
          </w:p>
        </w:tc>
        <w:tc>
          <w:tcPr>
            <w:tcW w:w="602" w:type="pct"/>
            <w:noWrap/>
            <w:hideMark/>
          </w:tcPr>
          <w:p w14:paraId="59DBB501" w14:textId="77777777" w:rsidR="00945812" w:rsidRPr="00945812" w:rsidRDefault="00945812" w:rsidP="001F550D">
            <w:pPr>
              <w:pStyle w:val="TableBodyRight"/>
            </w:pPr>
            <w:r w:rsidRPr="00945812">
              <w:t>32</w:t>
            </w:r>
          </w:p>
        </w:tc>
        <w:tc>
          <w:tcPr>
            <w:tcW w:w="667" w:type="pct"/>
            <w:noWrap/>
            <w:hideMark/>
          </w:tcPr>
          <w:p w14:paraId="5CBBBD14" w14:textId="77777777" w:rsidR="00945812" w:rsidRPr="00945812" w:rsidRDefault="00945812" w:rsidP="001F550D">
            <w:pPr>
              <w:pStyle w:val="TableBodyRight"/>
            </w:pPr>
            <w:r w:rsidRPr="00945812">
              <w:t>22</w:t>
            </w:r>
          </w:p>
        </w:tc>
        <w:tc>
          <w:tcPr>
            <w:tcW w:w="1045" w:type="pct"/>
            <w:noWrap/>
            <w:hideMark/>
          </w:tcPr>
          <w:p w14:paraId="2951A0AD" w14:textId="77777777" w:rsidR="00945812" w:rsidRPr="00945812" w:rsidRDefault="00945812" w:rsidP="001F550D">
            <w:pPr>
              <w:pStyle w:val="TableBodyRight"/>
            </w:pPr>
            <w:r w:rsidRPr="00945812">
              <w:t>10</w:t>
            </w:r>
          </w:p>
        </w:tc>
        <w:tc>
          <w:tcPr>
            <w:tcW w:w="1012" w:type="pct"/>
            <w:noWrap/>
            <w:hideMark/>
          </w:tcPr>
          <w:p w14:paraId="3B8DE2B7" w14:textId="77777777" w:rsidR="00945812" w:rsidRPr="00945812" w:rsidRDefault="00945812" w:rsidP="001F550D">
            <w:pPr>
              <w:pStyle w:val="TableBodyRight"/>
            </w:pPr>
            <w:r w:rsidRPr="00945812">
              <w:t>39</w:t>
            </w:r>
          </w:p>
        </w:tc>
        <w:tc>
          <w:tcPr>
            <w:tcW w:w="830" w:type="pct"/>
            <w:noWrap/>
            <w:hideMark/>
          </w:tcPr>
          <w:p w14:paraId="4D3F6677" w14:textId="77777777" w:rsidR="00945812" w:rsidRPr="00945812" w:rsidRDefault="00945812" w:rsidP="001F550D">
            <w:pPr>
              <w:pStyle w:val="TableBodyRight"/>
            </w:pPr>
            <w:r w:rsidRPr="00945812">
              <w:t>3</w:t>
            </w:r>
          </w:p>
        </w:tc>
      </w:tr>
      <w:tr w:rsidR="00B15DCA" w:rsidRPr="00945812" w14:paraId="346F236B" w14:textId="77777777" w:rsidTr="00B15DCA">
        <w:trPr>
          <w:trHeight w:val="288"/>
        </w:trPr>
        <w:tc>
          <w:tcPr>
            <w:tcW w:w="844" w:type="pct"/>
            <w:noWrap/>
            <w:hideMark/>
          </w:tcPr>
          <w:p w14:paraId="106FA24B" w14:textId="77777777" w:rsidR="00945812" w:rsidRPr="00945812" w:rsidRDefault="00945812" w:rsidP="001F550D">
            <w:pPr>
              <w:pStyle w:val="TableBody"/>
            </w:pPr>
            <w:r w:rsidRPr="00945812">
              <w:t>2003-04</w:t>
            </w:r>
          </w:p>
        </w:tc>
        <w:tc>
          <w:tcPr>
            <w:tcW w:w="602" w:type="pct"/>
            <w:noWrap/>
            <w:hideMark/>
          </w:tcPr>
          <w:p w14:paraId="25B1DDD5" w14:textId="77777777" w:rsidR="00945812" w:rsidRPr="00945812" w:rsidRDefault="00945812" w:rsidP="001F550D">
            <w:pPr>
              <w:pStyle w:val="TableBodyRight"/>
            </w:pPr>
            <w:r w:rsidRPr="00945812">
              <w:t>37</w:t>
            </w:r>
          </w:p>
        </w:tc>
        <w:tc>
          <w:tcPr>
            <w:tcW w:w="667" w:type="pct"/>
            <w:noWrap/>
            <w:hideMark/>
          </w:tcPr>
          <w:p w14:paraId="3397EBE7" w14:textId="77777777" w:rsidR="00945812" w:rsidRPr="00945812" w:rsidRDefault="00945812" w:rsidP="001F550D">
            <w:pPr>
              <w:pStyle w:val="TableBodyRight"/>
            </w:pPr>
            <w:r w:rsidRPr="00945812">
              <w:t>25</w:t>
            </w:r>
          </w:p>
        </w:tc>
        <w:tc>
          <w:tcPr>
            <w:tcW w:w="1045" w:type="pct"/>
            <w:noWrap/>
            <w:hideMark/>
          </w:tcPr>
          <w:p w14:paraId="6641C73F" w14:textId="77777777" w:rsidR="00945812" w:rsidRPr="00945812" w:rsidRDefault="00945812" w:rsidP="001F550D">
            <w:pPr>
              <w:pStyle w:val="TableBodyRight"/>
            </w:pPr>
            <w:r w:rsidRPr="00945812">
              <w:t>16</w:t>
            </w:r>
          </w:p>
        </w:tc>
        <w:tc>
          <w:tcPr>
            <w:tcW w:w="1012" w:type="pct"/>
            <w:noWrap/>
            <w:hideMark/>
          </w:tcPr>
          <w:p w14:paraId="04859CEC" w14:textId="77777777" w:rsidR="00945812" w:rsidRPr="00945812" w:rsidRDefault="00945812" w:rsidP="001F550D">
            <w:pPr>
              <w:pStyle w:val="TableBodyRight"/>
            </w:pPr>
            <w:r w:rsidRPr="00945812">
              <w:t>29</w:t>
            </w:r>
          </w:p>
        </w:tc>
        <w:tc>
          <w:tcPr>
            <w:tcW w:w="830" w:type="pct"/>
            <w:noWrap/>
            <w:hideMark/>
          </w:tcPr>
          <w:p w14:paraId="14E1C5D4" w14:textId="77777777" w:rsidR="00945812" w:rsidRPr="00945812" w:rsidRDefault="00945812" w:rsidP="001F550D">
            <w:pPr>
              <w:pStyle w:val="TableBodyRight"/>
            </w:pPr>
            <w:r w:rsidRPr="00945812">
              <w:t>5</w:t>
            </w:r>
          </w:p>
        </w:tc>
      </w:tr>
      <w:tr w:rsidR="00B15DCA" w:rsidRPr="00945812" w14:paraId="4B298E23" w14:textId="77777777" w:rsidTr="00B15DCA">
        <w:trPr>
          <w:trHeight w:val="288"/>
        </w:trPr>
        <w:tc>
          <w:tcPr>
            <w:tcW w:w="844" w:type="pct"/>
            <w:noWrap/>
            <w:hideMark/>
          </w:tcPr>
          <w:p w14:paraId="26AE8BB3" w14:textId="77777777" w:rsidR="00945812" w:rsidRPr="00945812" w:rsidRDefault="00945812" w:rsidP="001F550D">
            <w:pPr>
              <w:pStyle w:val="TableBody"/>
            </w:pPr>
            <w:r w:rsidRPr="00945812">
              <w:t>2004-05</w:t>
            </w:r>
          </w:p>
        </w:tc>
        <w:tc>
          <w:tcPr>
            <w:tcW w:w="602" w:type="pct"/>
            <w:noWrap/>
            <w:hideMark/>
          </w:tcPr>
          <w:p w14:paraId="113224FA" w14:textId="77777777" w:rsidR="00945812" w:rsidRPr="00945812" w:rsidRDefault="00945812" w:rsidP="001F550D">
            <w:pPr>
              <w:pStyle w:val="TableBodyRight"/>
            </w:pPr>
            <w:r w:rsidRPr="00945812">
              <w:t>46</w:t>
            </w:r>
          </w:p>
        </w:tc>
        <w:tc>
          <w:tcPr>
            <w:tcW w:w="667" w:type="pct"/>
            <w:noWrap/>
            <w:hideMark/>
          </w:tcPr>
          <w:p w14:paraId="4BC14138" w14:textId="77777777" w:rsidR="00945812" w:rsidRPr="00945812" w:rsidRDefault="00945812" w:rsidP="001F550D">
            <w:pPr>
              <w:pStyle w:val="TableBodyRight"/>
            </w:pPr>
            <w:r w:rsidRPr="00945812">
              <w:t>32</w:t>
            </w:r>
          </w:p>
        </w:tc>
        <w:tc>
          <w:tcPr>
            <w:tcW w:w="1045" w:type="pct"/>
            <w:noWrap/>
            <w:hideMark/>
          </w:tcPr>
          <w:p w14:paraId="4FEFD63D" w14:textId="77777777" w:rsidR="00945812" w:rsidRPr="00945812" w:rsidRDefault="00945812" w:rsidP="001F550D">
            <w:pPr>
              <w:pStyle w:val="TableBodyRight"/>
            </w:pPr>
            <w:r w:rsidRPr="00945812">
              <w:t>26</w:t>
            </w:r>
          </w:p>
        </w:tc>
        <w:tc>
          <w:tcPr>
            <w:tcW w:w="1012" w:type="pct"/>
            <w:noWrap/>
            <w:hideMark/>
          </w:tcPr>
          <w:p w14:paraId="3EFAB448" w14:textId="77777777" w:rsidR="00945812" w:rsidRPr="00945812" w:rsidRDefault="00945812" w:rsidP="001F550D">
            <w:pPr>
              <w:pStyle w:val="TableBodyRight"/>
            </w:pPr>
            <w:r w:rsidRPr="00945812">
              <w:t>45</w:t>
            </w:r>
          </w:p>
        </w:tc>
        <w:tc>
          <w:tcPr>
            <w:tcW w:w="830" w:type="pct"/>
            <w:noWrap/>
            <w:hideMark/>
          </w:tcPr>
          <w:p w14:paraId="32E30AFE" w14:textId="77777777" w:rsidR="00945812" w:rsidRPr="00945812" w:rsidRDefault="00945812" w:rsidP="001F550D">
            <w:pPr>
              <w:pStyle w:val="TableBodyRight"/>
            </w:pPr>
            <w:r w:rsidRPr="00945812">
              <w:t>12</w:t>
            </w:r>
          </w:p>
        </w:tc>
      </w:tr>
      <w:tr w:rsidR="00B15DCA" w:rsidRPr="00945812" w14:paraId="5149AF7D" w14:textId="77777777" w:rsidTr="00B15DCA">
        <w:trPr>
          <w:trHeight w:val="288"/>
        </w:trPr>
        <w:tc>
          <w:tcPr>
            <w:tcW w:w="844" w:type="pct"/>
            <w:noWrap/>
            <w:hideMark/>
          </w:tcPr>
          <w:p w14:paraId="143EA2B8" w14:textId="77777777" w:rsidR="00945812" w:rsidRPr="00945812" w:rsidRDefault="00945812" w:rsidP="001F550D">
            <w:pPr>
              <w:pStyle w:val="TableBody"/>
            </w:pPr>
            <w:r w:rsidRPr="00945812">
              <w:t>2005-06</w:t>
            </w:r>
          </w:p>
        </w:tc>
        <w:tc>
          <w:tcPr>
            <w:tcW w:w="602" w:type="pct"/>
            <w:noWrap/>
            <w:hideMark/>
          </w:tcPr>
          <w:p w14:paraId="41F523B1" w14:textId="77777777" w:rsidR="00945812" w:rsidRPr="00945812" w:rsidRDefault="00945812" w:rsidP="001F550D">
            <w:pPr>
              <w:pStyle w:val="TableBodyRight"/>
            </w:pPr>
            <w:r w:rsidRPr="00945812">
              <w:t>37</w:t>
            </w:r>
          </w:p>
        </w:tc>
        <w:tc>
          <w:tcPr>
            <w:tcW w:w="667" w:type="pct"/>
            <w:noWrap/>
            <w:hideMark/>
          </w:tcPr>
          <w:p w14:paraId="746715A3" w14:textId="77777777" w:rsidR="00945812" w:rsidRPr="00945812" w:rsidRDefault="00945812" w:rsidP="001F550D">
            <w:pPr>
              <w:pStyle w:val="TableBodyRight"/>
            </w:pPr>
            <w:r w:rsidRPr="00945812">
              <w:t>21</w:t>
            </w:r>
          </w:p>
        </w:tc>
        <w:tc>
          <w:tcPr>
            <w:tcW w:w="1045" w:type="pct"/>
            <w:noWrap/>
            <w:hideMark/>
          </w:tcPr>
          <w:p w14:paraId="31B61456" w14:textId="77777777" w:rsidR="00945812" w:rsidRPr="00945812" w:rsidRDefault="00945812" w:rsidP="001F550D">
            <w:pPr>
              <w:pStyle w:val="TableBodyRight"/>
            </w:pPr>
            <w:r w:rsidRPr="00945812">
              <w:t>16</w:t>
            </w:r>
          </w:p>
        </w:tc>
        <w:tc>
          <w:tcPr>
            <w:tcW w:w="1012" w:type="pct"/>
            <w:noWrap/>
            <w:hideMark/>
          </w:tcPr>
          <w:p w14:paraId="3137067A" w14:textId="77777777" w:rsidR="00945812" w:rsidRPr="00945812" w:rsidRDefault="00945812" w:rsidP="001F550D">
            <w:pPr>
              <w:pStyle w:val="TableBodyRight"/>
            </w:pPr>
            <w:r w:rsidRPr="00945812">
              <w:t>45</w:t>
            </w:r>
          </w:p>
        </w:tc>
        <w:tc>
          <w:tcPr>
            <w:tcW w:w="830" w:type="pct"/>
            <w:noWrap/>
            <w:hideMark/>
          </w:tcPr>
          <w:p w14:paraId="27004AFE" w14:textId="77777777" w:rsidR="00945812" w:rsidRPr="00945812" w:rsidRDefault="00945812" w:rsidP="001F550D">
            <w:pPr>
              <w:pStyle w:val="TableBodyRight"/>
            </w:pPr>
            <w:r w:rsidRPr="00945812">
              <w:t>3</w:t>
            </w:r>
          </w:p>
        </w:tc>
      </w:tr>
      <w:tr w:rsidR="00B15DCA" w:rsidRPr="00945812" w14:paraId="03AF7692" w14:textId="77777777" w:rsidTr="00B15DCA">
        <w:trPr>
          <w:trHeight w:val="288"/>
        </w:trPr>
        <w:tc>
          <w:tcPr>
            <w:tcW w:w="844" w:type="pct"/>
            <w:noWrap/>
            <w:hideMark/>
          </w:tcPr>
          <w:p w14:paraId="12DE379D" w14:textId="77777777" w:rsidR="00945812" w:rsidRPr="00945812" w:rsidRDefault="00945812" w:rsidP="001F550D">
            <w:pPr>
              <w:pStyle w:val="TableBody"/>
            </w:pPr>
            <w:r w:rsidRPr="00945812">
              <w:t>2006-07</w:t>
            </w:r>
          </w:p>
        </w:tc>
        <w:tc>
          <w:tcPr>
            <w:tcW w:w="602" w:type="pct"/>
            <w:noWrap/>
            <w:hideMark/>
          </w:tcPr>
          <w:p w14:paraId="72083668" w14:textId="77777777" w:rsidR="00945812" w:rsidRPr="00945812" w:rsidRDefault="00945812" w:rsidP="001F550D">
            <w:pPr>
              <w:pStyle w:val="TableBodyRight"/>
            </w:pPr>
            <w:r w:rsidRPr="00945812">
              <w:t>52</w:t>
            </w:r>
          </w:p>
        </w:tc>
        <w:tc>
          <w:tcPr>
            <w:tcW w:w="667" w:type="pct"/>
            <w:noWrap/>
            <w:hideMark/>
          </w:tcPr>
          <w:p w14:paraId="401C32B6" w14:textId="77777777" w:rsidR="00945812" w:rsidRPr="00945812" w:rsidRDefault="00945812" w:rsidP="001F550D">
            <w:pPr>
              <w:pStyle w:val="TableBodyRight"/>
            </w:pPr>
            <w:r w:rsidRPr="00945812">
              <w:t>33</w:t>
            </w:r>
          </w:p>
        </w:tc>
        <w:tc>
          <w:tcPr>
            <w:tcW w:w="1045" w:type="pct"/>
            <w:noWrap/>
            <w:hideMark/>
          </w:tcPr>
          <w:p w14:paraId="14D23E92" w14:textId="77777777" w:rsidR="00945812" w:rsidRPr="00945812" w:rsidRDefault="00945812" w:rsidP="001F550D">
            <w:pPr>
              <w:pStyle w:val="TableBodyRight"/>
            </w:pPr>
            <w:r w:rsidRPr="00945812">
              <w:t>17</w:t>
            </w:r>
          </w:p>
        </w:tc>
        <w:tc>
          <w:tcPr>
            <w:tcW w:w="1012" w:type="pct"/>
            <w:noWrap/>
            <w:hideMark/>
          </w:tcPr>
          <w:p w14:paraId="60B72155" w14:textId="77777777" w:rsidR="00945812" w:rsidRPr="00945812" w:rsidRDefault="00945812" w:rsidP="001F550D">
            <w:pPr>
              <w:pStyle w:val="TableBodyRight"/>
            </w:pPr>
            <w:r w:rsidRPr="00945812">
              <w:t>57</w:t>
            </w:r>
          </w:p>
        </w:tc>
        <w:tc>
          <w:tcPr>
            <w:tcW w:w="830" w:type="pct"/>
            <w:noWrap/>
            <w:hideMark/>
          </w:tcPr>
          <w:p w14:paraId="6C869FDB" w14:textId="77777777" w:rsidR="00945812" w:rsidRPr="00945812" w:rsidRDefault="00945812" w:rsidP="001F550D">
            <w:pPr>
              <w:pStyle w:val="TableBodyRight"/>
            </w:pPr>
            <w:r w:rsidRPr="00945812">
              <w:t>10</w:t>
            </w:r>
          </w:p>
        </w:tc>
      </w:tr>
      <w:tr w:rsidR="00B15DCA" w:rsidRPr="00945812" w14:paraId="56540521" w14:textId="77777777" w:rsidTr="00B15DCA">
        <w:trPr>
          <w:trHeight w:val="288"/>
        </w:trPr>
        <w:tc>
          <w:tcPr>
            <w:tcW w:w="844" w:type="pct"/>
            <w:noWrap/>
            <w:hideMark/>
          </w:tcPr>
          <w:p w14:paraId="7D6462A0" w14:textId="77777777" w:rsidR="00945812" w:rsidRPr="00945812" w:rsidRDefault="00945812" w:rsidP="001F550D">
            <w:pPr>
              <w:pStyle w:val="TableBody"/>
            </w:pPr>
            <w:r w:rsidRPr="00945812">
              <w:t>2007-08</w:t>
            </w:r>
          </w:p>
        </w:tc>
        <w:tc>
          <w:tcPr>
            <w:tcW w:w="602" w:type="pct"/>
            <w:noWrap/>
            <w:hideMark/>
          </w:tcPr>
          <w:p w14:paraId="0F289F0C" w14:textId="77777777" w:rsidR="00945812" w:rsidRPr="00945812" w:rsidRDefault="00945812" w:rsidP="001F550D">
            <w:pPr>
              <w:pStyle w:val="TableBodyRight"/>
            </w:pPr>
            <w:r w:rsidRPr="00945812">
              <w:t>54</w:t>
            </w:r>
          </w:p>
        </w:tc>
        <w:tc>
          <w:tcPr>
            <w:tcW w:w="667" w:type="pct"/>
            <w:noWrap/>
            <w:hideMark/>
          </w:tcPr>
          <w:p w14:paraId="246A39D9" w14:textId="77777777" w:rsidR="00945812" w:rsidRPr="00945812" w:rsidRDefault="00945812" w:rsidP="001F550D">
            <w:pPr>
              <w:pStyle w:val="TableBodyRight"/>
            </w:pPr>
            <w:r w:rsidRPr="00945812">
              <w:t>48</w:t>
            </w:r>
          </w:p>
        </w:tc>
        <w:tc>
          <w:tcPr>
            <w:tcW w:w="1045" w:type="pct"/>
            <w:noWrap/>
            <w:hideMark/>
          </w:tcPr>
          <w:p w14:paraId="1A39ECF0" w14:textId="77777777" w:rsidR="00945812" w:rsidRPr="00945812" w:rsidRDefault="00945812" w:rsidP="001F550D">
            <w:pPr>
              <w:pStyle w:val="TableBodyRight"/>
            </w:pPr>
            <w:r w:rsidRPr="00945812">
              <w:t>19</w:t>
            </w:r>
          </w:p>
        </w:tc>
        <w:tc>
          <w:tcPr>
            <w:tcW w:w="1012" w:type="pct"/>
            <w:noWrap/>
            <w:hideMark/>
          </w:tcPr>
          <w:p w14:paraId="3B436205" w14:textId="77777777" w:rsidR="00945812" w:rsidRPr="00945812" w:rsidRDefault="00945812" w:rsidP="001F550D">
            <w:pPr>
              <w:pStyle w:val="TableBodyRight"/>
            </w:pPr>
            <w:r w:rsidRPr="00945812">
              <w:t>95</w:t>
            </w:r>
          </w:p>
        </w:tc>
        <w:tc>
          <w:tcPr>
            <w:tcW w:w="830" w:type="pct"/>
            <w:noWrap/>
            <w:hideMark/>
          </w:tcPr>
          <w:p w14:paraId="23142173" w14:textId="77777777" w:rsidR="00945812" w:rsidRPr="00945812" w:rsidRDefault="00945812" w:rsidP="001F550D">
            <w:pPr>
              <w:pStyle w:val="TableBodyRight"/>
            </w:pPr>
            <w:r w:rsidRPr="00945812">
              <w:t>11</w:t>
            </w:r>
          </w:p>
        </w:tc>
      </w:tr>
      <w:tr w:rsidR="00B15DCA" w:rsidRPr="00945812" w14:paraId="3D2FB794" w14:textId="77777777" w:rsidTr="00B15DCA">
        <w:trPr>
          <w:trHeight w:val="288"/>
        </w:trPr>
        <w:tc>
          <w:tcPr>
            <w:tcW w:w="844" w:type="pct"/>
            <w:noWrap/>
            <w:hideMark/>
          </w:tcPr>
          <w:p w14:paraId="7055A059" w14:textId="77777777" w:rsidR="00945812" w:rsidRPr="00945812" w:rsidRDefault="00945812" w:rsidP="001F550D">
            <w:pPr>
              <w:pStyle w:val="TableBody"/>
            </w:pPr>
            <w:r w:rsidRPr="00945812">
              <w:t>2008-09</w:t>
            </w:r>
          </w:p>
        </w:tc>
        <w:tc>
          <w:tcPr>
            <w:tcW w:w="602" w:type="pct"/>
            <w:noWrap/>
            <w:hideMark/>
          </w:tcPr>
          <w:p w14:paraId="1FF55C9D" w14:textId="77777777" w:rsidR="00945812" w:rsidRPr="00945812" w:rsidRDefault="00945812" w:rsidP="001F550D">
            <w:pPr>
              <w:pStyle w:val="TableBodyRight"/>
            </w:pPr>
            <w:r w:rsidRPr="00945812">
              <w:t>63</w:t>
            </w:r>
          </w:p>
        </w:tc>
        <w:tc>
          <w:tcPr>
            <w:tcW w:w="667" w:type="pct"/>
            <w:noWrap/>
            <w:hideMark/>
          </w:tcPr>
          <w:p w14:paraId="22EEA444" w14:textId="77777777" w:rsidR="00945812" w:rsidRPr="00945812" w:rsidRDefault="00945812" w:rsidP="001F550D">
            <w:pPr>
              <w:pStyle w:val="TableBodyRight"/>
            </w:pPr>
            <w:r w:rsidRPr="00945812">
              <w:t>32</w:t>
            </w:r>
          </w:p>
        </w:tc>
        <w:tc>
          <w:tcPr>
            <w:tcW w:w="1045" w:type="pct"/>
            <w:noWrap/>
            <w:hideMark/>
          </w:tcPr>
          <w:p w14:paraId="38208524" w14:textId="77777777" w:rsidR="00945812" w:rsidRPr="00945812" w:rsidRDefault="00945812" w:rsidP="001F550D">
            <w:pPr>
              <w:pStyle w:val="TableBodyRight"/>
            </w:pPr>
            <w:r w:rsidRPr="00945812">
              <w:t>19</w:t>
            </w:r>
          </w:p>
        </w:tc>
        <w:tc>
          <w:tcPr>
            <w:tcW w:w="1012" w:type="pct"/>
            <w:noWrap/>
            <w:hideMark/>
          </w:tcPr>
          <w:p w14:paraId="52A09802" w14:textId="77777777" w:rsidR="00945812" w:rsidRPr="00945812" w:rsidRDefault="00945812" w:rsidP="001F550D">
            <w:pPr>
              <w:pStyle w:val="TableBodyRight"/>
            </w:pPr>
            <w:r w:rsidRPr="00945812">
              <w:t>80</w:t>
            </w:r>
          </w:p>
        </w:tc>
        <w:tc>
          <w:tcPr>
            <w:tcW w:w="830" w:type="pct"/>
            <w:noWrap/>
            <w:hideMark/>
          </w:tcPr>
          <w:p w14:paraId="75F46E13" w14:textId="77777777" w:rsidR="00945812" w:rsidRPr="00945812" w:rsidRDefault="00945812" w:rsidP="001F550D">
            <w:pPr>
              <w:pStyle w:val="TableBodyRight"/>
            </w:pPr>
            <w:r w:rsidRPr="00945812">
              <w:t>9</w:t>
            </w:r>
          </w:p>
        </w:tc>
      </w:tr>
      <w:tr w:rsidR="00B15DCA" w:rsidRPr="00945812" w14:paraId="6D6C7632" w14:textId="77777777" w:rsidTr="00B15DCA">
        <w:trPr>
          <w:trHeight w:val="288"/>
        </w:trPr>
        <w:tc>
          <w:tcPr>
            <w:tcW w:w="844" w:type="pct"/>
            <w:noWrap/>
            <w:hideMark/>
          </w:tcPr>
          <w:p w14:paraId="6AA27929" w14:textId="77777777" w:rsidR="00945812" w:rsidRPr="00945812" w:rsidRDefault="00945812" w:rsidP="001F550D">
            <w:pPr>
              <w:pStyle w:val="TableBody"/>
            </w:pPr>
            <w:r w:rsidRPr="00945812">
              <w:t>2009-10</w:t>
            </w:r>
          </w:p>
        </w:tc>
        <w:tc>
          <w:tcPr>
            <w:tcW w:w="602" w:type="pct"/>
            <w:noWrap/>
            <w:hideMark/>
          </w:tcPr>
          <w:p w14:paraId="760F1646" w14:textId="77777777" w:rsidR="00945812" w:rsidRPr="00945812" w:rsidRDefault="00945812" w:rsidP="001F550D">
            <w:pPr>
              <w:pStyle w:val="TableBodyRight"/>
            </w:pPr>
            <w:r w:rsidRPr="00945812">
              <w:t>46</w:t>
            </w:r>
          </w:p>
        </w:tc>
        <w:tc>
          <w:tcPr>
            <w:tcW w:w="667" w:type="pct"/>
            <w:noWrap/>
            <w:hideMark/>
          </w:tcPr>
          <w:p w14:paraId="3BD6695A" w14:textId="77777777" w:rsidR="00945812" w:rsidRPr="00945812" w:rsidRDefault="00945812" w:rsidP="001F550D">
            <w:pPr>
              <w:pStyle w:val="TableBodyRight"/>
            </w:pPr>
            <w:r w:rsidRPr="00945812">
              <w:t>35</w:t>
            </w:r>
          </w:p>
        </w:tc>
        <w:tc>
          <w:tcPr>
            <w:tcW w:w="1045" w:type="pct"/>
            <w:noWrap/>
            <w:hideMark/>
          </w:tcPr>
          <w:p w14:paraId="2B946728" w14:textId="77777777" w:rsidR="00945812" w:rsidRPr="00945812" w:rsidRDefault="00945812" w:rsidP="001F550D">
            <w:pPr>
              <w:pStyle w:val="TableBodyRight"/>
            </w:pPr>
            <w:r w:rsidRPr="00945812">
              <w:t>11</w:t>
            </w:r>
          </w:p>
        </w:tc>
        <w:tc>
          <w:tcPr>
            <w:tcW w:w="1012" w:type="pct"/>
            <w:noWrap/>
            <w:hideMark/>
          </w:tcPr>
          <w:p w14:paraId="77462B9D" w14:textId="77777777" w:rsidR="00945812" w:rsidRPr="00945812" w:rsidRDefault="00945812" w:rsidP="001F550D">
            <w:pPr>
              <w:pStyle w:val="TableBodyRight"/>
            </w:pPr>
            <w:r w:rsidRPr="00945812">
              <w:t>57</w:t>
            </w:r>
          </w:p>
        </w:tc>
        <w:tc>
          <w:tcPr>
            <w:tcW w:w="830" w:type="pct"/>
            <w:noWrap/>
            <w:hideMark/>
          </w:tcPr>
          <w:p w14:paraId="5A042E2E" w14:textId="77777777" w:rsidR="00945812" w:rsidRPr="00945812" w:rsidRDefault="00945812" w:rsidP="001F550D">
            <w:pPr>
              <w:pStyle w:val="TableBodyRight"/>
            </w:pPr>
            <w:r w:rsidRPr="00945812">
              <w:t>14</w:t>
            </w:r>
          </w:p>
        </w:tc>
      </w:tr>
      <w:tr w:rsidR="00B15DCA" w:rsidRPr="00945812" w14:paraId="5FB7F028" w14:textId="77777777" w:rsidTr="00B15DCA">
        <w:trPr>
          <w:trHeight w:val="288"/>
        </w:trPr>
        <w:tc>
          <w:tcPr>
            <w:tcW w:w="844" w:type="pct"/>
            <w:noWrap/>
            <w:hideMark/>
          </w:tcPr>
          <w:p w14:paraId="74FF540C" w14:textId="77777777" w:rsidR="00945812" w:rsidRPr="00945812" w:rsidRDefault="00945812" w:rsidP="001F550D">
            <w:pPr>
              <w:pStyle w:val="TableBody"/>
            </w:pPr>
            <w:r w:rsidRPr="00945812">
              <w:t>2010-11</w:t>
            </w:r>
          </w:p>
        </w:tc>
        <w:tc>
          <w:tcPr>
            <w:tcW w:w="602" w:type="pct"/>
            <w:noWrap/>
            <w:hideMark/>
          </w:tcPr>
          <w:p w14:paraId="0248422E" w14:textId="77777777" w:rsidR="00945812" w:rsidRPr="00945812" w:rsidRDefault="00945812" w:rsidP="001F550D">
            <w:pPr>
              <w:pStyle w:val="TableBodyRight"/>
            </w:pPr>
            <w:r w:rsidRPr="00945812">
              <w:t>45</w:t>
            </w:r>
          </w:p>
        </w:tc>
        <w:tc>
          <w:tcPr>
            <w:tcW w:w="667" w:type="pct"/>
            <w:noWrap/>
            <w:hideMark/>
          </w:tcPr>
          <w:p w14:paraId="291F8EE4" w14:textId="77777777" w:rsidR="00945812" w:rsidRPr="00945812" w:rsidRDefault="00945812" w:rsidP="001F550D">
            <w:pPr>
              <w:pStyle w:val="TableBodyRight"/>
            </w:pPr>
            <w:r w:rsidRPr="00945812">
              <w:t>25</w:t>
            </w:r>
          </w:p>
        </w:tc>
        <w:tc>
          <w:tcPr>
            <w:tcW w:w="1045" w:type="pct"/>
            <w:noWrap/>
            <w:hideMark/>
          </w:tcPr>
          <w:p w14:paraId="3AB992CD" w14:textId="77777777" w:rsidR="00945812" w:rsidRPr="00945812" w:rsidRDefault="00945812" w:rsidP="001F550D">
            <w:pPr>
              <w:pStyle w:val="TableBodyRight"/>
            </w:pPr>
            <w:r w:rsidRPr="00945812">
              <w:t>16</w:t>
            </w:r>
          </w:p>
        </w:tc>
        <w:tc>
          <w:tcPr>
            <w:tcW w:w="1012" w:type="pct"/>
            <w:noWrap/>
            <w:hideMark/>
          </w:tcPr>
          <w:p w14:paraId="7C41A85F" w14:textId="77777777" w:rsidR="00945812" w:rsidRPr="00945812" w:rsidRDefault="00945812" w:rsidP="001F550D">
            <w:pPr>
              <w:pStyle w:val="TableBodyRight"/>
            </w:pPr>
            <w:r w:rsidRPr="00945812">
              <w:t>66</w:t>
            </w:r>
          </w:p>
        </w:tc>
        <w:tc>
          <w:tcPr>
            <w:tcW w:w="830" w:type="pct"/>
            <w:noWrap/>
            <w:hideMark/>
          </w:tcPr>
          <w:p w14:paraId="7DE545E9" w14:textId="77777777" w:rsidR="00945812" w:rsidRPr="00945812" w:rsidRDefault="00945812" w:rsidP="001F550D">
            <w:pPr>
              <w:pStyle w:val="TableBodyRight"/>
            </w:pPr>
            <w:r w:rsidRPr="00945812">
              <w:t>5</w:t>
            </w:r>
          </w:p>
        </w:tc>
      </w:tr>
      <w:tr w:rsidR="00B15DCA" w:rsidRPr="00945812" w14:paraId="65C72D5B" w14:textId="77777777" w:rsidTr="00B15DCA">
        <w:trPr>
          <w:trHeight w:val="288"/>
        </w:trPr>
        <w:tc>
          <w:tcPr>
            <w:tcW w:w="844" w:type="pct"/>
            <w:noWrap/>
            <w:hideMark/>
          </w:tcPr>
          <w:p w14:paraId="2E8519C1" w14:textId="77777777" w:rsidR="00945812" w:rsidRPr="00945812" w:rsidRDefault="00945812" w:rsidP="001F550D">
            <w:pPr>
              <w:pStyle w:val="TableBody"/>
            </w:pPr>
            <w:r w:rsidRPr="00945812">
              <w:t>2011-12</w:t>
            </w:r>
          </w:p>
        </w:tc>
        <w:tc>
          <w:tcPr>
            <w:tcW w:w="602" w:type="pct"/>
            <w:noWrap/>
            <w:hideMark/>
          </w:tcPr>
          <w:p w14:paraId="4339D82E" w14:textId="77777777" w:rsidR="00945812" w:rsidRPr="00945812" w:rsidRDefault="00945812" w:rsidP="001F550D">
            <w:pPr>
              <w:pStyle w:val="TableBodyRight"/>
            </w:pPr>
            <w:r w:rsidRPr="00945812">
              <w:t>42</w:t>
            </w:r>
          </w:p>
        </w:tc>
        <w:tc>
          <w:tcPr>
            <w:tcW w:w="667" w:type="pct"/>
            <w:noWrap/>
            <w:hideMark/>
          </w:tcPr>
          <w:p w14:paraId="1D27391A" w14:textId="77777777" w:rsidR="00945812" w:rsidRPr="00945812" w:rsidRDefault="00945812" w:rsidP="001F550D">
            <w:pPr>
              <w:pStyle w:val="TableBodyRight"/>
            </w:pPr>
            <w:r w:rsidRPr="00945812">
              <w:t>27</w:t>
            </w:r>
          </w:p>
        </w:tc>
        <w:tc>
          <w:tcPr>
            <w:tcW w:w="1045" w:type="pct"/>
            <w:noWrap/>
            <w:hideMark/>
          </w:tcPr>
          <w:p w14:paraId="04C64C80" w14:textId="77777777" w:rsidR="00945812" w:rsidRPr="00945812" w:rsidRDefault="00945812" w:rsidP="001F550D">
            <w:pPr>
              <w:pStyle w:val="TableBodyRight"/>
            </w:pPr>
            <w:r w:rsidRPr="00945812">
              <w:t>15</w:t>
            </w:r>
          </w:p>
        </w:tc>
        <w:tc>
          <w:tcPr>
            <w:tcW w:w="1012" w:type="pct"/>
            <w:noWrap/>
            <w:hideMark/>
          </w:tcPr>
          <w:p w14:paraId="46718ADD" w14:textId="77777777" w:rsidR="00945812" w:rsidRPr="00945812" w:rsidRDefault="00945812" w:rsidP="001F550D">
            <w:pPr>
              <w:pStyle w:val="TableBodyRight"/>
            </w:pPr>
            <w:r w:rsidRPr="00945812">
              <w:t>68</w:t>
            </w:r>
          </w:p>
        </w:tc>
        <w:tc>
          <w:tcPr>
            <w:tcW w:w="830" w:type="pct"/>
            <w:noWrap/>
            <w:hideMark/>
          </w:tcPr>
          <w:p w14:paraId="0CE91B40" w14:textId="77777777" w:rsidR="00945812" w:rsidRPr="00945812" w:rsidRDefault="00945812" w:rsidP="001F550D">
            <w:pPr>
              <w:pStyle w:val="TableBodyRight"/>
            </w:pPr>
            <w:r w:rsidRPr="00945812">
              <w:t>4</w:t>
            </w:r>
          </w:p>
        </w:tc>
      </w:tr>
      <w:tr w:rsidR="00B15DCA" w:rsidRPr="00945812" w14:paraId="23D949ED" w14:textId="77777777" w:rsidTr="00B15DCA">
        <w:trPr>
          <w:trHeight w:val="288"/>
        </w:trPr>
        <w:tc>
          <w:tcPr>
            <w:tcW w:w="844" w:type="pct"/>
            <w:noWrap/>
            <w:hideMark/>
          </w:tcPr>
          <w:p w14:paraId="2523E45C" w14:textId="77777777" w:rsidR="00945812" w:rsidRPr="00945812" w:rsidRDefault="00945812" w:rsidP="001F550D">
            <w:pPr>
              <w:pStyle w:val="TableBody"/>
            </w:pPr>
            <w:r w:rsidRPr="00945812">
              <w:t>2012-13</w:t>
            </w:r>
          </w:p>
        </w:tc>
        <w:tc>
          <w:tcPr>
            <w:tcW w:w="602" w:type="pct"/>
            <w:noWrap/>
            <w:hideMark/>
          </w:tcPr>
          <w:p w14:paraId="6CFC7144" w14:textId="77777777" w:rsidR="00945812" w:rsidRPr="00945812" w:rsidRDefault="00945812" w:rsidP="001F550D">
            <w:pPr>
              <w:pStyle w:val="TableBodyRight"/>
            </w:pPr>
            <w:r w:rsidRPr="00945812">
              <w:t>35</w:t>
            </w:r>
          </w:p>
        </w:tc>
        <w:tc>
          <w:tcPr>
            <w:tcW w:w="667" w:type="pct"/>
            <w:noWrap/>
            <w:hideMark/>
          </w:tcPr>
          <w:p w14:paraId="2B92215C" w14:textId="77777777" w:rsidR="00945812" w:rsidRPr="00945812" w:rsidRDefault="00945812" w:rsidP="001F550D">
            <w:pPr>
              <w:pStyle w:val="TableBodyRight"/>
            </w:pPr>
            <w:r w:rsidRPr="00945812">
              <w:t>26</w:t>
            </w:r>
          </w:p>
        </w:tc>
        <w:tc>
          <w:tcPr>
            <w:tcW w:w="1045" w:type="pct"/>
            <w:noWrap/>
            <w:hideMark/>
          </w:tcPr>
          <w:p w14:paraId="20169061" w14:textId="77777777" w:rsidR="00945812" w:rsidRPr="00945812" w:rsidRDefault="00945812" w:rsidP="001F550D">
            <w:pPr>
              <w:pStyle w:val="TableBodyRight"/>
            </w:pPr>
            <w:r w:rsidRPr="00945812">
              <w:t>16</w:t>
            </w:r>
          </w:p>
        </w:tc>
        <w:tc>
          <w:tcPr>
            <w:tcW w:w="1012" w:type="pct"/>
            <w:noWrap/>
            <w:hideMark/>
          </w:tcPr>
          <w:p w14:paraId="1CAD976E" w14:textId="77777777" w:rsidR="00945812" w:rsidRPr="00945812" w:rsidRDefault="00945812" w:rsidP="001F550D">
            <w:pPr>
              <w:pStyle w:val="TableBodyRight"/>
            </w:pPr>
            <w:r w:rsidRPr="00945812">
              <w:t>63</w:t>
            </w:r>
          </w:p>
        </w:tc>
        <w:tc>
          <w:tcPr>
            <w:tcW w:w="830" w:type="pct"/>
            <w:noWrap/>
            <w:hideMark/>
          </w:tcPr>
          <w:p w14:paraId="4A9727A9" w14:textId="77777777" w:rsidR="00945812" w:rsidRPr="00945812" w:rsidRDefault="00945812" w:rsidP="001F550D">
            <w:pPr>
              <w:pStyle w:val="TableBodyRight"/>
            </w:pPr>
            <w:r w:rsidRPr="00945812">
              <w:t>10</w:t>
            </w:r>
          </w:p>
        </w:tc>
      </w:tr>
      <w:tr w:rsidR="00B15DCA" w:rsidRPr="00945812" w14:paraId="164CEA05" w14:textId="77777777" w:rsidTr="00B15DCA">
        <w:trPr>
          <w:trHeight w:val="288"/>
        </w:trPr>
        <w:tc>
          <w:tcPr>
            <w:tcW w:w="844" w:type="pct"/>
            <w:noWrap/>
            <w:hideMark/>
          </w:tcPr>
          <w:p w14:paraId="61F5C02B" w14:textId="77777777" w:rsidR="00945812" w:rsidRPr="00945812" w:rsidRDefault="00945812" w:rsidP="001F550D">
            <w:pPr>
              <w:pStyle w:val="TableBody"/>
            </w:pPr>
            <w:r w:rsidRPr="00945812">
              <w:t>2013-14</w:t>
            </w:r>
          </w:p>
        </w:tc>
        <w:tc>
          <w:tcPr>
            <w:tcW w:w="602" w:type="pct"/>
            <w:noWrap/>
            <w:hideMark/>
          </w:tcPr>
          <w:p w14:paraId="2BDA1EDE" w14:textId="77777777" w:rsidR="00945812" w:rsidRPr="00945812" w:rsidRDefault="00945812" w:rsidP="001F550D">
            <w:pPr>
              <w:pStyle w:val="TableBodyRight"/>
            </w:pPr>
            <w:r w:rsidRPr="00945812">
              <w:t>47</w:t>
            </w:r>
          </w:p>
        </w:tc>
        <w:tc>
          <w:tcPr>
            <w:tcW w:w="667" w:type="pct"/>
            <w:noWrap/>
            <w:hideMark/>
          </w:tcPr>
          <w:p w14:paraId="69DEFE0B" w14:textId="77777777" w:rsidR="00945812" w:rsidRPr="00945812" w:rsidRDefault="00945812" w:rsidP="001F550D">
            <w:pPr>
              <w:pStyle w:val="TableBodyRight"/>
            </w:pPr>
            <w:r w:rsidRPr="00945812">
              <w:t>22</w:t>
            </w:r>
          </w:p>
        </w:tc>
        <w:tc>
          <w:tcPr>
            <w:tcW w:w="1045" w:type="pct"/>
            <w:noWrap/>
            <w:hideMark/>
          </w:tcPr>
          <w:p w14:paraId="2AC4CC35" w14:textId="77777777" w:rsidR="00945812" w:rsidRPr="00945812" w:rsidRDefault="00945812" w:rsidP="001F550D">
            <w:pPr>
              <w:pStyle w:val="TableBodyRight"/>
            </w:pPr>
            <w:r w:rsidRPr="00945812">
              <w:t>12</w:t>
            </w:r>
          </w:p>
        </w:tc>
        <w:tc>
          <w:tcPr>
            <w:tcW w:w="1012" w:type="pct"/>
            <w:noWrap/>
            <w:hideMark/>
          </w:tcPr>
          <w:p w14:paraId="5ADAC96C" w14:textId="77777777" w:rsidR="00945812" w:rsidRPr="00945812" w:rsidRDefault="00945812" w:rsidP="001F550D">
            <w:pPr>
              <w:pStyle w:val="TableBodyRight"/>
            </w:pPr>
            <w:r w:rsidRPr="00945812">
              <w:t>60</w:t>
            </w:r>
          </w:p>
        </w:tc>
        <w:tc>
          <w:tcPr>
            <w:tcW w:w="830" w:type="pct"/>
            <w:noWrap/>
            <w:hideMark/>
          </w:tcPr>
          <w:p w14:paraId="166E089B" w14:textId="77777777" w:rsidR="00945812" w:rsidRPr="00945812" w:rsidRDefault="00945812" w:rsidP="001F550D">
            <w:pPr>
              <w:pStyle w:val="TableBodyRight"/>
            </w:pPr>
            <w:r w:rsidRPr="00945812">
              <w:t>9</w:t>
            </w:r>
          </w:p>
        </w:tc>
      </w:tr>
      <w:tr w:rsidR="00B15DCA" w:rsidRPr="00945812" w14:paraId="243F1F22" w14:textId="77777777" w:rsidTr="00B15DCA">
        <w:trPr>
          <w:trHeight w:val="288"/>
        </w:trPr>
        <w:tc>
          <w:tcPr>
            <w:tcW w:w="844" w:type="pct"/>
            <w:noWrap/>
            <w:hideMark/>
          </w:tcPr>
          <w:p w14:paraId="1FBA6EC7" w14:textId="77777777" w:rsidR="00945812" w:rsidRPr="00945812" w:rsidRDefault="00945812" w:rsidP="001F550D">
            <w:pPr>
              <w:pStyle w:val="TableBody"/>
            </w:pPr>
            <w:r w:rsidRPr="00945812">
              <w:t>2014-15</w:t>
            </w:r>
          </w:p>
        </w:tc>
        <w:tc>
          <w:tcPr>
            <w:tcW w:w="602" w:type="pct"/>
            <w:noWrap/>
            <w:hideMark/>
          </w:tcPr>
          <w:p w14:paraId="4E387B2B" w14:textId="77777777" w:rsidR="00945812" w:rsidRPr="00945812" w:rsidRDefault="00945812" w:rsidP="001F550D">
            <w:pPr>
              <w:pStyle w:val="TableBodyRight"/>
            </w:pPr>
            <w:r w:rsidRPr="00945812">
              <w:t>45</w:t>
            </w:r>
          </w:p>
        </w:tc>
        <w:tc>
          <w:tcPr>
            <w:tcW w:w="667" w:type="pct"/>
            <w:noWrap/>
            <w:hideMark/>
          </w:tcPr>
          <w:p w14:paraId="67DA0745" w14:textId="77777777" w:rsidR="00945812" w:rsidRPr="00945812" w:rsidRDefault="00945812" w:rsidP="001F550D">
            <w:pPr>
              <w:pStyle w:val="TableBodyRight"/>
            </w:pPr>
            <w:r w:rsidRPr="00945812">
              <w:t>29</w:t>
            </w:r>
          </w:p>
        </w:tc>
        <w:tc>
          <w:tcPr>
            <w:tcW w:w="1045" w:type="pct"/>
            <w:noWrap/>
            <w:hideMark/>
          </w:tcPr>
          <w:p w14:paraId="3255DC6D" w14:textId="77777777" w:rsidR="00945812" w:rsidRPr="00945812" w:rsidRDefault="00945812" w:rsidP="001F550D">
            <w:pPr>
              <w:pStyle w:val="TableBodyRight"/>
            </w:pPr>
            <w:r w:rsidRPr="00945812">
              <w:t>20</w:t>
            </w:r>
          </w:p>
        </w:tc>
        <w:tc>
          <w:tcPr>
            <w:tcW w:w="1012" w:type="pct"/>
            <w:noWrap/>
            <w:hideMark/>
          </w:tcPr>
          <w:p w14:paraId="22F60CD4" w14:textId="77777777" w:rsidR="00945812" w:rsidRPr="00945812" w:rsidRDefault="00945812" w:rsidP="001F550D">
            <w:pPr>
              <w:pStyle w:val="TableBodyRight"/>
            </w:pPr>
            <w:r w:rsidRPr="00945812">
              <w:t>74</w:t>
            </w:r>
          </w:p>
        </w:tc>
        <w:tc>
          <w:tcPr>
            <w:tcW w:w="830" w:type="pct"/>
            <w:noWrap/>
            <w:hideMark/>
          </w:tcPr>
          <w:p w14:paraId="5456E294" w14:textId="77777777" w:rsidR="00945812" w:rsidRPr="00945812" w:rsidRDefault="00945812" w:rsidP="001F550D">
            <w:pPr>
              <w:pStyle w:val="TableBodyRight"/>
            </w:pPr>
            <w:r w:rsidRPr="00945812">
              <w:t>15</w:t>
            </w:r>
          </w:p>
        </w:tc>
      </w:tr>
      <w:tr w:rsidR="00B15DCA" w:rsidRPr="00945812" w14:paraId="41F779A9" w14:textId="77777777" w:rsidTr="00B15DCA">
        <w:trPr>
          <w:trHeight w:val="288"/>
        </w:trPr>
        <w:tc>
          <w:tcPr>
            <w:tcW w:w="844" w:type="pct"/>
            <w:noWrap/>
            <w:hideMark/>
          </w:tcPr>
          <w:p w14:paraId="249A2D40" w14:textId="77777777" w:rsidR="00945812" w:rsidRPr="00945812" w:rsidRDefault="00945812" w:rsidP="001F550D">
            <w:pPr>
              <w:pStyle w:val="TableBody"/>
            </w:pPr>
            <w:r w:rsidRPr="00945812">
              <w:t>2015-16</w:t>
            </w:r>
          </w:p>
        </w:tc>
        <w:tc>
          <w:tcPr>
            <w:tcW w:w="602" w:type="pct"/>
            <w:noWrap/>
            <w:hideMark/>
          </w:tcPr>
          <w:p w14:paraId="49C6B82E" w14:textId="77777777" w:rsidR="00945812" w:rsidRPr="00945812" w:rsidRDefault="00945812" w:rsidP="001F550D">
            <w:pPr>
              <w:pStyle w:val="TableBodyRight"/>
            </w:pPr>
            <w:r w:rsidRPr="00945812">
              <w:t>39</w:t>
            </w:r>
          </w:p>
        </w:tc>
        <w:tc>
          <w:tcPr>
            <w:tcW w:w="667" w:type="pct"/>
            <w:noWrap/>
            <w:hideMark/>
          </w:tcPr>
          <w:p w14:paraId="6794A4EF" w14:textId="77777777" w:rsidR="00945812" w:rsidRPr="00945812" w:rsidRDefault="00945812" w:rsidP="001F550D">
            <w:pPr>
              <w:pStyle w:val="TableBodyRight"/>
            </w:pPr>
            <w:r w:rsidRPr="00945812">
              <w:t>24</w:t>
            </w:r>
          </w:p>
        </w:tc>
        <w:tc>
          <w:tcPr>
            <w:tcW w:w="1045" w:type="pct"/>
            <w:noWrap/>
            <w:hideMark/>
          </w:tcPr>
          <w:p w14:paraId="4C885810" w14:textId="77777777" w:rsidR="00945812" w:rsidRPr="00945812" w:rsidRDefault="00945812" w:rsidP="001F550D">
            <w:pPr>
              <w:pStyle w:val="TableBodyRight"/>
            </w:pPr>
            <w:r w:rsidRPr="00945812">
              <w:t>18</w:t>
            </w:r>
          </w:p>
        </w:tc>
        <w:tc>
          <w:tcPr>
            <w:tcW w:w="1012" w:type="pct"/>
            <w:noWrap/>
            <w:hideMark/>
          </w:tcPr>
          <w:p w14:paraId="25A74597" w14:textId="77777777" w:rsidR="00945812" w:rsidRPr="00945812" w:rsidRDefault="00945812" w:rsidP="001F550D">
            <w:pPr>
              <w:pStyle w:val="TableBodyRight"/>
            </w:pPr>
            <w:r w:rsidRPr="00945812">
              <w:t>54</w:t>
            </w:r>
          </w:p>
        </w:tc>
        <w:tc>
          <w:tcPr>
            <w:tcW w:w="830" w:type="pct"/>
            <w:noWrap/>
            <w:hideMark/>
          </w:tcPr>
          <w:p w14:paraId="1D257B4A" w14:textId="77777777" w:rsidR="00945812" w:rsidRPr="00945812" w:rsidRDefault="00945812" w:rsidP="001F550D">
            <w:pPr>
              <w:pStyle w:val="TableBodyRight"/>
            </w:pPr>
            <w:r w:rsidRPr="00945812">
              <w:t>16</w:t>
            </w:r>
          </w:p>
        </w:tc>
      </w:tr>
      <w:tr w:rsidR="00B15DCA" w:rsidRPr="00945812" w14:paraId="37EF39A5" w14:textId="77777777" w:rsidTr="00B15DCA">
        <w:trPr>
          <w:trHeight w:val="288"/>
        </w:trPr>
        <w:tc>
          <w:tcPr>
            <w:tcW w:w="844" w:type="pct"/>
            <w:noWrap/>
            <w:hideMark/>
          </w:tcPr>
          <w:p w14:paraId="4E030F93" w14:textId="77777777" w:rsidR="00945812" w:rsidRPr="00945812" w:rsidRDefault="00945812" w:rsidP="001F550D">
            <w:pPr>
              <w:pStyle w:val="TableBody"/>
            </w:pPr>
            <w:r w:rsidRPr="00945812">
              <w:t>2016-17</w:t>
            </w:r>
          </w:p>
        </w:tc>
        <w:tc>
          <w:tcPr>
            <w:tcW w:w="602" w:type="pct"/>
            <w:noWrap/>
            <w:hideMark/>
          </w:tcPr>
          <w:p w14:paraId="667969AB" w14:textId="77777777" w:rsidR="00945812" w:rsidRPr="00945812" w:rsidRDefault="00945812" w:rsidP="001F550D">
            <w:pPr>
              <w:pStyle w:val="TableBodyRight"/>
            </w:pPr>
            <w:r w:rsidRPr="00945812">
              <w:t>40</w:t>
            </w:r>
          </w:p>
        </w:tc>
        <w:tc>
          <w:tcPr>
            <w:tcW w:w="667" w:type="pct"/>
            <w:noWrap/>
            <w:hideMark/>
          </w:tcPr>
          <w:p w14:paraId="5AD7BB35" w14:textId="77777777" w:rsidR="00945812" w:rsidRPr="00945812" w:rsidRDefault="00945812" w:rsidP="001F550D">
            <w:pPr>
              <w:pStyle w:val="TableBodyRight"/>
            </w:pPr>
            <w:r w:rsidRPr="00945812">
              <w:t>26</w:t>
            </w:r>
          </w:p>
        </w:tc>
        <w:tc>
          <w:tcPr>
            <w:tcW w:w="1045" w:type="pct"/>
            <w:noWrap/>
            <w:hideMark/>
          </w:tcPr>
          <w:p w14:paraId="2135C449" w14:textId="77777777" w:rsidR="00945812" w:rsidRPr="00945812" w:rsidRDefault="00945812" w:rsidP="001F550D">
            <w:pPr>
              <w:pStyle w:val="TableBodyRight"/>
            </w:pPr>
            <w:r w:rsidRPr="00945812">
              <w:t>7</w:t>
            </w:r>
          </w:p>
        </w:tc>
        <w:tc>
          <w:tcPr>
            <w:tcW w:w="1012" w:type="pct"/>
            <w:noWrap/>
            <w:hideMark/>
          </w:tcPr>
          <w:p w14:paraId="26B7EACE" w14:textId="77777777" w:rsidR="00945812" w:rsidRPr="00945812" w:rsidRDefault="00945812" w:rsidP="001F550D">
            <w:pPr>
              <w:pStyle w:val="TableBodyRight"/>
            </w:pPr>
            <w:r w:rsidRPr="00945812">
              <w:t>62</w:t>
            </w:r>
          </w:p>
        </w:tc>
        <w:tc>
          <w:tcPr>
            <w:tcW w:w="830" w:type="pct"/>
            <w:noWrap/>
            <w:hideMark/>
          </w:tcPr>
          <w:p w14:paraId="78B7A2D8" w14:textId="77777777" w:rsidR="00945812" w:rsidRPr="00945812" w:rsidRDefault="00945812" w:rsidP="001F550D">
            <w:pPr>
              <w:pStyle w:val="TableBodyRight"/>
            </w:pPr>
            <w:r w:rsidRPr="00945812">
              <w:t>17</w:t>
            </w:r>
          </w:p>
        </w:tc>
      </w:tr>
      <w:tr w:rsidR="00B15DCA" w:rsidRPr="00945812" w14:paraId="021D3E21" w14:textId="77777777" w:rsidTr="00B15DCA">
        <w:trPr>
          <w:trHeight w:val="288"/>
        </w:trPr>
        <w:tc>
          <w:tcPr>
            <w:tcW w:w="844" w:type="pct"/>
            <w:noWrap/>
            <w:hideMark/>
          </w:tcPr>
          <w:p w14:paraId="6F834E79" w14:textId="77777777" w:rsidR="00945812" w:rsidRPr="00945812" w:rsidRDefault="00945812" w:rsidP="001F550D">
            <w:pPr>
              <w:pStyle w:val="TableBody"/>
            </w:pPr>
            <w:r w:rsidRPr="00945812">
              <w:t>2017-18</w:t>
            </w:r>
          </w:p>
        </w:tc>
        <w:tc>
          <w:tcPr>
            <w:tcW w:w="602" w:type="pct"/>
            <w:noWrap/>
            <w:hideMark/>
          </w:tcPr>
          <w:p w14:paraId="1B666880" w14:textId="77777777" w:rsidR="00945812" w:rsidRPr="00945812" w:rsidRDefault="00945812" w:rsidP="001F550D">
            <w:pPr>
              <w:pStyle w:val="TableBodyRight"/>
            </w:pPr>
            <w:r w:rsidRPr="00945812">
              <w:t>43</w:t>
            </w:r>
          </w:p>
        </w:tc>
        <w:tc>
          <w:tcPr>
            <w:tcW w:w="667" w:type="pct"/>
            <w:noWrap/>
            <w:hideMark/>
          </w:tcPr>
          <w:p w14:paraId="42C3C9BF" w14:textId="77777777" w:rsidR="00945812" w:rsidRPr="00945812" w:rsidRDefault="00945812" w:rsidP="001F550D">
            <w:pPr>
              <w:pStyle w:val="TableBodyRight"/>
            </w:pPr>
            <w:r w:rsidRPr="00945812">
              <w:t>21</w:t>
            </w:r>
          </w:p>
        </w:tc>
        <w:tc>
          <w:tcPr>
            <w:tcW w:w="1045" w:type="pct"/>
            <w:noWrap/>
            <w:hideMark/>
          </w:tcPr>
          <w:p w14:paraId="6C1F76A8" w14:textId="77777777" w:rsidR="00945812" w:rsidRPr="00945812" w:rsidRDefault="00945812" w:rsidP="001F550D">
            <w:pPr>
              <w:pStyle w:val="TableBodyRight"/>
            </w:pPr>
            <w:r w:rsidRPr="00945812">
              <w:t>12</w:t>
            </w:r>
          </w:p>
        </w:tc>
        <w:tc>
          <w:tcPr>
            <w:tcW w:w="1012" w:type="pct"/>
            <w:noWrap/>
            <w:hideMark/>
          </w:tcPr>
          <w:p w14:paraId="0E17F5CF" w14:textId="77777777" w:rsidR="00945812" w:rsidRPr="00945812" w:rsidRDefault="00945812" w:rsidP="001F550D">
            <w:pPr>
              <w:pStyle w:val="TableBodyRight"/>
            </w:pPr>
            <w:r w:rsidRPr="00945812">
              <w:t>62</w:t>
            </w:r>
          </w:p>
        </w:tc>
        <w:tc>
          <w:tcPr>
            <w:tcW w:w="830" w:type="pct"/>
            <w:noWrap/>
            <w:hideMark/>
          </w:tcPr>
          <w:p w14:paraId="483DB388" w14:textId="77777777" w:rsidR="00945812" w:rsidRPr="00945812" w:rsidRDefault="00945812" w:rsidP="001F550D">
            <w:pPr>
              <w:pStyle w:val="TableBodyRight"/>
            </w:pPr>
            <w:r w:rsidRPr="00945812">
              <w:t>12</w:t>
            </w:r>
          </w:p>
        </w:tc>
      </w:tr>
      <w:tr w:rsidR="00B15DCA" w:rsidRPr="00945812" w14:paraId="16CC2D16" w14:textId="77777777" w:rsidTr="00B15DCA">
        <w:trPr>
          <w:trHeight w:val="288"/>
        </w:trPr>
        <w:tc>
          <w:tcPr>
            <w:tcW w:w="844" w:type="pct"/>
            <w:noWrap/>
            <w:hideMark/>
          </w:tcPr>
          <w:p w14:paraId="36E523AC" w14:textId="77777777" w:rsidR="00945812" w:rsidRPr="00945812" w:rsidRDefault="00945812" w:rsidP="001F550D">
            <w:pPr>
              <w:pStyle w:val="TableBody"/>
            </w:pPr>
            <w:r w:rsidRPr="00945812">
              <w:t>2018-19</w:t>
            </w:r>
          </w:p>
        </w:tc>
        <w:tc>
          <w:tcPr>
            <w:tcW w:w="602" w:type="pct"/>
            <w:noWrap/>
            <w:hideMark/>
          </w:tcPr>
          <w:p w14:paraId="0F96535C" w14:textId="77777777" w:rsidR="00945812" w:rsidRPr="00945812" w:rsidRDefault="00945812" w:rsidP="001F550D">
            <w:pPr>
              <w:pStyle w:val="TableBodyRight"/>
            </w:pPr>
            <w:r w:rsidRPr="00945812">
              <w:t>50</w:t>
            </w:r>
          </w:p>
        </w:tc>
        <w:tc>
          <w:tcPr>
            <w:tcW w:w="667" w:type="pct"/>
            <w:noWrap/>
            <w:hideMark/>
          </w:tcPr>
          <w:p w14:paraId="15089AAF" w14:textId="77777777" w:rsidR="00945812" w:rsidRPr="00945812" w:rsidRDefault="00945812" w:rsidP="001F550D">
            <w:pPr>
              <w:pStyle w:val="TableBodyRight"/>
            </w:pPr>
            <w:r w:rsidRPr="00945812">
              <w:t>14</w:t>
            </w:r>
          </w:p>
        </w:tc>
        <w:tc>
          <w:tcPr>
            <w:tcW w:w="1045" w:type="pct"/>
            <w:noWrap/>
            <w:hideMark/>
          </w:tcPr>
          <w:p w14:paraId="0622F023" w14:textId="77777777" w:rsidR="00945812" w:rsidRPr="00945812" w:rsidRDefault="00945812" w:rsidP="001F550D">
            <w:pPr>
              <w:pStyle w:val="TableBodyRight"/>
            </w:pPr>
            <w:r w:rsidRPr="00945812">
              <w:t>9</w:t>
            </w:r>
          </w:p>
        </w:tc>
        <w:tc>
          <w:tcPr>
            <w:tcW w:w="1012" w:type="pct"/>
            <w:noWrap/>
            <w:hideMark/>
          </w:tcPr>
          <w:p w14:paraId="056329E9" w14:textId="77777777" w:rsidR="00945812" w:rsidRPr="00945812" w:rsidRDefault="00945812" w:rsidP="001F550D">
            <w:pPr>
              <w:pStyle w:val="TableBodyRight"/>
            </w:pPr>
            <w:r w:rsidRPr="00945812">
              <w:t>55</w:t>
            </w:r>
          </w:p>
        </w:tc>
        <w:tc>
          <w:tcPr>
            <w:tcW w:w="830" w:type="pct"/>
            <w:noWrap/>
            <w:hideMark/>
          </w:tcPr>
          <w:p w14:paraId="484B9627" w14:textId="77777777" w:rsidR="00945812" w:rsidRPr="00945812" w:rsidRDefault="00945812" w:rsidP="001F550D">
            <w:pPr>
              <w:pStyle w:val="TableBodyRight"/>
            </w:pPr>
            <w:r w:rsidRPr="00945812">
              <w:t>12</w:t>
            </w:r>
          </w:p>
        </w:tc>
      </w:tr>
      <w:tr w:rsidR="00B15DCA" w:rsidRPr="00945812" w14:paraId="1F1D6392" w14:textId="77777777" w:rsidTr="00B15DCA">
        <w:trPr>
          <w:trHeight w:val="288"/>
        </w:trPr>
        <w:tc>
          <w:tcPr>
            <w:tcW w:w="844" w:type="pct"/>
            <w:noWrap/>
            <w:hideMark/>
          </w:tcPr>
          <w:p w14:paraId="31EA7371" w14:textId="77777777" w:rsidR="00945812" w:rsidRPr="00945812" w:rsidRDefault="00945812" w:rsidP="001F550D">
            <w:pPr>
              <w:pStyle w:val="TableBody"/>
            </w:pPr>
            <w:r w:rsidRPr="00945812">
              <w:lastRenderedPageBreak/>
              <w:t>2019-20</w:t>
            </w:r>
          </w:p>
        </w:tc>
        <w:tc>
          <w:tcPr>
            <w:tcW w:w="602" w:type="pct"/>
            <w:noWrap/>
            <w:hideMark/>
          </w:tcPr>
          <w:p w14:paraId="0A5B96B6" w14:textId="77777777" w:rsidR="00945812" w:rsidRPr="00945812" w:rsidRDefault="00945812" w:rsidP="001F550D">
            <w:pPr>
              <w:pStyle w:val="TableBodyRight"/>
            </w:pPr>
            <w:r w:rsidRPr="00945812">
              <w:t>42</w:t>
            </w:r>
          </w:p>
        </w:tc>
        <w:tc>
          <w:tcPr>
            <w:tcW w:w="667" w:type="pct"/>
            <w:noWrap/>
            <w:hideMark/>
          </w:tcPr>
          <w:p w14:paraId="76B183BA" w14:textId="26801BCA" w:rsidR="00945812" w:rsidRPr="00945812" w:rsidRDefault="00EF65E3" w:rsidP="00E51613">
            <w:pPr>
              <w:pStyle w:val="TableBodyRight"/>
            </w:pPr>
            <w:proofErr w:type="spellStart"/>
            <w:r>
              <w:t>n.a.</w:t>
            </w:r>
            <w:proofErr w:type="spellEnd"/>
          </w:p>
        </w:tc>
        <w:tc>
          <w:tcPr>
            <w:tcW w:w="1045" w:type="pct"/>
            <w:noWrap/>
            <w:hideMark/>
          </w:tcPr>
          <w:p w14:paraId="13177EF1" w14:textId="77777777" w:rsidR="00945812" w:rsidRPr="00945812" w:rsidRDefault="00945812" w:rsidP="001F550D">
            <w:pPr>
              <w:pStyle w:val="TableBodyRight"/>
            </w:pPr>
            <w:r w:rsidRPr="00945812">
              <w:t>18</w:t>
            </w:r>
          </w:p>
        </w:tc>
        <w:tc>
          <w:tcPr>
            <w:tcW w:w="1012" w:type="pct"/>
            <w:noWrap/>
            <w:hideMark/>
          </w:tcPr>
          <w:p w14:paraId="076DAD82" w14:textId="77777777" w:rsidR="00945812" w:rsidRPr="00945812" w:rsidRDefault="00945812" w:rsidP="001F550D">
            <w:pPr>
              <w:pStyle w:val="TableBodyRight"/>
            </w:pPr>
            <w:r w:rsidRPr="00945812">
              <w:t>55</w:t>
            </w:r>
          </w:p>
        </w:tc>
        <w:tc>
          <w:tcPr>
            <w:tcW w:w="830" w:type="pct"/>
            <w:noWrap/>
            <w:hideMark/>
          </w:tcPr>
          <w:p w14:paraId="15A6126C" w14:textId="77777777" w:rsidR="00945812" w:rsidRPr="00945812" w:rsidRDefault="00945812" w:rsidP="001F550D">
            <w:pPr>
              <w:pStyle w:val="TableBodyRight"/>
            </w:pPr>
            <w:r w:rsidRPr="00945812">
              <w:t>9</w:t>
            </w:r>
          </w:p>
        </w:tc>
      </w:tr>
    </w:tbl>
    <w:p w14:paraId="1838D9E9" w14:textId="77777777" w:rsidR="00E62AE6" w:rsidRPr="0031029F" w:rsidRDefault="00E62AE6" w:rsidP="0031029F">
      <w:r w:rsidRPr="0031029F">
        <w:t>The rates of immediate custodial sentences for rape and incest have been fairly stable at 88% or more for both offences since 2003–04 (Figure 16). That rate will increase in coming years. Both offences are now category 1 offences, prohibiting courts from imposing a sentence other than an immediate custodial sentence if the offence was committed on or after 20 March 2017.</w:t>
      </w:r>
      <w:r w:rsidRPr="00E62AE6">
        <w:rPr>
          <w:rStyle w:val="Superscript"/>
        </w:rPr>
        <w:footnoteReference w:id="33"/>
      </w:r>
      <w:r w:rsidRPr="0031029F">
        <w:t xml:space="preserve"> The Council has raised concerns about the effect of mandatory sentencing schemes such as this, and who it affects;</w:t>
      </w:r>
      <w:r w:rsidRPr="00E62AE6">
        <w:rPr>
          <w:rStyle w:val="Superscript"/>
        </w:rPr>
        <w:footnoteReference w:id="34"/>
      </w:r>
      <w:r w:rsidRPr="0031029F">
        <w:t xml:space="preserve"> its recent report on sex offences highlights the exceptional circumstances in some cases where offenders had previously received non-custodial sentences for serious sex offences such as rape.</w:t>
      </w:r>
      <w:r w:rsidRPr="00E62AE6">
        <w:rPr>
          <w:rStyle w:val="Superscript"/>
        </w:rPr>
        <w:footnoteReference w:id="35"/>
      </w:r>
    </w:p>
    <w:p w14:paraId="580C7CEF" w14:textId="77777777" w:rsidR="00E62AE6" w:rsidRPr="00E62AE6" w:rsidRDefault="00E62AE6" w:rsidP="00E5783B">
      <w:pPr>
        <w:pStyle w:val="Caption"/>
      </w:pPr>
      <w:r w:rsidRPr="00E62AE6">
        <w:t>Figure 16: Percentage of people receiving immediate custodial sentences in the higher courts for serious sex offences, 2001–02 to 2019–20</w:t>
      </w:r>
    </w:p>
    <w:tbl>
      <w:tblPr>
        <w:tblStyle w:val="Table"/>
        <w:tblW w:w="5000" w:type="pct"/>
        <w:tblLayout w:type="fixed"/>
        <w:tblLook w:val="04A0" w:firstRow="1" w:lastRow="0" w:firstColumn="1" w:lastColumn="0" w:noHBand="0" w:noVBand="1"/>
      </w:tblPr>
      <w:tblGrid>
        <w:gridCol w:w="2254"/>
        <w:gridCol w:w="2254"/>
        <w:gridCol w:w="2254"/>
        <w:gridCol w:w="2254"/>
      </w:tblGrid>
      <w:tr w:rsidR="00945812" w:rsidRPr="00945812" w14:paraId="1A636AE0" w14:textId="77777777" w:rsidTr="006A56BA">
        <w:trPr>
          <w:trHeight w:val="288"/>
          <w:tblHeader/>
        </w:trPr>
        <w:tc>
          <w:tcPr>
            <w:tcW w:w="1250" w:type="pct"/>
            <w:noWrap/>
            <w:hideMark/>
          </w:tcPr>
          <w:p w14:paraId="1F770F15" w14:textId="77777777" w:rsidR="00945812" w:rsidRPr="00945812" w:rsidRDefault="00945812" w:rsidP="00813DB2">
            <w:pPr>
              <w:pStyle w:val="TableHeading"/>
            </w:pPr>
            <w:r w:rsidRPr="00945812">
              <w:t>Financial year</w:t>
            </w:r>
          </w:p>
        </w:tc>
        <w:tc>
          <w:tcPr>
            <w:tcW w:w="1250" w:type="pct"/>
            <w:noWrap/>
            <w:hideMark/>
          </w:tcPr>
          <w:p w14:paraId="358A5014" w14:textId="77777777" w:rsidR="00945812" w:rsidRPr="00945812" w:rsidRDefault="00945812" w:rsidP="00813DB2">
            <w:pPr>
              <w:pStyle w:val="TableHeadingRight"/>
            </w:pPr>
            <w:r w:rsidRPr="00945812">
              <w:t>Rape</w:t>
            </w:r>
          </w:p>
        </w:tc>
        <w:tc>
          <w:tcPr>
            <w:tcW w:w="1250" w:type="pct"/>
            <w:noWrap/>
            <w:hideMark/>
          </w:tcPr>
          <w:p w14:paraId="162ED2A1" w14:textId="77777777" w:rsidR="00945812" w:rsidRPr="00945812" w:rsidRDefault="00945812" w:rsidP="00813DB2">
            <w:pPr>
              <w:pStyle w:val="TableHeadingRight"/>
            </w:pPr>
            <w:r w:rsidRPr="00945812">
              <w:t>Incest</w:t>
            </w:r>
          </w:p>
        </w:tc>
        <w:tc>
          <w:tcPr>
            <w:tcW w:w="1250" w:type="pct"/>
            <w:noWrap/>
            <w:hideMark/>
          </w:tcPr>
          <w:p w14:paraId="1D532948" w14:textId="07613664" w:rsidR="00945812" w:rsidRPr="00945812" w:rsidRDefault="00945812" w:rsidP="00813DB2">
            <w:pPr>
              <w:pStyle w:val="TableHeadingRight"/>
            </w:pPr>
            <w:r w:rsidRPr="00945812">
              <w:t xml:space="preserve">Sexual penetration of a child aged 12 to </w:t>
            </w:r>
            <w:r w:rsidR="001A3BFD">
              <w:t>under 16</w:t>
            </w:r>
          </w:p>
        </w:tc>
      </w:tr>
      <w:tr w:rsidR="00945812" w:rsidRPr="00945812" w14:paraId="7E206694" w14:textId="77777777" w:rsidTr="006A56BA">
        <w:trPr>
          <w:trHeight w:val="288"/>
        </w:trPr>
        <w:tc>
          <w:tcPr>
            <w:tcW w:w="1250" w:type="pct"/>
            <w:noWrap/>
            <w:hideMark/>
          </w:tcPr>
          <w:p w14:paraId="7307E44B" w14:textId="77777777" w:rsidR="00945812" w:rsidRPr="00945812" w:rsidRDefault="00945812" w:rsidP="001F550D">
            <w:pPr>
              <w:pStyle w:val="TableBody"/>
            </w:pPr>
            <w:r w:rsidRPr="00945812">
              <w:t>2001-02</w:t>
            </w:r>
          </w:p>
        </w:tc>
        <w:tc>
          <w:tcPr>
            <w:tcW w:w="1250" w:type="pct"/>
            <w:noWrap/>
            <w:hideMark/>
          </w:tcPr>
          <w:p w14:paraId="10CE180C" w14:textId="77777777" w:rsidR="00945812" w:rsidRPr="00945812" w:rsidRDefault="00945812" w:rsidP="001F550D">
            <w:pPr>
              <w:pStyle w:val="TableBodyRight"/>
            </w:pPr>
            <w:r w:rsidRPr="00945812">
              <w:t>86.2%</w:t>
            </w:r>
          </w:p>
        </w:tc>
        <w:tc>
          <w:tcPr>
            <w:tcW w:w="1250" w:type="pct"/>
            <w:noWrap/>
            <w:hideMark/>
          </w:tcPr>
          <w:p w14:paraId="4D7D2F25" w14:textId="0E8FC356" w:rsidR="00945812" w:rsidRPr="00945812" w:rsidRDefault="00404C39" w:rsidP="00404C39">
            <w:pPr>
              <w:pStyle w:val="TableBodyRight"/>
            </w:pPr>
            <w:proofErr w:type="spellStart"/>
            <w:r>
              <w:t>n.a.</w:t>
            </w:r>
            <w:proofErr w:type="spellEnd"/>
          </w:p>
        </w:tc>
        <w:tc>
          <w:tcPr>
            <w:tcW w:w="1250" w:type="pct"/>
            <w:noWrap/>
            <w:hideMark/>
          </w:tcPr>
          <w:p w14:paraId="56866D6A" w14:textId="77777777" w:rsidR="00945812" w:rsidRPr="00945812" w:rsidRDefault="00945812" w:rsidP="001F550D">
            <w:pPr>
              <w:pStyle w:val="TableBodyRight"/>
            </w:pPr>
            <w:r w:rsidRPr="00945812">
              <w:t>42.9%</w:t>
            </w:r>
          </w:p>
        </w:tc>
      </w:tr>
      <w:tr w:rsidR="00945812" w:rsidRPr="00945812" w14:paraId="075670E2" w14:textId="77777777" w:rsidTr="006A56BA">
        <w:trPr>
          <w:trHeight w:val="288"/>
        </w:trPr>
        <w:tc>
          <w:tcPr>
            <w:tcW w:w="1250" w:type="pct"/>
            <w:noWrap/>
            <w:hideMark/>
          </w:tcPr>
          <w:p w14:paraId="3C0C2B42" w14:textId="77777777" w:rsidR="00945812" w:rsidRPr="00945812" w:rsidRDefault="00945812" w:rsidP="001F550D">
            <w:pPr>
              <w:pStyle w:val="TableBody"/>
            </w:pPr>
            <w:r w:rsidRPr="00945812">
              <w:t>2002-03</w:t>
            </w:r>
          </w:p>
        </w:tc>
        <w:tc>
          <w:tcPr>
            <w:tcW w:w="1250" w:type="pct"/>
            <w:noWrap/>
            <w:hideMark/>
          </w:tcPr>
          <w:p w14:paraId="39E4679B" w14:textId="77777777" w:rsidR="00945812" w:rsidRPr="00945812" w:rsidRDefault="00945812" w:rsidP="001F550D">
            <w:pPr>
              <w:pStyle w:val="TableBodyRight"/>
            </w:pPr>
            <w:r w:rsidRPr="00945812">
              <w:t>81.3%</w:t>
            </w:r>
          </w:p>
        </w:tc>
        <w:tc>
          <w:tcPr>
            <w:tcW w:w="1250" w:type="pct"/>
            <w:noWrap/>
            <w:hideMark/>
          </w:tcPr>
          <w:p w14:paraId="0A677CFA" w14:textId="77777777" w:rsidR="00945812" w:rsidRPr="00945812" w:rsidRDefault="00945812" w:rsidP="001F550D">
            <w:pPr>
              <w:pStyle w:val="TableBodyRight"/>
            </w:pPr>
            <w:r w:rsidRPr="00945812">
              <w:t>95.5%</w:t>
            </w:r>
          </w:p>
        </w:tc>
        <w:tc>
          <w:tcPr>
            <w:tcW w:w="1250" w:type="pct"/>
            <w:noWrap/>
            <w:hideMark/>
          </w:tcPr>
          <w:p w14:paraId="3F324A3A" w14:textId="77777777" w:rsidR="00945812" w:rsidRPr="00945812" w:rsidRDefault="00945812" w:rsidP="001F550D">
            <w:pPr>
              <w:pStyle w:val="TableBodyRight"/>
            </w:pPr>
            <w:r w:rsidRPr="00945812">
              <w:t>30.8%</w:t>
            </w:r>
          </w:p>
        </w:tc>
      </w:tr>
      <w:tr w:rsidR="00945812" w:rsidRPr="00945812" w14:paraId="4CE3BEC1" w14:textId="77777777" w:rsidTr="006A56BA">
        <w:trPr>
          <w:trHeight w:val="288"/>
        </w:trPr>
        <w:tc>
          <w:tcPr>
            <w:tcW w:w="1250" w:type="pct"/>
            <w:noWrap/>
            <w:hideMark/>
          </w:tcPr>
          <w:p w14:paraId="1A355177" w14:textId="77777777" w:rsidR="00945812" w:rsidRPr="00945812" w:rsidRDefault="00945812" w:rsidP="001F550D">
            <w:pPr>
              <w:pStyle w:val="TableBody"/>
            </w:pPr>
            <w:r w:rsidRPr="00945812">
              <w:t>2003-04</w:t>
            </w:r>
          </w:p>
        </w:tc>
        <w:tc>
          <w:tcPr>
            <w:tcW w:w="1250" w:type="pct"/>
            <w:noWrap/>
            <w:hideMark/>
          </w:tcPr>
          <w:p w14:paraId="0A830106" w14:textId="77777777" w:rsidR="00945812" w:rsidRPr="00945812" w:rsidRDefault="00945812" w:rsidP="001F550D">
            <w:pPr>
              <w:pStyle w:val="TableBodyRight"/>
            </w:pPr>
            <w:r w:rsidRPr="00945812">
              <w:t>94.6%</w:t>
            </w:r>
          </w:p>
        </w:tc>
        <w:tc>
          <w:tcPr>
            <w:tcW w:w="1250" w:type="pct"/>
            <w:noWrap/>
            <w:hideMark/>
          </w:tcPr>
          <w:p w14:paraId="5ECAFEE5" w14:textId="77777777" w:rsidR="00945812" w:rsidRPr="00945812" w:rsidRDefault="00945812" w:rsidP="001F550D">
            <w:pPr>
              <w:pStyle w:val="TableBodyRight"/>
            </w:pPr>
            <w:r w:rsidRPr="00945812">
              <w:t>96.0%</w:t>
            </w:r>
          </w:p>
        </w:tc>
        <w:tc>
          <w:tcPr>
            <w:tcW w:w="1250" w:type="pct"/>
            <w:noWrap/>
            <w:hideMark/>
          </w:tcPr>
          <w:p w14:paraId="2CA18E7B" w14:textId="77777777" w:rsidR="00945812" w:rsidRPr="00945812" w:rsidRDefault="00945812" w:rsidP="001F550D">
            <w:pPr>
              <w:pStyle w:val="TableBodyRight"/>
            </w:pPr>
            <w:r w:rsidRPr="00945812">
              <w:t>31.0%</w:t>
            </w:r>
          </w:p>
        </w:tc>
      </w:tr>
      <w:tr w:rsidR="00945812" w:rsidRPr="00945812" w14:paraId="3F708EBB" w14:textId="77777777" w:rsidTr="006A56BA">
        <w:trPr>
          <w:trHeight w:val="288"/>
        </w:trPr>
        <w:tc>
          <w:tcPr>
            <w:tcW w:w="1250" w:type="pct"/>
            <w:noWrap/>
            <w:hideMark/>
          </w:tcPr>
          <w:p w14:paraId="5819C32F" w14:textId="77777777" w:rsidR="00945812" w:rsidRPr="00945812" w:rsidRDefault="00945812" w:rsidP="001F550D">
            <w:pPr>
              <w:pStyle w:val="TableBody"/>
            </w:pPr>
            <w:r w:rsidRPr="00945812">
              <w:t>2004-05</w:t>
            </w:r>
          </w:p>
        </w:tc>
        <w:tc>
          <w:tcPr>
            <w:tcW w:w="1250" w:type="pct"/>
            <w:noWrap/>
            <w:hideMark/>
          </w:tcPr>
          <w:p w14:paraId="6F61D071" w14:textId="77777777" w:rsidR="00945812" w:rsidRPr="00945812" w:rsidRDefault="00945812" w:rsidP="001F550D">
            <w:pPr>
              <w:pStyle w:val="TableBodyRight"/>
            </w:pPr>
            <w:r w:rsidRPr="00945812">
              <w:t>89.1%</w:t>
            </w:r>
          </w:p>
        </w:tc>
        <w:tc>
          <w:tcPr>
            <w:tcW w:w="1250" w:type="pct"/>
            <w:noWrap/>
            <w:hideMark/>
          </w:tcPr>
          <w:p w14:paraId="16866E3F" w14:textId="77777777" w:rsidR="00945812" w:rsidRPr="00945812" w:rsidRDefault="00945812" w:rsidP="001F550D">
            <w:pPr>
              <w:pStyle w:val="TableBodyRight"/>
            </w:pPr>
            <w:r w:rsidRPr="00945812">
              <w:t>93.8%</w:t>
            </w:r>
          </w:p>
        </w:tc>
        <w:tc>
          <w:tcPr>
            <w:tcW w:w="1250" w:type="pct"/>
            <w:noWrap/>
            <w:hideMark/>
          </w:tcPr>
          <w:p w14:paraId="3E402FA4" w14:textId="77777777" w:rsidR="00945812" w:rsidRPr="00945812" w:rsidRDefault="00945812" w:rsidP="001F550D">
            <w:pPr>
              <w:pStyle w:val="TableBodyRight"/>
            </w:pPr>
            <w:r w:rsidRPr="00945812">
              <w:t>44.4%</w:t>
            </w:r>
          </w:p>
        </w:tc>
      </w:tr>
      <w:tr w:rsidR="00945812" w:rsidRPr="00945812" w14:paraId="2ED75732" w14:textId="77777777" w:rsidTr="006A56BA">
        <w:trPr>
          <w:trHeight w:val="288"/>
        </w:trPr>
        <w:tc>
          <w:tcPr>
            <w:tcW w:w="1250" w:type="pct"/>
            <w:noWrap/>
            <w:hideMark/>
          </w:tcPr>
          <w:p w14:paraId="5C2061D7" w14:textId="77777777" w:rsidR="00945812" w:rsidRPr="00945812" w:rsidRDefault="00945812" w:rsidP="001F550D">
            <w:pPr>
              <w:pStyle w:val="TableBody"/>
            </w:pPr>
            <w:r w:rsidRPr="00945812">
              <w:t>2005-06</w:t>
            </w:r>
          </w:p>
        </w:tc>
        <w:tc>
          <w:tcPr>
            <w:tcW w:w="1250" w:type="pct"/>
            <w:noWrap/>
            <w:hideMark/>
          </w:tcPr>
          <w:p w14:paraId="61566100" w14:textId="77777777" w:rsidR="00945812" w:rsidRPr="00945812" w:rsidRDefault="00945812" w:rsidP="001F550D">
            <w:pPr>
              <w:pStyle w:val="TableBodyRight"/>
            </w:pPr>
            <w:r w:rsidRPr="00945812">
              <w:t>89.2%</w:t>
            </w:r>
          </w:p>
        </w:tc>
        <w:tc>
          <w:tcPr>
            <w:tcW w:w="1250" w:type="pct"/>
            <w:noWrap/>
            <w:hideMark/>
          </w:tcPr>
          <w:p w14:paraId="49D42C6B" w14:textId="77777777" w:rsidR="00945812" w:rsidRPr="00945812" w:rsidRDefault="00945812" w:rsidP="001F550D">
            <w:pPr>
              <w:pStyle w:val="TableBodyRight"/>
            </w:pPr>
            <w:r w:rsidRPr="00945812">
              <w:t>100.0%</w:t>
            </w:r>
          </w:p>
        </w:tc>
        <w:tc>
          <w:tcPr>
            <w:tcW w:w="1250" w:type="pct"/>
            <w:noWrap/>
            <w:hideMark/>
          </w:tcPr>
          <w:p w14:paraId="6BB8E287" w14:textId="77777777" w:rsidR="00945812" w:rsidRPr="00945812" w:rsidRDefault="00945812" w:rsidP="001F550D">
            <w:pPr>
              <w:pStyle w:val="TableBodyRight"/>
            </w:pPr>
            <w:r w:rsidRPr="00945812">
              <w:t>62.2%</w:t>
            </w:r>
          </w:p>
        </w:tc>
      </w:tr>
      <w:tr w:rsidR="00945812" w:rsidRPr="00945812" w14:paraId="2E25C76B" w14:textId="77777777" w:rsidTr="006A56BA">
        <w:trPr>
          <w:trHeight w:val="288"/>
        </w:trPr>
        <w:tc>
          <w:tcPr>
            <w:tcW w:w="1250" w:type="pct"/>
            <w:noWrap/>
            <w:hideMark/>
          </w:tcPr>
          <w:p w14:paraId="1638E046" w14:textId="77777777" w:rsidR="00945812" w:rsidRPr="00945812" w:rsidRDefault="00945812" w:rsidP="001F550D">
            <w:pPr>
              <w:pStyle w:val="TableBody"/>
            </w:pPr>
            <w:r w:rsidRPr="00945812">
              <w:t>2006-07</w:t>
            </w:r>
          </w:p>
        </w:tc>
        <w:tc>
          <w:tcPr>
            <w:tcW w:w="1250" w:type="pct"/>
            <w:noWrap/>
            <w:hideMark/>
          </w:tcPr>
          <w:p w14:paraId="1F009F5E" w14:textId="77777777" w:rsidR="00945812" w:rsidRPr="00945812" w:rsidRDefault="00945812" w:rsidP="001F550D">
            <w:pPr>
              <w:pStyle w:val="TableBodyRight"/>
            </w:pPr>
            <w:r w:rsidRPr="00945812">
              <w:t>98.1%</w:t>
            </w:r>
          </w:p>
        </w:tc>
        <w:tc>
          <w:tcPr>
            <w:tcW w:w="1250" w:type="pct"/>
            <w:noWrap/>
            <w:hideMark/>
          </w:tcPr>
          <w:p w14:paraId="75EEACFD" w14:textId="77777777" w:rsidR="00945812" w:rsidRPr="00945812" w:rsidRDefault="00945812" w:rsidP="001F550D">
            <w:pPr>
              <w:pStyle w:val="TableBodyRight"/>
            </w:pPr>
            <w:r w:rsidRPr="00945812">
              <w:t>93.9%</w:t>
            </w:r>
          </w:p>
        </w:tc>
        <w:tc>
          <w:tcPr>
            <w:tcW w:w="1250" w:type="pct"/>
            <w:noWrap/>
            <w:hideMark/>
          </w:tcPr>
          <w:p w14:paraId="606F6FED" w14:textId="77777777" w:rsidR="00945812" w:rsidRPr="00945812" w:rsidRDefault="00945812" w:rsidP="001F550D">
            <w:pPr>
              <w:pStyle w:val="TableBodyRight"/>
            </w:pPr>
            <w:r w:rsidRPr="00945812">
              <w:t>42.1%</w:t>
            </w:r>
          </w:p>
        </w:tc>
      </w:tr>
      <w:tr w:rsidR="00945812" w:rsidRPr="00945812" w14:paraId="3D6DD504" w14:textId="77777777" w:rsidTr="006A56BA">
        <w:trPr>
          <w:trHeight w:val="288"/>
        </w:trPr>
        <w:tc>
          <w:tcPr>
            <w:tcW w:w="1250" w:type="pct"/>
            <w:noWrap/>
            <w:hideMark/>
          </w:tcPr>
          <w:p w14:paraId="7A60120F" w14:textId="77777777" w:rsidR="00945812" w:rsidRPr="00945812" w:rsidRDefault="00945812" w:rsidP="001F550D">
            <w:pPr>
              <w:pStyle w:val="TableBody"/>
            </w:pPr>
            <w:r w:rsidRPr="00945812">
              <w:t>2007-08</w:t>
            </w:r>
          </w:p>
        </w:tc>
        <w:tc>
          <w:tcPr>
            <w:tcW w:w="1250" w:type="pct"/>
            <w:noWrap/>
            <w:hideMark/>
          </w:tcPr>
          <w:p w14:paraId="52A1C082" w14:textId="77777777" w:rsidR="00945812" w:rsidRPr="00945812" w:rsidRDefault="00945812" w:rsidP="001F550D">
            <w:pPr>
              <w:pStyle w:val="TableBodyRight"/>
            </w:pPr>
            <w:r w:rsidRPr="00945812">
              <w:t>88.9%</w:t>
            </w:r>
          </w:p>
        </w:tc>
        <w:tc>
          <w:tcPr>
            <w:tcW w:w="1250" w:type="pct"/>
            <w:noWrap/>
            <w:hideMark/>
          </w:tcPr>
          <w:p w14:paraId="22632D32" w14:textId="77777777" w:rsidR="00945812" w:rsidRPr="00945812" w:rsidRDefault="00945812" w:rsidP="001F550D">
            <w:pPr>
              <w:pStyle w:val="TableBodyRight"/>
            </w:pPr>
            <w:r w:rsidRPr="00945812">
              <w:t>93.8%</w:t>
            </w:r>
          </w:p>
        </w:tc>
        <w:tc>
          <w:tcPr>
            <w:tcW w:w="1250" w:type="pct"/>
            <w:noWrap/>
            <w:hideMark/>
          </w:tcPr>
          <w:p w14:paraId="51C99534" w14:textId="77777777" w:rsidR="00945812" w:rsidRPr="00945812" w:rsidRDefault="00945812" w:rsidP="001F550D">
            <w:pPr>
              <w:pStyle w:val="TableBodyRight"/>
            </w:pPr>
            <w:r w:rsidRPr="00945812">
              <w:t>47.4%</w:t>
            </w:r>
          </w:p>
        </w:tc>
      </w:tr>
      <w:tr w:rsidR="00945812" w:rsidRPr="00945812" w14:paraId="6AC8A80A" w14:textId="77777777" w:rsidTr="006A56BA">
        <w:trPr>
          <w:trHeight w:val="288"/>
        </w:trPr>
        <w:tc>
          <w:tcPr>
            <w:tcW w:w="1250" w:type="pct"/>
            <w:noWrap/>
            <w:hideMark/>
          </w:tcPr>
          <w:p w14:paraId="3991CE39" w14:textId="77777777" w:rsidR="00945812" w:rsidRPr="00945812" w:rsidRDefault="00945812" w:rsidP="001F550D">
            <w:pPr>
              <w:pStyle w:val="TableBody"/>
            </w:pPr>
            <w:r w:rsidRPr="00945812">
              <w:t>2008-09</w:t>
            </w:r>
          </w:p>
        </w:tc>
        <w:tc>
          <w:tcPr>
            <w:tcW w:w="1250" w:type="pct"/>
            <w:noWrap/>
            <w:hideMark/>
          </w:tcPr>
          <w:p w14:paraId="29A13D65" w14:textId="77777777" w:rsidR="00945812" w:rsidRPr="00945812" w:rsidRDefault="00945812" w:rsidP="001F550D">
            <w:pPr>
              <w:pStyle w:val="TableBodyRight"/>
            </w:pPr>
            <w:r w:rsidRPr="00945812">
              <w:t>92.1%</w:t>
            </w:r>
          </w:p>
        </w:tc>
        <w:tc>
          <w:tcPr>
            <w:tcW w:w="1250" w:type="pct"/>
            <w:noWrap/>
            <w:hideMark/>
          </w:tcPr>
          <w:p w14:paraId="29BD199E" w14:textId="77777777" w:rsidR="00945812" w:rsidRPr="00945812" w:rsidRDefault="00945812" w:rsidP="001F550D">
            <w:pPr>
              <w:pStyle w:val="TableBodyRight"/>
            </w:pPr>
            <w:r w:rsidRPr="00945812">
              <w:t>93.8%</w:t>
            </w:r>
          </w:p>
        </w:tc>
        <w:tc>
          <w:tcPr>
            <w:tcW w:w="1250" w:type="pct"/>
            <w:noWrap/>
            <w:hideMark/>
          </w:tcPr>
          <w:p w14:paraId="568C98A4" w14:textId="77777777" w:rsidR="00945812" w:rsidRPr="00945812" w:rsidRDefault="00945812" w:rsidP="003D3863">
            <w:pPr>
              <w:pStyle w:val="TableBodyRight"/>
            </w:pPr>
            <w:r w:rsidRPr="00945812">
              <w:t>45.0%</w:t>
            </w:r>
          </w:p>
        </w:tc>
      </w:tr>
      <w:tr w:rsidR="00945812" w:rsidRPr="00945812" w14:paraId="15992312" w14:textId="77777777" w:rsidTr="006A56BA">
        <w:trPr>
          <w:trHeight w:val="288"/>
        </w:trPr>
        <w:tc>
          <w:tcPr>
            <w:tcW w:w="1250" w:type="pct"/>
            <w:noWrap/>
            <w:hideMark/>
          </w:tcPr>
          <w:p w14:paraId="2EE36705" w14:textId="77777777" w:rsidR="00945812" w:rsidRPr="00945812" w:rsidRDefault="00945812" w:rsidP="001F550D">
            <w:pPr>
              <w:pStyle w:val="TableBody"/>
            </w:pPr>
            <w:r w:rsidRPr="00945812">
              <w:t>2009-10</w:t>
            </w:r>
          </w:p>
        </w:tc>
        <w:tc>
          <w:tcPr>
            <w:tcW w:w="1250" w:type="pct"/>
            <w:noWrap/>
            <w:hideMark/>
          </w:tcPr>
          <w:p w14:paraId="64F3E722" w14:textId="77777777" w:rsidR="00945812" w:rsidRPr="00945812" w:rsidRDefault="00945812" w:rsidP="001F550D">
            <w:pPr>
              <w:pStyle w:val="TableBodyRight"/>
            </w:pPr>
            <w:r w:rsidRPr="00945812">
              <w:t>97.8%</w:t>
            </w:r>
          </w:p>
        </w:tc>
        <w:tc>
          <w:tcPr>
            <w:tcW w:w="1250" w:type="pct"/>
            <w:noWrap/>
            <w:hideMark/>
          </w:tcPr>
          <w:p w14:paraId="7BF6E5A7" w14:textId="77777777" w:rsidR="00945812" w:rsidRPr="00945812" w:rsidRDefault="00945812" w:rsidP="001F550D">
            <w:pPr>
              <w:pStyle w:val="TableBodyRight"/>
            </w:pPr>
            <w:r w:rsidRPr="00945812">
              <w:t>100.0%</w:t>
            </w:r>
          </w:p>
        </w:tc>
        <w:tc>
          <w:tcPr>
            <w:tcW w:w="1250" w:type="pct"/>
            <w:noWrap/>
            <w:hideMark/>
          </w:tcPr>
          <w:p w14:paraId="49D543DC" w14:textId="77777777" w:rsidR="00945812" w:rsidRPr="00945812" w:rsidRDefault="00945812" w:rsidP="001F550D">
            <w:pPr>
              <w:pStyle w:val="TableBodyRight"/>
            </w:pPr>
            <w:r w:rsidRPr="00945812">
              <w:t>56.1%</w:t>
            </w:r>
          </w:p>
        </w:tc>
      </w:tr>
      <w:tr w:rsidR="00945812" w:rsidRPr="00945812" w14:paraId="0F4408A5" w14:textId="77777777" w:rsidTr="006A56BA">
        <w:trPr>
          <w:trHeight w:val="288"/>
        </w:trPr>
        <w:tc>
          <w:tcPr>
            <w:tcW w:w="1250" w:type="pct"/>
            <w:noWrap/>
            <w:hideMark/>
          </w:tcPr>
          <w:p w14:paraId="2EE31C58" w14:textId="77777777" w:rsidR="00945812" w:rsidRPr="00945812" w:rsidRDefault="00945812" w:rsidP="001F550D">
            <w:pPr>
              <w:pStyle w:val="TableBody"/>
            </w:pPr>
            <w:r w:rsidRPr="00945812">
              <w:t>2010-11</w:t>
            </w:r>
          </w:p>
        </w:tc>
        <w:tc>
          <w:tcPr>
            <w:tcW w:w="1250" w:type="pct"/>
            <w:noWrap/>
            <w:hideMark/>
          </w:tcPr>
          <w:p w14:paraId="59C3154A" w14:textId="77777777" w:rsidR="00945812" w:rsidRPr="00945812" w:rsidRDefault="00945812" w:rsidP="001F550D">
            <w:pPr>
              <w:pStyle w:val="TableBodyRight"/>
            </w:pPr>
            <w:r w:rsidRPr="00945812">
              <w:t>93.3%</w:t>
            </w:r>
          </w:p>
        </w:tc>
        <w:tc>
          <w:tcPr>
            <w:tcW w:w="1250" w:type="pct"/>
            <w:noWrap/>
            <w:hideMark/>
          </w:tcPr>
          <w:p w14:paraId="2C149000" w14:textId="77777777" w:rsidR="00945812" w:rsidRPr="00945812" w:rsidRDefault="00945812" w:rsidP="001F550D">
            <w:pPr>
              <w:pStyle w:val="TableBodyRight"/>
            </w:pPr>
            <w:r w:rsidRPr="00945812">
              <w:t>96.2%</w:t>
            </w:r>
          </w:p>
        </w:tc>
        <w:tc>
          <w:tcPr>
            <w:tcW w:w="1250" w:type="pct"/>
            <w:noWrap/>
            <w:hideMark/>
          </w:tcPr>
          <w:p w14:paraId="2BE51ADB" w14:textId="77777777" w:rsidR="00945812" w:rsidRPr="00945812" w:rsidRDefault="00945812" w:rsidP="001F550D">
            <w:pPr>
              <w:pStyle w:val="TableBodyRight"/>
            </w:pPr>
            <w:r w:rsidRPr="00945812">
              <w:t>63.6%</w:t>
            </w:r>
          </w:p>
        </w:tc>
      </w:tr>
      <w:tr w:rsidR="00945812" w:rsidRPr="00945812" w14:paraId="0FAFAF5A" w14:textId="77777777" w:rsidTr="006A56BA">
        <w:trPr>
          <w:trHeight w:val="288"/>
        </w:trPr>
        <w:tc>
          <w:tcPr>
            <w:tcW w:w="1250" w:type="pct"/>
            <w:noWrap/>
            <w:hideMark/>
          </w:tcPr>
          <w:p w14:paraId="400C678D" w14:textId="77777777" w:rsidR="00945812" w:rsidRPr="00945812" w:rsidRDefault="00945812" w:rsidP="001F550D">
            <w:pPr>
              <w:pStyle w:val="TableBody"/>
            </w:pPr>
            <w:r w:rsidRPr="00945812">
              <w:t>2011-12</w:t>
            </w:r>
          </w:p>
        </w:tc>
        <w:tc>
          <w:tcPr>
            <w:tcW w:w="1250" w:type="pct"/>
            <w:noWrap/>
            <w:hideMark/>
          </w:tcPr>
          <w:p w14:paraId="36ED5C3F" w14:textId="77777777" w:rsidR="00945812" w:rsidRPr="00945812" w:rsidRDefault="00945812" w:rsidP="001F550D">
            <w:pPr>
              <w:pStyle w:val="TableBodyRight"/>
            </w:pPr>
            <w:r w:rsidRPr="00945812">
              <w:t>95.2%</w:t>
            </w:r>
          </w:p>
        </w:tc>
        <w:tc>
          <w:tcPr>
            <w:tcW w:w="1250" w:type="pct"/>
            <w:noWrap/>
            <w:hideMark/>
          </w:tcPr>
          <w:p w14:paraId="4AF8B66D" w14:textId="77777777" w:rsidR="00945812" w:rsidRPr="00945812" w:rsidRDefault="00945812" w:rsidP="001F550D">
            <w:pPr>
              <w:pStyle w:val="TableBodyRight"/>
            </w:pPr>
            <w:r w:rsidRPr="00945812">
              <w:t>96.3%</w:t>
            </w:r>
          </w:p>
        </w:tc>
        <w:tc>
          <w:tcPr>
            <w:tcW w:w="1250" w:type="pct"/>
            <w:noWrap/>
            <w:hideMark/>
          </w:tcPr>
          <w:p w14:paraId="427B4FC2" w14:textId="77777777" w:rsidR="00945812" w:rsidRPr="00945812" w:rsidRDefault="00945812" w:rsidP="001F550D">
            <w:pPr>
              <w:pStyle w:val="TableBodyRight"/>
            </w:pPr>
            <w:r w:rsidRPr="00945812">
              <w:t>48.5%</w:t>
            </w:r>
          </w:p>
        </w:tc>
      </w:tr>
      <w:tr w:rsidR="00945812" w:rsidRPr="00945812" w14:paraId="3B819CB7" w14:textId="77777777" w:rsidTr="006A56BA">
        <w:trPr>
          <w:trHeight w:val="288"/>
        </w:trPr>
        <w:tc>
          <w:tcPr>
            <w:tcW w:w="1250" w:type="pct"/>
            <w:noWrap/>
            <w:hideMark/>
          </w:tcPr>
          <w:p w14:paraId="61E6DC6C" w14:textId="77777777" w:rsidR="00945812" w:rsidRPr="00945812" w:rsidRDefault="00945812" w:rsidP="001F550D">
            <w:pPr>
              <w:pStyle w:val="TableBody"/>
            </w:pPr>
            <w:r w:rsidRPr="00945812">
              <w:t>2012-13</w:t>
            </w:r>
          </w:p>
        </w:tc>
        <w:tc>
          <w:tcPr>
            <w:tcW w:w="1250" w:type="pct"/>
            <w:noWrap/>
            <w:hideMark/>
          </w:tcPr>
          <w:p w14:paraId="70A2F512" w14:textId="77777777" w:rsidR="00945812" w:rsidRPr="00945812" w:rsidRDefault="00945812" w:rsidP="001F550D">
            <w:pPr>
              <w:pStyle w:val="TableBodyRight"/>
            </w:pPr>
            <w:r w:rsidRPr="00945812">
              <w:t>88.6%</w:t>
            </w:r>
          </w:p>
        </w:tc>
        <w:tc>
          <w:tcPr>
            <w:tcW w:w="1250" w:type="pct"/>
            <w:noWrap/>
            <w:hideMark/>
          </w:tcPr>
          <w:p w14:paraId="36A0AB93" w14:textId="77777777" w:rsidR="00945812" w:rsidRPr="00945812" w:rsidRDefault="00945812" w:rsidP="001F550D">
            <w:pPr>
              <w:pStyle w:val="TableBodyRight"/>
            </w:pPr>
            <w:r w:rsidRPr="00945812">
              <w:t>88.5%</w:t>
            </w:r>
          </w:p>
        </w:tc>
        <w:tc>
          <w:tcPr>
            <w:tcW w:w="1250" w:type="pct"/>
            <w:noWrap/>
            <w:hideMark/>
          </w:tcPr>
          <w:p w14:paraId="4CE2FFF1" w14:textId="77777777" w:rsidR="00945812" w:rsidRPr="00945812" w:rsidRDefault="00945812" w:rsidP="001F550D">
            <w:pPr>
              <w:pStyle w:val="TableBodyRight"/>
            </w:pPr>
            <w:r w:rsidRPr="00945812">
              <w:t>52.4%</w:t>
            </w:r>
          </w:p>
        </w:tc>
      </w:tr>
      <w:tr w:rsidR="00945812" w:rsidRPr="00945812" w14:paraId="3A136DAF" w14:textId="77777777" w:rsidTr="006A56BA">
        <w:trPr>
          <w:trHeight w:val="288"/>
        </w:trPr>
        <w:tc>
          <w:tcPr>
            <w:tcW w:w="1250" w:type="pct"/>
            <w:noWrap/>
            <w:hideMark/>
          </w:tcPr>
          <w:p w14:paraId="7665DBFD" w14:textId="77777777" w:rsidR="00945812" w:rsidRPr="00945812" w:rsidRDefault="00945812" w:rsidP="001F550D">
            <w:pPr>
              <w:pStyle w:val="TableBody"/>
            </w:pPr>
            <w:r w:rsidRPr="00945812">
              <w:lastRenderedPageBreak/>
              <w:t>2013-14</w:t>
            </w:r>
          </w:p>
        </w:tc>
        <w:tc>
          <w:tcPr>
            <w:tcW w:w="1250" w:type="pct"/>
            <w:noWrap/>
            <w:hideMark/>
          </w:tcPr>
          <w:p w14:paraId="3CB56C00" w14:textId="77777777" w:rsidR="00945812" w:rsidRPr="00945812" w:rsidRDefault="00945812" w:rsidP="001F550D">
            <w:pPr>
              <w:pStyle w:val="TableBodyRight"/>
            </w:pPr>
            <w:r w:rsidRPr="00945812">
              <w:t>91.5%</w:t>
            </w:r>
          </w:p>
        </w:tc>
        <w:tc>
          <w:tcPr>
            <w:tcW w:w="1250" w:type="pct"/>
            <w:noWrap/>
            <w:hideMark/>
          </w:tcPr>
          <w:p w14:paraId="16FD15D8" w14:textId="77777777" w:rsidR="00945812" w:rsidRPr="00945812" w:rsidRDefault="00945812" w:rsidP="001F550D">
            <w:pPr>
              <w:pStyle w:val="TableBodyRight"/>
            </w:pPr>
            <w:r w:rsidRPr="00945812">
              <w:t>100.0%</w:t>
            </w:r>
          </w:p>
        </w:tc>
        <w:tc>
          <w:tcPr>
            <w:tcW w:w="1250" w:type="pct"/>
            <w:noWrap/>
            <w:hideMark/>
          </w:tcPr>
          <w:p w14:paraId="063BAAC8" w14:textId="77777777" w:rsidR="00945812" w:rsidRPr="00945812" w:rsidRDefault="00945812" w:rsidP="001F550D">
            <w:pPr>
              <w:pStyle w:val="TableBodyRight"/>
            </w:pPr>
            <w:r w:rsidRPr="00945812">
              <w:t>33.3%</w:t>
            </w:r>
          </w:p>
        </w:tc>
      </w:tr>
      <w:tr w:rsidR="00945812" w:rsidRPr="00945812" w14:paraId="30F0511E" w14:textId="77777777" w:rsidTr="006A56BA">
        <w:trPr>
          <w:trHeight w:val="288"/>
        </w:trPr>
        <w:tc>
          <w:tcPr>
            <w:tcW w:w="1250" w:type="pct"/>
            <w:noWrap/>
            <w:hideMark/>
          </w:tcPr>
          <w:p w14:paraId="1663A0CD" w14:textId="77777777" w:rsidR="00945812" w:rsidRPr="00945812" w:rsidRDefault="00945812" w:rsidP="001F550D">
            <w:pPr>
              <w:pStyle w:val="TableBody"/>
            </w:pPr>
            <w:r w:rsidRPr="00945812">
              <w:t>2014-15</w:t>
            </w:r>
          </w:p>
        </w:tc>
        <w:tc>
          <w:tcPr>
            <w:tcW w:w="1250" w:type="pct"/>
            <w:noWrap/>
            <w:hideMark/>
          </w:tcPr>
          <w:p w14:paraId="071CA43B" w14:textId="77777777" w:rsidR="00945812" w:rsidRPr="00945812" w:rsidRDefault="00945812" w:rsidP="001F550D">
            <w:pPr>
              <w:pStyle w:val="TableBodyRight"/>
            </w:pPr>
            <w:r w:rsidRPr="00945812">
              <w:t>88.9%</w:t>
            </w:r>
          </w:p>
        </w:tc>
        <w:tc>
          <w:tcPr>
            <w:tcW w:w="1250" w:type="pct"/>
            <w:noWrap/>
            <w:hideMark/>
          </w:tcPr>
          <w:p w14:paraId="70D5110C" w14:textId="77777777" w:rsidR="00945812" w:rsidRPr="00945812" w:rsidRDefault="00945812" w:rsidP="001F550D">
            <w:pPr>
              <w:pStyle w:val="TableBodyRight"/>
            </w:pPr>
            <w:r w:rsidRPr="00945812">
              <w:t>97.0%</w:t>
            </w:r>
          </w:p>
        </w:tc>
        <w:tc>
          <w:tcPr>
            <w:tcW w:w="1250" w:type="pct"/>
            <w:noWrap/>
            <w:hideMark/>
          </w:tcPr>
          <w:p w14:paraId="38FBDA3E" w14:textId="77777777" w:rsidR="00945812" w:rsidRPr="00945812" w:rsidRDefault="00945812" w:rsidP="001F550D">
            <w:pPr>
              <w:pStyle w:val="TableBodyRight"/>
            </w:pPr>
            <w:r w:rsidRPr="00945812">
              <w:t>55.4%</w:t>
            </w:r>
          </w:p>
        </w:tc>
      </w:tr>
      <w:tr w:rsidR="00945812" w:rsidRPr="00945812" w14:paraId="2F87E9A7" w14:textId="77777777" w:rsidTr="006A56BA">
        <w:trPr>
          <w:trHeight w:val="288"/>
        </w:trPr>
        <w:tc>
          <w:tcPr>
            <w:tcW w:w="1250" w:type="pct"/>
            <w:noWrap/>
            <w:hideMark/>
          </w:tcPr>
          <w:p w14:paraId="0E64C883" w14:textId="77777777" w:rsidR="00945812" w:rsidRPr="00945812" w:rsidRDefault="00945812" w:rsidP="001F550D">
            <w:pPr>
              <w:pStyle w:val="TableBody"/>
            </w:pPr>
            <w:r w:rsidRPr="00945812">
              <w:t>2015-16</w:t>
            </w:r>
          </w:p>
        </w:tc>
        <w:tc>
          <w:tcPr>
            <w:tcW w:w="1250" w:type="pct"/>
            <w:noWrap/>
            <w:hideMark/>
          </w:tcPr>
          <w:p w14:paraId="4B6D108C" w14:textId="77777777" w:rsidR="00945812" w:rsidRPr="00945812" w:rsidRDefault="00945812" w:rsidP="001F550D">
            <w:pPr>
              <w:pStyle w:val="TableBodyRight"/>
            </w:pPr>
            <w:r w:rsidRPr="00945812">
              <w:t>90.0%</w:t>
            </w:r>
          </w:p>
        </w:tc>
        <w:tc>
          <w:tcPr>
            <w:tcW w:w="1250" w:type="pct"/>
            <w:noWrap/>
            <w:hideMark/>
          </w:tcPr>
          <w:p w14:paraId="3220A539" w14:textId="77777777" w:rsidR="00945812" w:rsidRPr="00945812" w:rsidRDefault="00945812" w:rsidP="001F550D">
            <w:pPr>
              <w:pStyle w:val="TableBodyRight"/>
            </w:pPr>
            <w:r w:rsidRPr="00945812">
              <w:t>96.0%</w:t>
            </w:r>
          </w:p>
        </w:tc>
        <w:tc>
          <w:tcPr>
            <w:tcW w:w="1250" w:type="pct"/>
            <w:noWrap/>
            <w:hideMark/>
          </w:tcPr>
          <w:p w14:paraId="296F57CC" w14:textId="77777777" w:rsidR="00945812" w:rsidRPr="00945812" w:rsidRDefault="00945812" w:rsidP="001F550D">
            <w:pPr>
              <w:pStyle w:val="TableBodyRight"/>
            </w:pPr>
            <w:r w:rsidRPr="00945812">
              <w:t>44.0%</w:t>
            </w:r>
          </w:p>
        </w:tc>
      </w:tr>
      <w:tr w:rsidR="00945812" w:rsidRPr="00945812" w14:paraId="1B5EA78E" w14:textId="77777777" w:rsidTr="006A56BA">
        <w:trPr>
          <w:trHeight w:val="288"/>
        </w:trPr>
        <w:tc>
          <w:tcPr>
            <w:tcW w:w="1250" w:type="pct"/>
            <w:noWrap/>
            <w:hideMark/>
          </w:tcPr>
          <w:p w14:paraId="0C1B7C85" w14:textId="77777777" w:rsidR="00945812" w:rsidRPr="00945812" w:rsidRDefault="00945812" w:rsidP="001F550D">
            <w:pPr>
              <w:pStyle w:val="TableBody"/>
            </w:pPr>
            <w:r w:rsidRPr="00945812">
              <w:t>2016-17</w:t>
            </w:r>
          </w:p>
        </w:tc>
        <w:tc>
          <w:tcPr>
            <w:tcW w:w="1250" w:type="pct"/>
            <w:noWrap/>
            <w:hideMark/>
          </w:tcPr>
          <w:p w14:paraId="1584AD6C" w14:textId="77777777" w:rsidR="00945812" w:rsidRPr="00945812" w:rsidRDefault="00945812" w:rsidP="001F550D">
            <w:pPr>
              <w:pStyle w:val="TableBodyRight"/>
            </w:pPr>
            <w:r w:rsidRPr="00945812">
              <w:t>95.0%</w:t>
            </w:r>
          </w:p>
        </w:tc>
        <w:tc>
          <w:tcPr>
            <w:tcW w:w="1250" w:type="pct"/>
            <w:noWrap/>
            <w:hideMark/>
          </w:tcPr>
          <w:p w14:paraId="1DFDB711" w14:textId="77777777" w:rsidR="00945812" w:rsidRPr="00945812" w:rsidRDefault="00945812" w:rsidP="001F550D">
            <w:pPr>
              <w:pStyle w:val="TableBodyRight"/>
            </w:pPr>
            <w:r w:rsidRPr="00945812">
              <w:t>92.0%</w:t>
            </w:r>
          </w:p>
        </w:tc>
        <w:tc>
          <w:tcPr>
            <w:tcW w:w="1250" w:type="pct"/>
            <w:noWrap/>
            <w:hideMark/>
          </w:tcPr>
          <w:p w14:paraId="2964CECF" w14:textId="77777777" w:rsidR="00945812" w:rsidRPr="00945812" w:rsidRDefault="00945812" w:rsidP="001F550D">
            <w:pPr>
              <w:pStyle w:val="TableBodyRight"/>
            </w:pPr>
            <w:r w:rsidRPr="00945812">
              <w:t>61.0%</w:t>
            </w:r>
          </w:p>
        </w:tc>
      </w:tr>
      <w:tr w:rsidR="00945812" w:rsidRPr="00945812" w14:paraId="6FE1DC1A" w14:textId="77777777" w:rsidTr="006A56BA">
        <w:trPr>
          <w:trHeight w:val="288"/>
        </w:trPr>
        <w:tc>
          <w:tcPr>
            <w:tcW w:w="1250" w:type="pct"/>
            <w:noWrap/>
            <w:hideMark/>
          </w:tcPr>
          <w:p w14:paraId="194EA996" w14:textId="77777777" w:rsidR="00945812" w:rsidRPr="00945812" w:rsidRDefault="00945812" w:rsidP="001F550D">
            <w:pPr>
              <w:pStyle w:val="TableBody"/>
            </w:pPr>
            <w:r w:rsidRPr="00945812">
              <w:t>2017-18</w:t>
            </w:r>
          </w:p>
        </w:tc>
        <w:tc>
          <w:tcPr>
            <w:tcW w:w="1250" w:type="pct"/>
            <w:noWrap/>
            <w:hideMark/>
          </w:tcPr>
          <w:p w14:paraId="79CC9F67" w14:textId="77777777" w:rsidR="00945812" w:rsidRPr="00945812" w:rsidRDefault="00945812" w:rsidP="001F550D">
            <w:pPr>
              <w:pStyle w:val="TableBodyRight"/>
            </w:pPr>
            <w:r w:rsidRPr="00945812">
              <w:t>91.0%</w:t>
            </w:r>
          </w:p>
        </w:tc>
        <w:tc>
          <w:tcPr>
            <w:tcW w:w="1250" w:type="pct"/>
            <w:noWrap/>
            <w:hideMark/>
          </w:tcPr>
          <w:p w14:paraId="3A0C304C" w14:textId="77777777" w:rsidR="00945812" w:rsidRPr="00945812" w:rsidRDefault="00945812" w:rsidP="001F550D">
            <w:pPr>
              <w:pStyle w:val="TableBodyRight"/>
            </w:pPr>
            <w:r w:rsidRPr="00945812">
              <w:t>100.0%</w:t>
            </w:r>
          </w:p>
        </w:tc>
        <w:tc>
          <w:tcPr>
            <w:tcW w:w="1250" w:type="pct"/>
            <w:noWrap/>
            <w:hideMark/>
          </w:tcPr>
          <w:p w14:paraId="00A5B372" w14:textId="77777777" w:rsidR="00945812" w:rsidRPr="00945812" w:rsidRDefault="00945812" w:rsidP="001F550D">
            <w:pPr>
              <w:pStyle w:val="TableBodyRight"/>
            </w:pPr>
            <w:r w:rsidRPr="00945812">
              <w:t>58.0%</w:t>
            </w:r>
          </w:p>
        </w:tc>
      </w:tr>
      <w:tr w:rsidR="00945812" w:rsidRPr="00945812" w14:paraId="0F5E0444" w14:textId="77777777" w:rsidTr="006A56BA">
        <w:trPr>
          <w:trHeight w:val="288"/>
        </w:trPr>
        <w:tc>
          <w:tcPr>
            <w:tcW w:w="1250" w:type="pct"/>
            <w:noWrap/>
            <w:hideMark/>
          </w:tcPr>
          <w:p w14:paraId="46C5BA6C" w14:textId="77777777" w:rsidR="00945812" w:rsidRPr="00945812" w:rsidRDefault="00945812" w:rsidP="001F550D">
            <w:pPr>
              <w:pStyle w:val="TableBody"/>
            </w:pPr>
            <w:r w:rsidRPr="00945812">
              <w:t>2018-19</w:t>
            </w:r>
          </w:p>
        </w:tc>
        <w:tc>
          <w:tcPr>
            <w:tcW w:w="1250" w:type="pct"/>
            <w:noWrap/>
            <w:hideMark/>
          </w:tcPr>
          <w:p w14:paraId="2A8D92AF" w14:textId="77777777" w:rsidR="00945812" w:rsidRPr="00945812" w:rsidRDefault="00945812" w:rsidP="001F550D">
            <w:pPr>
              <w:pStyle w:val="TableBodyRight"/>
            </w:pPr>
            <w:r w:rsidRPr="00945812">
              <w:t>92.0%</w:t>
            </w:r>
          </w:p>
        </w:tc>
        <w:tc>
          <w:tcPr>
            <w:tcW w:w="1250" w:type="pct"/>
            <w:noWrap/>
            <w:hideMark/>
          </w:tcPr>
          <w:p w14:paraId="14410810" w14:textId="77777777" w:rsidR="00945812" w:rsidRPr="00945812" w:rsidRDefault="00945812" w:rsidP="001F550D">
            <w:pPr>
              <w:pStyle w:val="TableBodyRight"/>
            </w:pPr>
            <w:r w:rsidRPr="00945812">
              <w:t>100.0%</w:t>
            </w:r>
          </w:p>
        </w:tc>
        <w:tc>
          <w:tcPr>
            <w:tcW w:w="1250" w:type="pct"/>
            <w:noWrap/>
            <w:hideMark/>
          </w:tcPr>
          <w:p w14:paraId="1DDF020A" w14:textId="77777777" w:rsidR="00945812" w:rsidRPr="00945812" w:rsidRDefault="00945812" w:rsidP="001F550D">
            <w:pPr>
              <w:pStyle w:val="TableBodyRight"/>
            </w:pPr>
            <w:r w:rsidRPr="00945812">
              <w:t>60.0%</w:t>
            </w:r>
          </w:p>
        </w:tc>
      </w:tr>
      <w:tr w:rsidR="00945812" w:rsidRPr="00945812" w14:paraId="39E7CA04" w14:textId="77777777" w:rsidTr="006A56BA">
        <w:trPr>
          <w:trHeight w:val="288"/>
        </w:trPr>
        <w:tc>
          <w:tcPr>
            <w:tcW w:w="1250" w:type="pct"/>
            <w:noWrap/>
            <w:hideMark/>
          </w:tcPr>
          <w:p w14:paraId="24D654E2" w14:textId="77777777" w:rsidR="00945812" w:rsidRPr="00945812" w:rsidRDefault="00945812" w:rsidP="001F550D">
            <w:pPr>
              <w:pStyle w:val="TableBody"/>
            </w:pPr>
            <w:r w:rsidRPr="00945812">
              <w:t>2019-20</w:t>
            </w:r>
          </w:p>
        </w:tc>
        <w:tc>
          <w:tcPr>
            <w:tcW w:w="1250" w:type="pct"/>
            <w:noWrap/>
            <w:hideMark/>
          </w:tcPr>
          <w:p w14:paraId="4D833413" w14:textId="77777777" w:rsidR="00945812" w:rsidRPr="00945812" w:rsidRDefault="00945812" w:rsidP="001F550D">
            <w:pPr>
              <w:pStyle w:val="TableBodyRight"/>
            </w:pPr>
            <w:r w:rsidRPr="00945812">
              <w:t>98.0%</w:t>
            </w:r>
          </w:p>
        </w:tc>
        <w:tc>
          <w:tcPr>
            <w:tcW w:w="1250" w:type="pct"/>
            <w:noWrap/>
            <w:hideMark/>
          </w:tcPr>
          <w:p w14:paraId="3D718BCD" w14:textId="2C77A777" w:rsidR="00945812" w:rsidRPr="00945812" w:rsidRDefault="00404C39" w:rsidP="00404C39">
            <w:pPr>
              <w:pStyle w:val="TableBodyRight"/>
            </w:pPr>
            <w:proofErr w:type="spellStart"/>
            <w:r>
              <w:t>n.a.</w:t>
            </w:r>
            <w:proofErr w:type="spellEnd"/>
          </w:p>
        </w:tc>
        <w:tc>
          <w:tcPr>
            <w:tcW w:w="1250" w:type="pct"/>
            <w:noWrap/>
            <w:hideMark/>
          </w:tcPr>
          <w:p w14:paraId="480D1B94" w14:textId="77777777" w:rsidR="00945812" w:rsidRPr="00945812" w:rsidRDefault="00945812" w:rsidP="001F550D">
            <w:pPr>
              <w:pStyle w:val="TableBodyRight"/>
            </w:pPr>
            <w:r w:rsidRPr="00945812">
              <w:t>87.0%</w:t>
            </w:r>
          </w:p>
        </w:tc>
      </w:tr>
    </w:tbl>
    <w:p w14:paraId="15C202E5" w14:textId="786BD4A5" w:rsidR="00E62AE6" w:rsidRPr="0031029F" w:rsidRDefault="00E62AE6" w:rsidP="0031029F">
      <w:r w:rsidRPr="0031029F">
        <w:t>The average lengths of prison sentences imposed over the 20-year period increased for all three sex offences analysed (Figure</w:t>
      </w:r>
      <w:r w:rsidR="005A74BF">
        <w:t>s</w:t>
      </w:r>
      <w:r w:rsidRPr="0031029F">
        <w:t xml:space="preserve"> 17 and 18). Many of those increases occurred quite recently. In 2021, the Council found that average prison sentences for rape had increased since 2017, which may be due to the Court of Appeal calling for an uplift in sentences for digital rape.</w:t>
      </w:r>
      <w:r w:rsidRPr="00E62AE6">
        <w:rPr>
          <w:rStyle w:val="Superscript"/>
        </w:rPr>
        <w:footnoteReference w:id="36"/>
      </w:r>
      <w:r w:rsidRPr="0031029F">
        <w:t xml:space="preserve"> The Council also found that prison sentences for incest had increased significantly since 2016 as a result of a number of reforms: incest being classified as a standard sentence offence in 2018, a series of appeal judgments starting in 2016 calling for an uplift in sentencing practices, and a reform in 2015 allowing certain sexual offences, including incest, to be prosecuted as ‘course of conduct’ offences.</w:t>
      </w:r>
      <w:r w:rsidRPr="00E62AE6">
        <w:rPr>
          <w:rStyle w:val="Superscript"/>
        </w:rPr>
        <w:footnoteReference w:id="37"/>
      </w:r>
      <w:r w:rsidRPr="0031029F">
        <w:t xml:space="preserve"> The Council also observed a recent increase in prison sentences for sexual penetration of a child aged 12 to under 16 that may have been due to an increase in 2017 in the maximum penalty for that offence.</w:t>
      </w:r>
      <w:r w:rsidRPr="00E62AE6">
        <w:rPr>
          <w:rStyle w:val="Superscript"/>
        </w:rPr>
        <w:footnoteReference w:id="38"/>
      </w:r>
      <w:r w:rsidRPr="0031029F">
        <w:t xml:space="preserve"> That said, the data suggests that the recent increase in prison sentences for sexual penetration of a child aged 12 to under 16 may have been a more pronounced part of a longer-term trend. </w:t>
      </w:r>
    </w:p>
    <w:p w14:paraId="4EF5BDC4" w14:textId="77777777" w:rsidR="00E62AE6" w:rsidRPr="00E62AE6" w:rsidRDefault="00E62AE6" w:rsidP="00E5783B">
      <w:pPr>
        <w:pStyle w:val="Caption"/>
      </w:pPr>
      <w:r w:rsidRPr="00E62AE6">
        <w:lastRenderedPageBreak/>
        <w:t>Figure 17: Average charge-level prison sentences for serious sex offences, 2001–02 to 2019–20</w:t>
      </w:r>
    </w:p>
    <w:tbl>
      <w:tblPr>
        <w:tblStyle w:val="Table"/>
        <w:tblW w:w="5000" w:type="pct"/>
        <w:tblLayout w:type="fixed"/>
        <w:tblLook w:val="04A0" w:firstRow="1" w:lastRow="0" w:firstColumn="1" w:lastColumn="0" w:noHBand="0" w:noVBand="1"/>
      </w:tblPr>
      <w:tblGrid>
        <w:gridCol w:w="2254"/>
        <w:gridCol w:w="2254"/>
        <w:gridCol w:w="2254"/>
        <w:gridCol w:w="2254"/>
      </w:tblGrid>
      <w:tr w:rsidR="00362EEE" w:rsidRPr="00362EEE" w14:paraId="6869CC2F" w14:textId="77777777" w:rsidTr="00CA4DBE">
        <w:trPr>
          <w:trHeight w:val="288"/>
          <w:tblHeader/>
        </w:trPr>
        <w:tc>
          <w:tcPr>
            <w:tcW w:w="1250" w:type="pct"/>
            <w:noWrap/>
            <w:hideMark/>
          </w:tcPr>
          <w:p w14:paraId="7D327A67" w14:textId="77777777" w:rsidR="00362EEE" w:rsidRPr="00362EEE" w:rsidRDefault="00362EEE" w:rsidP="006F13D9">
            <w:pPr>
              <w:pStyle w:val="TableHeading"/>
            </w:pPr>
            <w:r w:rsidRPr="00362EEE">
              <w:t>Financial year</w:t>
            </w:r>
          </w:p>
        </w:tc>
        <w:tc>
          <w:tcPr>
            <w:tcW w:w="1250" w:type="pct"/>
            <w:noWrap/>
            <w:hideMark/>
          </w:tcPr>
          <w:p w14:paraId="148EAEAB" w14:textId="77777777" w:rsidR="00362EEE" w:rsidRPr="00362EEE" w:rsidRDefault="00362EEE" w:rsidP="006F13D9">
            <w:pPr>
              <w:pStyle w:val="TableHeadingRight"/>
            </w:pPr>
            <w:r w:rsidRPr="00362EEE">
              <w:t>Rape</w:t>
            </w:r>
          </w:p>
        </w:tc>
        <w:tc>
          <w:tcPr>
            <w:tcW w:w="1250" w:type="pct"/>
            <w:noWrap/>
            <w:hideMark/>
          </w:tcPr>
          <w:p w14:paraId="40CF834E" w14:textId="77777777" w:rsidR="00362EEE" w:rsidRPr="00362EEE" w:rsidRDefault="00362EEE" w:rsidP="006F13D9">
            <w:pPr>
              <w:pStyle w:val="TableHeadingRight"/>
            </w:pPr>
            <w:r w:rsidRPr="00362EEE">
              <w:t>Incest</w:t>
            </w:r>
          </w:p>
        </w:tc>
        <w:tc>
          <w:tcPr>
            <w:tcW w:w="1250" w:type="pct"/>
            <w:noWrap/>
            <w:hideMark/>
          </w:tcPr>
          <w:p w14:paraId="73ED0F1D" w14:textId="0DB95246" w:rsidR="00362EEE" w:rsidRPr="00362EEE" w:rsidRDefault="00362EEE" w:rsidP="006F13D9">
            <w:pPr>
              <w:pStyle w:val="TableHeadingRight"/>
            </w:pPr>
            <w:r w:rsidRPr="00362EEE">
              <w:t xml:space="preserve">Sexual penetration of a child aged 12 to </w:t>
            </w:r>
            <w:r w:rsidR="00B32D69">
              <w:t>under 16</w:t>
            </w:r>
          </w:p>
        </w:tc>
      </w:tr>
      <w:tr w:rsidR="00362EEE" w:rsidRPr="00362EEE" w14:paraId="6968C7C8" w14:textId="77777777" w:rsidTr="00CA4DBE">
        <w:trPr>
          <w:trHeight w:val="288"/>
        </w:trPr>
        <w:tc>
          <w:tcPr>
            <w:tcW w:w="1250" w:type="pct"/>
            <w:noWrap/>
            <w:hideMark/>
          </w:tcPr>
          <w:p w14:paraId="3DCB22A2" w14:textId="77777777" w:rsidR="00362EEE" w:rsidRPr="00362EEE" w:rsidRDefault="00362EEE" w:rsidP="001F550D">
            <w:pPr>
              <w:pStyle w:val="TableBody"/>
            </w:pPr>
            <w:r w:rsidRPr="00362EEE">
              <w:t>2001-02</w:t>
            </w:r>
          </w:p>
        </w:tc>
        <w:tc>
          <w:tcPr>
            <w:tcW w:w="1250" w:type="pct"/>
            <w:noWrap/>
            <w:hideMark/>
          </w:tcPr>
          <w:p w14:paraId="34FC687C" w14:textId="77777777" w:rsidR="00362EEE" w:rsidRPr="00362EEE" w:rsidRDefault="00362EEE" w:rsidP="001F550D">
            <w:pPr>
              <w:pStyle w:val="TableBodyRight"/>
            </w:pPr>
            <w:r w:rsidRPr="00362EEE">
              <w:t>4.5</w:t>
            </w:r>
          </w:p>
        </w:tc>
        <w:tc>
          <w:tcPr>
            <w:tcW w:w="1250" w:type="pct"/>
            <w:noWrap/>
            <w:hideMark/>
          </w:tcPr>
          <w:p w14:paraId="52412966" w14:textId="68BEA786" w:rsidR="00362EEE" w:rsidRPr="00362EEE" w:rsidRDefault="00BB4B52" w:rsidP="00BB4B52">
            <w:pPr>
              <w:pStyle w:val="TableBodyRight"/>
            </w:pPr>
            <w:proofErr w:type="spellStart"/>
            <w:r>
              <w:t>n.a.</w:t>
            </w:r>
            <w:proofErr w:type="spellEnd"/>
          </w:p>
        </w:tc>
        <w:tc>
          <w:tcPr>
            <w:tcW w:w="1250" w:type="pct"/>
            <w:noWrap/>
            <w:hideMark/>
          </w:tcPr>
          <w:p w14:paraId="28DE0B6B" w14:textId="77777777" w:rsidR="00362EEE" w:rsidRPr="00362EEE" w:rsidRDefault="00362EEE" w:rsidP="001F550D">
            <w:pPr>
              <w:pStyle w:val="TableBodyRight"/>
            </w:pPr>
            <w:r w:rsidRPr="00362EEE">
              <w:t>1.8</w:t>
            </w:r>
          </w:p>
        </w:tc>
      </w:tr>
      <w:tr w:rsidR="00362EEE" w:rsidRPr="00362EEE" w14:paraId="2CFD6EB5" w14:textId="77777777" w:rsidTr="00CA4DBE">
        <w:trPr>
          <w:trHeight w:val="288"/>
        </w:trPr>
        <w:tc>
          <w:tcPr>
            <w:tcW w:w="1250" w:type="pct"/>
            <w:noWrap/>
            <w:hideMark/>
          </w:tcPr>
          <w:p w14:paraId="73C54188" w14:textId="77777777" w:rsidR="00362EEE" w:rsidRPr="00362EEE" w:rsidRDefault="00362EEE" w:rsidP="001F550D">
            <w:pPr>
              <w:pStyle w:val="TableBody"/>
            </w:pPr>
            <w:r w:rsidRPr="00362EEE">
              <w:t>2002-03</w:t>
            </w:r>
          </w:p>
        </w:tc>
        <w:tc>
          <w:tcPr>
            <w:tcW w:w="1250" w:type="pct"/>
            <w:noWrap/>
            <w:hideMark/>
          </w:tcPr>
          <w:p w14:paraId="7170049A" w14:textId="77777777" w:rsidR="00362EEE" w:rsidRPr="00362EEE" w:rsidRDefault="00362EEE" w:rsidP="001F550D">
            <w:pPr>
              <w:pStyle w:val="TableBodyRight"/>
            </w:pPr>
            <w:r w:rsidRPr="00362EEE">
              <w:t>4.5</w:t>
            </w:r>
          </w:p>
        </w:tc>
        <w:tc>
          <w:tcPr>
            <w:tcW w:w="1250" w:type="pct"/>
            <w:noWrap/>
            <w:hideMark/>
          </w:tcPr>
          <w:p w14:paraId="716D6E12" w14:textId="77777777" w:rsidR="00362EEE" w:rsidRPr="00362EEE" w:rsidRDefault="00362EEE" w:rsidP="001F550D">
            <w:pPr>
              <w:pStyle w:val="TableBodyRight"/>
            </w:pPr>
            <w:r w:rsidRPr="00362EEE">
              <w:t>3.8</w:t>
            </w:r>
          </w:p>
        </w:tc>
        <w:tc>
          <w:tcPr>
            <w:tcW w:w="1250" w:type="pct"/>
            <w:noWrap/>
            <w:hideMark/>
          </w:tcPr>
          <w:p w14:paraId="0E24988F" w14:textId="77777777" w:rsidR="00362EEE" w:rsidRPr="00362EEE" w:rsidRDefault="00362EEE" w:rsidP="001F550D">
            <w:pPr>
              <w:pStyle w:val="TableBodyRight"/>
            </w:pPr>
            <w:r w:rsidRPr="00362EEE">
              <w:t>2.4</w:t>
            </w:r>
          </w:p>
        </w:tc>
      </w:tr>
      <w:tr w:rsidR="00362EEE" w:rsidRPr="00362EEE" w14:paraId="581C0458" w14:textId="77777777" w:rsidTr="00CA4DBE">
        <w:trPr>
          <w:trHeight w:val="288"/>
        </w:trPr>
        <w:tc>
          <w:tcPr>
            <w:tcW w:w="1250" w:type="pct"/>
            <w:noWrap/>
            <w:hideMark/>
          </w:tcPr>
          <w:p w14:paraId="118CD78B" w14:textId="77777777" w:rsidR="00362EEE" w:rsidRPr="00362EEE" w:rsidRDefault="00362EEE" w:rsidP="001F550D">
            <w:pPr>
              <w:pStyle w:val="TableBody"/>
            </w:pPr>
            <w:r w:rsidRPr="00362EEE">
              <w:t>2003-04</w:t>
            </w:r>
          </w:p>
        </w:tc>
        <w:tc>
          <w:tcPr>
            <w:tcW w:w="1250" w:type="pct"/>
            <w:noWrap/>
            <w:hideMark/>
          </w:tcPr>
          <w:p w14:paraId="6335B567" w14:textId="77777777" w:rsidR="00362EEE" w:rsidRPr="00362EEE" w:rsidRDefault="00362EEE" w:rsidP="001F550D">
            <w:pPr>
              <w:pStyle w:val="TableBodyRight"/>
            </w:pPr>
            <w:r w:rsidRPr="00362EEE">
              <w:t>5.5</w:t>
            </w:r>
          </w:p>
        </w:tc>
        <w:tc>
          <w:tcPr>
            <w:tcW w:w="1250" w:type="pct"/>
            <w:noWrap/>
            <w:hideMark/>
          </w:tcPr>
          <w:p w14:paraId="1E7D1C51" w14:textId="77777777" w:rsidR="00362EEE" w:rsidRPr="00362EEE" w:rsidRDefault="00362EEE" w:rsidP="001F550D">
            <w:pPr>
              <w:pStyle w:val="TableBodyRight"/>
            </w:pPr>
            <w:r w:rsidRPr="00362EEE">
              <w:t>3.9</w:t>
            </w:r>
          </w:p>
        </w:tc>
        <w:tc>
          <w:tcPr>
            <w:tcW w:w="1250" w:type="pct"/>
            <w:noWrap/>
            <w:hideMark/>
          </w:tcPr>
          <w:p w14:paraId="40B4187B" w14:textId="77777777" w:rsidR="00362EEE" w:rsidRPr="00362EEE" w:rsidRDefault="00362EEE" w:rsidP="001F550D">
            <w:pPr>
              <w:pStyle w:val="TableBodyRight"/>
            </w:pPr>
            <w:r w:rsidRPr="00362EEE">
              <w:t>1.9</w:t>
            </w:r>
          </w:p>
        </w:tc>
      </w:tr>
      <w:tr w:rsidR="00362EEE" w:rsidRPr="00362EEE" w14:paraId="4D1E2D4A" w14:textId="77777777" w:rsidTr="00CA4DBE">
        <w:trPr>
          <w:trHeight w:val="288"/>
        </w:trPr>
        <w:tc>
          <w:tcPr>
            <w:tcW w:w="1250" w:type="pct"/>
            <w:noWrap/>
            <w:hideMark/>
          </w:tcPr>
          <w:p w14:paraId="45DF7FC2" w14:textId="77777777" w:rsidR="00362EEE" w:rsidRPr="00362EEE" w:rsidRDefault="00362EEE" w:rsidP="001F550D">
            <w:pPr>
              <w:pStyle w:val="TableBody"/>
            </w:pPr>
            <w:r w:rsidRPr="00362EEE">
              <w:t>2004-05</w:t>
            </w:r>
          </w:p>
        </w:tc>
        <w:tc>
          <w:tcPr>
            <w:tcW w:w="1250" w:type="pct"/>
            <w:noWrap/>
            <w:hideMark/>
          </w:tcPr>
          <w:p w14:paraId="2A34FC83" w14:textId="77777777" w:rsidR="00362EEE" w:rsidRPr="00362EEE" w:rsidRDefault="00362EEE" w:rsidP="001F550D">
            <w:pPr>
              <w:pStyle w:val="TableBodyRight"/>
            </w:pPr>
            <w:r w:rsidRPr="00362EEE">
              <w:t>5.8</w:t>
            </w:r>
          </w:p>
        </w:tc>
        <w:tc>
          <w:tcPr>
            <w:tcW w:w="1250" w:type="pct"/>
            <w:noWrap/>
            <w:hideMark/>
          </w:tcPr>
          <w:p w14:paraId="4DC7E88F" w14:textId="77777777" w:rsidR="00362EEE" w:rsidRPr="00362EEE" w:rsidRDefault="00362EEE" w:rsidP="001F550D">
            <w:pPr>
              <w:pStyle w:val="TableBodyRight"/>
            </w:pPr>
            <w:r w:rsidRPr="00362EEE">
              <w:t>3.5</w:t>
            </w:r>
          </w:p>
        </w:tc>
        <w:tc>
          <w:tcPr>
            <w:tcW w:w="1250" w:type="pct"/>
            <w:noWrap/>
            <w:hideMark/>
          </w:tcPr>
          <w:p w14:paraId="09318DEB" w14:textId="77777777" w:rsidR="00362EEE" w:rsidRPr="00362EEE" w:rsidRDefault="00362EEE" w:rsidP="001F550D">
            <w:pPr>
              <w:pStyle w:val="TableBodyRight"/>
            </w:pPr>
            <w:r w:rsidRPr="00362EEE">
              <w:t>2.6</w:t>
            </w:r>
          </w:p>
        </w:tc>
      </w:tr>
      <w:tr w:rsidR="00362EEE" w:rsidRPr="00362EEE" w14:paraId="7D696F1B" w14:textId="77777777" w:rsidTr="00CA4DBE">
        <w:trPr>
          <w:trHeight w:val="288"/>
        </w:trPr>
        <w:tc>
          <w:tcPr>
            <w:tcW w:w="1250" w:type="pct"/>
            <w:noWrap/>
            <w:hideMark/>
          </w:tcPr>
          <w:p w14:paraId="19BC3D36" w14:textId="77777777" w:rsidR="00362EEE" w:rsidRPr="00362EEE" w:rsidRDefault="00362EEE" w:rsidP="001F550D">
            <w:pPr>
              <w:pStyle w:val="TableBody"/>
            </w:pPr>
            <w:r w:rsidRPr="00362EEE">
              <w:t>2005-06</w:t>
            </w:r>
          </w:p>
        </w:tc>
        <w:tc>
          <w:tcPr>
            <w:tcW w:w="1250" w:type="pct"/>
            <w:noWrap/>
            <w:hideMark/>
          </w:tcPr>
          <w:p w14:paraId="65850579" w14:textId="77777777" w:rsidR="00362EEE" w:rsidRPr="00362EEE" w:rsidRDefault="00362EEE" w:rsidP="001F550D">
            <w:pPr>
              <w:pStyle w:val="TableBodyRight"/>
            </w:pPr>
            <w:r w:rsidRPr="00362EEE">
              <w:t>5.1</w:t>
            </w:r>
          </w:p>
        </w:tc>
        <w:tc>
          <w:tcPr>
            <w:tcW w:w="1250" w:type="pct"/>
            <w:noWrap/>
            <w:hideMark/>
          </w:tcPr>
          <w:p w14:paraId="3B2FF063" w14:textId="77777777" w:rsidR="00362EEE" w:rsidRPr="00362EEE" w:rsidRDefault="00362EEE" w:rsidP="001F550D">
            <w:pPr>
              <w:pStyle w:val="TableBodyRight"/>
            </w:pPr>
            <w:r w:rsidRPr="00362EEE">
              <w:t>3.9</w:t>
            </w:r>
          </w:p>
        </w:tc>
        <w:tc>
          <w:tcPr>
            <w:tcW w:w="1250" w:type="pct"/>
            <w:noWrap/>
            <w:hideMark/>
          </w:tcPr>
          <w:p w14:paraId="3925E25A" w14:textId="77777777" w:rsidR="00362EEE" w:rsidRPr="00362EEE" w:rsidRDefault="00362EEE" w:rsidP="001F550D">
            <w:pPr>
              <w:pStyle w:val="TableBodyRight"/>
            </w:pPr>
            <w:r w:rsidRPr="00362EEE">
              <w:t>2.0</w:t>
            </w:r>
          </w:p>
        </w:tc>
      </w:tr>
      <w:tr w:rsidR="00362EEE" w:rsidRPr="00362EEE" w14:paraId="507118D1" w14:textId="77777777" w:rsidTr="00CA4DBE">
        <w:trPr>
          <w:trHeight w:val="288"/>
        </w:trPr>
        <w:tc>
          <w:tcPr>
            <w:tcW w:w="1250" w:type="pct"/>
            <w:noWrap/>
            <w:hideMark/>
          </w:tcPr>
          <w:p w14:paraId="50D86BE6" w14:textId="77777777" w:rsidR="00362EEE" w:rsidRPr="00362EEE" w:rsidRDefault="00362EEE" w:rsidP="001F550D">
            <w:pPr>
              <w:pStyle w:val="TableBody"/>
            </w:pPr>
            <w:r w:rsidRPr="00362EEE">
              <w:t>2006-07</w:t>
            </w:r>
          </w:p>
        </w:tc>
        <w:tc>
          <w:tcPr>
            <w:tcW w:w="1250" w:type="pct"/>
            <w:noWrap/>
            <w:hideMark/>
          </w:tcPr>
          <w:p w14:paraId="19B03198" w14:textId="77777777" w:rsidR="00362EEE" w:rsidRPr="00362EEE" w:rsidRDefault="00362EEE" w:rsidP="001F550D">
            <w:pPr>
              <w:pStyle w:val="TableBodyRight"/>
            </w:pPr>
            <w:r w:rsidRPr="00362EEE">
              <w:t>5.2</w:t>
            </w:r>
          </w:p>
        </w:tc>
        <w:tc>
          <w:tcPr>
            <w:tcW w:w="1250" w:type="pct"/>
            <w:noWrap/>
            <w:hideMark/>
          </w:tcPr>
          <w:p w14:paraId="176B624C" w14:textId="77777777" w:rsidR="00362EEE" w:rsidRPr="00362EEE" w:rsidRDefault="00362EEE" w:rsidP="001F550D">
            <w:pPr>
              <w:pStyle w:val="TableBodyRight"/>
            </w:pPr>
            <w:r w:rsidRPr="00362EEE">
              <w:t>4.2</w:t>
            </w:r>
          </w:p>
        </w:tc>
        <w:tc>
          <w:tcPr>
            <w:tcW w:w="1250" w:type="pct"/>
            <w:noWrap/>
            <w:hideMark/>
          </w:tcPr>
          <w:p w14:paraId="0DA6BB6E" w14:textId="77777777" w:rsidR="00362EEE" w:rsidRPr="00362EEE" w:rsidRDefault="00362EEE" w:rsidP="001F550D">
            <w:pPr>
              <w:pStyle w:val="TableBodyRight"/>
            </w:pPr>
            <w:r w:rsidRPr="00362EEE">
              <w:t>2.7</w:t>
            </w:r>
          </w:p>
        </w:tc>
      </w:tr>
      <w:tr w:rsidR="00362EEE" w:rsidRPr="00362EEE" w14:paraId="5299C8B5" w14:textId="77777777" w:rsidTr="00CA4DBE">
        <w:trPr>
          <w:trHeight w:val="288"/>
        </w:trPr>
        <w:tc>
          <w:tcPr>
            <w:tcW w:w="1250" w:type="pct"/>
            <w:noWrap/>
            <w:hideMark/>
          </w:tcPr>
          <w:p w14:paraId="1DD1EA10" w14:textId="77777777" w:rsidR="00362EEE" w:rsidRPr="00362EEE" w:rsidRDefault="00362EEE" w:rsidP="001F550D">
            <w:pPr>
              <w:pStyle w:val="TableBody"/>
            </w:pPr>
            <w:r w:rsidRPr="00362EEE">
              <w:t>2007-08</w:t>
            </w:r>
          </w:p>
        </w:tc>
        <w:tc>
          <w:tcPr>
            <w:tcW w:w="1250" w:type="pct"/>
            <w:noWrap/>
            <w:hideMark/>
          </w:tcPr>
          <w:p w14:paraId="190D1D04" w14:textId="77777777" w:rsidR="00362EEE" w:rsidRPr="00362EEE" w:rsidRDefault="00362EEE" w:rsidP="001F550D">
            <w:pPr>
              <w:pStyle w:val="TableBodyRight"/>
            </w:pPr>
            <w:r w:rsidRPr="00362EEE">
              <w:t>5.1</w:t>
            </w:r>
          </w:p>
        </w:tc>
        <w:tc>
          <w:tcPr>
            <w:tcW w:w="1250" w:type="pct"/>
            <w:noWrap/>
            <w:hideMark/>
          </w:tcPr>
          <w:p w14:paraId="271ED495" w14:textId="77777777" w:rsidR="00362EEE" w:rsidRPr="00362EEE" w:rsidRDefault="00362EEE" w:rsidP="001F550D">
            <w:pPr>
              <w:pStyle w:val="TableBodyRight"/>
            </w:pPr>
            <w:r w:rsidRPr="00362EEE">
              <w:t>4.1</w:t>
            </w:r>
          </w:p>
        </w:tc>
        <w:tc>
          <w:tcPr>
            <w:tcW w:w="1250" w:type="pct"/>
            <w:noWrap/>
            <w:hideMark/>
          </w:tcPr>
          <w:p w14:paraId="64CE1F75" w14:textId="77777777" w:rsidR="00362EEE" w:rsidRPr="00362EEE" w:rsidRDefault="00362EEE" w:rsidP="001F550D">
            <w:pPr>
              <w:pStyle w:val="TableBodyRight"/>
            </w:pPr>
            <w:r w:rsidRPr="00362EEE">
              <w:t>2.1</w:t>
            </w:r>
          </w:p>
        </w:tc>
      </w:tr>
      <w:tr w:rsidR="00362EEE" w:rsidRPr="00362EEE" w14:paraId="4FA86D34" w14:textId="77777777" w:rsidTr="00CA4DBE">
        <w:trPr>
          <w:trHeight w:val="288"/>
        </w:trPr>
        <w:tc>
          <w:tcPr>
            <w:tcW w:w="1250" w:type="pct"/>
            <w:noWrap/>
            <w:hideMark/>
          </w:tcPr>
          <w:p w14:paraId="70B5B599" w14:textId="77777777" w:rsidR="00362EEE" w:rsidRPr="00362EEE" w:rsidRDefault="00362EEE" w:rsidP="001F550D">
            <w:pPr>
              <w:pStyle w:val="TableBody"/>
            </w:pPr>
            <w:r w:rsidRPr="00362EEE">
              <w:t>2008-09</w:t>
            </w:r>
          </w:p>
        </w:tc>
        <w:tc>
          <w:tcPr>
            <w:tcW w:w="1250" w:type="pct"/>
            <w:noWrap/>
            <w:hideMark/>
          </w:tcPr>
          <w:p w14:paraId="0604935D" w14:textId="77777777" w:rsidR="00362EEE" w:rsidRPr="00362EEE" w:rsidRDefault="00362EEE" w:rsidP="001F550D">
            <w:pPr>
              <w:pStyle w:val="TableBodyRight"/>
            </w:pPr>
            <w:r w:rsidRPr="00362EEE">
              <w:t>5.2</w:t>
            </w:r>
          </w:p>
        </w:tc>
        <w:tc>
          <w:tcPr>
            <w:tcW w:w="1250" w:type="pct"/>
            <w:noWrap/>
            <w:hideMark/>
          </w:tcPr>
          <w:p w14:paraId="78961619" w14:textId="77777777" w:rsidR="00362EEE" w:rsidRPr="00362EEE" w:rsidRDefault="00362EEE" w:rsidP="001F550D">
            <w:pPr>
              <w:pStyle w:val="TableBodyRight"/>
            </w:pPr>
            <w:r w:rsidRPr="00362EEE">
              <w:t>4.1</w:t>
            </w:r>
          </w:p>
        </w:tc>
        <w:tc>
          <w:tcPr>
            <w:tcW w:w="1250" w:type="pct"/>
            <w:noWrap/>
            <w:hideMark/>
          </w:tcPr>
          <w:p w14:paraId="30DAA994" w14:textId="77777777" w:rsidR="00362EEE" w:rsidRPr="00362EEE" w:rsidRDefault="00362EEE" w:rsidP="001F550D">
            <w:pPr>
              <w:pStyle w:val="TableBodyRight"/>
            </w:pPr>
            <w:r w:rsidRPr="00362EEE">
              <w:t>2.4</w:t>
            </w:r>
          </w:p>
        </w:tc>
      </w:tr>
      <w:tr w:rsidR="00362EEE" w:rsidRPr="00362EEE" w14:paraId="3B966BC1" w14:textId="77777777" w:rsidTr="00CA4DBE">
        <w:trPr>
          <w:trHeight w:val="288"/>
        </w:trPr>
        <w:tc>
          <w:tcPr>
            <w:tcW w:w="1250" w:type="pct"/>
            <w:noWrap/>
            <w:hideMark/>
          </w:tcPr>
          <w:p w14:paraId="0B7246F3" w14:textId="77777777" w:rsidR="00362EEE" w:rsidRPr="00362EEE" w:rsidRDefault="00362EEE" w:rsidP="001F550D">
            <w:pPr>
              <w:pStyle w:val="TableBody"/>
            </w:pPr>
            <w:r w:rsidRPr="00362EEE">
              <w:t>2009-10</w:t>
            </w:r>
          </w:p>
        </w:tc>
        <w:tc>
          <w:tcPr>
            <w:tcW w:w="1250" w:type="pct"/>
            <w:noWrap/>
            <w:hideMark/>
          </w:tcPr>
          <w:p w14:paraId="3A1890B3" w14:textId="77777777" w:rsidR="00362EEE" w:rsidRPr="00362EEE" w:rsidRDefault="00362EEE" w:rsidP="001F550D">
            <w:pPr>
              <w:pStyle w:val="TableBodyRight"/>
            </w:pPr>
            <w:r w:rsidRPr="00362EEE">
              <w:t>5.3</w:t>
            </w:r>
          </w:p>
        </w:tc>
        <w:tc>
          <w:tcPr>
            <w:tcW w:w="1250" w:type="pct"/>
            <w:noWrap/>
            <w:hideMark/>
          </w:tcPr>
          <w:p w14:paraId="5B73F440" w14:textId="77777777" w:rsidR="00362EEE" w:rsidRPr="00362EEE" w:rsidRDefault="00362EEE" w:rsidP="001F550D">
            <w:pPr>
              <w:pStyle w:val="TableBodyRight"/>
            </w:pPr>
            <w:r w:rsidRPr="00362EEE">
              <w:t>5.4</w:t>
            </w:r>
          </w:p>
        </w:tc>
        <w:tc>
          <w:tcPr>
            <w:tcW w:w="1250" w:type="pct"/>
            <w:noWrap/>
            <w:hideMark/>
          </w:tcPr>
          <w:p w14:paraId="0A6E1132" w14:textId="77777777" w:rsidR="00362EEE" w:rsidRPr="00362EEE" w:rsidRDefault="00362EEE" w:rsidP="001F550D">
            <w:pPr>
              <w:pStyle w:val="TableBodyRight"/>
            </w:pPr>
            <w:r w:rsidRPr="00362EEE">
              <w:t>3.1</w:t>
            </w:r>
          </w:p>
        </w:tc>
      </w:tr>
      <w:tr w:rsidR="00362EEE" w:rsidRPr="00362EEE" w14:paraId="6A71BF9C" w14:textId="77777777" w:rsidTr="00CA4DBE">
        <w:trPr>
          <w:trHeight w:val="288"/>
        </w:trPr>
        <w:tc>
          <w:tcPr>
            <w:tcW w:w="1250" w:type="pct"/>
            <w:noWrap/>
            <w:hideMark/>
          </w:tcPr>
          <w:p w14:paraId="14B0949F" w14:textId="77777777" w:rsidR="00362EEE" w:rsidRPr="00362EEE" w:rsidRDefault="00362EEE" w:rsidP="001F550D">
            <w:pPr>
              <w:pStyle w:val="TableBody"/>
            </w:pPr>
            <w:r w:rsidRPr="00362EEE">
              <w:t>2010-11</w:t>
            </w:r>
          </w:p>
        </w:tc>
        <w:tc>
          <w:tcPr>
            <w:tcW w:w="1250" w:type="pct"/>
            <w:noWrap/>
            <w:hideMark/>
          </w:tcPr>
          <w:p w14:paraId="55425281" w14:textId="77777777" w:rsidR="00362EEE" w:rsidRPr="00362EEE" w:rsidRDefault="00362EEE" w:rsidP="001F550D">
            <w:pPr>
              <w:pStyle w:val="TableBodyRight"/>
            </w:pPr>
            <w:r w:rsidRPr="00362EEE">
              <w:t>5.6</w:t>
            </w:r>
          </w:p>
        </w:tc>
        <w:tc>
          <w:tcPr>
            <w:tcW w:w="1250" w:type="pct"/>
            <w:noWrap/>
            <w:hideMark/>
          </w:tcPr>
          <w:p w14:paraId="6C640849" w14:textId="77777777" w:rsidR="00362EEE" w:rsidRPr="00362EEE" w:rsidRDefault="00362EEE" w:rsidP="001F550D">
            <w:pPr>
              <w:pStyle w:val="TableBodyRight"/>
            </w:pPr>
            <w:r w:rsidRPr="00362EEE">
              <w:t>4.3</w:t>
            </w:r>
          </w:p>
        </w:tc>
        <w:tc>
          <w:tcPr>
            <w:tcW w:w="1250" w:type="pct"/>
            <w:noWrap/>
            <w:hideMark/>
          </w:tcPr>
          <w:p w14:paraId="549EC829" w14:textId="77777777" w:rsidR="00362EEE" w:rsidRPr="00362EEE" w:rsidRDefault="00362EEE" w:rsidP="001F550D">
            <w:pPr>
              <w:pStyle w:val="TableBodyRight"/>
            </w:pPr>
            <w:r w:rsidRPr="00362EEE">
              <w:t>2.6</w:t>
            </w:r>
          </w:p>
        </w:tc>
      </w:tr>
      <w:tr w:rsidR="00362EEE" w:rsidRPr="00362EEE" w14:paraId="536C25FD" w14:textId="77777777" w:rsidTr="00CA4DBE">
        <w:trPr>
          <w:trHeight w:val="288"/>
        </w:trPr>
        <w:tc>
          <w:tcPr>
            <w:tcW w:w="1250" w:type="pct"/>
            <w:noWrap/>
            <w:hideMark/>
          </w:tcPr>
          <w:p w14:paraId="28D0A109" w14:textId="77777777" w:rsidR="00362EEE" w:rsidRPr="00362EEE" w:rsidRDefault="00362EEE" w:rsidP="001F550D">
            <w:pPr>
              <w:pStyle w:val="TableBody"/>
            </w:pPr>
            <w:r w:rsidRPr="00362EEE">
              <w:t>2011-12</w:t>
            </w:r>
          </w:p>
        </w:tc>
        <w:tc>
          <w:tcPr>
            <w:tcW w:w="1250" w:type="pct"/>
            <w:noWrap/>
            <w:hideMark/>
          </w:tcPr>
          <w:p w14:paraId="66BE962E" w14:textId="77777777" w:rsidR="00362EEE" w:rsidRPr="00362EEE" w:rsidRDefault="00362EEE" w:rsidP="001F550D">
            <w:pPr>
              <w:pStyle w:val="TableBodyRight"/>
            </w:pPr>
            <w:r w:rsidRPr="00362EEE">
              <w:t>4.8</w:t>
            </w:r>
          </w:p>
        </w:tc>
        <w:tc>
          <w:tcPr>
            <w:tcW w:w="1250" w:type="pct"/>
            <w:noWrap/>
            <w:hideMark/>
          </w:tcPr>
          <w:p w14:paraId="38946097" w14:textId="77777777" w:rsidR="00362EEE" w:rsidRPr="00362EEE" w:rsidRDefault="00362EEE" w:rsidP="001F550D">
            <w:pPr>
              <w:pStyle w:val="TableBodyRight"/>
            </w:pPr>
            <w:r w:rsidRPr="00362EEE">
              <w:t>4.8</w:t>
            </w:r>
          </w:p>
        </w:tc>
        <w:tc>
          <w:tcPr>
            <w:tcW w:w="1250" w:type="pct"/>
            <w:noWrap/>
            <w:hideMark/>
          </w:tcPr>
          <w:p w14:paraId="2F4A60B1" w14:textId="77777777" w:rsidR="00362EEE" w:rsidRPr="00362EEE" w:rsidRDefault="00362EEE" w:rsidP="001F550D">
            <w:pPr>
              <w:pStyle w:val="TableBodyRight"/>
            </w:pPr>
            <w:r w:rsidRPr="00362EEE">
              <w:t>2.6</w:t>
            </w:r>
          </w:p>
        </w:tc>
      </w:tr>
      <w:tr w:rsidR="00362EEE" w:rsidRPr="00362EEE" w14:paraId="20BF6FDC" w14:textId="77777777" w:rsidTr="00CA4DBE">
        <w:trPr>
          <w:trHeight w:val="288"/>
        </w:trPr>
        <w:tc>
          <w:tcPr>
            <w:tcW w:w="1250" w:type="pct"/>
            <w:noWrap/>
            <w:hideMark/>
          </w:tcPr>
          <w:p w14:paraId="76FA43E2" w14:textId="77777777" w:rsidR="00362EEE" w:rsidRPr="00362EEE" w:rsidRDefault="00362EEE" w:rsidP="001F550D">
            <w:pPr>
              <w:pStyle w:val="TableBody"/>
            </w:pPr>
            <w:r w:rsidRPr="00362EEE">
              <w:t>2012-13</w:t>
            </w:r>
          </w:p>
        </w:tc>
        <w:tc>
          <w:tcPr>
            <w:tcW w:w="1250" w:type="pct"/>
            <w:noWrap/>
            <w:hideMark/>
          </w:tcPr>
          <w:p w14:paraId="7A0B214B" w14:textId="77777777" w:rsidR="00362EEE" w:rsidRPr="00362EEE" w:rsidRDefault="00362EEE" w:rsidP="001F550D">
            <w:pPr>
              <w:pStyle w:val="TableBodyRight"/>
            </w:pPr>
            <w:r w:rsidRPr="00362EEE">
              <w:t>4.9</w:t>
            </w:r>
          </w:p>
        </w:tc>
        <w:tc>
          <w:tcPr>
            <w:tcW w:w="1250" w:type="pct"/>
            <w:noWrap/>
            <w:hideMark/>
          </w:tcPr>
          <w:p w14:paraId="1809458A" w14:textId="77777777" w:rsidR="00362EEE" w:rsidRPr="00362EEE" w:rsidRDefault="00362EEE" w:rsidP="001F550D">
            <w:pPr>
              <w:pStyle w:val="TableBodyRight"/>
            </w:pPr>
            <w:r w:rsidRPr="00362EEE">
              <w:t>4.5</w:t>
            </w:r>
          </w:p>
        </w:tc>
        <w:tc>
          <w:tcPr>
            <w:tcW w:w="1250" w:type="pct"/>
            <w:noWrap/>
            <w:hideMark/>
          </w:tcPr>
          <w:p w14:paraId="36BD8C63" w14:textId="77777777" w:rsidR="00362EEE" w:rsidRPr="00362EEE" w:rsidRDefault="00362EEE" w:rsidP="001F550D">
            <w:pPr>
              <w:pStyle w:val="TableBodyRight"/>
            </w:pPr>
            <w:r w:rsidRPr="00362EEE">
              <w:t>2.5</w:t>
            </w:r>
          </w:p>
        </w:tc>
      </w:tr>
      <w:tr w:rsidR="00362EEE" w:rsidRPr="00362EEE" w14:paraId="30602E9D" w14:textId="77777777" w:rsidTr="00CA4DBE">
        <w:trPr>
          <w:trHeight w:val="288"/>
        </w:trPr>
        <w:tc>
          <w:tcPr>
            <w:tcW w:w="1250" w:type="pct"/>
            <w:noWrap/>
            <w:hideMark/>
          </w:tcPr>
          <w:p w14:paraId="6B32FFBE" w14:textId="77777777" w:rsidR="00362EEE" w:rsidRPr="00362EEE" w:rsidRDefault="00362EEE" w:rsidP="001F550D">
            <w:pPr>
              <w:pStyle w:val="TableBody"/>
            </w:pPr>
            <w:r w:rsidRPr="00362EEE">
              <w:t>2013-14</w:t>
            </w:r>
          </w:p>
        </w:tc>
        <w:tc>
          <w:tcPr>
            <w:tcW w:w="1250" w:type="pct"/>
            <w:noWrap/>
            <w:hideMark/>
          </w:tcPr>
          <w:p w14:paraId="1E8A1E67" w14:textId="77777777" w:rsidR="00362EEE" w:rsidRPr="00362EEE" w:rsidRDefault="00362EEE" w:rsidP="001F550D">
            <w:pPr>
              <w:pStyle w:val="TableBodyRight"/>
            </w:pPr>
            <w:r w:rsidRPr="00362EEE">
              <w:t>5.0</w:t>
            </w:r>
          </w:p>
        </w:tc>
        <w:tc>
          <w:tcPr>
            <w:tcW w:w="1250" w:type="pct"/>
            <w:noWrap/>
            <w:hideMark/>
          </w:tcPr>
          <w:p w14:paraId="33BD0AFE" w14:textId="77777777" w:rsidR="00362EEE" w:rsidRPr="00362EEE" w:rsidRDefault="00362EEE" w:rsidP="001F550D">
            <w:pPr>
              <w:pStyle w:val="TableBodyRight"/>
            </w:pPr>
            <w:r w:rsidRPr="00362EEE">
              <w:t>4.7</w:t>
            </w:r>
          </w:p>
        </w:tc>
        <w:tc>
          <w:tcPr>
            <w:tcW w:w="1250" w:type="pct"/>
            <w:noWrap/>
            <w:hideMark/>
          </w:tcPr>
          <w:p w14:paraId="765B873D" w14:textId="77777777" w:rsidR="00362EEE" w:rsidRPr="00362EEE" w:rsidRDefault="00362EEE" w:rsidP="001F550D">
            <w:pPr>
              <w:pStyle w:val="TableBodyRight"/>
            </w:pPr>
            <w:r w:rsidRPr="00362EEE">
              <w:t>2.6</w:t>
            </w:r>
          </w:p>
        </w:tc>
      </w:tr>
      <w:tr w:rsidR="00362EEE" w:rsidRPr="00362EEE" w14:paraId="4A085468" w14:textId="77777777" w:rsidTr="00CA4DBE">
        <w:trPr>
          <w:trHeight w:val="288"/>
        </w:trPr>
        <w:tc>
          <w:tcPr>
            <w:tcW w:w="1250" w:type="pct"/>
            <w:noWrap/>
            <w:hideMark/>
          </w:tcPr>
          <w:p w14:paraId="74E915D3" w14:textId="77777777" w:rsidR="00362EEE" w:rsidRPr="00362EEE" w:rsidRDefault="00362EEE" w:rsidP="001F550D">
            <w:pPr>
              <w:pStyle w:val="TableBody"/>
            </w:pPr>
            <w:r w:rsidRPr="00362EEE">
              <w:t>2014-15</w:t>
            </w:r>
          </w:p>
        </w:tc>
        <w:tc>
          <w:tcPr>
            <w:tcW w:w="1250" w:type="pct"/>
            <w:noWrap/>
            <w:hideMark/>
          </w:tcPr>
          <w:p w14:paraId="2CF722DC" w14:textId="77777777" w:rsidR="00362EEE" w:rsidRPr="00362EEE" w:rsidRDefault="00362EEE" w:rsidP="001F550D">
            <w:pPr>
              <w:pStyle w:val="TableBodyRight"/>
            </w:pPr>
            <w:r w:rsidRPr="00362EEE">
              <w:t>5.1</w:t>
            </w:r>
          </w:p>
        </w:tc>
        <w:tc>
          <w:tcPr>
            <w:tcW w:w="1250" w:type="pct"/>
            <w:noWrap/>
            <w:hideMark/>
          </w:tcPr>
          <w:p w14:paraId="20011848" w14:textId="77777777" w:rsidR="00362EEE" w:rsidRPr="00362EEE" w:rsidRDefault="00362EEE" w:rsidP="001F550D">
            <w:pPr>
              <w:pStyle w:val="TableBodyRight"/>
            </w:pPr>
            <w:r w:rsidRPr="00362EEE">
              <w:t>4.3</w:t>
            </w:r>
          </w:p>
        </w:tc>
        <w:tc>
          <w:tcPr>
            <w:tcW w:w="1250" w:type="pct"/>
            <w:noWrap/>
            <w:hideMark/>
          </w:tcPr>
          <w:p w14:paraId="650D4B22" w14:textId="77777777" w:rsidR="00362EEE" w:rsidRPr="00362EEE" w:rsidRDefault="00362EEE" w:rsidP="001F550D">
            <w:pPr>
              <w:pStyle w:val="TableBodyRight"/>
            </w:pPr>
            <w:r w:rsidRPr="00362EEE">
              <w:t>2.2</w:t>
            </w:r>
          </w:p>
        </w:tc>
      </w:tr>
      <w:tr w:rsidR="00362EEE" w:rsidRPr="00362EEE" w14:paraId="371E5165" w14:textId="77777777" w:rsidTr="00CA4DBE">
        <w:trPr>
          <w:trHeight w:val="288"/>
        </w:trPr>
        <w:tc>
          <w:tcPr>
            <w:tcW w:w="1250" w:type="pct"/>
            <w:noWrap/>
            <w:hideMark/>
          </w:tcPr>
          <w:p w14:paraId="3C9AF9B1" w14:textId="77777777" w:rsidR="00362EEE" w:rsidRPr="00362EEE" w:rsidRDefault="00362EEE" w:rsidP="001F550D">
            <w:pPr>
              <w:pStyle w:val="TableBody"/>
            </w:pPr>
            <w:r w:rsidRPr="00362EEE">
              <w:t>2015-16</w:t>
            </w:r>
          </w:p>
        </w:tc>
        <w:tc>
          <w:tcPr>
            <w:tcW w:w="1250" w:type="pct"/>
            <w:noWrap/>
            <w:hideMark/>
          </w:tcPr>
          <w:p w14:paraId="2069C1F6" w14:textId="77777777" w:rsidR="00362EEE" w:rsidRPr="00362EEE" w:rsidRDefault="00362EEE" w:rsidP="001F550D">
            <w:pPr>
              <w:pStyle w:val="TableBodyRight"/>
            </w:pPr>
            <w:r w:rsidRPr="00362EEE">
              <w:t>5.3</w:t>
            </w:r>
          </w:p>
        </w:tc>
        <w:tc>
          <w:tcPr>
            <w:tcW w:w="1250" w:type="pct"/>
            <w:noWrap/>
            <w:hideMark/>
          </w:tcPr>
          <w:p w14:paraId="1442B8DC" w14:textId="77777777" w:rsidR="00362EEE" w:rsidRPr="00362EEE" w:rsidRDefault="00362EEE" w:rsidP="001F550D">
            <w:pPr>
              <w:pStyle w:val="TableBodyRight"/>
            </w:pPr>
            <w:r w:rsidRPr="00362EEE">
              <w:t>4.8</w:t>
            </w:r>
          </w:p>
        </w:tc>
        <w:tc>
          <w:tcPr>
            <w:tcW w:w="1250" w:type="pct"/>
            <w:noWrap/>
            <w:hideMark/>
          </w:tcPr>
          <w:p w14:paraId="5EBA9621" w14:textId="77777777" w:rsidR="00362EEE" w:rsidRPr="00362EEE" w:rsidRDefault="00362EEE" w:rsidP="001F550D">
            <w:pPr>
              <w:pStyle w:val="TableBodyRight"/>
            </w:pPr>
            <w:r w:rsidRPr="00362EEE">
              <w:t>2.6</w:t>
            </w:r>
          </w:p>
        </w:tc>
      </w:tr>
      <w:tr w:rsidR="00362EEE" w:rsidRPr="00362EEE" w14:paraId="350E63D2" w14:textId="77777777" w:rsidTr="00CA4DBE">
        <w:trPr>
          <w:trHeight w:val="288"/>
        </w:trPr>
        <w:tc>
          <w:tcPr>
            <w:tcW w:w="1250" w:type="pct"/>
            <w:noWrap/>
            <w:hideMark/>
          </w:tcPr>
          <w:p w14:paraId="21256EA1" w14:textId="77777777" w:rsidR="00362EEE" w:rsidRPr="00362EEE" w:rsidRDefault="00362EEE" w:rsidP="001F550D">
            <w:pPr>
              <w:pStyle w:val="TableBody"/>
            </w:pPr>
            <w:r w:rsidRPr="00362EEE">
              <w:t>2016-17</w:t>
            </w:r>
          </w:p>
        </w:tc>
        <w:tc>
          <w:tcPr>
            <w:tcW w:w="1250" w:type="pct"/>
            <w:noWrap/>
            <w:hideMark/>
          </w:tcPr>
          <w:p w14:paraId="3411CF49" w14:textId="77777777" w:rsidR="00362EEE" w:rsidRPr="00362EEE" w:rsidRDefault="00362EEE" w:rsidP="001F550D">
            <w:pPr>
              <w:pStyle w:val="TableBodyRight"/>
            </w:pPr>
            <w:r w:rsidRPr="00362EEE">
              <w:t>4.9</w:t>
            </w:r>
          </w:p>
        </w:tc>
        <w:tc>
          <w:tcPr>
            <w:tcW w:w="1250" w:type="pct"/>
            <w:noWrap/>
            <w:hideMark/>
          </w:tcPr>
          <w:p w14:paraId="2A49F139" w14:textId="77777777" w:rsidR="00362EEE" w:rsidRPr="00362EEE" w:rsidRDefault="00362EEE" w:rsidP="001F550D">
            <w:pPr>
              <w:pStyle w:val="TableBodyRight"/>
            </w:pPr>
            <w:r w:rsidRPr="00362EEE">
              <w:t>5.7</w:t>
            </w:r>
          </w:p>
        </w:tc>
        <w:tc>
          <w:tcPr>
            <w:tcW w:w="1250" w:type="pct"/>
            <w:noWrap/>
            <w:hideMark/>
          </w:tcPr>
          <w:p w14:paraId="71B7D90B" w14:textId="77777777" w:rsidR="00362EEE" w:rsidRPr="00362EEE" w:rsidRDefault="00362EEE" w:rsidP="001F550D">
            <w:pPr>
              <w:pStyle w:val="TableBodyRight"/>
            </w:pPr>
            <w:r w:rsidRPr="00362EEE">
              <w:t>2.3</w:t>
            </w:r>
          </w:p>
        </w:tc>
      </w:tr>
      <w:tr w:rsidR="00362EEE" w:rsidRPr="00362EEE" w14:paraId="17E6C3C8" w14:textId="77777777" w:rsidTr="00CA4DBE">
        <w:trPr>
          <w:trHeight w:val="288"/>
        </w:trPr>
        <w:tc>
          <w:tcPr>
            <w:tcW w:w="1250" w:type="pct"/>
            <w:noWrap/>
            <w:hideMark/>
          </w:tcPr>
          <w:p w14:paraId="04184DA1" w14:textId="77777777" w:rsidR="00362EEE" w:rsidRPr="00362EEE" w:rsidRDefault="00362EEE" w:rsidP="001F550D">
            <w:pPr>
              <w:pStyle w:val="TableBody"/>
            </w:pPr>
            <w:r w:rsidRPr="00362EEE">
              <w:t>2017-18</w:t>
            </w:r>
          </w:p>
        </w:tc>
        <w:tc>
          <w:tcPr>
            <w:tcW w:w="1250" w:type="pct"/>
            <w:noWrap/>
            <w:hideMark/>
          </w:tcPr>
          <w:p w14:paraId="3366C0E7" w14:textId="77777777" w:rsidR="00362EEE" w:rsidRPr="00362EEE" w:rsidRDefault="00362EEE" w:rsidP="001F550D">
            <w:pPr>
              <w:pStyle w:val="TableBodyRight"/>
            </w:pPr>
            <w:r w:rsidRPr="00362EEE">
              <w:t>6.5</w:t>
            </w:r>
          </w:p>
        </w:tc>
        <w:tc>
          <w:tcPr>
            <w:tcW w:w="1250" w:type="pct"/>
            <w:noWrap/>
            <w:hideMark/>
          </w:tcPr>
          <w:p w14:paraId="0803263A" w14:textId="77777777" w:rsidR="00362EEE" w:rsidRPr="00362EEE" w:rsidRDefault="00362EEE" w:rsidP="001F550D">
            <w:pPr>
              <w:pStyle w:val="TableBodyRight"/>
            </w:pPr>
            <w:r w:rsidRPr="00362EEE">
              <w:t>5.6</w:t>
            </w:r>
          </w:p>
        </w:tc>
        <w:tc>
          <w:tcPr>
            <w:tcW w:w="1250" w:type="pct"/>
            <w:noWrap/>
            <w:hideMark/>
          </w:tcPr>
          <w:p w14:paraId="7BDE3D68" w14:textId="77777777" w:rsidR="00362EEE" w:rsidRPr="00362EEE" w:rsidRDefault="00362EEE" w:rsidP="001F550D">
            <w:pPr>
              <w:pStyle w:val="TableBodyRight"/>
            </w:pPr>
            <w:r w:rsidRPr="00362EEE">
              <w:t>3.2</w:t>
            </w:r>
          </w:p>
        </w:tc>
      </w:tr>
      <w:tr w:rsidR="00362EEE" w:rsidRPr="00362EEE" w14:paraId="5DB8458D" w14:textId="77777777" w:rsidTr="00CA4DBE">
        <w:trPr>
          <w:trHeight w:val="288"/>
        </w:trPr>
        <w:tc>
          <w:tcPr>
            <w:tcW w:w="1250" w:type="pct"/>
            <w:noWrap/>
            <w:hideMark/>
          </w:tcPr>
          <w:p w14:paraId="0AF19305" w14:textId="77777777" w:rsidR="00362EEE" w:rsidRPr="00362EEE" w:rsidRDefault="00362EEE" w:rsidP="001F550D">
            <w:pPr>
              <w:pStyle w:val="TableBody"/>
            </w:pPr>
            <w:r w:rsidRPr="00362EEE">
              <w:t>2018-19</w:t>
            </w:r>
          </w:p>
        </w:tc>
        <w:tc>
          <w:tcPr>
            <w:tcW w:w="1250" w:type="pct"/>
            <w:noWrap/>
            <w:hideMark/>
          </w:tcPr>
          <w:p w14:paraId="70A1E59B" w14:textId="77777777" w:rsidR="00362EEE" w:rsidRPr="00362EEE" w:rsidRDefault="00362EEE" w:rsidP="001F550D">
            <w:pPr>
              <w:pStyle w:val="TableBodyRight"/>
            </w:pPr>
            <w:r w:rsidRPr="00362EEE">
              <w:t>5.8</w:t>
            </w:r>
          </w:p>
        </w:tc>
        <w:tc>
          <w:tcPr>
            <w:tcW w:w="1250" w:type="pct"/>
            <w:noWrap/>
            <w:hideMark/>
          </w:tcPr>
          <w:p w14:paraId="0DF24D65" w14:textId="77777777" w:rsidR="00362EEE" w:rsidRPr="00362EEE" w:rsidRDefault="00362EEE" w:rsidP="001F550D">
            <w:pPr>
              <w:pStyle w:val="TableBodyRight"/>
            </w:pPr>
            <w:r w:rsidRPr="00362EEE">
              <w:t>6.5</w:t>
            </w:r>
          </w:p>
        </w:tc>
        <w:tc>
          <w:tcPr>
            <w:tcW w:w="1250" w:type="pct"/>
            <w:noWrap/>
            <w:hideMark/>
          </w:tcPr>
          <w:p w14:paraId="238FC654" w14:textId="77777777" w:rsidR="00362EEE" w:rsidRPr="00362EEE" w:rsidRDefault="00362EEE" w:rsidP="001F550D">
            <w:pPr>
              <w:pStyle w:val="TableBodyRight"/>
            </w:pPr>
            <w:r w:rsidRPr="00362EEE">
              <w:t>2.9</w:t>
            </w:r>
          </w:p>
        </w:tc>
      </w:tr>
      <w:tr w:rsidR="00362EEE" w:rsidRPr="00362EEE" w14:paraId="28B0DD68" w14:textId="77777777" w:rsidTr="00CA4DBE">
        <w:trPr>
          <w:trHeight w:val="288"/>
        </w:trPr>
        <w:tc>
          <w:tcPr>
            <w:tcW w:w="1250" w:type="pct"/>
            <w:noWrap/>
            <w:hideMark/>
          </w:tcPr>
          <w:p w14:paraId="0151258B" w14:textId="77777777" w:rsidR="00362EEE" w:rsidRPr="00362EEE" w:rsidRDefault="00362EEE" w:rsidP="001F550D">
            <w:pPr>
              <w:pStyle w:val="TableBody"/>
            </w:pPr>
            <w:r w:rsidRPr="00362EEE">
              <w:t>2019-20</w:t>
            </w:r>
          </w:p>
        </w:tc>
        <w:tc>
          <w:tcPr>
            <w:tcW w:w="1250" w:type="pct"/>
            <w:noWrap/>
            <w:hideMark/>
          </w:tcPr>
          <w:p w14:paraId="2119E784" w14:textId="77777777" w:rsidR="00362EEE" w:rsidRPr="00362EEE" w:rsidRDefault="00362EEE" w:rsidP="001F550D">
            <w:pPr>
              <w:pStyle w:val="TableBodyRight"/>
            </w:pPr>
            <w:r w:rsidRPr="00362EEE">
              <w:t>5.9</w:t>
            </w:r>
          </w:p>
        </w:tc>
        <w:tc>
          <w:tcPr>
            <w:tcW w:w="1250" w:type="pct"/>
            <w:noWrap/>
            <w:hideMark/>
          </w:tcPr>
          <w:p w14:paraId="79D37842" w14:textId="7E871202" w:rsidR="00362EEE" w:rsidRPr="00362EEE" w:rsidRDefault="006A0DB0" w:rsidP="00BB4B52">
            <w:pPr>
              <w:pStyle w:val="TableBodyRight"/>
            </w:pPr>
            <w:proofErr w:type="spellStart"/>
            <w:r>
              <w:t>n.a.</w:t>
            </w:r>
            <w:proofErr w:type="spellEnd"/>
          </w:p>
        </w:tc>
        <w:tc>
          <w:tcPr>
            <w:tcW w:w="1250" w:type="pct"/>
            <w:noWrap/>
            <w:hideMark/>
          </w:tcPr>
          <w:p w14:paraId="40B9885B" w14:textId="77777777" w:rsidR="00362EEE" w:rsidRPr="00362EEE" w:rsidRDefault="00362EEE" w:rsidP="001F550D">
            <w:pPr>
              <w:pStyle w:val="TableBodyRight"/>
            </w:pPr>
            <w:r w:rsidRPr="00362EEE">
              <w:t>3.6</w:t>
            </w:r>
          </w:p>
        </w:tc>
      </w:tr>
    </w:tbl>
    <w:p w14:paraId="2FD38973" w14:textId="77777777" w:rsidR="00E62AE6" w:rsidRPr="00E62AE6" w:rsidRDefault="00E62AE6" w:rsidP="00E5783B">
      <w:pPr>
        <w:pStyle w:val="Caption"/>
      </w:pPr>
      <w:r w:rsidRPr="00E62AE6">
        <w:t>Figure 18: Average total effective sentences and non-parole periods for people sentenced for serious sex offences, 2001–02 to 2019–20</w:t>
      </w:r>
    </w:p>
    <w:tbl>
      <w:tblPr>
        <w:tblStyle w:val="Table"/>
        <w:tblW w:w="5093" w:type="pct"/>
        <w:tblLayout w:type="fixed"/>
        <w:tblLook w:val="04A0" w:firstRow="1" w:lastRow="0" w:firstColumn="1" w:lastColumn="0" w:noHBand="0" w:noVBand="1"/>
      </w:tblPr>
      <w:tblGrid>
        <w:gridCol w:w="1248"/>
        <w:gridCol w:w="1361"/>
        <w:gridCol w:w="1289"/>
        <w:gridCol w:w="1361"/>
        <w:gridCol w:w="1289"/>
        <w:gridCol w:w="1361"/>
        <w:gridCol w:w="1275"/>
      </w:tblGrid>
      <w:tr w:rsidR="008F529F" w:rsidRPr="00362EEE" w14:paraId="03F2E7D9" w14:textId="77777777" w:rsidTr="003E04D0">
        <w:trPr>
          <w:trHeight w:val="288"/>
          <w:tblHeader/>
        </w:trPr>
        <w:tc>
          <w:tcPr>
            <w:tcW w:w="679" w:type="pct"/>
            <w:noWrap/>
            <w:hideMark/>
          </w:tcPr>
          <w:p w14:paraId="4536226C" w14:textId="77777777" w:rsidR="00362EEE" w:rsidRPr="00362EEE" w:rsidRDefault="00362EEE" w:rsidP="0068575E">
            <w:pPr>
              <w:pStyle w:val="TableHeading"/>
            </w:pPr>
            <w:r w:rsidRPr="00362EEE">
              <w:t>Financial year</w:t>
            </w:r>
          </w:p>
        </w:tc>
        <w:tc>
          <w:tcPr>
            <w:tcW w:w="741" w:type="pct"/>
            <w:noWrap/>
            <w:hideMark/>
          </w:tcPr>
          <w:p w14:paraId="48D36745" w14:textId="7702CE39" w:rsidR="00362EEE" w:rsidRPr="00362EEE" w:rsidRDefault="00362EEE" w:rsidP="0068575E">
            <w:pPr>
              <w:pStyle w:val="TableHeadingRight"/>
            </w:pPr>
            <w:r w:rsidRPr="00362EEE">
              <w:t>Rape (</w:t>
            </w:r>
            <w:r w:rsidR="00BA116B" w:rsidRPr="00E62AE6">
              <w:t>total effective sentence</w:t>
            </w:r>
            <w:r w:rsidRPr="00362EEE">
              <w:t>)</w:t>
            </w:r>
          </w:p>
        </w:tc>
        <w:tc>
          <w:tcPr>
            <w:tcW w:w="702" w:type="pct"/>
            <w:noWrap/>
            <w:hideMark/>
          </w:tcPr>
          <w:p w14:paraId="712D9A54" w14:textId="55BA62BF" w:rsidR="00362EEE" w:rsidRPr="00362EEE" w:rsidRDefault="00362EEE" w:rsidP="0068575E">
            <w:pPr>
              <w:pStyle w:val="TableHeadingRight"/>
            </w:pPr>
            <w:r w:rsidRPr="00362EEE">
              <w:t>Rape (</w:t>
            </w:r>
            <w:r w:rsidR="00BA116B" w:rsidRPr="00E62AE6">
              <w:t>non-parole period</w:t>
            </w:r>
            <w:r w:rsidRPr="00362EEE">
              <w:t>)</w:t>
            </w:r>
          </w:p>
        </w:tc>
        <w:tc>
          <w:tcPr>
            <w:tcW w:w="741" w:type="pct"/>
            <w:noWrap/>
            <w:hideMark/>
          </w:tcPr>
          <w:p w14:paraId="7D8687AA" w14:textId="579535BD" w:rsidR="00362EEE" w:rsidRPr="00362EEE" w:rsidRDefault="00362EEE" w:rsidP="0068575E">
            <w:pPr>
              <w:pStyle w:val="TableHeadingRight"/>
            </w:pPr>
            <w:r w:rsidRPr="00362EEE">
              <w:t>Incest (</w:t>
            </w:r>
            <w:r w:rsidR="00BA116B" w:rsidRPr="00E62AE6">
              <w:t>total effective sentence</w:t>
            </w:r>
            <w:r w:rsidRPr="00362EEE">
              <w:t>)</w:t>
            </w:r>
          </w:p>
        </w:tc>
        <w:tc>
          <w:tcPr>
            <w:tcW w:w="702" w:type="pct"/>
            <w:noWrap/>
            <w:hideMark/>
          </w:tcPr>
          <w:p w14:paraId="2D0F8E67" w14:textId="27A55711" w:rsidR="00362EEE" w:rsidRPr="00362EEE" w:rsidRDefault="00362EEE" w:rsidP="0068575E">
            <w:pPr>
              <w:pStyle w:val="TableHeadingRight"/>
            </w:pPr>
            <w:r w:rsidRPr="00362EEE">
              <w:t>Incest (</w:t>
            </w:r>
            <w:r w:rsidR="00BA116B" w:rsidRPr="00E62AE6">
              <w:t>non-parole period</w:t>
            </w:r>
            <w:r w:rsidRPr="00362EEE">
              <w:t>)</w:t>
            </w:r>
          </w:p>
        </w:tc>
        <w:tc>
          <w:tcPr>
            <w:tcW w:w="741" w:type="pct"/>
            <w:noWrap/>
            <w:hideMark/>
          </w:tcPr>
          <w:p w14:paraId="48D6D2D2" w14:textId="0E2F2A4D" w:rsidR="00362EEE" w:rsidRPr="00362EEE" w:rsidRDefault="00362EEE" w:rsidP="0068575E">
            <w:pPr>
              <w:pStyle w:val="TableHeadingRight"/>
            </w:pPr>
            <w:r w:rsidRPr="00362EEE">
              <w:t>Sexual penetration of a child aged 12 to 15 (</w:t>
            </w:r>
            <w:r w:rsidR="00BA116B" w:rsidRPr="00E62AE6">
              <w:t>total effective sentence</w:t>
            </w:r>
            <w:r w:rsidRPr="00362EEE">
              <w:t>)</w:t>
            </w:r>
          </w:p>
        </w:tc>
        <w:tc>
          <w:tcPr>
            <w:tcW w:w="694" w:type="pct"/>
            <w:noWrap/>
            <w:hideMark/>
          </w:tcPr>
          <w:p w14:paraId="74628E1D" w14:textId="4E63A6D9" w:rsidR="00362EEE" w:rsidRPr="00362EEE" w:rsidRDefault="00362EEE" w:rsidP="0068575E">
            <w:pPr>
              <w:pStyle w:val="TableHeadingRight"/>
            </w:pPr>
            <w:r w:rsidRPr="00362EEE">
              <w:t xml:space="preserve">Sexual penetration of a child aged 12 to </w:t>
            </w:r>
            <w:r w:rsidR="004255C4">
              <w:t>under 16</w:t>
            </w:r>
            <w:r w:rsidRPr="00362EEE">
              <w:t xml:space="preserve"> (</w:t>
            </w:r>
            <w:r w:rsidR="00BA116B" w:rsidRPr="00E62AE6">
              <w:t>non-parole period</w:t>
            </w:r>
            <w:r w:rsidRPr="00362EEE">
              <w:t>)</w:t>
            </w:r>
          </w:p>
        </w:tc>
      </w:tr>
      <w:tr w:rsidR="008F529F" w:rsidRPr="00362EEE" w14:paraId="5645502E" w14:textId="77777777" w:rsidTr="008F529F">
        <w:trPr>
          <w:trHeight w:val="288"/>
        </w:trPr>
        <w:tc>
          <w:tcPr>
            <w:tcW w:w="679" w:type="pct"/>
            <w:noWrap/>
            <w:hideMark/>
          </w:tcPr>
          <w:p w14:paraId="18B5264F" w14:textId="77777777" w:rsidR="00CD7B9E" w:rsidRPr="00362EEE" w:rsidRDefault="00CD7B9E" w:rsidP="00CD7B9E">
            <w:pPr>
              <w:pStyle w:val="TableBody"/>
            </w:pPr>
            <w:r w:rsidRPr="00362EEE">
              <w:t>2001-02</w:t>
            </w:r>
          </w:p>
        </w:tc>
        <w:tc>
          <w:tcPr>
            <w:tcW w:w="741" w:type="pct"/>
            <w:noWrap/>
            <w:hideMark/>
          </w:tcPr>
          <w:p w14:paraId="788B5A32" w14:textId="77777777" w:rsidR="00CD7B9E" w:rsidRPr="00362EEE" w:rsidRDefault="00CD7B9E" w:rsidP="00CD7B9E">
            <w:pPr>
              <w:pStyle w:val="TableBodyRight"/>
            </w:pPr>
            <w:r w:rsidRPr="00362EEE">
              <w:t>6.0</w:t>
            </w:r>
          </w:p>
        </w:tc>
        <w:tc>
          <w:tcPr>
            <w:tcW w:w="702" w:type="pct"/>
            <w:noWrap/>
            <w:hideMark/>
          </w:tcPr>
          <w:p w14:paraId="15102488" w14:textId="77777777" w:rsidR="00CD7B9E" w:rsidRPr="00362EEE" w:rsidRDefault="00CD7B9E" w:rsidP="00CD7B9E">
            <w:pPr>
              <w:pStyle w:val="TableBodyRight"/>
            </w:pPr>
            <w:r w:rsidRPr="00362EEE">
              <w:t>4.0</w:t>
            </w:r>
          </w:p>
        </w:tc>
        <w:tc>
          <w:tcPr>
            <w:tcW w:w="741" w:type="pct"/>
            <w:noWrap/>
            <w:hideMark/>
          </w:tcPr>
          <w:p w14:paraId="27562C55" w14:textId="344B7952" w:rsidR="00CD7B9E" w:rsidRPr="00362EEE" w:rsidRDefault="00CD7B9E" w:rsidP="00CD7B9E">
            <w:pPr>
              <w:pStyle w:val="TableBodyRight"/>
            </w:pPr>
            <w:proofErr w:type="spellStart"/>
            <w:r>
              <w:t>n.a.</w:t>
            </w:r>
            <w:proofErr w:type="spellEnd"/>
          </w:p>
        </w:tc>
        <w:tc>
          <w:tcPr>
            <w:tcW w:w="702" w:type="pct"/>
            <w:noWrap/>
            <w:hideMark/>
          </w:tcPr>
          <w:p w14:paraId="2FEF71D3" w14:textId="096647BE" w:rsidR="00CD7B9E" w:rsidRPr="003D676F" w:rsidRDefault="00CD7B9E" w:rsidP="003D676F">
            <w:pPr>
              <w:pStyle w:val="TableBodyRight"/>
            </w:pPr>
            <w:proofErr w:type="spellStart"/>
            <w:r w:rsidRPr="003D676F">
              <w:t>n.a.</w:t>
            </w:r>
            <w:proofErr w:type="spellEnd"/>
          </w:p>
        </w:tc>
        <w:tc>
          <w:tcPr>
            <w:tcW w:w="741" w:type="pct"/>
            <w:noWrap/>
            <w:hideMark/>
          </w:tcPr>
          <w:p w14:paraId="0FEE874B" w14:textId="77777777" w:rsidR="00CD7B9E" w:rsidRPr="003D676F" w:rsidRDefault="00CD7B9E" w:rsidP="003D676F">
            <w:pPr>
              <w:pStyle w:val="TableBodyRight"/>
            </w:pPr>
            <w:r w:rsidRPr="003D676F">
              <w:t>4.7</w:t>
            </w:r>
          </w:p>
        </w:tc>
        <w:tc>
          <w:tcPr>
            <w:tcW w:w="694" w:type="pct"/>
            <w:noWrap/>
            <w:hideMark/>
          </w:tcPr>
          <w:p w14:paraId="4CC90157" w14:textId="77777777" w:rsidR="00CD7B9E" w:rsidRPr="00362EEE" w:rsidRDefault="00CD7B9E" w:rsidP="00CD7B9E">
            <w:pPr>
              <w:pStyle w:val="TableBodyRight"/>
            </w:pPr>
            <w:r w:rsidRPr="00362EEE">
              <w:t>2.8</w:t>
            </w:r>
          </w:p>
        </w:tc>
      </w:tr>
      <w:tr w:rsidR="008F529F" w:rsidRPr="00362EEE" w14:paraId="5D10AC66" w14:textId="77777777" w:rsidTr="008F529F">
        <w:trPr>
          <w:trHeight w:val="288"/>
        </w:trPr>
        <w:tc>
          <w:tcPr>
            <w:tcW w:w="679" w:type="pct"/>
            <w:noWrap/>
            <w:hideMark/>
          </w:tcPr>
          <w:p w14:paraId="3C21CBEE" w14:textId="77777777" w:rsidR="00CD7B9E" w:rsidRPr="00362EEE" w:rsidRDefault="00CD7B9E" w:rsidP="00CD7B9E">
            <w:pPr>
              <w:pStyle w:val="TableBody"/>
            </w:pPr>
            <w:r w:rsidRPr="00362EEE">
              <w:t>2002-03</w:t>
            </w:r>
          </w:p>
        </w:tc>
        <w:tc>
          <w:tcPr>
            <w:tcW w:w="741" w:type="pct"/>
            <w:noWrap/>
            <w:hideMark/>
          </w:tcPr>
          <w:p w14:paraId="77992D6B" w14:textId="77777777" w:rsidR="00CD7B9E" w:rsidRPr="00362EEE" w:rsidRDefault="00CD7B9E" w:rsidP="00CD7B9E">
            <w:pPr>
              <w:pStyle w:val="TableBodyRight"/>
            </w:pPr>
            <w:r w:rsidRPr="00362EEE">
              <w:t>7.0</w:t>
            </w:r>
          </w:p>
        </w:tc>
        <w:tc>
          <w:tcPr>
            <w:tcW w:w="702" w:type="pct"/>
            <w:noWrap/>
            <w:hideMark/>
          </w:tcPr>
          <w:p w14:paraId="4A705868" w14:textId="77777777" w:rsidR="00CD7B9E" w:rsidRPr="00362EEE" w:rsidRDefault="00CD7B9E" w:rsidP="00CD7B9E">
            <w:pPr>
              <w:pStyle w:val="TableBodyRight"/>
            </w:pPr>
            <w:r w:rsidRPr="00362EEE">
              <w:t>4.8</w:t>
            </w:r>
          </w:p>
        </w:tc>
        <w:tc>
          <w:tcPr>
            <w:tcW w:w="741" w:type="pct"/>
            <w:noWrap/>
            <w:hideMark/>
          </w:tcPr>
          <w:p w14:paraId="52FC7568" w14:textId="77777777" w:rsidR="00CD7B9E" w:rsidRPr="00362EEE" w:rsidRDefault="00CD7B9E" w:rsidP="00CD7B9E">
            <w:pPr>
              <w:pStyle w:val="TableBodyRight"/>
            </w:pPr>
            <w:r w:rsidRPr="00362EEE">
              <w:t>6.1</w:t>
            </w:r>
          </w:p>
        </w:tc>
        <w:tc>
          <w:tcPr>
            <w:tcW w:w="702" w:type="pct"/>
            <w:noWrap/>
            <w:hideMark/>
          </w:tcPr>
          <w:p w14:paraId="3A30F8A3" w14:textId="77777777" w:rsidR="00CD7B9E" w:rsidRPr="00362EEE" w:rsidRDefault="00CD7B9E" w:rsidP="00CD7B9E">
            <w:pPr>
              <w:pStyle w:val="TableBodyRight"/>
            </w:pPr>
            <w:r w:rsidRPr="00362EEE">
              <w:t>3.6</w:t>
            </w:r>
          </w:p>
        </w:tc>
        <w:tc>
          <w:tcPr>
            <w:tcW w:w="741" w:type="pct"/>
            <w:noWrap/>
            <w:hideMark/>
          </w:tcPr>
          <w:p w14:paraId="03BF679A" w14:textId="77777777" w:rsidR="00CD7B9E" w:rsidRPr="00362EEE" w:rsidRDefault="00CD7B9E" w:rsidP="00CD7B9E">
            <w:pPr>
              <w:pStyle w:val="TableBodyRight"/>
            </w:pPr>
            <w:r w:rsidRPr="00362EEE">
              <w:t>3.9</w:t>
            </w:r>
          </w:p>
        </w:tc>
        <w:tc>
          <w:tcPr>
            <w:tcW w:w="694" w:type="pct"/>
            <w:noWrap/>
            <w:hideMark/>
          </w:tcPr>
          <w:p w14:paraId="60F61F03" w14:textId="77777777" w:rsidR="00CD7B9E" w:rsidRPr="00362EEE" w:rsidRDefault="00CD7B9E" w:rsidP="00CD7B9E">
            <w:pPr>
              <w:pStyle w:val="TableBodyRight"/>
            </w:pPr>
            <w:r w:rsidRPr="00362EEE">
              <w:t>2.5</w:t>
            </w:r>
          </w:p>
        </w:tc>
      </w:tr>
      <w:tr w:rsidR="008F529F" w:rsidRPr="00362EEE" w14:paraId="74893447" w14:textId="77777777" w:rsidTr="008F529F">
        <w:trPr>
          <w:trHeight w:val="288"/>
        </w:trPr>
        <w:tc>
          <w:tcPr>
            <w:tcW w:w="679" w:type="pct"/>
            <w:noWrap/>
            <w:hideMark/>
          </w:tcPr>
          <w:p w14:paraId="63B2BDFD" w14:textId="77777777" w:rsidR="00CD7B9E" w:rsidRPr="00362EEE" w:rsidRDefault="00CD7B9E" w:rsidP="00CD7B9E">
            <w:pPr>
              <w:pStyle w:val="TableBody"/>
            </w:pPr>
            <w:r w:rsidRPr="00362EEE">
              <w:t>2003-04</w:t>
            </w:r>
          </w:p>
        </w:tc>
        <w:tc>
          <w:tcPr>
            <w:tcW w:w="741" w:type="pct"/>
            <w:noWrap/>
            <w:hideMark/>
          </w:tcPr>
          <w:p w14:paraId="5B2F7331" w14:textId="77777777" w:rsidR="00CD7B9E" w:rsidRPr="00362EEE" w:rsidRDefault="00CD7B9E" w:rsidP="00CD7B9E">
            <w:pPr>
              <w:pStyle w:val="TableBodyRight"/>
            </w:pPr>
            <w:r w:rsidRPr="00362EEE">
              <w:t>7.7</w:t>
            </w:r>
          </w:p>
        </w:tc>
        <w:tc>
          <w:tcPr>
            <w:tcW w:w="702" w:type="pct"/>
            <w:noWrap/>
            <w:hideMark/>
          </w:tcPr>
          <w:p w14:paraId="4663084D" w14:textId="77777777" w:rsidR="00CD7B9E" w:rsidRPr="00362EEE" w:rsidRDefault="00CD7B9E" w:rsidP="00CD7B9E">
            <w:pPr>
              <w:pStyle w:val="TableBodyRight"/>
            </w:pPr>
            <w:r w:rsidRPr="00362EEE">
              <w:t>5.3</w:t>
            </w:r>
          </w:p>
        </w:tc>
        <w:tc>
          <w:tcPr>
            <w:tcW w:w="741" w:type="pct"/>
            <w:noWrap/>
            <w:hideMark/>
          </w:tcPr>
          <w:p w14:paraId="60424238" w14:textId="77777777" w:rsidR="00CD7B9E" w:rsidRPr="00362EEE" w:rsidRDefault="00CD7B9E" w:rsidP="00CD7B9E">
            <w:pPr>
              <w:pStyle w:val="TableBodyRight"/>
            </w:pPr>
            <w:r w:rsidRPr="00362EEE">
              <w:t>7.1</w:t>
            </w:r>
          </w:p>
        </w:tc>
        <w:tc>
          <w:tcPr>
            <w:tcW w:w="702" w:type="pct"/>
            <w:noWrap/>
            <w:hideMark/>
          </w:tcPr>
          <w:p w14:paraId="68F34CC9" w14:textId="77777777" w:rsidR="00CD7B9E" w:rsidRPr="00362EEE" w:rsidRDefault="00CD7B9E" w:rsidP="00CD7B9E">
            <w:pPr>
              <w:pStyle w:val="TableBodyRight"/>
            </w:pPr>
            <w:r w:rsidRPr="00362EEE">
              <w:t>4.6</w:t>
            </w:r>
          </w:p>
        </w:tc>
        <w:tc>
          <w:tcPr>
            <w:tcW w:w="741" w:type="pct"/>
            <w:noWrap/>
            <w:hideMark/>
          </w:tcPr>
          <w:p w14:paraId="58D5B12E" w14:textId="77777777" w:rsidR="00CD7B9E" w:rsidRPr="00362EEE" w:rsidRDefault="00CD7B9E" w:rsidP="00CD7B9E">
            <w:pPr>
              <w:pStyle w:val="TableBodyRight"/>
            </w:pPr>
            <w:r w:rsidRPr="00362EEE">
              <w:t>3.1</w:t>
            </w:r>
          </w:p>
        </w:tc>
        <w:tc>
          <w:tcPr>
            <w:tcW w:w="694" w:type="pct"/>
            <w:noWrap/>
            <w:hideMark/>
          </w:tcPr>
          <w:p w14:paraId="18FB1CB6" w14:textId="77777777" w:rsidR="00CD7B9E" w:rsidRPr="00362EEE" w:rsidRDefault="00CD7B9E" w:rsidP="00CD7B9E">
            <w:pPr>
              <w:pStyle w:val="TableBodyRight"/>
            </w:pPr>
            <w:r w:rsidRPr="00362EEE">
              <w:t>2.2</w:t>
            </w:r>
          </w:p>
        </w:tc>
      </w:tr>
      <w:tr w:rsidR="008F529F" w:rsidRPr="00362EEE" w14:paraId="072519DB" w14:textId="77777777" w:rsidTr="008F529F">
        <w:trPr>
          <w:trHeight w:val="288"/>
        </w:trPr>
        <w:tc>
          <w:tcPr>
            <w:tcW w:w="679" w:type="pct"/>
            <w:noWrap/>
            <w:hideMark/>
          </w:tcPr>
          <w:p w14:paraId="4EA7708B" w14:textId="77777777" w:rsidR="00CD7B9E" w:rsidRPr="00362EEE" w:rsidRDefault="00CD7B9E" w:rsidP="00CD7B9E">
            <w:pPr>
              <w:pStyle w:val="TableBody"/>
            </w:pPr>
            <w:r w:rsidRPr="00362EEE">
              <w:t>2004-05</w:t>
            </w:r>
          </w:p>
        </w:tc>
        <w:tc>
          <w:tcPr>
            <w:tcW w:w="741" w:type="pct"/>
            <w:noWrap/>
            <w:hideMark/>
          </w:tcPr>
          <w:p w14:paraId="08955BF1" w14:textId="77777777" w:rsidR="00CD7B9E" w:rsidRPr="00362EEE" w:rsidRDefault="00CD7B9E" w:rsidP="00CD7B9E">
            <w:pPr>
              <w:pStyle w:val="TableBodyRight"/>
            </w:pPr>
            <w:r w:rsidRPr="00362EEE">
              <w:t>7.4</w:t>
            </w:r>
          </w:p>
        </w:tc>
        <w:tc>
          <w:tcPr>
            <w:tcW w:w="702" w:type="pct"/>
            <w:noWrap/>
            <w:hideMark/>
          </w:tcPr>
          <w:p w14:paraId="64F4DF0D" w14:textId="77777777" w:rsidR="00CD7B9E" w:rsidRPr="00362EEE" w:rsidRDefault="00CD7B9E" w:rsidP="00CD7B9E">
            <w:pPr>
              <w:pStyle w:val="TableBodyRight"/>
            </w:pPr>
            <w:r w:rsidRPr="00362EEE">
              <w:t>4.8</w:t>
            </w:r>
          </w:p>
        </w:tc>
        <w:tc>
          <w:tcPr>
            <w:tcW w:w="741" w:type="pct"/>
            <w:noWrap/>
            <w:hideMark/>
          </w:tcPr>
          <w:p w14:paraId="211DDFE6" w14:textId="77777777" w:rsidR="00CD7B9E" w:rsidRPr="00362EEE" w:rsidRDefault="00CD7B9E" w:rsidP="00CD7B9E">
            <w:pPr>
              <w:pStyle w:val="TableBodyRight"/>
            </w:pPr>
            <w:r w:rsidRPr="00362EEE">
              <w:t>5.5</w:t>
            </w:r>
          </w:p>
        </w:tc>
        <w:tc>
          <w:tcPr>
            <w:tcW w:w="702" w:type="pct"/>
            <w:noWrap/>
            <w:hideMark/>
          </w:tcPr>
          <w:p w14:paraId="12233CCB" w14:textId="77777777" w:rsidR="00CD7B9E" w:rsidRPr="00362EEE" w:rsidRDefault="00CD7B9E" w:rsidP="00CD7B9E">
            <w:pPr>
              <w:pStyle w:val="TableBodyRight"/>
            </w:pPr>
            <w:r w:rsidRPr="00362EEE">
              <w:t>3.5</w:t>
            </w:r>
          </w:p>
        </w:tc>
        <w:tc>
          <w:tcPr>
            <w:tcW w:w="741" w:type="pct"/>
            <w:noWrap/>
            <w:hideMark/>
          </w:tcPr>
          <w:p w14:paraId="6CE00119" w14:textId="77777777" w:rsidR="00CD7B9E" w:rsidRPr="00362EEE" w:rsidRDefault="00CD7B9E" w:rsidP="00CD7B9E">
            <w:pPr>
              <w:pStyle w:val="TableBodyRight"/>
            </w:pPr>
            <w:r w:rsidRPr="00362EEE">
              <w:t>4.1</w:t>
            </w:r>
          </w:p>
        </w:tc>
        <w:tc>
          <w:tcPr>
            <w:tcW w:w="694" w:type="pct"/>
            <w:noWrap/>
            <w:hideMark/>
          </w:tcPr>
          <w:p w14:paraId="6897159D" w14:textId="77777777" w:rsidR="00CD7B9E" w:rsidRPr="00362EEE" w:rsidRDefault="00CD7B9E" w:rsidP="00CD7B9E">
            <w:pPr>
              <w:pStyle w:val="TableBodyRight"/>
            </w:pPr>
            <w:r w:rsidRPr="00362EEE">
              <w:t>2.4</w:t>
            </w:r>
          </w:p>
        </w:tc>
      </w:tr>
      <w:tr w:rsidR="008F529F" w:rsidRPr="00362EEE" w14:paraId="60E5319A" w14:textId="77777777" w:rsidTr="008F529F">
        <w:trPr>
          <w:trHeight w:val="288"/>
        </w:trPr>
        <w:tc>
          <w:tcPr>
            <w:tcW w:w="679" w:type="pct"/>
            <w:noWrap/>
            <w:hideMark/>
          </w:tcPr>
          <w:p w14:paraId="355D96AA" w14:textId="77777777" w:rsidR="00CD7B9E" w:rsidRPr="00362EEE" w:rsidRDefault="00CD7B9E" w:rsidP="00CD7B9E">
            <w:pPr>
              <w:pStyle w:val="TableBody"/>
            </w:pPr>
            <w:r w:rsidRPr="00362EEE">
              <w:t>2005-06</w:t>
            </w:r>
          </w:p>
        </w:tc>
        <w:tc>
          <w:tcPr>
            <w:tcW w:w="741" w:type="pct"/>
            <w:noWrap/>
            <w:hideMark/>
          </w:tcPr>
          <w:p w14:paraId="6269C2C2" w14:textId="77777777" w:rsidR="00CD7B9E" w:rsidRPr="00362EEE" w:rsidRDefault="00CD7B9E" w:rsidP="00CD7B9E">
            <w:pPr>
              <w:pStyle w:val="TableBodyRight"/>
            </w:pPr>
            <w:r w:rsidRPr="00362EEE">
              <w:t>6.5</w:t>
            </w:r>
          </w:p>
        </w:tc>
        <w:tc>
          <w:tcPr>
            <w:tcW w:w="702" w:type="pct"/>
            <w:noWrap/>
            <w:hideMark/>
          </w:tcPr>
          <w:p w14:paraId="0E6185DD" w14:textId="77777777" w:rsidR="00CD7B9E" w:rsidRPr="00362EEE" w:rsidRDefault="00CD7B9E" w:rsidP="00CD7B9E">
            <w:pPr>
              <w:pStyle w:val="TableBodyRight"/>
            </w:pPr>
            <w:r w:rsidRPr="00362EEE">
              <w:t>4.1</w:t>
            </w:r>
          </w:p>
        </w:tc>
        <w:tc>
          <w:tcPr>
            <w:tcW w:w="741" w:type="pct"/>
            <w:noWrap/>
            <w:hideMark/>
          </w:tcPr>
          <w:p w14:paraId="4E592CA7" w14:textId="77777777" w:rsidR="00CD7B9E" w:rsidRPr="00362EEE" w:rsidRDefault="00CD7B9E" w:rsidP="00CD7B9E">
            <w:pPr>
              <w:pStyle w:val="TableBodyRight"/>
            </w:pPr>
            <w:r w:rsidRPr="00362EEE">
              <w:t>6.7</w:t>
            </w:r>
          </w:p>
        </w:tc>
        <w:tc>
          <w:tcPr>
            <w:tcW w:w="702" w:type="pct"/>
            <w:noWrap/>
            <w:hideMark/>
          </w:tcPr>
          <w:p w14:paraId="4E12D371" w14:textId="77777777" w:rsidR="00CD7B9E" w:rsidRPr="00362EEE" w:rsidRDefault="00CD7B9E" w:rsidP="00CD7B9E">
            <w:pPr>
              <w:pStyle w:val="TableBodyRight"/>
            </w:pPr>
            <w:r w:rsidRPr="00362EEE">
              <w:t>4.1</w:t>
            </w:r>
          </w:p>
        </w:tc>
        <w:tc>
          <w:tcPr>
            <w:tcW w:w="741" w:type="pct"/>
            <w:noWrap/>
            <w:hideMark/>
          </w:tcPr>
          <w:p w14:paraId="4346688C" w14:textId="77777777" w:rsidR="00CD7B9E" w:rsidRPr="00362EEE" w:rsidRDefault="00CD7B9E" w:rsidP="00CD7B9E">
            <w:pPr>
              <w:pStyle w:val="TableBodyRight"/>
            </w:pPr>
            <w:r w:rsidRPr="00362EEE">
              <w:t>3.3</w:t>
            </w:r>
          </w:p>
        </w:tc>
        <w:tc>
          <w:tcPr>
            <w:tcW w:w="694" w:type="pct"/>
            <w:noWrap/>
            <w:hideMark/>
          </w:tcPr>
          <w:p w14:paraId="7F259C2C" w14:textId="77777777" w:rsidR="00CD7B9E" w:rsidRPr="00362EEE" w:rsidRDefault="00CD7B9E" w:rsidP="00CD7B9E">
            <w:pPr>
              <w:pStyle w:val="TableBodyRight"/>
            </w:pPr>
            <w:r w:rsidRPr="00362EEE">
              <w:t>1.7</w:t>
            </w:r>
          </w:p>
        </w:tc>
      </w:tr>
      <w:tr w:rsidR="008F529F" w:rsidRPr="00362EEE" w14:paraId="058435AD" w14:textId="77777777" w:rsidTr="008F529F">
        <w:trPr>
          <w:trHeight w:val="288"/>
        </w:trPr>
        <w:tc>
          <w:tcPr>
            <w:tcW w:w="679" w:type="pct"/>
            <w:noWrap/>
            <w:hideMark/>
          </w:tcPr>
          <w:p w14:paraId="53ACD742" w14:textId="77777777" w:rsidR="00CD7B9E" w:rsidRPr="00362EEE" w:rsidRDefault="00CD7B9E" w:rsidP="00CD7B9E">
            <w:pPr>
              <w:pStyle w:val="TableBody"/>
            </w:pPr>
            <w:r w:rsidRPr="00362EEE">
              <w:t>2006-07</w:t>
            </w:r>
          </w:p>
        </w:tc>
        <w:tc>
          <w:tcPr>
            <w:tcW w:w="741" w:type="pct"/>
            <w:noWrap/>
            <w:hideMark/>
          </w:tcPr>
          <w:p w14:paraId="28CAD18D" w14:textId="77777777" w:rsidR="00CD7B9E" w:rsidRPr="00362EEE" w:rsidRDefault="00CD7B9E" w:rsidP="00CD7B9E">
            <w:pPr>
              <w:pStyle w:val="TableBodyRight"/>
            </w:pPr>
            <w:r w:rsidRPr="00362EEE">
              <w:t>7.7</w:t>
            </w:r>
          </w:p>
        </w:tc>
        <w:tc>
          <w:tcPr>
            <w:tcW w:w="702" w:type="pct"/>
            <w:noWrap/>
            <w:hideMark/>
          </w:tcPr>
          <w:p w14:paraId="07D5C825" w14:textId="77777777" w:rsidR="00CD7B9E" w:rsidRPr="00362EEE" w:rsidRDefault="00CD7B9E" w:rsidP="00CD7B9E">
            <w:pPr>
              <w:pStyle w:val="TableBodyRight"/>
            </w:pPr>
            <w:r w:rsidRPr="00362EEE">
              <w:t>5.2</w:t>
            </w:r>
          </w:p>
        </w:tc>
        <w:tc>
          <w:tcPr>
            <w:tcW w:w="741" w:type="pct"/>
            <w:noWrap/>
            <w:hideMark/>
          </w:tcPr>
          <w:p w14:paraId="2F6BF694" w14:textId="77777777" w:rsidR="00CD7B9E" w:rsidRPr="00362EEE" w:rsidRDefault="00CD7B9E" w:rsidP="00CD7B9E">
            <w:pPr>
              <w:pStyle w:val="TableBodyRight"/>
            </w:pPr>
            <w:r w:rsidRPr="00362EEE">
              <w:t>7.6</w:t>
            </w:r>
          </w:p>
        </w:tc>
        <w:tc>
          <w:tcPr>
            <w:tcW w:w="702" w:type="pct"/>
            <w:noWrap/>
            <w:hideMark/>
          </w:tcPr>
          <w:p w14:paraId="5BDF5C03" w14:textId="77777777" w:rsidR="00CD7B9E" w:rsidRPr="00362EEE" w:rsidRDefault="00CD7B9E" w:rsidP="00CD7B9E">
            <w:pPr>
              <w:pStyle w:val="TableBodyRight"/>
            </w:pPr>
            <w:r w:rsidRPr="00362EEE">
              <w:t>4.8</w:t>
            </w:r>
          </w:p>
        </w:tc>
        <w:tc>
          <w:tcPr>
            <w:tcW w:w="741" w:type="pct"/>
            <w:noWrap/>
            <w:hideMark/>
          </w:tcPr>
          <w:p w14:paraId="22D9CD89" w14:textId="77777777" w:rsidR="00CD7B9E" w:rsidRPr="00362EEE" w:rsidRDefault="00CD7B9E" w:rsidP="00CD7B9E">
            <w:pPr>
              <w:pStyle w:val="TableBodyRight"/>
            </w:pPr>
            <w:r w:rsidRPr="00362EEE">
              <w:t>3.9</w:t>
            </w:r>
          </w:p>
        </w:tc>
        <w:tc>
          <w:tcPr>
            <w:tcW w:w="694" w:type="pct"/>
            <w:noWrap/>
            <w:hideMark/>
          </w:tcPr>
          <w:p w14:paraId="18AED092" w14:textId="77777777" w:rsidR="00CD7B9E" w:rsidRPr="00362EEE" w:rsidRDefault="00CD7B9E" w:rsidP="00CD7B9E">
            <w:pPr>
              <w:pStyle w:val="TableBodyRight"/>
            </w:pPr>
            <w:r w:rsidRPr="00362EEE">
              <w:t>2.3</w:t>
            </w:r>
          </w:p>
        </w:tc>
      </w:tr>
      <w:tr w:rsidR="008F529F" w:rsidRPr="00362EEE" w14:paraId="4C391508" w14:textId="77777777" w:rsidTr="008F529F">
        <w:trPr>
          <w:trHeight w:val="288"/>
        </w:trPr>
        <w:tc>
          <w:tcPr>
            <w:tcW w:w="679" w:type="pct"/>
            <w:noWrap/>
            <w:hideMark/>
          </w:tcPr>
          <w:p w14:paraId="3C0BF003" w14:textId="77777777" w:rsidR="00CD7B9E" w:rsidRPr="00362EEE" w:rsidRDefault="00CD7B9E" w:rsidP="00CD7B9E">
            <w:pPr>
              <w:pStyle w:val="TableBody"/>
            </w:pPr>
            <w:r w:rsidRPr="00362EEE">
              <w:t>2007-08</w:t>
            </w:r>
          </w:p>
        </w:tc>
        <w:tc>
          <w:tcPr>
            <w:tcW w:w="741" w:type="pct"/>
            <w:noWrap/>
            <w:hideMark/>
          </w:tcPr>
          <w:p w14:paraId="3103657A" w14:textId="77777777" w:rsidR="00CD7B9E" w:rsidRPr="00362EEE" w:rsidRDefault="00CD7B9E" w:rsidP="00CD7B9E">
            <w:pPr>
              <w:pStyle w:val="TableBodyRight"/>
            </w:pPr>
            <w:r w:rsidRPr="00362EEE">
              <w:t>7.1</w:t>
            </w:r>
          </w:p>
        </w:tc>
        <w:tc>
          <w:tcPr>
            <w:tcW w:w="702" w:type="pct"/>
            <w:noWrap/>
            <w:hideMark/>
          </w:tcPr>
          <w:p w14:paraId="6A58D09C" w14:textId="77777777" w:rsidR="00CD7B9E" w:rsidRPr="00362EEE" w:rsidRDefault="00CD7B9E" w:rsidP="00CD7B9E">
            <w:pPr>
              <w:pStyle w:val="TableBodyRight"/>
            </w:pPr>
            <w:r w:rsidRPr="00362EEE">
              <w:t>4.7</w:t>
            </w:r>
          </w:p>
        </w:tc>
        <w:tc>
          <w:tcPr>
            <w:tcW w:w="741" w:type="pct"/>
            <w:noWrap/>
            <w:hideMark/>
          </w:tcPr>
          <w:p w14:paraId="6C47E1F6" w14:textId="77777777" w:rsidR="00CD7B9E" w:rsidRPr="00362EEE" w:rsidRDefault="00CD7B9E" w:rsidP="00CD7B9E">
            <w:pPr>
              <w:pStyle w:val="TableBodyRight"/>
            </w:pPr>
            <w:r w:rsidRPr="00362EEE">
              <w:t>7.1</w:t>
            </w:r>
          </w:p>
        </w:tc>
        <w:tc>
          <w:tcPr>
            <w:tcW w:w="702" w:type="pct"/>
            <w:noWrap/>
            <w:hideMark/>
          </w:tcPr>
          <w:p w14:paraId="1CB48CC9" w14:textId="77777777" w:rsidR="00CD7B9E" w:rsidRPr="00362EEE" w:rsidRDefault="00CD7B9E" w:rsidP="00CD7B9E">
            <w:pPr>
              <w:pStyle w:val="TableBodyRight"/>
            </w:pPr>
            <w:r w:rsidRPr="00362EEE">
              <w:t>4.6</w:t>
            </w:r>
          </w:p>
        </w:tc>
        <w:tc>
          <w:tcPr>
            <w:tcW w:w="741" w:type="pct"/>
            <w:noWrap/>
            <w:hideMark/>
          </w:tcPr>
          <w:p w14:paraId="5589BC95" w14:textId="77777777" w:rsidR="00CD7B9E" w:rsidRPr="00362EEE" w:rsidRDefault="00CD7B9E" w:rsidP="00CD7B9E">
            <w:pPr>
              <w:pStyle w:val="TableBodyRight"/>
            </w:pPr>
            <w:r w:rsidRPr="00362EEE">
              <w:t>3.2</w:t>
            </w:r>
          </w:p>
        </w:tc>
        <w:tc>
          <w:tcPr>
            <w:tcW w:w="694" w:type="pct"/>
            <w:noWrap/>
            <w:hideMark/>
          </w:tcPr>
          <w:p w14:paraId="2014777F" w14:textId="77777777" w:rsidR="00CD7B9E" w:rsidRPr="00362EEE" w:rsidRDefault="00CD7B9E" w:rsidP="00CD7B9E">
            <w:pPr>
              <w:pStyle w:val="TableBodyRight"/>
            </w:pPr>
            <w:r w:rsidRPr="00362EEE">
              <w:t>1.9</w:t>
            </w:r>
          </w:p>
        </w:tc>
      </w:tr>
      <w:tr w:rsidR="008F529F" w:rsidRPr="00362EEE" w14:paraId="50DBC715" w14:textId="77777777" w:rsidTr="008F529F">
        <w:trPr>
          <w:trHeight w:val="288"/>
        </w:trPr>
        <w:tc>
          <w:tcPr>
            <w:tcW w:w="679" w:type="pct"/>
            <w:noWrap/>
            <w:hideMark/>
          </w:tcPr>
          <w:p w14:paraId="44E8C233" w14:textId="77777777" w:rsidR="00CD7B9E" w:rsidRPr="00362EEE" w:rsidRDefault="00CD7B9E" w:rsidP="00CD7B9E">
            <w:pPr>
              <w:pStyle w:val="TableBody"/>
            </w:pPr>
            <w:r w:rsidRPr="00362EEE">
              <w:t>2008-09</w:t>
            </w:r>
          </w:p>
        </w:tc>
        <w:tc>
          <w:tcPr>
            <w:tcW w:w="741" w:type="pct"/>
            <w:noWrap/>
            <w:hideMark/>
          </w:tcPr>
          <w:p w14:paraId="306F06C1" w14:textId="77777777" w:rsidR="00CD7B9E" w:rsidRPr="00362EEE" w:rsidRDefault="00CD7B9E" w:rsidP="00CD7B9E">
            <w:pPr>
              <w:pStyle w:val="TableBodyRight"/>
            </w:pPr>
            <w:r w:rsidRPr="00362EEE">
              <w:t>7.6</w:t>
            </w:r>
          </w:p>
        </w:tc>
        <w:tc>
          <w:tcPr>
            <w:tcW w:w="702" w:type="pct"/>
            <w:noWrap/>
            <w:hideMark/>
          </w:tcPr>
          <w:p w14:paraId="2E62E6FE" w14:textId="77777777" w:rsidR="00CD7B9E" w:rsidRPr="00362EEE" w:rsidRDefault="00CD7B9E" w:rsidP="00CD7B9E">
            <w:pPr>
              <w:pStyle w:val="TableBodyRight"/>
            </w:pPr>
            <w:r w:rsidRPr="00362EEE">
              <w:t>4.9</w:t>
            </w:r>
          </w:p>
        </w:tc>
        <w:tc>
          <w:tcPr>
            <w:tcW w:w="741" w:type="pct"/>
            <w:noWrap/>
            <w:hideMark/>
          </w:tcPr>
          <w:p w14:paraId="23445FB0" w14:textId="77777777" w:rsidR="00CD7B9E" w:rsidRPr="00362EEE" w:rsidRDefault="00CD7B9E" w:rsidP="00CD7B9E">
            <w:pPr>
              <w:pStyle w:val="TableBodyRight"/>
            </w:pPr>
            <w:r w:rsidRPr="00362EEE">
              <w:t>6.5</w:t>
            </w:r>
          </w:p>
        </w:tc>
        <w:tc>
          <w:tcPr>
            <w:tcW w:w="702" w:type="pct"/>
            <w:noWrap/>
            <w:hideMark/>
          </w:tcPr>
          <w:p w14:paraId="1117AC5F" w14:textId="77777777" w:rsidR="00CD7B9E" w:rsidRPr="00362EEE" w:rsidRDefault="00CD7B9E" w:rsidP="00CD7B9E">
            <w:pPr>
              <w:pStyle w:val="TableBodyRight"/>
            </w:pPr>
            <w:r w:rsidRPr="00362EEE">
              <w:t>4.3</w:t>
            </w:r>
          </w:p>
        </w:tc>
        <w:tc>
          <w:tcPr>
            <w:tcW w:w="741" w:type="pct"/>
            <w:noWrap/>
            <w:hideMark/>
          </w:tcPr>
          <w:p w14:paraId="543C6C49" w14:textId="77777777" w:rsidR="00CD7B9E" w:rsidRPr="00362EEE" w:rsidRDefault="00CD7B9E" w:rsidP="00CD7B9E">
            <w:pPr>
              <w:pStyle w:val="TableBodyRight"/>
            </w:pPr>
            <w:r w:rsidRPr="00362EEE">
              <w:t>4.2</w:t>
            </w:r>
          </w:p>
        </w:tc>
        <w:tc>
          <w:tcPr>
            <w:tcW w:w="694" w:type="pct"/>
            <w:noWrap/>
            <w:hideMark/>
          </w:tcPr>
          <w:p w14:paraId="2D131A11" w14:textId="77777777" w:rsidR="00CD7B9E" w:rsidRPr="00362EEE" w:rsidRDefault="00CD7B9E" w:rsidP="00CD7B9E">
            <w:pPr>
              <w:pStyle w:val="TableBodyRight"/>
            </w:pPr>
            <w:r w:rsidRPr="00362EEE">
              <w:t>2.5</w:t>
            </w:r>
          </w:p>
        </w:tc>
      </w:tr>
      <w:tr w:rsidR="008F529F" w:rsidRPr="00362EEE" w14:paraId="5D3E70E8" w14:textId="77777777" w:rsidTr="008F529F">
        <w:trPr>
          <w:trHeight w:val="288"/>
        </w:trPr>
        <w:tc>
          <w:tcPr>
            <w:tcW w:w="679" w:type="pct"/>
            <w:noWrap/>
            <w:hideMark/>
          </w:tcPr>
          <w:p w14:paraId="1A71405B" w14:textId="77777777" w:rsidR="00CD7B9E" w:rsidRPr="00362EEE" w:rsidRDefault="00CD7B9E" w:rsidP="00CD7B9E">
            <w:pPr>
              <w:pStyle w:val="TableBody"/>
            </w:pPr>
            <w:r w:rsidRPr="00362EEE">
              <w:t>2009-10</w:t>
            </w:r>
          </w:p>
        </w:tc>
        <w:tc>
          <w:tcPr>
            <w:tcW w:w="741" w:type="pct"/>
            <w:noWrap/>
            <w:hideMark/>
          </w:tcPr>
          <w:p w14:paraId="05BEA0BA" w14:textId="77777777" w:rsidR="00CD7B9E" w:rsidRPr="00362EEE" w:rsidRDefault="00CD7B9E" w:rsidP="00CD7B9E">
            <w:pPr>
              <w:pStyle w:val="TableBodyRight"/>
            </w:pPr>
            <w:r w:rsidRPr="00362EEE">
              <w:t>7.4</w:t>
            </w:r>
          </w:p>
        </w:tc>
        <w:tc>
          <w:tcPr>
            <w:tcW w:w="702" w:type="pct"/>
            <w:noWrap/>
            <w:hideMark/>
          </w:tcPr>
          <w:p w14:paraId="7D28C5DA" w14:textId="77777777" w:rsidR="00CD7B9E" w:rsidRPr="00362EEE" w:rsidRDefault="00CD7B9E" w:rsidP="00CD7B9E">
            <w:pPr>
              <w:pStyle w:val="TableBodyRight"/>
            </w:pPr>
            <w:r w:rsidRPr="00362EEE">
              <w:t>5.1</w:t>
            </w:r>
          </w:p>
        </w:tc>
        <w:tc>
          <w:tcPr>
            <w:tcW w:w="741" w:type="pct"/>
            <w:noWrap/>
            <w:hideMark/>
          </w:tcPr>
          <w:p w14:paraId="203B2493" w14:textId="77777777" w:rsidR="00CD7B9E" w:rsidRPr="00362EEE" w:rsidRDefault="00CD7B9E" w:rsidP="00CD7B9E">
            <w:pPr>
              <w:pStyle w:val="TableBodyRight"/>
            </w:pPr>
            <w:r w:rsidRPr="00362EEE">
              <w:t>9.7</w:t>
            </w:r>
          </w:p>
        </w:tc>
        <w:tc>
          <w:tcPr>
            <w:tcW w:w="702" w:type="pct"/>
            <w:noWrap/>
            <w:hideMark/>
          </w:tcPr>
          <w:p w14:paraId="17F6CFEE" w14:textId="77777777" w:rsidR="00CD7B9E" w:rsidRPr="00362EEE" w:rsidRDefault="00CD7B9E" w:rsidP="00CD7B9E">
            <w:pPr>
              <w:pStyle w:val="TableBodyRight"/>
            </w:pPr>
            <w:r w:rsidRPr="00362EEE">
              <w:t>7.0</w:t>
            </w:r>
          </w:p>
        </w:tc>
        <w:tc>
          <w:tcPr>
            <w:tcW w:w="741" w:type="pct"/>
            <w:noWrap/>
            <w:hideMark/>
          </w:tcPr>
          <w:p w14:paraId="72939D99" w14:textId="77777777" w:rsidR="00CD7B9E" w:rsidRPr="00362EEE" w:rsidRDefault="00CD7B9E" w:rsidP="00CD7B9E">
            <w:pPr>
              <w:pStyle w:val="TableBodyRight"/>
            </w:pPr>
            <w:r w:rsidRPr="00362EEE">
              <w:t>4.8</w:t>
            </w:r>
          </w:p>
        </w:tc>
        <w:tc>
          <w:tcPr>
            <w:tcW w:w="694" w:type="pct"/>
            <w:noWrap/>
            <w:hideMark/>
          </w:tcPr>
          <w:p w14:paraId="2411E301" w14:textId="77777777" w:rsidR="00CD7B9E" w:rsidRPr="00362EEE" w:rsidRDefault="00CD7B9E" w:rsidP="00CD7B9E">
            <w:pPr>
              <w:pStyle w:val="TableBodyRight"/>
            </w:pPr>
            <w:r w:rsidRPr="00362EEE">
              <w:t>2.8</w:t>
            </w:r>
          </w:p>
        </w:tc>
      </w:tr>
      <w:tr w:rsidR="008F529F" w:rsidRPr="00362EEE" w14:paraId="0580351E" w14:textId="77777777" w:rsidTr="008F529F">
        <w:trPr>
          <w:trHeight w:val="288"/>
        </w:trPr>
        <w:tc>
          <w:tcPr>
            <w:tcW w:w="679" w:type="pct"/>
            <w:noWrap/>
            <w:hideMark/>
          </w:tcPr>
          <w:p w14:paraId="3F7E626D" w14:textId="77777777" w:rsidR="00CD7B9E" w:rsidRPr="00362EEE" w:rsidRDefault="00CD7B9E" w:rsidP="00CD7B9E">
            <w:pPr>
              <w:pStyle w:val="TableBody"/>
            </w:pPr>
            <w:r w:rsidRPr="00362EEE">
              <w:t>2010-11</w:t>
            </w:r>
          </w:p>
        </w:tc>
        <w:tc>
          <w:tcPr>
            <w:tcW w:w="741" w:type="pct"/>
            <w:noWrap/>
            <w:hideMark/>
          </w:tcPr>
          <w:p w14:paraId="6E92C9E2" w14:textId="77777777" w:rsidR="00CD7B9E" w:rsidRPr="00362EEE" w:rsidRDefault="00CD7B9E" w:rsidP="00CD7B9E">
            <w:pPr>
              <w:pStyle w:val="TableBodyRight"/>
            </w:pPr>
            <w:r w:rsidRPr="00362EEE">
              <w:t>7.1</w:t>
            </w:r>
          </w:p>
        </w:tc>
        <w:tc>
          <w:tcPr>
            <w:tcW w:w="702" w:type="pct"/>
            <w:noWrap/>
            <w:hideMark/>
          </w:tcPr>
          <w:p w14:paraId="1057DE96" w14:textId="77777777" w:rsidR="00CD7B9E" w:rsidRPr="00362EEE" w:rsidRDefault="00CD7B9E" w:rsidP="00CD7B9E">
            <w:pPr>
              <w:pStyle w:val="TableBodyRight"/>
            </w:pPr>
            <w:r w:rsidRPr="00362EEE">
              <w:t>4.8</w:t>
            </w:r>
          </w:p>
        </w:tc>
        <w:tc>
          <w:tcPr>
            <w:tcW w:w="741" w:type="pct"/>
            <w:noWrap/>
            <w:hideMark/>
          </w:tcPr>
          <w:p w14:paraId="1602E128" w14:textId="77777777" w:rsidR="00CD7B9E" w:rsidRPr="00362EEE" w:rsidRDefault="00CD7B9E" w:rsidP="00CD7B9E">
            <w:pPr>
              <w:pStyle w:val="TableBodyRight"/>
            </w:pPr>
            <w:r w:rsidRPr="00362EEE">
              <w:t>8.8</w:t>
            </w:r>
          </w:p>
        </w:tc>
        <w:tc>
          <w:tcPr>
            <w:tcW w:w="702" w:type="pct"/>
            <w:noWrap/>
            <w:hideMark/>
          </w:tcPr>
          <w:p w14:paraId="07848C02" w14:textId="77777777" w:rsidR="00CD7B9E" w:rsidRPr="00362EEE" w:rsidRDefault="00CD7B9E" w:rsidP="00CD7B9E">
            <w:pPr>
              <w:pStyle w:val="TableBodyRight"/>
            </w:pPr>
            <w:r w:rsidRPr="00362EEE">
              <w:t>5.9</w:t>
            </w:r>
          </w:p>
        </w:tc>
        <w:tc>
          <w:tcPr>
            <w:tcW w:w="741" w:type="pct"/>
            <w:noWrap/>
            <w:hideMark/>
          </w:tcPr>
          <w:p w14:paraId="02FBDF5A" w14:textId="77777777" w:rsidR="00CD7B9E" w:rsidRPr="00362EEE" w:rsidRDefault="00CD7B9E" w:rsidP="00CD7B9E">
            <w:pPr>
              <w:pStyle w:val="TableBodyRight"/>
            </w:pPr>
            <w:r w:rsidRPr="00362EEE">
              <w:t>4.5</w:t>
            </w:r>
          </w:p>
        </w:tc>
        <w:tc>
          <w:tcPr>
            <w:tcW w:w="694" w:type="pct"/>
            <w:noWrap/>
            <w:hideMark/>
          </w:tcPr>
          <w:p w14:paraId="13B44322" w14:textId="77777777" w:rsidR="00CD7B9E" w:rsidRPr="00362EEE" w:rsidRDefault="00CD7B9E" w:rsidP="00CD7B9E">
            <w:pPr>
              <w:pStyle w:val="TableBodyRight"/>
            </w:pPr>
            <w:r w:rsidRPr="00362EEE">
              <w:t>2.6</w:t>
            </w:r>
          </w:p>
        </w:tc>
      </w:tr>
      <w:tr w:rsidR="008F529F" w:rsidRPr="00362EEE" w14:paraId="0BAFE031" w14:textId="77777777" w:rsidTr="008F529F">
        <w:trPr>
          <w:trHeight w:val="288"/>
        </w:trPr>
        <w:tc>
          <w:tcPr>
            <w:tcW w:w="679" w:type="pct"/>
            <w:noWrap/>
            <w:hideMark/>
          </w:tcPr>
          <w:p w14:paraId="22826823" w14:textId="77777777" w:rsidR="00CD7B9E" w:rsidRPr="00362EEE" w:rsidRDefault="00CD7B9E" w:rsidP="00CD7B9E">
            <w:pPr>
              <w:pStyle w:val="TableBody"/>
            </w:pPr>
            <w:r w:rsidRPr="00362EEE">
              <w:t>2011-12</w:t>
            </w:r>
          </w:p>
        </w:tc>
        <w:tc>
          <w:tcPr>
            <w:tcW w:w="741" w:type="pct"/>
            <w:noWrap/>
            <w:hideMark/>
          </w:tcPr>
          <w:p w14:paraId="7FE1CEF1" w14:textId="77777777" w:rsidR="00CD7B9E" w:rsidRPr="00362EEE" w:rsidRDefault="00CD7B9E" w:rsidP="00CD7B9E">
            <w:pPr>
              <w:pStyle w:val="TableBodyRight"/>
            </w:pPr>
            <w:r w:rsidRPr="00362EEE">
              <w:t>6.5</w:t>
            </w:r>
          </w:p>
        </w:tc>
        <w:tc>
          <w:tcPr>
            <w:tcW w:w="702" w:type="pct"/>
            <w:noWrap/>
            <w:hideMark/>
          </w:tcPr>
          <w:p w14:paraId="14CCF7A7" w14:textId="77777777" w:rsidR="00CD7B9E" w:rsidRPr="00362EEE" w:rsidRDefault="00CD7B9E" w:rsidP="00CD7B9E">
            <w:pPr>
              <w:pStyle w:val="TableBodyRight"/>
            </w:pPr>
            <w:r w:rsidRPr="00362EEE">
              <w:t>4.2</w:t>
            </w:r>
          </w:p>
        </w:tc>
        <w:tc>
          <w:tcPr>
            <w:tcW w:w="741" w:type="pct"/>
            <w:noWrap/>
            <w:hideMark/>
          </w:tcPr>
          <w:p w14:paraId="16457E23" w14:textId="77777777" w:rsidR="00CD7B9E" w:rsidRPr="00362EEE" w:rsidRDefault="00CD7B9E" w:rsidP="00CD7B9E">
            <w:pPr>
              <w:pStyle w:val="TableBodyRight"/>
            </w:pPr>
            <w:r w:rsidRPr="00362EEE">
              <w:t>7.8</w:t>
            </w:r>
          </w:p>
        </w:tc>
        <w:tc>
          <w:tcPr>
            <w:tcW w:w="702" w:type="pct"/>
            <w:noWrap/>
            <w:hideMark/>
          </w:tcPr>
          <w:p w14:paraId="0304CE99" w14:textId="77777777" w:rsidR="00CD7B9E" w:rsidRPr="00362EEE" w:rsidRDefault="00CD7B9E" w:rsidP="00CD7B9E">
            <w:pPr>
              <w:pStyle w:val="TableBodyRight"/>
            </w:pPr>
            <w:r w:rsidRPr="00362EEE">
              <w:t>5.3</w:t>
            </w:r>
          </w:p>
        </w:tc>
        <w:tc>
          <w:tcPr>
            <w:tcW w:w="741" w:type="pct"/>
            <w:noWrap/>
            <w:hideMark/>
          </w:tcPr>
          <w:p w14:paraId="6A767ACD" w14:textId="77777777" w:rsidR="00CD7B9E" w:rsidRPr="00362EEE" w:rsidRDefault="00CD7B9E" w:rsidP="00CD7B9E">
            <w:pPr>
              <w:pStyle w:val="TableBodyRight"/>
            </w:pPr>
            <w:r w:rsidRPr="00362EEE">
              <w:t>3.8</w:t>
            </w:r>
          </w:p>
        </w:tc>
        <w:tc>
          <w:tcPr>
            <w:tcW w:w="694" w:type="pct"/>
            <w:noWrap/>
            <w:hideMark/>
          </w:tcPr>
          <w:p w14:paraId="5E5205A8" w14:textId="77777777" w:rsidR="00CD7B9E" w:rsidRPr="00362EEE" w:rsidRDefault="00CD7B9E" w:rsidP="00CD7B9E">
            <w:pPr>
              <w:pStyle w:val="TableBodyRight"/>
            </w:pPr>
            <w:r w:rsidRPr="00362EEE">
              <w:t>2.3</w:t>
            </w:r>
          </w:p>
        </w:tc>
      </w:tr>
      <w:tr w:rsidR="008F529F" w:rsidRPr="00362EEE" w14:paraId="4394533B" w14:textId="77777777" w:rsidTr="008F529F">
        <w:trPr>
          <w:trHeight w:val="288"/>
        </w:trPr>
        <w:tc>
          <w:tcPr>
            <w:tcW w:w="679" w:type="pct"/>
            <w:noWrap/>
            <w:hideMark/>
          </w:tcPr>
          <w:p w14:paraId="75386953" w14:textId="77777777" w:rsidR="00CD7B9E" w:rsidRPr="00362EEE" w:rsidRDefault="00CD7B9E" w:rsidP="00CD7B9E">
            <w:pPr>
              <w:pStyle w:val="TableBody"/>
            </w:pPr>
            <w:r w:rsidRPr="00362EEE">
              <w:t>2012-13</w:t>
            </w:r>
          </w:p>
        </w:tc>
        <w:tc>
          <w:tcPr>
            <w:tcW w:w="741" w:type="pct"/>
            <w:noWrap/>
            <w:hideMark/>
          </w:tcPr>
          <w:p w14:paraId="102D97D5" w14:textId="77777777" w:rsidR="00CD7B9E" w:rsidRPr="00362EEE" w:rsidRDefault="00CD7B9E" w:rsidP="00CD7B9E">
            <w:pPr>
              <w:pStyle w:val="TableBodyRight"/>
            </w:pPr>
            <w:r w:rsidRPr="00362EEE">
              <w:t>6.4</w:t>
            </w:r>
          </w:p>
        </w:tc>
        <w:tc>
          <w:tcPr>
            <w:tcW w:w="702" w:type="pct"/>
            <w:noWrap/>
            <w:hideMark/>
          </w:tcPr>
          <w:p w14:paraId="40267177" w14:textId="77777777" w:rsidR="00CD7B9E" w:rsidRPr="00362EEE" w:rsidRDefault="00CD7B9E" w:rsidP="00CD7B9E">
            <w:pPr>
              <w:pStyle w:val="TableBodyRight"/>
            </w:pPr>
            <w:r w:rsidRPr="00362EEE">
              <w:t>4.0</w:t>
            </w:r>
          </w:p>
        </w:tc>
        <w:tc>
          <w:tcPr>
            <w:tcW w:w="741" w:type="pct"/>
            <w:noWrap/>
            <w:hideMark/>
          </w:tcPr>
          <w:p w14:paraId="1DDBA6B8" w14:textId="77777777" w:rsidR="00CD7B9E" w:rsidRPr="00362EEE" w:rsidRDefault="00CD7B9E" w:rsidP="00CD7B9E">
            <w:pPr>
              <w:pStyle w:val="TableBodyRight"/>
            </w:pPr>
            <w:r w:rsidRPr="00362EEE">
              <w:t>7.0</w:t>
            </w:r>
          </w:p>
        </w:tc>
        <w:tc>
          <w:tcPr>
            <w:tcW w:w="702" w:type="pct"/>
            <w:noWrap/>
            <w:hideMark/>
          </w:tcPr>
          <w:p w14:paraId="0E979512" w14:textId="77777777" w:rsidR="00CD7B9E" w:rsidRPr="00362EEE" w:rsidRDefault="00CD7B9E" w:rsidP="00CD7B9E">
            <w:pPr>
              <w:pStyle w:val="TableBodyRight"/>
            </w:pPr>
            <w:r w:rsidRPr="00362EEE">
              <w:t>4.4</w:t>
            </w:r>
          </w:p>
        </w:tc>
        <w:tc>
          <w:tcPr>
            <w:tcW w:w="741" w:type="pct"/>
            <w:noWrap/>
            <w:hideMark/>
          </w:tcPr>
          <w:p w14:paraId="683E9E2A" w14:textId="77777777" w:rsidR="00CD7B9E" w:rsidRPr="00362EEE" w:rsidRDefault="00CD7B9E" w:rsidP="00CD7B9E">
            <w:pPr>
              <w:pStyle w:val="TableBodyRight"/>
            </w:pPr>
            <w:r w:rsidRPr="00362EEE">
              <w:t>3.8</w:t>
            </w:r>
          </w:p>
        </w:tc>
        <w:tc>
          <w:tcPr>
            <w:tcW w:w="694" w:type="pct"/>
            <w:noWrap/>
            <w:hideMark/>
          </w:tcPr>
          <w:p w14:paraId="4546AE2A" w14:textId="77777777" w:rsidR="00CD7B9E" w:rsidRPr="00362EEE" w:rsidRDefault="00CD7B9E" w:rsidP="00CD7B9E">
            <w:pPr>
              <w:pStyle w:val="TableBodyRight"/>
            </w:pPr>
            <w:r w:rsidRPr="00362EEE">
              <w:t>2.3</w:t>
            </w:r>
          </w:p>
        </w:tc>
      </w:tr>
      <w:tr w:rsidR="008F529F" w:rsidRPr="00362EEE" w14:paraId="566A4685" w14:textId="77777777" w:rsidTr="008F529F">
        <w:trPr>
          <w:trHeight w:val="288"/>
        </w:trPr>
        <w:tc>
          <w:tcPr>
            <w:tcW w:w="679" w:type="pct"/>
            <w:noWrap/>
            <w:hideMark/>
          </w:tcPr>
          <w:p w14:paraId="2C49CD56" w14:textId="77777777" w:rsidR="00CD7B9E" w:rsidRPr="00362EEE" w:rsidRDefault="00CD7B9E" w:rsidP="00CD7B9E">
            <w:pPr>
              <w:pStyle w:val="TableBody"/>
            </w:pPr>
            <w:r w:rsidRPr="00362EEE">
              <w:lastRenderedPageBreak/>
              <w:t>2013-14</w:t>
            </w:r>
          </w:p>
        </w:tc>
        <w:tc>
          <w:tcPr>
            <w:tcW w:w="741" w:type="pct"/>
            <w:noWrap/>
            <w:hideMark/>
          </w:tcPr>
          <w:p w14:paraId="265719FC" w14:textId="77777777" w:rsidR="00CD7B9E" w:rsidRPr="00362EEE" w:rsidRDefault="00CD7B9E" w:rsidP="00CD7B9E">
            <w:pPr>
              <w:pStyle w:val="TableBodyRight"/>
            </w:pPr>
            <w:r w:rsidRPr="00362EEE">
              <w:t>7.3</w:t>
            </w:r>
          </w:p>
        </w:tc>
        <w:tc>
          <w:tcPr>
            <w:tcW w:w="702" w:type="pct"/>
            <w:noWrap/>
            <w:hideMark/>
          </w:tcPr>
          <w:p w14:paraId="768CA5CC" w14:textId="77777777" w:rsidR="00CD7B9E" w:rsidRPr="00362EEE" w:rsidRDefault="00CD7B9E" w:rsidP="00CD7B9E">
            <w:pPr>
              <w:pStyle w:val="TableBodyRight"/>
            </w:pPr>
            <w:r w:rsidRPr="00362EEE">
              <w:t>5.1</w:t>
            </w:r>
          </w:p>
        </w:tc>
        <w:tc>
          <w:tcPr>
            <w:tcW w:w="741" w:type="pct"/>
            <w:noWrap/>
            <w:hideMark/>
          </w:tcPr>
          <w:p w14:paraId="0CC1675E" w14:textId="77777777" w:rsidR="00CD7B9E" w:rsidRPr="00362EEE" w:rsidRDefault="00CD7B9E" w:rsidP="00CD7B9E">
            <w:pPr>
              <w:pStyle w:val="TableBodyRight"/>
            </w:pPr>
            <w:r w:rsidRPr="00362EEE">
              <w:t>7.3</w:t>
            </w:r>
          </w:p>
        </w:tc>
        <w:tc>
          <w:tcPr>
            <w:tcW w:w="702" w:type="pct"/>
            <w:noWrap/>
            <w:hideMark/>
          </w:tcPr>
          <w:p w14:paraId="72A7361F" w14:textId="77777777" w:rsidR="00CD7B9E" w:rsidRPr="00362EEE" w:rsidRDefault="00CD7B9E" w:rsidP="00CD7B9E">
            <w:pPr>
              <w:pStyle w:val="TableBodyRight"/>
            </w:pPr>
            <w:r w:rsidRPr="00362EEE">
              <w:t>5.0</w:t>
            </w:r>
          </w:p>
        </w:tc>
        <w:tc>
          <w:tcPr>
            <w:tcW w:w="741" w:type="pct"/>
            <w:noWrap/>
            <w:hideMark/>
          </w:tcPr>
          <w:p w14:paraId="13D42D37" w14:textId="77777777" w:rsidR="00CD7B9E" w:rsidRPr="00362EEE" w:rsidRDefault="00CD7B9E" w:rsidP="00CD7B9E">
            <w:pPr>
              <w:pStyle w:val="TableBodyRight"/>
            </w:pPr>
            <w:r w:rsidRPr="00362EEE">
              <w:t>4.6</w:t>
            </w:r>
          </w:p>
        </w:tc>
        <w:tc>
          <w:tcPr>
            <w:tcW w:w="694" w:type="pct"/>
            <w:noWrap/>
            <w:hideMark/>
          </w:tcPr>
          <w:p w14:paraId="4DD74476" w14:textId="77777777" w:rsidR="00CD7B9E" w:rsidRPr="00362EEE" w:rsidRDefault="00CD7B9E" w:rsidP="00CD7B9E">
            <w:pPr>
              <w:pStyle w:val="TableBodyRight"/>
            </w:pPr>
            <w:r w:rsidRPr="00362EEE">
              <w:t>3.0</w:t>
            </w:r>
          </w:p>
        </w:tc>
      </w:tr>
      <w:tr w:rsidR="008F529F" w:rsidRPr="00362EEE" w14:paraId="678A41C5" w14:textId="77777777" w:rsidTr="008F529F">
        <w:trPr>
          <w:trHeight w:val="288"/>
        </w:trPr>
        <w:tc>
          <w:tcPr>
            <w:tcW w:w="679" w:type="pct"/>
            <w:noWrap/>
            <w:hideMark/>
          </w:tcPr>
          <w:p w14:paraId="46204C7C" w14:textId="77777777" w:rsidR="00CD7B9E" w:rsidRPr="00362EEE" w:rsidRDefault="00CD7B9E" w:rsidP="00CD7B9E">
            <w:pPr>
              <w:pStyle w:val="TableBody"/>
            </w:pPr>
            <w:r w:rsidRPr="00362EEE">
              <w:t>2014-15</w:t>
            </w:r>
          </w:p>
        </w:tc>
        <w:tc>
          <w:tcPr>
            <w:tcW w:w="741" w:type="pct"/>
            <w:noWrap/>
            <w:hideMark/>
          </w:tcPr>
          <w:p w14:paraId="602307AA" w14:textId="77777777" w:rsidR="00CD7B9E" w:rsidRPr="00362EEE" w:rsidRDefault="00CD7B9E" w:rsidP="00CD7B9E">
            <w:pPr>
              <w:pStyle w:val="TableBodyRight"/>
            </w:pPr>
            <w:r w:rsidRPr="00362EEE">
              <w:t>7.4</w:t>
            </w:r>
          </w:p>
        </w:tc>
        <w:tc>
          <w:tcPr>
            <w:tcW w:w="702" w:type="pct"/>
            <w:noWrap/>
            <w:hideMark/>
          </w:tcPr>
          <w:p w14:paraId="3AE9DDB3" w14:textId="77777777" w:rsidR="00CD7B9E" w:rsidRPr="00362EEE" w:rsidRDefault="00CD7B9E" w:rsidP="00CD7B9E">
            <w:pPr>
              <w:pStyle w:val="TableBodyRight"/>
            </w:pPr>
            <w:r w:rsidRPr="00362EEE">
              <w:t>5.9</w:t>
            </w:r>
          </w:p>
        </w:tc>
        <w:tc>
          <w:tcPr>
            <w:tcW w:w="741" w:type="pct"/>
            <w:noWrap/>
            <w:hideMark/>
          </w:tcPr>
          <w:p w14:paraId="38EAE6CE" w14:textId="77777777" w:rsidR="00CD7B9E" w:rsidRPr="00362EEE" w:rsidRDefault="00CD7B9E" w:rsidP="00CD7B9E">
            <w:pPr>
              <w:pStyle w:val="TableBodyRight"/>
            </w:pPr>
            <w:r w:rsidRPr="00362EEE">
              <w:t>7.3</w:t>
            </w:r>
          </w:p>
        </w:tc>
        <w:tc>
          <w:tcPr>
            <w:tcW w:w="702" w:type="pct"/>
            <w:noWrap/>
            <w:hideMark/>
          </w:tcPr>
          <w:p w14:paraId="26A55151" w14:textId="77777777" w:rsidR="00CD7B9E" w:rsidRPr="00362EEE" w:rsidRDefault="00CD7B9E" w:rsidP="00CD7B9E">
            <w:pPr>
              <w:pStyle w:val="TableBodyRight"/>
            </w:pPr>
            <w:r w:rsidRPr="00362EEE">
              <w:t>4.8</w:t>
            </w:r>
          </w:p>
        </w:tc>
        <w:tc>
          <w:tcPr>
            <w:tcW w:w="741" w:type="pct"/>
            <w:noWrap/>
            <w:hideMark/>
          </w:tcPr>
          <w:p w14:paraId="2F2D5A28" w14:textId="77777777" w:rsidR="00CD7B9E" w:rsidRPr="00362EEE" w:rsidRDefault="00CD7B9E" w:rsidP="00CD7B9E">
            <w:pPr>
              <w:pStyle w:val="TableBodyRight"/>
            </w:pPr>
            <w:r w:rsidRPr="00362EEE">
              <w:t>3.2</w:t>
            </w:r>
          </w:p>
        </w:tc>
        <w:tc>
          <w:tcPr>
            <w:tcW w:w="694" w:type="pct"/>
            <w:noWrap/>
            <w:hideMark/>
          </w:tcPr>
          <w:p w14:paraId="79E8802D" w14:textId="77777777" w:rsidR="00CD7B9E" w:rsidRPr="00362EEE" w:rsidRDefault="00CD7B9E" w:rsidP="00CD7B9E">
            <w:pPr>
              <w:pStyle w:val="TableBodyRight"/>
            </w:pPr>
            <w:r w:rsidRPr="00362EEE">
              <w:t>2.3</w:t>
            </w:r>
          </w:p>
        </w:tc>
      </w:tr>
      <w:tr w:rsidR="008F529F" w:rsidRPr="00362EEE" w14:paraId="30820641" w14:textId="77777777" w:rsidTr="008F529F">
        <w:trPr>
          <w:trHeight w:val="288"/>
        </w:trPr>
        <w:tc>
          <w:tcPr>
            <w:tcW w:w="679" w:type="pct"/>
            <w:noWrap/>
            <w:hideMark/>
          </w:tcPr>
          <w:p w14:paraId="3E0A137C" w14:textId="77777777" w:rsidR="00CD7B9E" w:rsidRPr="00362EEE" w:rsidRDefault="00CD7B9E" w:rsidP="00CD7B9E">
            <w:pPr>
              <w:pStyle w:val="TableBody"/>
            </w:pPr>
            <w:r w:rsidRPr="00362EEE">
              <w:t>2015-16</w:t>
            </w:r>
          </w:p>
        </w:tc>
        <w:tc>
          <w:tcPr>
            <w:tcW w:w="741" w:type="pct"/>
            <w:noWrap/>
            <w:hideMark/>
          </w:tcPr>
          <w:p w14:paraId="239A4B9F" w14:textId="77777777" w:rsidR="00CD7B9E" w:rsidRPr="00362EEE" w:rsidRDefault="00CD7B9E" w:rsidP="00CD7B9E">
            <w:pPr>
              <w:pStyle w:val="TableBodyRight"/>
            </w:pPr>
            <w:r w:rsidRPr="00362EEE">
              <w:t>6.8</w:t>
            </w:r>
          </w:p>
        </w:tc>
        <w:tc>
          <w:tcPr>
            <w:tcW w:w="702" w:type="pct"/>
            <w:noWrap/>
            <w:hideMark/>
          </w:tcPr>
          <w:p w14:paraId="7153E8DA" w14:textId="77777777" w:rsidR="00CD7B9E" w:rsidRPr="00362EEE" w:rsidRDefault="00CD7B9E" w:rsidP="00CD7B9E">
            <w:pPr>
              <w:pStyle w:val="TableBodyRight"/>
            </w:pPr>
            <w:r w:rsidRPr="00362EEE">
              <w:t>4.4</w:t>
            </w:r>
          </w:p>
        </w:tc>
        <w:tc>
          <w:tcPr>
            <w:tcW w:w="741" w:type="pct"/>
            <w:noWrap/>
            <w:hideMark/>
          </w:tcPr>
          <w:p w14:paraId="3B18E816" w14:textId="77777777" w:rsidR="00CD7B9E" w:rsidRPr="00362EEE" w:rsidRDefault="00CD7B9E" w:rsidP="00CD7B9E">
            <w:pPr>
              <w:pStyle w:val="TableBodyRight"/>
            </w:pPr>
            <w:r w:rsidRPr="00362EEE">
              <w:t>7.1</w:t>
            </w:r>
          </w:p>
        </w:tc>
        <w:tc>
          <w:tcPr>
            <w:tcW w:w="702" w:type="pct"/>
            <w:noWrap/>
            <w:hideMark/>
          </w:tcPr>
          <w:p w14:paraId="458C5541" w14:textId="77777777" w:rsidR="00CD7B9E" w:rsidRPr="00362EEE" w:rsidRDefault="00CD7B9E" w:rsidP="00CD7B9E">
            <w:pPr>
              <w:pStyle w:val="TableBodyRight"/>
            </w:pPr>
            <w:r w:rsidRPr="00362EEE">
              <w:t>4.6</w:t>
            </w:r>
          </w:p>
        </w:tc>
        <w:tc>
          <w:tcPr>
            <w:tcW w:w="741" w:type="pct"/>
            <w:noWrap/>
            <w:hideMark/>
          </w:tcPr>
          <w:p w14:paraId="33AF8079" w14:textId="77777777" w:rsidR="00CD7B9E" w:rsidRPr="00362EEE" w:rsidRDefault="00CD7B9E" w:rsidP="00CD7B9E">
            <w:pPr>
              <w:pStyle w:val="TableBodyRight"/>
            </w:pPr>
            <w:r w:rsidRPr="00362EEE">
              <w:t>5.3</w:t>
            </w:r>
          </w:p>
        </w:tc>
        <w:tc>
          <w:tcPr>
            <w:tcW w:w="694" w:type="pct"/>
            <w:noWrap/>
            <w:hideMark/>
          </w:tcPr>
          <w:p w14:paraId="6EE05DF9" w14:textId="77777777" w:rsidR="00CD7B9E" w:rsidRPr="00362EEE" w:rsidRDefault="00CD7B9E" w:rsidP="00CD7B9E">
            <w:pPr>
              <w:pStyle w:val="TableBodyRight"/>
            </w:pPr>
            <w:r w:rsidRPr="00362EEE">
              <w:t>3.2</w:t>
            </w:r>
          </w:p>
        </w:tc>
      </w:tr>
      <w:tr w:rsidR="008F529F" w:rsidRPr="00362EEE" w14:paraId="724DC1CF" w14:textId="77777777" w:rsidTr="008F529F">
        <w:trPr>
          <w:trHeight w:val="288"/>
        </w:trPr>
        <w:tc>
          <w:tcPr>
            <w:tcW w:w="679" w:type="pct"/>
            <w:noWrap/>
            <w:hideMark/>
          </w:tcPr>
          <w:p w14:paraId="0736BB91" w14:textId="77777777" w:rsidR="00CD7B9E" w:rsidRPr="00362EEE" w:rsidRDefault="00CD7B9E" w:rsidP="00CD7B9E">
            <w:pPr>
              <w:pStyle w:val="TableBody"/>
            </w:pPr>
            <w:r w:rsidRPr="00362EEE">
              <w:t>2016-17</w:t>
            </w:r>
          </w:p>
        </w:tc>
        <w:tc>
          <w:tcPr>
            <w:tcW w:w="741" w:type="pct"/>
            <w:noWrap/>
            <w:hideMark/>
          </w:tcPr>
          <w:p w14:paraId="59C655E2" w14:textId="77777777" w:rsidR="00CD7B9E" w:rsidRPr="00362EEE" w:rsidRDefault="00CD7B9E" w:rsidP="00CD7B9E">
            <w:pPr>
              <w:pStyle w:val="TableBodyRight"/>
            </w:pPr>
            <w:r w:rsidRPr="00362EEE">
              <w:t>6.3</w:t>
            </w:r>
          </w:p>
        </w:tc>
        <w:tc>
          <w:tcPr>
            <w:tcW w:w="702" w:type="pct"/>
            <w:noWrap/>
            <w:hideMark/>
          </w:tcPr>
          <w:p w14:paraId="28D99F63" w14:textId="77777777" w:rsidR="00CD7B9E" w:rsidRPr="00362EEE" w:rsidRDefault="00CD7B9E" w:rsidP="00CD7B9E">
            <w:pPr>
              <w:pStyle w:val="TableBodyRight"/>
            </w:pPr>
            <w:r w:rsidRPr="00362EEE">
              <w:t>4.0</w:t>
            </w:r>
          </w:p>
        </w:tc>
        <w:tc>
          <w:tcPr>
            <w:tcW w:w="741" w:type="pct"/>
            <w:noWrap/>
            <w:hideMark/>
          </w:tcPr>
          <w:p w14:paraId="3FC45C1A" w14:textId="77777777" w:rsidR="00CD7B9E" w:rsidRPr="00362EEE" w:rsidRDefault="00CD7B9E" w:rsidP="00CD7B9E">
            <w:pPr>
              <w:pStyle w:val="TableBodyRight"/>
            </w:pPr>
            <w:r w:rsidRPr="00362EEE">
              <w:t>8.5</w:t>
            </w:r>
          </w:p>
        </w:tc>
        <w:tc>
          <w:tcPr>
            <w:tcW w:w="702" w:type="pct"/>
            <w:noWrap/>
            <w:hideMark/>
          </w:tcPr>
          <w:p w14:paraId="6B0E21B1" w14:textId="77777777" w:rsidR="00CD7B9E" w:rsidRPr="00362EEE" w:rsidRDefault="00CD7B9E" w:rsidP="00CD7B9E">
            <w:pPr>
              <w:pStyle w:val="TableBodyRight"/>
            </w:pPr>
            <w:r w:rsidRPr="00362EEE">
              <w:t>5.8</w:t>
            </w:r>
          </w:p>
        </w:tc>
        <w:tc>
          <w:tcPr>
            <w:tcW w:w="741" w:type="pct"/>
            <w:noWrap/>
            <w:hideMark/>
          </w:tcPr>
          <w:p w14:paraId="182F71BF" w14:textId="77777777" w:rsidR="00CD7B9E" w:rsidRPr="00362EEE" w:rsidRDefault="00CD7B9E" w:rsidP="00CD7B9E">
            <w:pPr>
              <w:pStyle w:val="TableBodyRight"/>
            </w:pPr>
            <w:r w:rsidRPr="00362EEE">
              <w:t>4.3</w:t>
            </w:r>
          </w:p>
        </w:tc>
        <w:tc>
          <w:tcPr>
            <w:tcW w:w="694" w:type="pct"/>
            <w:noWrap/>
            <w:hideMark/>
          </w:tcPr>
          <w:p w14:paraId="6F2B7C55" w14:textId="77777777" w:rsidR="00CD7B9E" w:rsidRPr="00362EEE" w:rsidRDefault="00CD7B9E" w:rsidP="00CD7B9E">
            <w:pPr>
              <w:pStyle w:val="TableBodyRight"/>
            </w:pPr>
            <w:r w:rsidRPr="00362EEE">
              <w:t>2.5</w:t>
            </w:r>
          </w:p>
        </w:tc>
      </w:tr>
      <w:tr w:rsidR="008F529F" w:rsidRPr="00362EEE" w14:paraId="3BF0DA1D" w14:textId="77777777" w:rsidTr="008F529F">
        <w:trPr>
          <w:trHeight w:val="288"/>
        </w:trPr>
        <w:tc>
          <w:tcPr>
            <w:tcW w:w="679" w:type="pct"/>
            <w:noWrap/>
            <w:hideMark/>
          </w:tcPr>
          <w:p w14:paraId="2C1128FF" w14:textId="77777777" w:rsidR="00CD7B9E" w:rsidRPr="00362EEE" w:rsidRDefault="00CD7B9E" w:rsidP="00CD7B9E">
            <w:pPr>
              <w:pStyle w:val="TableBody"/>
            </w:pPr>
            <w:r w:rsidRPr="00362EEE">
              <w:t>2017-18</w:t>
            </w:r>
          </w:p>
        </w:tc>
        <w:tc>
          <w:tcPr>
            <w:tcW w:w="741" w:type="pct"/>
            <w:noWrap/>
            <w:hideMark/>
          </w:tcPr>
          <w:p w14:paraId="295E8FC9" w14:textId="77777777" w:rsidR="00CD7B9E" w:rsidRPr="00362EEE" w:rsidRDefault="00CD7B9E" w:rsidP="00CD7B9E">
            <w:pPr>
              <w:pStyle w:val="TableBodyRight"/>
            </w:pPr>
            <w:r w:rsidRPr="00362EEE">
              <w:t>8.6</w:t>
            </w:r>
          </w:p>
        </w:tc>
        <w:tc>
          <w:tcPr>
            <w:tcW w:w="702" w:type="pct"/>
            <w:noWrap/>
            <w:hideMark/>
          </w:tcPr>
          <w:p w14:paraId="2BBEE0FF" w14:textId="77777777" w:rsidR="00CD7B9E" w:rsidRPr="00362EEE" w:rsidRDefault="00CD7B9E" w:rsidP="00CD7B9E">
            <w:pPr>
              <w:pStyle w:val="TableBodyRight"/>
            </w:pPr>
            <w:r w:rsidRPr="00362EEE">
              <w:t>5.9</w:t>
            </w:r>
          </w:p>
        </w:tc>
        <w:tc>
          <w:tcPr>
            <w:tcW w:w="741" w:type="pct"/>
            <w:noWrap/>
            <w:hideMark/>
          </w:tcPr>
          <w:p w14:paraId="54CA5B58" w14:textId="77777777" w:rsidR="00CD7B9E" w:rsidRPr="00362EEE" w:rsidRDefault="00CD7B9E" w:rsidP="00CD7B9E">
            <w:pPr>
              <w:pStyle w:val="TableBodyRight"/>
            </w:pPr>
            <w:r w:rsidRPr="00362EEE">
              <w:t>9.3</w:t>
            </w:r>
          </w:p>
        </w:tc>
        <w:tc>
          <w:tcPr>
            <w:tcW w:w="702" w:type="pct"/>
            <w:noWrap/>
            <w:hideMark/>
          </w:tcPr>
          <w:p w14:paraId="721F2E76" w14:textId="77777777" w:rsidR="00CD7B9E" w:rsidRPr="00362EEE" w:rsidRDefault="00CD7B9E" w:rsidP="00CD7B9E">
            <w:pPr>
              <w:pStyle w:val="TableBodyRight"/>
            </w:pPr>
            <w:r w:rsidRPr="00362EEE">
              <w:t>6.4</w:t>
            </w:r>
          </w:p>
        </w:tc>
        <w:tc>
          <w:tcPr>
            <w:tcW w:w="741" w:type="pct"/>
            <w:noWrap/>
            <w:hideMark/>
          </w:tcPr>
          <w:p w14:paraId="3146497F" w14:textId="77777777" w:rsidR="00CD7B9E" w:rsidRPr="00362EEE" w:rsidRDefault="00CD7B9E" w:rsidP="00CD7B9E">
            <w:pPr>
              <w:pStyle w:val="TableBodyRight"/>
            </w:pPr>
            <w:r w:rsidRPr="00362EEE">
              <w:t>5.4</w:t>
            </w:r>
          </w:p>
        </w:tc>
        <w:tc>
          <w:tcPr>
            <w:tcW w:w="694" w:type="pct"/>
            <w:noWrap/>
            <w:hideMark/>
          </w:tcPr>
          <w:p w14:paraId="707E64E0" w14:textId="77777777" w:rsidR="00CD7B9E" w:rsidRPr="00362EEE" w:rsidRDefault="00CD7B9E" w:rsidP="00CD7B9E">
            <w:pPr>
              <w:pStyle w:val="TableBodyRight"/>
            </w:pPr>
            <w:r w:rsidRPr="00362EEE">
              <w:t>3.3</w:t>
            </w:r>
          </w:p>
        </w:tc>
      </w:tr>
      <w:tr w:rsidR="008F529F" w:rsidRPr="00362EEE" w14:paraId="254E095C" w14:textId="77777777" w:rsidTr="008F529F">
        <w:trPr>
          <w:trHeight w:val="288"/>
        </w:trPr>
        <w:tc>
          <w:tcPr>
            <w:tcW w:w="679" w:type="pct"/>
            <w:noWrap/>
            <w:hideMark/>
          </w:tcPr>
          <w:p w14:paraId="21EC6460" w14:textId="77777777" w:rsidR="00CD7B9E" w:rsidRPr="00362EEE" w:rsidRDefault="00CD7B9E" w:rsidP="00CD7B9E">
            <w:pPr>
              <w:pStyle w:val="TableBody"/>
            </w:pPr>
            <w:r w:rsidRPr="00362EEE">
              <w:t>2018-19</w:t>
            </w:r>
          </w:p>
        </w:tc>
        <w:tc>
          <w:tcPr>
            <w:tcW w:w="741" w:type="pct"/>
            <w:noWrap/>
            <w:hideMark/>
          </w:tcPr>
          <w:p w14:paraId="04D3888D" w14:textId="77777777" w:rsidR="00CD7B9E" w:rsidRPr="00362EEE" w:rsidRDefault="00CD7B9E" w:rsidP="00CD7B9E">
            <w:pPr>
              <w:pStyle w:val="TableBodyRight"/>
            </w:pPr>
            <w:r w:rsidRPr="00362EEE">
              <w:t>8.0</w:t>
            </w:r>
          </w:p>
        </w:tc>
        <w:tc>
          <w:tcPr>
            <w:tcW w:w="702" w:type="pct"/>
            <w:noWrap/>
            <w:hideMark/>
          </w:tcPr>
          <w:p w14:paraId="422A3C40" w14:textId="77777777" w:rsidR="00CD7B9E" w:rsidRPr="00362EEE" w:rsidRDefault="00CD7B9E" w:rsidP="00CD7B9E">
            <w:pPr>
              <w:pStyle w:val="TableBodyRight"/>
            </w:pPr>
            <w:r w:rsidRPr="00362EEE">
              <w:t>5.4</w:t>
            </w:r>
          </w:p>
        </w:tc>
        <w:tc>
          <w:tcPr>
            <w:tcW w:w="741" w:type="pct"/>
            <w:noWrap/>
            <w:hideMark/>
          </w:tcPr>
          <w:p w14:paraId="69563179" w14:textId="77777777" w:rsidR="00CD7B9E" w:rsidRPr="00362EEE" w:rsidRDefault="00CD7B9E" w:rsidP="00CD7B9E">
            <w:pPr>
              <w:pStyle w:val="TableBodyRight"/>
            </w:pPr>
            <w:r w:rsidRPr="00362EEE">
              <w:t>9.8</w:t>
            </w:r>
          </w:p>
        </w:tc>
        <w:tc>
          <w:tcPr>
            <w:tcW w:w="702" w:type="pct"/>
            <w:noWrap/>
            <w:hideMark/>
          </w:tcPr>
          <w:p w14:paraId="2AB4E113" w14:textId="77777777" w:rsidR="00CD7B9E" w:rsidRPr="00362EEE" w:rsidRDefault="00CD7B9E" w:rsidP="00CD7B9E">
            <w:pPr>
              <w:pStyle w:val="TableBodyRight"/>
            </w:pPr>
            <w:r w:rsidRPr="00362EEE">
              <w:t>6.8</w:t>
            </w:r>
          </w:p>
        </w:tc>
        <w:tc>
          <w:tcPr>
            <w:tcW w:w="741" w:type="pct"/>
            <w:noWrap/>
            <w:hideMark/>
          </w:tcPr>
          <w:p w14:paraId="782B61E0" w14:textId="77777777" w:rsidR="00CD7B9E" w:rsidRPr="00362EEE" w:rsidRDefault="00CD7B9E" w:rsidP="00CD7B9E">
            <w:pPr>
              <w:pStyle w:val="TableBodyRight"/>
            </w:pPr>
            <w:r w:rsidRPr="00362EEE">
              <w:t>5.2</w:t>
            </w:r>
          </w:p>
        </w:tc>
        <w:tc>
          <w:tcPr>
            <w:tcW w:w="694" w:type="pct"/>
            <w:noWrap/>
            <w:hideMark/>
          </w:tcPr>
          <w:p w14:paraId="3356D59F" w14:textId="77777777" w:rsidR="00CD7B9E" w:rsidRPr="00362EEE" w:rsidRDefault="00CD7B9E" w:rsidP="00CD7B9E">
            <w:pPr>
              <w:pStyle w:val="TableBodyRight"/>
            </w:pPr>
            <w:r w:rsidRPr="00362EEE">
              <w:t>3.2</w:t>
            </w:r>
          </w:p>
        </w:tc>
      </w:tr>
      <w:tr w:rsidR="008F529F" w:rsidRPr="00362EEE" w14:paraId="4932FC73" w14:textId="77777777" w:rsidTr="008F529F">
        <w:trPr>
          <w:trHeight w:val="288"/>
        </w:trPr>
        <w:tc>
          <w:tcPr>
            <w:tcW w:w="679" w:type="pct"/>
            <w:noWrap/>
            <w:hideMark/>
          </w:tcPr>
          <w:p w14:paraId="3DC9C4AC" w14:textId="77777777" w:rsidR="008B5290" w:rsidRPr="00362EEE" w:rsidRDefault="008B5290" w:rsidP="008B5290">
            <w:pPr>
              <w:pStyle w:val="TableBody"/>
            </w:pPr>
            <w:r w:rsidRPr="00362EEE">
              <w:t>2019-20</w:t>
            </w:r>
          </w:p>
        </w:tc>
        <w:tc>
          <w:tcPr>
            <w:tcW w:w="741" w:type="pct"/>
            <w:noWrap/>
            <w:hideMark/>
          </w:tcPr>
          <w:p w14:paraId="008AC172" w14:textId="77777777" w:rsidR="008B5290" w:rsidRPr="00362EEE" w:rsidRDefault="008B5290" w:rsidP="008B5290">
            <w:pPr>
              <w:pStyle w:val="TableBodyRight"/>
            </w:pPr>
            <w:r w:rsidRPr="00362EEE">
              <w:t>7.3</w:t>
            </w:r>
          </w:p>
        </w:tc>
        <w:tc>
          <w:tcPr>
            <w:tcW w:w="702" w:type="pct"/>
            <w:noWrap/>
            <w:hideMark/>
          </w:tcPr>
          <w:p w14:paraId="662BE66A" w14:textId="77777777" w:rsidR="008B5290" w:rsidRPr="00362EEE" w:rsidRDefault="008B5290" w:rsidP="008B5290">
            <w:pPr>
              <w:pStyle w:val="TableBodyRight"/>
            </w:pPr>
            <w:r w:rsidRPr="00362EEE">
              <w:t>4.9</w:t>
            </w:r>
          </w:p>
        </w:tc>
        <w:tc>
          <w:tcPr>
            <w:tcW w:w="741" w:type="pct"/>
            <w:noWrap/>
            <w:hideMark/>
          </w:tcPr>
          <w:p w14:paraId="3D334C99" w14:textId="25AF62DF" w:rsidR="008B5290" w:rsidRPr="003D676F" w:rsidRDefault="008B5290" w:rsidP="003D676F">
            <w:pPr>
              <w:pStyle w:val="TableBodyRight"/>
            </w:pPr>
            <w:proofErr w:type="spellStart"/>
            <w:r w:rsidRPr="003D676F">
              <w:t>n.a.</w:t>
            </w:r>
            <w:proofErr w:type="spellEnd"/>
          </w:p>
        </w:tc>
        <w:tc>
          <w:tcPr>
            <w:tcW w:w="702" w:type="pct"/>
            <w:noWrap/>
            <w:hideMark/>
          </w:tcPr>
          <w:p w14:paraId="740E5196" w14:textId="5E2513D8" w:rsidR="008B5290" w:rsidRPr="003D676F" w:rsidRDefault="008B5290" w:rsidP="003D676F">
            <w:pPr>
              <w:pStyle w:val="TableBodyRight"/>
            </w:pPr>
            <w:proofErr w:type="spellStart"/>
            <w:r w:rsidRPr="003D676F">
              <w:t>n.a.</w:t>
            </w:r>
            <w:proofErr w:type="spellEnd"/>
          </w:p>
        </w:tc>
        <w:tc>
          <w:tcPr>
            <w:tcW w:w="741" w:type="pct"/>
            <w:noWrap/>
            <w:hideMark/>
          </w:tcPr>
          <w:p w14:paraId="645CD6AF" w14:textId="77777777" w:rsidR="008B5290" w:rsidRPr="00362EEE" w:rsidRDefault="008B5290" w:rsidP="008B5290">
            <w:pPr>
              <w:pStyle w:val="TableBodyRight"/>
            </w:pPr>
            <w:r w:rsidRPr="00362EEE">
              <w:t>5.8</w:t>
            </w:r>
          </w:p>
        </w:tc>
        <w:tc>
          <w:tcPr>
            <w:tcW w:w="694" w:type="pct"/>
            <w:noWrap/>
            <w:hideMark/>
          </w:tcPr>
          <w:p w14:paraId="58A4E6B1" w14:textId="77777777" w:rsidR="008B5290" w:rsidRPr="00362EEE" w:rsidRDefault="008B5290" w:rsidP="008B5290">
            <w:pPr>
              <w:pStyle w:val="TableBodyRight"/>
            </w:pPr>
            <w:r w:rsidRPr="00362EEE">
              <w:t>3.6</w:t>
            </w:r>
          </w:p>
        </w:tc>
      </w:tr>
    </w:tbl>
    <w:p w14:paraId="5A01ACE0" w14:textId="77777777" w:rsidR="00E62AE6" w:rsidRPr="00E62AE6" w:rsidRDefault="00E62AE6" w:rsidP="00CD4BE8">
      <w:pPr>
        <w:pStyle w:val="Heading1"/>
      </w:pPr>
      <w:bookmarkStart w:id="8" w:name="_Toc112770338"/>
      <w:r w:rsidRPr="00E62AE6">
        <w:lastRenderedPageBreak/>
        <w:t>Conclusion</w:t>
      </w:r>
      <w:bookmarkEnd w:id="8"/>
    </w:p>
    <w:p w14:paraId="0D51EA70" w14:textId="77777777" w:rsidR="00E62AE6" w:rsidRPr="00E62AE6" w:rsidRDefault="00E62AE6" w:rsidP="0031029F">
      <w:r w:rsidRPr="00E62AE6">
        <w:t>The key findings of the analysis in this report are that:</w:t>
      </w:r>
    </w:p>
    <w:p w14:paraId="1A9B9518" w14:textId="77777777" w:rsidR="00E62AE6" w:rsidRPr="00E62AE6" w:rsidRDefault="00E62AE6" w:rsidP="0031029F">
      <w:pPr>
        <w:pStyle w:val="Bullets"/>
      </w:pPr>
      <w:r w:rsidRPr="00E62AE6">
        <w:t>in the higher courts, there was either a drop or a stable rate in all serious offences analysed over the last 20 years. There are fewer cases each year of culpable driving causing death, intentionally causing serious injury, recklessly causing serious injury and trafficking in a non-commercial quantity of drugs. The rest were stable – there were no noticeable increases. The decreases could be partly because some of these offences are less prevalent than they were previously (especially the causing serious injury offences given the decrease in the number of these offences recorded by police) but they may also be because changes in plea negotiation practices are affecting what charges are ultimately sentenced, and/or some of these cases now being finalised in the summary jurisdiction instead of in the higher courts;</w:t>
      </w:r>
    </w:p>
    <w:p w14:paraId="5DB37B5B" w14:textId="77777777" w:rsidR="00E62AE6" w:rsidRPr="00E62AE6" w:rsidRDefault="00E62AE6" w:rsidP="0031029F">
      <w:pPr>
        <w:pStyle w:val="Bullets"/>
      </w:pPr>
      <w:r w:rsidRPr="00E62AE6">
        <w:t>courts are increasingly imposing immediate custodial sentences for serious offences, much of which appears attributable to the abolition of suspended sentences and the more recent introduction of category 1 and 2 offence classification; and</w:t>
      </w:r>
    </w:p>
    <w:p w14:paraId="49903065" w14:textId="28A16D02" w:rsidR="00E62AE6" w:rsidRDefault="00E62AE6" w:rsidP="0031029F">
      <w:pPr>
        <w:pStyle w:val="Bullets"/>
      </w:pPr>
      <w:r w:rsidRPr="00E62AE6">
        <w:t>most prominently, courts are imposing longer prison sentences for all of the analysed homicide offences, serious violent offences and serious sex offences, and for trafficking in a commercial and large commercial quantity of drugs. In effect, prison sentences have increased significantly for almost every serious offence analysed, the only exception being the stable prison sentence lengths for cultivating a commercial quantity of narcotic plants. And these increases have occurred across the 20-year period.</w:t>
      </w:r>
    </w:p>
    <w:p w14:paraId="69EEF9DF" w14:textId="2A61826F" w:rsidR="00DB215D" w:rsidRPr="00E5783B" w:rsidRDefault="00DB215D" w:rsidP="000B5939">
      <w:pPr>
        <w:pStyle w:val="IntenseQuote"/>
      </w:pPr>
      <w:r w:rsidRPr="00E5783B">
        <w:lastRenderedPageBreak/>
        <w:t>In the last 20 years, there has been a significant increase in</w:t>
      </w:r>
      <w:r w:rsidR="000B5939">
        <w:t xml:space="preserve"> </w:t>
      </w:r>
      <w:r w:rsidRPr="00E5783B">
        <w:t>the percentage of people sentenced to prison and</w:t>
      </w:r>
      <w:r w:rsidR="000B5939">
        <w:t xml:space="preserve"> </w:t>
      </w:r>
      <w:r w:rsidRPr="00E5783B">
        <w:t>the lengths of prison sentences imposed</w:t>
      </w:r>
      <w:r w:rsidR="000B5939">
        <w:t xml:space="preserve"> </w:t>
      </w:r>
      <w:r w:rsidRPr="00E5783B">
        <w:t>for serious offences in the higher courts.</w:t>
      </w:r>
    </w:p>
    <w:p w14:paraId="3B9D6078" w14:textId="77777777" w:rsidR="00E62AE6" w:rsidRPr="0031029F" w:rsidRDefault="00E62AE6" w:rsidP="0031029F">
      <w:r w:rsidRPr="0031029F">
        <w:t xml:space="preserve">Together, these findings suggest that sentencing outcomes in Victoria’s higher courts are much more severe now than they were 20 years ago. Victoria’s prison population has grown significantly in recent decades, not just in number but </w:t>
      </w:r>
      <w:r w:rsidRPr="00E62AE6">
        <w:rPr>
          <w:rStyle w:val="Italic"/>
        </w:rPr>
        <w:t>per capita</w:t>
      </w:r>
      <w:r w:rsidRPr="0031029F">
        <w:t>. In 2000, 67 of every 100,000 Victorians were in prison (3,153 people); by 2019, that per capita rate had almost doubled to 123 per 100,000 Victorians (8,101 people).</w:t>
      </w:r>
      <w:r w:rsidRPr="00E62AE6">
        <w:rPr>
          <w:rStyle w:val="Superscript"/>
        </w:rPr>
        <w:footnoteReference w:id="39"/>
      </w:r>
      <w:r w:rsidRPr="0031029F">
        <w:t xml:space="preserve"> The increase in Victoria’s prison population is in no small part because more people are being held on remand and because more people are receiving short prison sentences.</w:t>
      </w:r>
      <w:r w:rsidRPr="00E62AE6">
        <w:rPr>
          <w:rStyle w:val="Superscript"/>
        </w:rPr>
        <w:footnoteReference w:id="40"/>
      </w:r>
      <w:r w:rsidRPr="0031029F">
        <w:t xml:space="preserve"> The findings of this report suggest that there is also a third explanation, that people are spending longer in prison for serious offences.</w:t>
      </w:r>
    </w:p>
    <w:p w14:paraId="1F8AA3E7" w14:textId="77777777" w:rsidR="00E62AE6" w:rsidRPr="00E62AE6" w:rsidRDefault="00E62AE6" w:rsidP="00CD4BE8">
      <w:pPr>
        <w:pStyle w:val="Heading1"/>
      </w:pPr>
      <w:bookmarkStart w:id="9" w:name="_Toc112770339"/>
      <w:r w:rsidRPr="00CD4BE8">
        <w:lastRenderedPageBreak/>
        <w:t>References</w:t>
      </w:r>
      <w:bookmarkEnd w:id="9"/>
    </w:p>
    <w:p w14:paraId="24BE9343" w14:textId="77777777" w:rsidR="00E62AE6" w:rsidRPr="00E5783B" w:rsidRDefault="00E62AE6" w:rsidP="00E5783B">
      <w:pPr>
        <w:pStyle w:val="Heading2"/>
      </w:pPr>
      <w:r w:rsidRPr="00E5783B">
        <w:t>Bibliography</w:t>
      </w:r>
    </w:p>
    <w:p w14:paraId="3E24299D" w14:textId="77777777" w:rsidR="00E62AE6" w:rsidRPr="00E62AE6" w:rsidRDefault="00E62AE6" w:rsidP="002303F4">
      <w:r w:rsidRPr="00E62AE6">
        <w:t xml:space="preserve">Australian Bureau of Statistics, </w:t>
      </w:r>
      <w:r w:rsidRPr="00E62AE6">
        <w:rPr>
          <w:rStyle w:val="Italic"/>
        </w:rPr>
        <w:t>National, State and Territory Population</w:t>
      </w:r>
      <w:r w:rsidRPr="00E62AE6">
        <w:t xml:space="preserve"> (abs.gov.au, 2022) &lt;https://www.abs.gov.au/statistics/people/population/national-state-and-territory-population/latest-release&gt;.</w:t>
      </w:r>
    </w:p>
    <w:p w14:paraId="0C5D2F53" w14:textId="77777777" w:rsidR="00E62AE6" w:rsidRPr="00E62AE6" w:rsidRDefault="00E62AE6" w:rsidP="002303F4">
      <w:r w:rsidRPr="00E62AE6">
        <w:t>Corrections Victoria, ‘Prisoner and Offender Statistics’, Corrections, Prison &amp; Parole (corrections.vic.gov.au, 2022) &lt;sentencingcouncil.vic.gov.au/sentencing-statistics/cases-sentenced-higher-courts&gt;.</w:t>
      </w:r>
    </w:p>
    <w:p w14:paraId="6DED3AF9" w14:textId="77777777" w:rsidR="00E62AE6" w:rsidRPr="00E62AE6" w:rsidRDefault="00E62AE6" w:rsidP="002303F4">
      <w:r w:rsidRPr="00E62AE6">
        <w:t>Crime Statistics Agency, ‘Year Ending 31 December 2021’ (crimestatistics.vic.gov.au, 2022) &lt;https://www.crimestatistics.vic.gov.au/crime-statistics/download-crime-data/year-ending-31-december-2021&gt;.</w:t>
      </w:r>
    </w:p>
    <w:p w14:paraId="40FC48A9" w14:textId="77777777" w:rsidR="00E62AE6" w:rsidRPr="00E62AE6" w:rsidRDefault="00E62AE6" w:rsidP="002303F4">
      <w:r w:rsidRPr="00E62AE6">
        <w:t xml:space="preserve">Freiberg, Arie and Asher Flynn, </w:t>
      </w:r>
      <w:r w:rsidRPr="00E606B5">
        <w:rPr>
          <w:rStyle w:val="Italic"/>
        </w:rPr>
        <w:t xml:space="preserve">Plea Negotiations: Pragmatic Justice in an Imperfect World </w:t>
      </w:r>
      <w:r w:rsidRPr="00E62AE6">
        <w:t xml:space="preserve">(Palgrave Macmillan, 2018). </w:t>
      </w:r>
    </w:p>
    <w:p w14:paraId="297C4BF2" w14:textId="77777777" w:rsidR="00E62AE6" w:rsidRPr="00E62AE6" w:rsidRDefault="00E62AE6" w:rsidP="002303F4">
      <w:r w:rsidRPr="00E62AE6">
        <w:t xml:space="preserve">Parliament of Victoria, Legal and Social Issues Committee, </w:t>
      </w:r>
      <w:r w:rsidRPr="00E62AE6">
        <w:rPr>
          <w:rStyle w:val="Italic"/>
        </w:rPr>
        <w:t xml:space="preserve">Inquiry into Victoria’s Criminal Justice System </w:t>
      </w:r>
      <w:r w:rsidRPr="00E62AE6">
        <w:t>(Victorian Government Printer, 2022).</w:t>
      </w:r>
    </w:p>
    <w:p w14:paraId="207A4082" w14:textId="77777777" w:rsidR="00E62AE6" w:rsidRPr="00E62AE6" w:rsidRDefault="00E62AE6" w:rsidP="002303F4">
      <w:r w:rsidRPr="00E62AE6">
        <w:t xml:space="preserve">Productivity Commission, </w:t>
      </w:r>
      <w:r w:rsidRPr="00E62AE6">
        <w:rPr>
          <w:rStyle w:val="Italic"/>
        </w:rPr>
        <w:t xml:space="preserve">Australia’s Prison Dilemma: Research Paper </w:t>
      </w:r>
      <w:r w:rsidRPr="00E62AE6">
        <w:t>(Productivity Commission, 2021).</w:t>
      </w:r>
    </w:p>
    <w:p w14:paraId="0D097A8B" w14:textId="77777777" w:rsidR="00E62AE6" w:rsidRPr="00E62AE6" w:rsidRDefault="00E62AE6" w:rsidP="002303F4">
      <w:r w:rsidRPr="00E62AE6">
        <w:t>Sentencing Advisory Council, ‘Cases Sentenced in the Higher Courts’ (sentencingcouncil.vic.gov.au, 2022) &lt;sentencingcouncil.vic.gov.au/sentencing-statistics/cases-sentenced-higher-courts&gt;.</w:t>
      </w:r>
    </w:p>
    <w:p w14:paraId="3FAEECA1" w14:textId="77777777" w:rsidR="00E62AE6" w:rsidRPr="00E62AE6" w:rsidRDefault="00E62AE6" w:rsidP="002303F4">
      <w:r w:rsidRPr="00E62AE6">
        <w:t>Sentencing Advisory Council, ‘Cases Sentenced in the Magistrates’ Court’ (sentencingcouncil.vic.gov.au, 2022) &lt;https://www.sentencingcouncil.vic.gov.au/sentencing-statistics/cases-sentenced-magistrates-court&gt;.</w:t>
      </w:r>
    </w:p>
    <w:p w14:paraId="34B8B6EE" w14:textId="77777777" w:rsidR="00E62AE6" w:rsidRPr="00E62AE6" w:rsidRDefault="00E62AE6" w:rsidP="002303F4">
      <w:r w:rsidRPr="00E62AE6">
        <w:lastRenderedPageBreak/>
        <w:t xml:space="preserve">Sentencing Advisory Council, </w:t>
      </w:r>
      <w:r w:rsidRPr="00E62AE6">
        <w:rPr>
          <w:rStyle w:val="Italic"/>
        </w:rPr>
        <w:t xml:space="preserve">Community Correction Orders: Third Monitoring Report (Post-Guideline Judgment) </w:t>
      </w:r>
      <w:r w:rsidRPr="00E62AE6">
        <w:t>(Sentencing Advisory Council, 2016).</w:t>
      </w:r>
    </w:p>
    <w:p w14:paraId="2D4E8528" w14:textId="77777777" w:rsidR="00E62AE6" w:rsidRPr="00E62AE6" w:rsidRDefault="00E62AE6" w:rsidP="002303F4">
      <w:r w:rsidRPr="00E62AE6">
        <w:t xml:space="preserve">Sentencing Advisory Council, </w:t>
      </w:r>
      <w:r w:rsidRPr="00E62AE6">
        <w:rPr>
          <w:rStyle w:val="Italic"/>
        </w:rPr>
        <w:t xml:space="preserve">Major Driving Offences: Current Sentencing Practices </w:t>
      </w:r>
      <w:r w:rsidRPr="00E62AE6">
        <w:t>(Sentencing Advisory Council, 2015).</w:t>
      </w:r>
    </w:p>
    <w:p w14:paraId="385707F4" w14:textId="77777777" w:rsidR="00E62AE6" w:rsidRPr="00E62AE6" w:rsidRDefault="00E62AE6" w:rsidP="002303F4">
      <w:r w:rsidRPr="00E62AE6">
        <w:t xml:space="preserve">Sentencing Advisory Council, ‘SACStat Higher Courts: Dangerous Driving Causing Death’ (sentencingcouncil.vic.gov.au, 2022) &lt;https://www.sentencingcouncil.vic.gov.au/sacstat/higher_courts/HC_6231_319_1.html&gt;. </w:t>
      </w:r>
    </w:p>
    <w:p w14:paraId="7DD8ECDC" w14:textId="77777777" w:rsidR="00E62AE6" w:rsidRPr="00E62AE6" w:rsidRDefault="00E62AE6" w:rsidP="002303F4">
      <w:r w:rsidRPr="00E62AE6">
        <w:t xml:space="preserve">Sentencing Advisory Council, </w:t>
      </w:r>
      <w:r w:rsidRPr="00E62AE6">
        <w:rPr>
          <w:rStyle w:val="Italic"/>
        </w:rPr>
        <w:t xml:space="preserve">Sentencing Guidance in Victoria </w:t>
      </w:r>
      <w:r w:rsidRPr="00E62AE6">
        <w:t>(Sentencing Advisory Council, 2016).</w:t>
      </w:r>
    </w:p>
    <w:p w14:paraId="0603B03B" w14:textId="77777777" w:rsidR="00E62AE6" w:rsidRPr="00E62AE6" w:rsidRDefault="00E62AE6" w:rsidP="002303F4">
      <w:r w:rsidRPr="00E62AE6">
        <w:t xml:space="preserve">Sentencing Advisory Council, </w:t>
      </w:r>
      <w:r w:rsidRPr="00E62AE6">
        <w:rPr>
          <w:rStyle w:val="Italic"/>
        </w:rPr>
        <w:t xml:space="preserve">Sentencing Sex Offences in Victoria: An Analysis of Three Sentencing Reforms </w:t>
      </w:r>
      <w:r w:rsidRPr="00E62AE6">
        <w:t>(Sentencing Advisory Council, 2021).</w:t>
      </w:r>
    </w:p>
    <w:p w14:paraId="568C8818" w14:textId="77777777" w:rsidR="00E62AE6" w:rsidRPr="00E62AE6" w:rsidRDefault="00E62AE6" w:rsidP="002303F4">
      <w:r w:rsidRPr="00E62AE6">
        <w:t xml:space="preserve">Sentencing Advisory Council, </w:t>
      </w:r>
      <w:r w:rsidRPr="00E62AE6">
        <w:rPr>
          <w:rStyle w:val="Italic"/>
        </w:rPr>
        <w:t xml:space="preserve">Time Served Prison Sentences in Victoria </w:t>
      </w:r>
      <w:r w:rsidRPr="00E62AE6">
        <w:t>(Sentencing Advisory Council, 2020).</w:t>
      </w:r>
    </w:p>
    <w:p w14:paraId="684DF78E" w14:textId="77777777" w:rsidR="00E62AE6" w:rsidRPr="00E62AE6" w:rsidRDefault="00E62AE6" w:rsidP="002303F4">
      <w:r w:rsidRPr="00E62AE6">
        <w:t>Sentencing Advisory Council, ‘Victoria’s Imprisonment Rates’ (sentencingcouncil.vic.gov.au, 2022) &lt;https://www.sentencingcouncil.vic.gov.au/sentencing-statistics/victorias-imprisonment-rates&gt;.</w:t>
      </w:r>
    </w:p>
    <w:p w14:paraId="121EDF93" w14:textId="77777777" w:rsidR="00E62AE6" w:rsidRPr="00E62AE6" w:rsidRDefault="00E62AE6" w:rsidP="00E62AE6">
      <w:pPr>
        <w:pStyle w:val="Heading2"/>
      </w:pPr>
      <w:r w:rsidRPr="00E62AE6">
        <w:t>Case law</w:t>
      </w:r>
    </w:p>
    <w:p w14:paraId="4573CDD6" w14:textId="77777777" w:rsidR="00E62AE6" w:rsidRPr="00E62AE6" w:rsidRDefault="00E62AE6" w:rsidP="002303F4">
      <w:r w:rsidRPr="00E62AE6">
        <w:rPr>
          <w:rStyle w:val="Italic"/>
        </w:rPr>
        <w:t xml:space="preserve">Boulton &amp; </w:t>
      </w:r>
      <w:proofErr w:type="spellStart"/>
      <w:r w:rsidRPr="00E62AE6">
        <w:rPr>
          <w:rStyle w:val="Italic"/>
        </w:rPr>
        <w:t>Ors</w:t>
      </w:r>
      <w:proofErr w:type="spellEnd"/>
      <w:r w:rsidRPr="00E62AE6">
        <w:rPr>
          <w:rStyle w:val="Italic"/>
        </w:rPr>
        <w:t xml:space="preserve"> v The Queen </w:t>
      </w:r>
      <w:r w:rsidRPr="00E62AE6">
        <w:t>[2014] VSCA 342</w:t>
      </w:r>
    </w:p>
    <w:p w14:paraId="06AC76DE" w14:textId="77777777" w:rsidR="00E62AE6" w:rsidRPr="00E62AE6" w:rsidRDefault="00E62AE6" w:rsidP="002303F4">
      <w:r w:rsidRPr="00E62AE6">
        <w:rPr>
          <w:rStyle w:val="Italic"/>
        </w:rPr>
        <w:t xml:space="preserve">DPP v Bowen </w:t>
      </w:r>
      <w:r w:rsidRPr="00E62AE6">
        <w:t>[2021] VSCA 355</w:t>
      </w:r>
    </w:p>
    <w:p w14:paraId="2158DA3F" w14:textId="77777777" w:rsidR="00E62AE6" w:rsidRPr="00E62AE6" w:rsidRDefault="00E62AE6" w:rsidP="002303F4">
      <w:r w:rsidRPr="00E62AE6">
        <w:rPr>
          <w:rStyle w:val="Italic"/>
        </w:rPr>
        <w:t xml:space="preserve">Gregory (A Pseudonym) v The Queen </w:t>
      </w:r>
      <w:r w:rsidRPr="00E62AE6">
        <w:t>[2017] VSCA 151</w:t>
      </w:r>
    </w:p>
    <w:p w14:paraId="68B9742F" w14:textId="77777777" w:rsidR="00E62AE6" w:rsidRPr="00E62AE6" w:rsidRDefault="00E62AE6" w:rsidP="002303F4">
      <w:r w:rsidRPr="00E62AE6">
        <w:rPr>
          <w:rStyle w:val="Italic"/>
        </w:rPr>
        <w:t xml:space="preserve">Quah v The Queen </w:t>
      </w:r>
      <w:r w:rsidRPr="00E62AE6">
        <w:t>[2021] VSCA 164</w:t>
      </w:r>
    </w:p>
    <w:p w14:paraId="2DAB0BFD" w14:textId="77777777" w:rsidR="00E62AE6" w:rsidRPr="00E62AE6" w:rsidRDefault="00E62AE6" w:rsidP="002303F4">
      <w:proofErr w:type="spellStart"/>
      <w:r w:rsidRPr="00E62AE6">
        <w:rPr>
          <w:rStyle w:val="Italic"/>
        </w:rPr>
        <w:t>Rahmani</w:t>
      </w:r>
      <w:proofErr w:type="spellEnd"/>
      <w:r w:rsidRPr="00E62AE6">
        <w:rPr>
          <w:rStyle w:val="Italic"/>
        </w:rPr>
        <w:t xml:space="preserve"> v The Queen </w:t>
      </w:r>
      <w:r w:rsidRPr="00E62AE6">
        <w:t>[2021] VSCA 51</w:t>
      </w:r>
    </w:p>
    <w:p w14:paraId="15F7A561" w14:textId="77777777" w:rsidR="00E62AE6" w:rsidRPr="00E62AE6" w:rsidRDefault="00E62AE6" w:rsidP="002303F4">
      <w:r w:rsidRPr="00E62AE6">
        <w:rPr>
          <w:rStyle w:val="Italic"/>
        </w:rPr>
        <w:t xml:space="preserve">Shrestha v The Queen </w:t>
      </w:r>
      <w:r w:rsidRPr="00E62AE6">
        <w:t>[2017] VSCA 364</w:t>
      </w:r>
    </w:p>
    <w:p w14:paraId="5890441E" w14:textId="77777777" w:rsidR="00E62AE6" w:rsidRPr="00E62AE6" w:rsidRDefault="00E62AE6" w:rsidP="002303F4">
      <w:proofErr w:type="spellStart"/>
      <w:r w:rsidRPr="00E62AE6">
        <w:rPr>
          <w:rStyle w:val="Italic"/>
        </w:rPr>
        <w:lastRenderedPageBreak/>
        <w:t>Worboyes</w:t>
      </w:r>
      <w:proofErr w:type="spellEnd"/>
      <w:r w:rsidRPr="00E62AE6">
        <w:rPr>
          <w:rStyle w:val="Italic"/>
        </w:rPr>
        <w:t xml:space="preserve"> v The Queen </w:t>
      </w:r>
      <w:r w:rsidRPr="00E62AE6">
        <w:t>[2021] VSCA 169</w:t>
      </w:r>
    </w:p>
    <w:p w14:paraId="3192107C" w14:textId="77777777" w:rsidR="00E62AE6" w:rsidRPr="00E62AE6" w:rsidRDefault="00E62AE6" w:rsidP="00E62AE6">
      <w:pPr>
        <w:pStyle w:val="Heading2"/>
      </w:pPr>
      <w:r w:rsidRPr="00E62AE6">
        <w:t>Legislation</w:t>
      </w:r>
    </w:p>
    <w:p w14:paraId="4B8F39DE" w14:textId="77777777" w:rsidR="00E62AE6" w:rsidRPr="00E62AE6" w:rsidRDefault="00E62AE6" w:rsidP="002303F4">
      <w:r w:rsidRPr="00E62AE6">
        <w:rPr>
          <w:rStyle w:val="Italic"/>
        </w:rPr>
        <w:t xml:space="preserve">Crimes (Dangerous Driving) Act 2004 </w:t>
      </w:r>
      <w:r w:rsidRPr="00E62AE6">
        <w:t>(Vic)</w:t>
      </w:r>
    </w:p>
    <w:p w14:paraId="50ABC4CD" w14:textId="77777777" w:rsidR="00E62AE6" w:rsidRPr="00E62AE6" w:rsidRDefault="00E62AE6" w:rsidP="002303F4">
      <w:r w:rsidRPr="00E62AE6">
        <w:rPr>
          <w:rStyle w:val="Italic"/>
        </w:rPr>
        <w:t xml:space="preserve">Crimes (Sexual Offences) Act 2006 </w:t>
      </w:r>
      <w:r w:rsidRPr="00E62AE6">
        <w:t>(Vic)</w:t>
      </w:r>
    </w:p>
    <w:p w14:paraId="68A9CD6D" w14:textId="77777777" w:rsidR="00E62AE6" w:rsidRPr="00E62AE6" w:rsidRDefault="00E62AE6" w:rsidP="002303F4">
      <w:r w:rsidRPr="00E62AE6">
        <w:rPr>
          <w:rStyle w:val="Italic"/>
        </w:rPr>
        <w:t xml:space="preserve">Crimes Amendment (Child Homicide) Act 2008 </w:t>
      </w:r>
      <w:r w:rsidRPr="00E62AE6">
        <w:t xml:space="preserve">(Vic) </w:t>
      </w:r>
    </w:p>
    <w:p w14:paraId="553AD073" w14:textId="77777777" w:rsidR="00E62AE6" w:rsidRPr="00E62AE6" w:rsidRDefault="00E62AE6" w:rsidP="002303F4">
      <w:r w:rsidRPr="00E62AE6">
        <w:rPr>
          <w:rStyle w:val="Italic"/>
        </w:rPr>
        <w:t xml:space="preserve">Crimes Legislation Amendment Act 2010 </w:t>
      </w:r>
      <w:r w:rsidRPr="00E62AE6">
        <w:t>(Vic)</w:t>
      </w:r>
    </w:p>
    <w:p w14:paraId="4C5B9D4D" w14:textId="77777777" w:rsidR="00E62AE6" w:rsidRPr="00E62AE6" w:rsidRDefault="00E62AE6" w:rsidP="002303F4">
      <w:r w:rsidRPr="00E62AE6">
        <w:rPr>
          <w:rStyle w:val="Italic"/>
        </w:rPr>
        <w:t xml:space="preserve">Sentencing (Community Correction Order) and Other Acts Amendment Act 2016 </w:t>
      </w:r>
      <w:r w:rsidRPr="00E62AE6">
        <w:t>(Vic)</w:t>
      </w:r>
    </w:p>
    <w:p w14:paraId="71AE5E6C" w14:textId="77777777" w:rsidR="00E62AE6" w:rsidRPr="00E62AE6" w:rsidRDefault="00E62AE6" w:rsidP="002303F4">
      <w:r w:rsidRPr="00E62AE6">
        <w:rPr>
          <w:rStyle w:val="Italic"/>
        </w:rPr>
        <w:t xml:space="preserve">Sentencing Act 1991 </w:t>
      </w:r>
      <w:r w:rsidRPr="00E62AE6">
        <w:t>(Vic)</w:t>
      </w:r>
    </w:p>
    <w:p w14:paraId="49695211" w14:textId="77777777" w:rsidR="00E62AE6" w:rsidRPr="00E62AE6" w:rsidRDefault="00E62AE6" w:rsidP="002303F4">
      <w:r w:rsidRPr="00E62AE6">
        <w:rPr>
          <w:rStyle w:val="Italic"/>
        </w:rPr>
        <w:t xml:space="preserve">Sentencing Amendment Act 2010 </w:t>
      </w:r>
      <w:r w:rsidRPr="00E62AE6">
        <w:t>(Vic)</w:t>
      </w:r>
    </w:p>
    <w:p w14:paraId="438022D5" w14:textId="77777777" w:rsidR="00753619" w:rsidRDefault="00753619" w:rsidP="00387617">
      <w:pPr>
        <w:pageBreakBefore/>
      </w:pPr>
      <w:r>
        <w:lastRenderedPageBreak/>
        <w:t>Authored by Paul McGorrery and Zsombor Bathy</w:t>
      </w:r>
    </w:p>
    <w:p w14:paraId="25C5266A" w14:textId="77777777" w:rsidR="00753619" w:rsidRDefault="00753619" w:rsidP="00E5783B">
      <w:r>
        <w:t>Published by the Sentencing Advisory Council, Melbourne, Victoria, Australia</w:t>
      </w:r>
    </w:p>
    <w:p w14:paraId="175F6C9A" w14:textId="77777777" w:rsidR="00753619" w:rsidRDefault="00753619" w:rsidP="00E5783B">
      <w:r>
        <w:t>© Copyright State of Victoria, Sentencing Advisory Council, 2022</w:t>
      </w:r>
    </w:p>
    <w:p w14:paraId="42D61D59" w14:textId="77777777" w:rsidR="00753619" w:rsidRDefault="00753619" w:rsidP="00E5783B">
      <w:r>
        <w:t xml:space="preserve">This publication is protected by the laws of copyright. No part may be reproduced by any process except in accordance with the provisions of the </w:t>
      </w:r>
      <w:r>
        <w:rPr>
          <w:rStyle w:val="Italic"/>
        </w:rPr>
        <w:t>Copyright Act 1968</w:t>
      </w:r>
      <w:r>
        <w:t xml:space="preserve"> (</w:t>
      </w:r>
      <w:proofErr w:type="spellStart"/>
      <w:r>
        <w:t>Cth</w:t>
      </w:r>
      <w:proofErr w:type="spellEnd"/>
      <w:r>
        <w:t>).</w:t>
      </w:r>
    </w:p>
    <w:p w14:paraId="2B30AB29" w14:textId="77777777" w:rsidR="00753619" w:rsidRDefault="00753619" w:rsidP="00E5783B">
      <w:r>
        <w:t>ISBN 978-1-925071-70-2 (Online)</w:t>
      </w:r>
    </w:p>
    <w:p w14:paraId="052316D8" w14:textId="2009182B" w:rsidR="00753619" w:rsidRDefault="00753619" w:rsidP="00E5783B">
      <w:r>
        <w:t>Authorised by the Sentencing Advisory Council,</w:t>
      </w:r>
      <w:r w:rsidR="00B8144E">
        <w:t xml:space="preserve"> </w:t>
      </w:r>
      <w:r>
        <w:t>Level 3, 333 Queen Street, Melbourne VIC 3000</w:t>
      </w:r>
    </w:p>
    <w:sectPr w:rsidR="00753619" w:rsidSect="00D6349A">
      <w:headerReference w:type="default" r:id="rId8"/>
      <w:footerReference w:type="default" r:id="rId9"/>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07A2" w14:textId="77777777" w:rsidR="00456CC5" w:rsidRDefault="00456CC5">
      <w:pPr>
        <w:spacing w:after="0" w:line="240" w:lineRule="auto"/>
      </w:pPr>
      <w:r>
        <w:separator/>
      </w:r>
    </w:p>
  </w:endnote>
  <w:endnote w:type="continuationSeparator" w:id="0">
    <w:p w14:paraId="747557D2" w14:textId="77777777" w:rsidR="00456CC5" w:rsidRDefault="0045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Regular">
    <w:altName w:val="Arial"/>
    <w:panose1 w:val="00000000000000000000"/>
    <w:charset w:val="00"/>
    <w:family w:val="auto"/>
    <w:notTrueType/>
    <w:pitch w:val="default"/>
    <w:sig w:usb0="00000003" w:usb1="00000000" w:usb2="00000000" w:usb3="00000000" w:csb0="00000001"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Gill Sans Std">
    <w:panose1 w:val="020B0502020104020203"/>
    <w:charset w:val="00"/>
    <w:family w:val="swiss"/>
    <w:notTrueType/>
    <w:pitch w:val="variable"/>
    <w:sig w:usb0="00000003" w:usb1="00000000" w:usb2="00000000" w:usb3="00000000" w:csb0="00000001" w:csb1="00000000"/>
  </w:font>
  <w:font w:name="Gill Sans Std Light">
    <w:panose1 w:val="020B03020201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 Franklin Gothic Demi">
    <w:altName w:val="Calibri"/>
    <w:panose1 w:val="00000000000000000000"/>
    <w:charset w:val="00"/>
    <w:family w:val="auto"/>
    <w:notTrueType/>
    <w:pitch w:val="default"/>
    <w:sig w:usb0="00000003" w:usb1="00000000" w:usb2="00000000" w:usb3="00000000" w:csb0="00000001" w:csb1="00000000"/>
  </w:font>
  <w:font w:name="ITC Franklin Gothic">
    <w:altName w:val="Calibri"/>
    <w:panose1 w:val="00000000000000000000"/>
    <w:charset w:val="00"/>
    <w:family w:val="auto"/>
    <w:notTrueType/>
    <w:pitch w:val="default"/>
    <w:sig w:usb0="00000003" w:usb1="00000000" w:usb2="00000000" w:usb3="00000000" w:csb0="00000001" w:csb1="00000000"/>
  </w:font>
  <w:font w:name="ITC Franklin Gothic Demi Italic">
    <w:altName w:val="Calibri"/>
    <w:panose1 w:val="00000000000000000000"/>
    <w:charset w:val="00"/>
    <w:family w:val="auto"/>
    <w:notTrueType/>
    <w:pitch w:val="default"/>
    <w:sig w:usb0="00000003" w:usb1="00000000" w:usb2="00000000" w:usb3="00000000" w:csb0="00000001" w:csb1="00000000"/>
  </w:font>
  <w:font w:name="ITC Franklin Gothic Std Book">
    <w:panose1 w:val="020B05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A2AA" w14:textId="77777777" w:rsidR="00553AA8" w:rsidRDefault="00553AA8" w:rsidP="006A24A4">
    <w:pPr>
      <w:pStyle w:val="Footer"/>
      <w:ind w:left="4513" w:hanging="4513"/>
      <w:jc w:val="center"/>
    </w:pPr>
    <w:r>
      <w:fldChar w:fldCharType="begin"/>
    </w:r>
    <w:r>
      <w:instrText xml:space="preserve"> PAGE   \* MERGEFORMAT </w:instrText>
    </w:r>
    <w: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F762" w14:textId="77777777" w:rsidR="00456CC5" w:rsidRDefault="00456CC5">
      <w:pPr>
        <w:spacing w:after="0" w:line="240" w:lineRule="auto"/>
      </w:pPr>
      <w:r>
        <w:separator/>
      </w:r>
    </w:p>
  </w:footnote>
  <w:footnote w:type="continuationSeparator" w:id="0">
    <w:p w14:paraId="07B728F9" w14:textId="77777777" w:rsidR="00456CC5" w:rsidRDefault="00456CC5">
      <w:pPr>
        <w:spacing w:after="0" w:line="240" w:lineRule="auto"/>
      </w:pPr>
      <w:r>
        <w:continuationSeparator/>
      </w:r>
    </w:p>
  </w:footnote>
  <w:footnote w:id="1">
    <w:p w14:paraId="49D17479" w14:textId="0E673167" w:rsidR="00E62AE6" w:rsidRDefault="00E62AE6" w:rsidP="0031029F">
      <w:pPr>
        <w:pStyle w:val="Footnote"/>
      </w:pPr>
      <w:r>
        <w:rPr>
          <w:vertAlign w:val="superscript"/>
        </w:rPr>
        <w:footnoteRef/>
      </w:r>
      <w:r>
        <w:t>.</w:t>
      </w:r>
      <w:r>
        <w:tab/>
      </w:r>
      <w:r>
        <w:rPr>
          <w:rStyle w:val="Italic"/>
        </w:rPr>
        <w:t xml:space="preserve">Sentencing Act 1991 </w:t>
      </w:r>
      <w:r>
        <w:t xml:space="preserve">(Vic) s 108C(1)(b). </w:t>
      </w:r>
    </w:p>
  </w:footnote>
  <w:footnote w:id="2">
    <w:p w14:paraId="3305E3F0" w14:textId="27DEE2C8" w:rsidR="00E62AE6" w:rsidRDefault="00E62AE6" w:rsidP="0031029F">
      <w:pPr>
        <w:pStyle w:val="Footnote"/>
      </w:pPr>
      <w:r>
        <w:rPr>
          <w:vertAlign w:val="superscript"/>
        </w:rPr>
        <w:footnoteRef/>
      </w:r>
      <w:r>
        <w:t>.</w:t>
      </w:r>
      <w:r>
        <w:tab/>
        <w:t xml:space="preserve">Where two </w:t>
      </w:r>
      <w:r>
        <w:rPr>
          <w:rStyle w:val="Italic"/>
        </w:rPr>
        <w:t xml:space="preserve">Snapshots </w:t>
      </w:r>
      <w:r>
        <w:t xml:space="preserve">cover the same period but there is variation in the data (due, for example, to a successful appeal between publication of the two </w:t>
      </w:r>
      <w:r>
        <w:rPr>
          <w:rStyle w:val="Italic"/>
        </w:rPr>
        <w:t>Snapshots</w:t>
      </w:r>
      <w:r>
        <w:t xml:space="preserve">), the data in the most recent </w:t>
      </w:r>
      <w:r>
        <w:rPr>
          <w:rStyle w:val="Italic"/>
        </w:rPr>
        <w:t xml:space="preserve">Snapshot </w:t>
      </w:r>
      <w:r>
        <w:t>has been used.</w:t>
      </w:r>
    </w:p>
  </w:footnote>
  <w:footnote w:id="3">
    <w:p w14:paraId="7DDE1F0B" w14:textId="2CAEEC7F" w:rsidR="00E62AE6" w:rsidRDefault="00E62AE6" w:rsidP="0031029F">
      <w:pPr>
        <w:pStyle w:val="Footnote"/>
      </w:pPr>
      <w:r>
        <w:rPr>
          <w:vertAlign w:val="superscript"/>
        </w:rPr>
        <w:footnoteRef/>
      </w:r>
      <w:r>
        <w:t>.</w:t>
      </w:r>
      <w:r>
        <w:tab/>
      </w:r>
      <w:r>
        <w:rPr>
          <w:rStyle w:val="Italic"/>
        </w:rPr>
        <w:t xml:space="preserve">Snapshots </w:t>
      </w:r>
      <w:r>
        <w:t xml:space="preserve">use a ‘principal proven offence’ counting rule, meaning that each case is only counted once, only one offence is counted per case (for example, if there were two murders in a case, only one would be captured) and the offence counted is the one that received the most serious sentence (usually the longest term of imprisonment). </w:t>
      </w:r>
    </w:p>
  </w:footnote>
  <w:footnote w:id="4">
    <w:p w14:paraId="0B1AF4E2" w14:textId="5942F4DC" w:rsidR="00E62AE6" w:rsidRDefault="00E62AE6" w:rsidP="001559E1">
      <w:pPr>
        <w:pStyle w:val="Footnote"/>
      </w:pPr>
      <w:r>
        <w:rPr>
          <w:vertAlign w:val="superscript"/>
        </w:rPr>
        <w:footnoteRef/>
      </w:r>
      <w:r>
        <w:t>.</w:t>
      </w:r>
      <w:r>
        <w:tab/>
        <w:t xml:space="preserve">This mostly includes imprisonment in an adult facility, but it can also include detention in a youth justice facility, now-abolished partially suspended sentences (where some component of a prison sentence does not automatically need to be served) and custodial supervision orders (detention in a dedicated facility for people with mental illness). </w:t>
      </w:r>
    </w:p>
  </w:footnote>
  <w:footnote w:id="5">
    <w:p w14:paraId="11680358" w14:textId="78B87515" w:rsidR="00E62AE6" w:rsidRDefault="00E62AE6" w:rsidP="001559E1">
      <w:pPr>
        <w:pStyle w:val="Footnote"/>
      </w:pPr>
      <w:r>
        <w:rPr>
          <w:vertAlign w:val="superscript"/>
        </w:rPr>
        <w:footnoteRef/>
      </w:r>
      <w:r>
        <w:t>.</w:t>
      </w:r>
      <w:r>
        <w:tab/>
        <w:t xml:space="preserve">The charge-level sentence is the sentence imposed on a single count of an offence within a case. If there is only one offence in the case, the charge-level sentence will be identical to the total effective sentence. </w:t>
      </w:r>
    </w:p>
  </w:footnote>
  <w:footnote w:id="6">
    <w:p w14:paraId="7C0D651C" w14:textId="5770ACAD" w:rsidR="00E62AE6" w:rsidRDefault="00E62AE6" w:rsidP="001559E1">
      <w:pPr>
        <w:pStyle w:val="Footnote"/>
      </w:pPr>
      <w:r>
        <w:rPr>
          <w:vertAlign w:val="superscript"/>
        </w:rPr>
        <w:footnoteRef/>
      </w:r>
      <w:r>
        <w:t>.</w:t>
      </w:r>
      <w:r>
        <w:tab/>
        <w:t xml:space="preserve">The case-level sentence is the total sentence imposed on a person after taking into account any orders for cumulation of prison sentences imposed for any offences in the case. </w:t>
      </w:r>
    </w:p>
  </w:footnote>
  <w:footnote w:id="7">
    <w:p w14:paraId="22BC0CF9" w14:textId="189D410A" w:rsidR="00E62AE6" w:rsidRDefault="00E62AE6" w:rsidP="001559E1">
      <w:pPr>
        <w:pStyle w:val="Footnote"/>
      </w:pPr>
      <w:r>
        <w:rPr>
          <w:vertAlign w:val="superscript"/>
        </w:rPr>
        <w:footnoteRef/>
      </w:r>
      <w:r>
        <w:t>.</w:t>
      </w:r>
      <w:r>
        <w:tab/>
        <w:t xml:space="preserve">This is the period that the person must serve in custody before being eligible for parole. If the total effective sentence is less than one year, the court cannot impose a non-parole period; if it is between one and less than two years, it is discretionary whether the court imposes a non-parole period; and if it is longer than two years, the court must impose a non-parole period: </w:t>
      </w:r>
      <w:r>
        <w:rPr>
          <w:rStyle w:val="Italic"/>
        </w:rPr>
        <w:t xml:space="preserve">Sentencing Act 1991 </w:t>
      </w:r>
      <w:r>
        <w:t>(Vic) s 11.</w:t>
      </w:r>
    </w:p>
  </w:footnote>
  <w:footnote w:id="8">
    <w:p w14:paraId="78493A3E" w14:textId="59BAAB23" w:rsidR="00E62AE6" w:rsidRDefault="00E62AE6" w:rsidP="001236B6">
      <w:pPr>
        <w:pStyle w:val="Footnote"/>
        <w:ind w:left="567"/>
      </w:pPr>
      <w:r>
        <w:rPr>
          <w:vertAlign w:val="superscript"/>
        </w:rPr>
        <w:footnoteRef/>
      </w:r>
      <w:r>
        <w:t>.</w:t>
      </w:r>
      <w:r>
        <w:tab/>
        <w:t xml:space="preserve">Sentencing Advisory Council, ‘Cases Sentenced in the Higher Courts’ (sentencingcouncil.vic.gov.au, 2022). </w:t>
      </w:r>
    </w:p>
  </w:footnote>
  <w:footnote w:id="9">
    <w:p w14:paraId="068014EA" w14:textId="69445214" w:rsidR="00E62AE6" w:rsidRDefault="00E62AE6" w:rsidP="001236B6">
      <w:pPr>
        <w:pStyle w:val="Footnote"/>
        <w:ind w:left="567"/>
      </w:pPr>
      <w:r>
        <w:rPr>
          <w:vertAlign w:val="superscript"/>
        </w:rPr>
        <w:footnoteRef/>
      </w:r>
      <w:r>
        <w:t>.</w:t>
      </w:r>
      <w:r>
        <w:tab/>
        <w:t xml:space="preserve">Australian Bureau of Statistics, </w:t>
      </w:r>
      <w:r>
        <w:rPr>
          <w:rStyle w:val="Italic"/>
        </w:rPr>
        <w:t>National, State and Territory Population</w:t>
      </w:r>
      <w:r>
        <w:t xml:space="preserve"> (abs.gov.au, 2022).</w:t>
      </w:r>
    </w:p>
  </w:footnote>
  <w:footnote w:id="10">
    <w:p w14:paraId="25DD0621" w14:textId="31DC4E06" w:rsidR="00E62AE6" w:rsidRDefault="00E62AE6" w:rsidP="002B5CF3">
      <w:pPr>
        <w:pStyle w:val="Footnote"/>
      </w:pPr>
      <w:r>
        <w:rPr>
          <w:vertAlign w:val="superscript"/>
        </w:rPr>
        <w:footnoteRef/>
      </w:r>
      <w:r>
        <w:t>.</w:t>
      </w:r>
      <w:r>
        <w:tab/>
        <w:t xml:space="preserve">Sometimes two sentence types, such as imprisonment combined with a community correction order, are imposed in the same case. The data only includes the most serious sentence imposed in each case. </w:t>
      </w:r>
    </w:p>
  </w:footnote>
  <w:footnote w:id="11">
    <w:p w14:paraId="737B7130" w14:textId="6BAA0A71" w:rsidR="00E62AE6" w:rsidRDefault="00E62AE6" w:rsidP="002B5CF3">
      <w:pPr>
        <w:pStyle w:val="Footnote"/>
      </w:pPr>
      <w:r>
        <w:rPr>
          <w:vertAlign w:val="superscript"/>
        </w:rPr>
        <w:footnoteRef/>
      </w:r>
      <w:r>
        <w:t>.</w:t>
      </w:r>
      <w:r>
        <w:tab/>
        <w:t xml:space="preserve">On the increase in community correction orders in 2015 and 2016, see Sentencing Advisory Council, </w:t>
      </w:r>
      <w:r>
        <w:rPr>
          <w:rStyle w:val="Italic"/>
        </w:rPr>
        <w:t xml:space="preserve">Community Correction Orders: Third Monitoring Report (Post-Guideline Judgment) </w:t>
      </w:r>
      <w:r>
        <w:t xml:space="preserve">(2016) x–xi. </w:t>
      </w:r>
    </w:p>
  </w:footnote>
  <w:footnote w:id="12">
    <w:p w14:paraId="0EE8E204" w14:textId="69DD9FBA" w:rsidR="00E62AE6" w:rsidRDefault="00E62AE6" w:rsidP="002B5CF3">
      <w:pPr>
        <w:pStyle w:val="Footnote"/>
      </w:pPr>
      <w:r>
        <w:rPr>
          <w:vertAlign w:val="superscript"/>
        </w:rPr>
        <w:footnoteRef/>
      </w:r>
      <w:r>
        <w:t>.</w:t>
      </w:r>
      <w:r>
        <w:tab/>
        <w:t xml:space="preserve">The reason suspended sentences are still sometimes imposed is that they are available for offences committed prior to 1 May 2011: </w:t>
      </w:r>
      <w:r>
        <w:rPr>
          <w:rStyle w:val="Italic"/>
        </w:rPr>
        <w:t xml:space="preserve">Sentencing Amendment Act 2010 </w:t>
      </w:r>
      <w:r>
        <w:t xml:space="preserve">(Vic) s 12. </w:t>
      </w:r>
    </w:p>
  </w:footnote>
  <w:footnote w:id="13">
    <w:p w14:paraId="2C818D4B" w14:textId="755F7377" w:rsidR="00E62AE6" w:rsidRDefault="00E62AE6" w:rsidP="002B5CF3">
      <w:pPr>
        <w:pStyle w:val="Footnote"/>
      </w:pPr>
      <w:r>
        <w:rPr>
          <w:vertAlign w:val="superscript"/>
        </w:rPr>
        <w:footnoteRef/>
      </w:r>
      <w:r>
        <w:t>.</w:t>
      </w:r>
      <w:r>
        <w:tab/>
      </w:r>
      <w:r>
        <w:rPr>
          <w:rStyle w:val="Italic"/>
        </w:rPr>
        <w:t xml:space="preserve">Boulton &amp; </w:t>
      </w:r>
      <w:r>
        <w:rPr>
          <w:rStyle w:val="Italic"/>
        </w:rPr>
        <w:t xml:space="preserve">Ors v The Queen </w:t>
      </w:r>
      <w:r>
        <w:t xml:space="preserve">[2014] VSCA 342. </w:t>
      </w:r>
    </w:p>
  </w:footnote>
  <w:footnote w:id="14">
    <w:p w14:paraId="503C0B77" w14:textId="5AB1D91A" w:rsidR="00E62AE6" w:rsidRDefault="00E62AE6" w:rsidP="00FF6666">
      <w:pPr>
        <w:pStyle w:val="Footnote"/>
      </w:pPr>
      <w:r>
        <w:rPr>
          <w:vertAlign w:val="superscript"/>
        </w:rPr>
        <w:footnoteRef/>
      </w:r>
      <w:r>
        <w:t>.</w:t>
      </w:r>
      <w:r>
        <w:tab/>
        <w:t xml:space="preserve">Despite the decline in the number of cases sentenced in the higher courts, the number of cases sentenced in the Magistrates’ Court increased from about 73,000 in 2004–05 to 92,000 in 2018–19 (there have been declines since then, but they are likely to be attributable to the effect of COVID-19 on court operations): Sentencing Advisory Council, ‘Cases Sentenced in the Magistrates’ Court’ (sentencingcouncil.vic.gov.au, 2022). If there has been a shift in cases from the higher courts to the summary jurisdiction, it is likely that they were less serious cases. </w:t>
      </w:r>
    </w:p>
  </w:footnote>
  <w:footnote w:id="15">
    <w:p w14:paraId="0C615AF2" w14:textId="73E28DFD" w:rsidR="00E62AE6" w:rsidRDefault="00E62AE6" w:rsidP="00FF6666">
      <w:pPr>
        <w:pStyle w:val="Footnote"/>
      </w:pPr>
      <w:r>
        <w:rPr>
          <w:vertAlign w:val="superscript"/>
        </w:rPr>
        <w:footnoteRef/>
      </w:r>
      <w:r>
        <w:t>.</w:t>
      </w:r>
      <w:r>
        <w:tab/>
        <w:t xml:space="preserve">Sentencing Advisory Council, </w:t>
      </w:r>
      <w:r>
        <w:rPr>
          <w:rStyle w:val="Italic"/>
        </w:rPr>
        <w:t xml:space="preserve">Time Served Prison Sentences in Victoria </w:t>
      </w:r>
      <w:r>
        <w:t xml:space="preserve">(2020). </w:t>
      </w:r>
    </w:p>
  </w:footnote>
  <w:footnote w:id="16">
    <w:p w14:paraId="7DA7FC0D" w14:textId="556E110E" w:rsidR="00E62AE6" w:rsidRDefault="00E62AE6" w:rsidP="00FF6666">
      <w:pPr>
        <w:pStyle w:val="Footnote"/>
      </w:pPr>
      <w:r>
        <w:rPr>
          <w:vertAlign w:val="superscript"/>
        </w:rPr>
        <w:footnoteRef/>
      </w:r>
      <w:r>
        <w:t>.</w:t>
      </w:r>
      <w:r>
        <w:tab/>
        <w:t xml:space="preserve">In total during this period, imprisonment accounted for 56.9% of outcomes, suspended sentences 18.1% and community orders 11.7%. Other outcomes included Commonwealth orders (3.6%), fines (2.9%), youth detention orders (2.5%), adjourned undertakings (1.8%), now-abolished intensive correction orders (1.1%), discharge and dismissal (0.1%) and other orders (1.3%). </w:t>
      </w:r>
    </w:p>
  </w:footnote>
  <w:footnote w:id="17">
    <w:p w14:paraId="56A6BC6F" w14:textId="7C8BEF58" w:rsidR="00E62AE6" w:rsidRDefault="00E62AE6" w:rsidP="00FF6666">
      <w:pPr>
        <w:pStyle w:val="Footnote"/>
      </w:pPr>
      <w:r>
        <w:rPr>
          <w:vertAlign w:val="superscript"/>
        </w:rPr>
        <w:footnoteRef/>
      </w:r>
      <w:r>
        <w:t>.</w:t>
      </w:r>
      <w:r>
        <w:tab/>
        <w:t xml:space="preserve">The two exceptions, out of 510 cases, were both non-custodial supervision orders for people with mental illness. </w:t>
      </w:r>
    </w:p>
  </w:footnote>
  <w:footnote w:id="18">
    <w:p w14:paraId="3C485506" w14:textId="1F69FAA2" w:rsidR="00E62AE6" w:rsidRDefault="00E62AE6" w:rsidP="00FF6666">
      <w:pPr>
        <w:pStyle w:val="Footnote"/>
      </w:pPr>
      <w:r>
        <w:rPr>
          <w:vertAlign w:val="superscript"/>
        </w:rPr>
        <w:footnoteRef/>
      </w:r>
      <w:r>
        <w:t>.</w:t>
      </w:r>
      <w:r>
        <w:tab/>
        <w:t>The 14 exceptions, out of 338 cases, included 6 wholly suspended sentences, 4 adjourned undertakings, 2 community-based orders and 2 youth attendance orders.</w:t>
      </w:r>
    </w:p>
  </w:footnote>
  <w:footnote w:id="19">
    <w:p w14:paraId="1ECD7D5D" w14:textId="3FC0CF7A" w:rsidR="00E62AE6" w:rsidRDefault="00E62AE6" w:rsidP="00FF6666">
      <w:pPr>
        <w:pStyle w:val="Footnote"/>
      </w:pPr>
      <w:r>
        <w:rPr>
          <w:vertAlign w:val="superscript"/>
        </w:rPr>
        <w:footnoteRef/>
      </w:r>
      <w:r>
        <w:t>.</w:t>
      </w:r>
      <w:r>
        <w:tab/>
        <w:t>The 20 exceptions, out of 336 cases, included 16 wholly suspended sentences and 4 non-custodial supervision orders.</w:t>
      </w:r>
    </w:p>
  </w:footnote>
  <w:footnote w:id="20">
    <w:p w14:paraId="118D4162" w14:textId="62E43EC1" w:rsidR="00E62AE6" w:rsidRDefault="00E62AE6" w:rsidP="00FF6666">
      <w:pPr>
        <w:pStyle w:val="Footnote"/>
      </w:pPr>
      <w:r>
        <w:rPr>
          <w:vertAlign w:val="superscript"/>
        </w:rPr>
        <w:footnoteRef/>
      </w:r>
      <w:r>
        <w:t>.</w:t>
      </w:r>
      <w:r>
        <w:tab/>
      </w:r>
      <w:r>
        <w:rPr>
          <w:rStyle w:val="Italic"/>
        </w:rPr>
        <w:t xml:space="preserve">Sentencing Act 1991 </w:t>
      </w:r>
      <w:r>
        <w:t xml:space="preserve">(Vic) ss 3 (definitions of </w:t>
      </w:r>
      <w:r>
        <w:rPr>
          <w:rStyle w:val="Italic"/>
        </w:rPr>
        <w:t xml:space="preserve">category 1 offence </w:t>
      </w:r>
      <w:r>
        <w:t xml:space="preserve">and </w:t>
      </w:r>
      <w:r>
        <w:rPr>
          <w:rStyle w:val="Italic"/>
        </w:rPr>
        <w:t>category 2 offence</w:t>
      </w:r>
      <w:r>
        <w:t xml:space="preserve">), 5(2G), 5(2H). The Court of Appeal has described the threshold requirement as ‘almost impossible to satisfy’: </w:t>
      </w:r>
      <w:r>
        <w:rPr>
          <w:rStyle w:val="Italic"/>
        </w:rPr>
        <w:t xml:space="preserve">DPP v Bowen </w:t>
      </w:r>
      <w:r>
        <w:t>[2021] VSCA 355, [11].</w:t>
      </w:r>
    </w:p>
  </w:footnote>
  <w:footnote w:id="21">
    <w:p w14:paraId="15B0A465" w14:textId="69485E3C" w:rsidR="00E62AE6" w:rsidRDefault="00E62AE6" w:rsidP="00FF6666">
      <w:pPr>
        <w:pStyle w:val="Footnote"/>
      </w:pPr>
      <w:r>
        <w:rPr>
          <w:vertAlign w:val="superscript"/>
        </w:rPr>
        <w:footnoteRef/>
      </w:r>
      <w:r>
        <w:t>.</w:t>
      </w:r>
      <w:r>
        <w:tab/>
        <w:t>Life terms of imprisonment imposed for murder, and the people receiving those sentences, are not included in the calculation of average prison sentence lengths. They are included above in the total number of people sentenced for murder.</w:t>
      </w:r>
    </w:p>
  </w:footnote>
  <w:footnote w:id="22">
    <w:p w14:paraId="66001F87" w14:textId="0C4AC592" w:rsidR="00E62AE6" w:rsidRDefault="00E62AE6" w:rsidP="006411AF">
      <w:pPr>
        <w:pStyle w:val="Footnote"/>
      </w:pPr>
      <w:r>
        <w:rPr>
          <w:vertAlign w:val="superscript"/>
        </w:rPr>
        <w:footnoteRef/>
      </w:r>
      <w:r>
        <w:t>.</w:t>
      </w:r>
      <w:r>
        <w:tab/>
        <w:t xml:space="preserve">See, for example, Arie Freiberg and Asher Flynn, </w:t>
      </w:r>
      <w:r>
        <w:rPr>
          <w:rStyle w:val="Italic"/>
        </w:rPr>
        <w:t xml:space="preserve">Plea Negotiations: Pragmatic Justice in an Imperfect World </w:t>
      </w:r>
      <w:r>
        <w:t xml:space="preserve">(2018). </w:t>
      </w:r>
    </w:p>
  </w:footnote>
  <w:footnote w:id="23">
    <w:p w14:paraId="30B861A6" w14:textId="6039E72D" w:rsidR="00E62AE6" w:rsidRDefault="00E62AE6" w:rsidP="007666D2">
      <w:pPr>
        <w:pStyle w:val="Footnote"/>
      </w:pPr>
      <w:r>
        <w:rPr>
          <w:vertAlign w:val="superscript"/>
        </w:rPr>
        <w:footnoteRef/>
      </w:r>
      <w:r>
        <w:t>.</w:t>
      </w:r>
      <w:r>
        <w:tab/>
        <w:t xml:space="preserve">There were 124 people sentenced for dangerous driving causing death in the seven years to 2012–13 at an average of 18 per year, but 116 people sentenced for the offence in the five years to 2019–20 at an average of 23 per year: Sentencing Advisory Council, </w:t>
      </w:r>
      <w:r>
        <w:rPr>
          <w:rStyle w:val="Italic"/>
        </w:rPr>
        <w:t xml:space="preserve">Major Driving Offences: Current Sentencing Practices </w:t>
      </w:r>
      <w:r>
        <w:t xml:space="preserve">(2015) 21; Sentencing Advisory Council, ‘SACStat Higher Courts: Dangerous Driving Causing Death’ (sentencingcouncil.vic.gov.au, 2022). </w:t>
      </w:r>
    </w:p>
  </w:footnote>
  <w:footnote w:id="24">
    <w:p w14:paraId="4FC7237E" w14:textId="28669B51" w:rsidR="00E62AE6" w:rsidRDefault="00E62AE6" w:rsidP="007666D2">
      <w:pPr>
        <w:pStyle w:val="Footnote"/>
      </w:pPr>
      <w:r>
        <w:rPr>
          <w:vertAlign w:val="superscript"/>
        </w:rPr>
        <w:footnoteRef/>
      </w:r>
      <w:r>
        <w:t>.</w:t>
      </w:r>
      <w:r>
        <w:tab/>
      </w:r>
      <w:r>
        <w:rPr>
          <w:rStyle w:val="Italic"/>
        </w:rPr>
        <w:t xml:space="preserve">Crimes (Dangerous Driving) Act 2004 </w:t>
      </w:r>
      <w:r>
        <w:t xml:space="preserve">(Vic) s 6. The maximum penalty for dangerous driving causing death was increased from 5 years’ imprisonment to 10 years in 2008: </w:t>
      </w:r>
      <w:r>
        <w:rPr>
          <w:rStyle w:val="Italic"/>
        </w:rPr>
        <w:t xml:space="preserve">Crimes Amendment (Child Homicide) Act 2008 </w:t>
      </w:r>
      <w:r>
        <w:t>(Vic) s 5.</w:t>
      </w:r>
    </w:p>
  </w:footnote>
  <w:footnote w:id="25">
    <w:p w14:paraId="7328657A" w14:textId="1C8E410D" w:rsidR="00E62AE6" w:rsidRDefault="00E62AE6" w:rsidP="00623DAF">
      <w:pPr>
        <w:pStyle w:val="Footnote"/>
      </w:pPr>
      <w:r>
        <w:rPr>
          <w:vertAlign w:val="superscript"/>
        </w:rPr>
        <w:footnoteRef/>
      </w:r>
      <w:r>
        <w:t>.</w:t>
      </w:r>
      <w:r>
        <w:tab/>
        <w:t>In 2012, police recorded 750 offences of intentionally causing serious injury and 1,417 offences of recklessly causing injury. Following a significant 10-year decline, by 2021 the figures for those same offences were just 205 and 265: Crime Statistics Agency, ‘Year Ending 31 December 2021’ (crimestatistics.vic.gov.au, 2022) Table 5.</w:t>
      </w:r>
    </w:p>
  </w:footnote>
  <w:footnote w:id="26">
    <w:p w14:paraId="30CCEE91" w14:textId="054CDF18" w:rsidR="00E62AE6" w:rsidRDefault="00E62AE6" w:rsidP="008672DB">
      <w:pPr>
        <w:pStyle w:val="Footnote"/>
      </w:pPr>
      <w:r>
        <w:rPr>
          <w:vertAlign w:val="superscript"/>
        </w:rPr>
        <w:footnoteRef/>
      </w:r>
      <w:r>
        <w:t>.</w:t>
      </w:r>
      <w:r>
        <w:tab/>
        <w:t>These measurements incorporate data from 2001–02 to 2020–21 for intentionally causing serious injury and recklessly causing serious injury, and data from 2006–07 to 2020–21 for intentionally causing injury.</w:t>
      </w:r>
    </w:p>
  </w:footnote>
  <w:footnote w:id="27">
    <w:p w14:paraId="47ACB6F8" w14:textId="19DC73CD" w:rsidR="00E62AE6" w:rsidRDefault="00E62AE6" w:rsidP="00BF1743">
      <w:pPr>
        <w:pStyle w:val="Footnote"/>
      </w:pPr>
      <w:r>
        <w:rPr>
          <w:vertAlign w:val="superscript"/>
        </w:rPr>
        <w:footnoteRef/>
      </w:r>
      <w:r>
        <w:t>.</w:t>
      </w:r>
      <w:r>
        <w:tab/>
      </w:r>
      <w:r>
        <w:rPr>
          <w:rStyle w:val="Italic"/>
        </w:rPr>
        <w:t xml:space="preserve">Sentencing Act 1991 </w:t>
      </w:r>
      <w:r>
        <w:t xml:space="preserve">(Vic) s 3(g) (definition of </w:t>
      </w:r>
      <w:r>
        <w:rPr>
          <w:rStyle w:val="Italic"/>
        </w:rPr>
        <w:t>category 2 offence</w:t>
      </w:r>
      <w:r>
        <w:t>).</w:t>
      </w:r>
    </w:p>
  </w:footnote>
  <w:footnote w:id="28">
    <w:p w14:paraId="7C78D779" w14:textId="3D0CA748" w:rsidR="00E62AE6" w:rsidRDefault="00E62AE6" w:rsidP="005C05FF">
      <w:pPr>
        <w:pStyle w:val="Footnote"/>
      </w:pPr>
      <w:r>
        <w:rPr>
          <w:vertAlign w:val="superscript"/>
        </w:rPr>
        <w:footnoteRef/>
      </w:r>
      <w:r>
        <w:t>.</w:t>
      </w:r>
      <w:r>
        <w:tab/>
        <w:t xml:space="preserve">The Court of Appeal held in </w:t>
      </w:r>
      <w:r>
        <w:rPr>
          <w:rStyle w:val="Italic"/>
        </w:rPr>
        <w:t xml:space="preserve">Worboyes v The Queen </w:t>
      </w:r>
      <w:r>
        <w:t>[2021] VSCA 169 that people who pleaded guilty during COVID-19 restrictions were entitled to larger sentencing discounts to reflect the harsher nature of custodial settings as a result of isolation requirements as well as the enhanced utilitarian benefit of resolving a matter while courts grappled with case backlogs.</w:t>
      </w:r>
    </w:p>
  </w:footnote>
  <w:footnote w:id="29">
    <w:p w14:paraId="70ED09E9" w14:textId="297A57FD" w:rsidR="00E62AE6" w:rsidRDefault="00E62AE6" w:rsidP="005C05FF">
      <w:pPr>
        <w:pStyle w:val="Footnote"/>
      </w:pPr>
      <w:r>
        <w:rPr>
          <w:vertAlign w:val="superscript"/>
        </w:rPr>
        <w:footnoteRef/>
      </w:r>
      <w:r>
        <w:t>.</w:t>
      </w:r>
      <w:r>
        <w:tab/>
      </w:r>
      <w:r>
        <w:rPr>
          <w:rStyle w:val="Italic"/>
        </w:rPr>
        <w:t xml:space="preserve">Gregory (A Pseudonym) v The Queen </w:t>
      </w:r>
      <w:r>
        <w:t>[2017] VSCA 151.</w:t>
      </w:r>
    </w:p>
  </w:footnote>
  <w:footnote w:id="30">
    <w:p w14:paraId="79C78181" w14:textId="558E4ECA" w:rsidR="00E62AE6" w:rsidRDefault="00E62AE6" w:rsidP="005C05FF">
      <w:pPr>
        <w:pStyle w:val="Footnote"/>
      </w:pPr>
      <w:r>
        <w:rPr>
          <w:vertAlign w:val="superscript"/>
        </w:rPr>
        <w:footnoteRef/>
      </w:r>
      <w:r>
        <w:t>.</w:t>
      </w:r>
      <w:r>
        <w:tab/>
      </w:r>
      <w:r>
        <w:rPr>
          <w:rStyle w:val="Italic"/>
        </w:rPr>
        <w:t xml:space="preserve">Rahmani v The Queen </w:t>
      </w:r>
      <w:r>
        <w:t xml:space="preserve">[2021] VSCA 51; </w:t>
      </w:r>
      <w:r>
        <w:rPr>
          <w:rStyle w:val="Italic"/>
        </w:rPr>
        <w:t xml:space="preserve">Quah v The Queen </w:t>
      </w:r>
      <w:r>
        <w:t>[2021] VSCA 164.</w:t>
      </w:r>
    </w:p>
  </w:footnote>
  <w:footnote w:id="31">
    <w:p w14:paraId="66E9438B" w14:textId="739BEFBE" w:rsidR="00E62AE6" w:rsidRDefault="00E62AE6" w:rsidP="00404C39">
      <w:pPr>
        <w:pStyle w:val="Footnote"/>
      </w:pPr>
      <w:r>
        <w:rPr>
          <w:vertAlign w:val="superscript"/>
        </w:rPr>
        <w:footnoteRef/>
      </w:r>
      <w:r>
        <w:t>.</w:t>
      </w:r>
      <w:r>
        <w:tab/>
        <w:t xml:space="preserve">In March 2010, the higher maximum penalty of 25 years’ imprisonment was expanded to apply in cases involving 10- and 11-year-olds: </w:t>
      </w:r>
      <w:r>
        <w:rPr>
          <w:rStyle w:val="Italic"/>
        </w:rPr>
        <w:t xml:space="preserve">Crimes Legislation Amendment Act 2010 </w:t>
      </w:r>
      <w:r>
        <w:t>(Vic) s 3.</w:t>
      </w:r>
    </w:p>
  </w:footnote>
  <w:footnote w:id="32">
    <w:p w14:paraId="781F7664" w14:textId="404951FF" w:rsidR="00E62AE6" w:rsidRDefault="00E62AE6" w:rsidP="00404C39">
      <w:pPr>
        <w:pStyle w:val="Footnote"/>
      </w:pPr>
      <w:r>
        <w:rPr>
          <w:vertAlign w:val="superscript"/>
        </w:rPr>
        <w:footnoteRef/>
      </w:r>
      <w:r>
        <w:t>.</w:t>
      </w:r>
      <w:r>
        <w:tab/>
        <w:t xml:space="preserve">The offence of persistent sexual abuse was formally known as maintaining a sexual relationship with a child: </w:t>
      </w:r>
      <w:r>
        <w:rPr>
          <w:rStyle w:val="Italic"/>
        </w:rPr>
        <w:t xml:space="preserve">Crimes (Sexual Offences) Act 2006 </w:t>
      </w:r>
      <w:r>
        <w:t>(Vic) s 11.</w:t>
      </w:r>
    </w:p>
  </w:footnote>
  <w:footnote w:id="33">
    <w:p w14:paraId="31151EB0" w14:textId="6BB058BC" w:rsidR="00E62AE6" w:rsidRDefault="00E62AE6" w:rsidP="003D3863">
      <w:pPr>
        <w:pStyle w:val="Footnote"/>
      </w:pPr>
      <w:r>
        <w:rPr>
          <w:vertAlign w:val="superscript"/>
        </w:rPr>
        <w:footnoteRef/>
      </w:r>
      <w:r>
        <w:t>.</w:t>
      </w:r>
      <w:r>
        <w:tab/>
      </w:r>
      <w:r>
        <w:rPr>
          <w:rStyle w:val="Italic"/>
        </w:rPr>
        <w:t xml:space="preserve">Sentencing (Community Correction Order) and Other Acts Amendment Act 2016 </w:t>
      </w:r>
      <w:r>
        <w:t>(Vic).</w:t>
      </w:r>
    </w:p>
  </w:footnote>
  <w:footnote w:id="34">
    <w:p w14:paraId="4C72D449" w14:textId="47E9B422" w:rsidR="00E62AE6" w:rsidRDefault="00E62AE6" w:rsidP="003D3863">
      <w:pPr>
        <w:pStyle w:val="Footnote"/>
      </w:pPr>
      <w:r>
        <w:rPr>
          <w:vertAlign w:val="superscript"/>
        </w:rPr>
        <w:footnoteRef/>
      </w:r>
      <w:r>
        <w:t>.</w:t>
      </w:r>
      <w:r>
        <w:tab/>
        <w:t xml:space="preserve">Sentencing Advisory Council, </w:t>
      </w:r>
      <w:r>
        <w:rPr>
          <w:rStyle w:val="Italic"/>
        </w:rPr>
        <w:t xml:space="preserve">Sentencing Guidance in Victoria </w:t>
      </w:r>
      <w:r>
        <w:t>(2016) 231.</w:t>
      </w:r>
    </w:p>
  </w:footnote>
  <w:footnote w:id="35">
    <w:p w14:paraId="73B50D99" w14:textId="69283E44" w:rsidR="00E62AE6" w:rsidRDefault="00E62AE6" w:rsidP="003D3863">
      <w:pPr>
        <w:pStyle w:val="Footnote"/>
      </w:pPr>
      <w:r>
        <w:rPr>
          <w:vertAlign w:val="superscript"/>
        </w:rPr>
        <w:footnoteRef/>
      </w:r>
      <w:r>
        <w:t>.</w:t>
      </w:r>
      <w:r>
        <w:tab/>
        <w:t xml:space="preserve">Sentencing Advisory Council, </w:t>
      </w:r>
      <w:r>
        <w:rPr>
          <w:rStyle w:val="Italic"/>
        </w:rPr>
        <w:t xml:space="preserve">Sentencing Sex Offences in Victoria: An Analysis of Three Sentencing Reforms </w:t>
      </w:r>
      <w:r>
        <w:t xml:space="preserve">(2021) 19–20. </w:t>
      </w:r>
    </w:p>
  </w:footnote>
  <w:footnote w:id="36">
    <w:p w14:paraId="03AA78D2" w14:textId="09B19B10" w:rsidR="00E62AE6" w:rsidRDefault="00E62AE6" w:rsidP="00362EEE">
      <w:pPr>
        <w:pStyle w:val="Footnote"/>
      </w:pPr>
      <w:r>
        <w:rPr>
          <w:vertAlign w:val="superscript"/>
        </w:rPr>
        <w:footnoteRef/>
      </w:r>
      <w:r>
        <w:t>.</w:t>
      </w:r>
      <w:r>
        <w:tab/>
        <w:t xml:space="preserve">Ibid 21–22; </w:t>
      </w:r>
      <w:r>
        <w:rPr>
          <w:rStyle w:val="Italic"/>
        </w:rPr>
        <w:t xml:space="preserve">Shrestha v The Queen </w:t>
      </w:r>
      <w:r>
        <w:t xml:space="preserve">[2017] VSCA 364. </w:t>
      </w:r>
    </w:p>
  </w:footnote>
  <w:footnote w:id="37">
    <w:p w14:paraId="4D5858BE" w14:textId="7D967459" w:rsidR="00E62AE6" w:rsidRDefault="00E62AE6" w:rsidP="00362EEE">
      <w:pPr>
        <w:pStyle w:val="Footnote"/>
      </w:pPr>
      <w:r>
        <w:rPr>
          <w:vertAlign w:val="superscript"/>
        </w:rPr>
        <w:footnoteRef/>
      </w:r>
      <w:r>
        <w:t>.</w:t>
      </w:r>
      <w:r>
        <w:tab/>
        <w:t xml:space="preserve">Sentencing Advisory Council (2021), above n 35, 38–42. </w:t>
      </w:r>
    </w:p>
  </w:footnote>
  <w:footnote w:id="38">
    <w:p w14:paraId="391BD627" w14:textId="0FFA7BBD" w:rsidR="00E62AE6" w:rsidRDefault="00E62AE6" w:rsidP="00362EEE">
      <w:pPr>
        <w:pStyle w:val="Footnote"/>
      </w:pPr>
      <w:r>
        <w:rPr>
          <w:vertAlign w:val="superscript"/>
        </w:rPr>
        <w:footnoteRef/>
      </w:r>
      <w:r>
        <w:t>.</w:t>
      </w:r>
      <w:r>
        <w:tab/>
        <w:t xml:space="preserve">Ibid 56. </w:t>
      </w:r>
    </w:p>
  </w:footnote>
  <w:footnote w:id="39">
    <w:p w14:paraId="447EB583" w14:textId="303488B3" w:rsidR="00E62AE6" w:rsidRDefault="00E62AE6" w:rsidP="00387617">
      <w:pPr>
        <w:pStyle w:val="Footnote"/>
      </w:pPr>
      <w:r>
        <w:rPr>
          <w:vertAlign w:val="superscript"/>
        </w:rPr>
        <w:footnoteRef/>
      </w:r>
      <w:r>
        <w:t>.</w:t>
      </w:r>
      <w:r>
        <w:tab/>
        <w:t xml:space="preserve">Sentencing Advisory Council, ‘Victoria’s Imprisonment Rates’ (sentencingcouncil.vic.gov.au, 2022). Note, though, that as of 31 May 2022, Victoria’s prison population had dropped to 6,633, most of the decrease being in the number of </w:t>
      </w:r>
      <w:r>
        <w:rPr>
          <w:rStyle w:val="Italic"/>
        </w:rPr>
        <w:t xml:space="preserve">sentenced </w:t>
      </w:r>
      <w:r>
        <w:t>prisoners: Corrections Victoria, ‘Prisoner and Offender Statistics’, Corrections, Prison &amp; Parole (corrections.vic.gov.au, 2022).</w:t>
      </w:r>
    </w:p>
  </w:footnote>
  <w:footnote w:id="40">
    <w:p w14:paraId="25B3A05C" w14:textId="6A6D165D" w:rsidR="00E62AE6" w:rsidRDefault="00E62AE6" w:rsidP="00387617">
      <w:pPr>
        <w:pStyle w:val="Footnote"/>
      </w:pPr>
      <w:r>
        <w:rPr>
          <w:vertAlign w:val="superscript"/>
        </w:rPr>
        <w:footnoteRef/>
      </w:r>
      <w:r>
        <w:t>.</w:t>
      </w:r>
      <w:r>
        <w:tab/>
        <w:t xml:space="preserve">See, for example, Sentencing Advisory Council (2020), above n 15; Productivity Commission, </w:t>
      </w:r>
      <w:r>
        <w:rPr>
          <w:rStyle w:val="Italic"/>
        </w:rPr>
        <w:t xml:space="preserve">Australia’s Prison Dilemma: Research Paper </w:t>
      </w:r>
      <w:r>
        <w:t xml:space="preserve">(2021); Parliament of Victoria, Legal and Social Issues Committee, </w:t>
      </w:r>
      <w:r>
        <w:rPr>
          <w:rStyle w:val="Italic"/>
        </w:rPr>
        <w:t xml:space="preserve">Inquiry into Victoria’s Criminal Justice System </w:t>
      </w:r>
      <w:r>
        <w:t xml:space="preserve">(2022).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79E1" w14:textId="1AE3E687" w:rsidR="00553AA8" w:rsidRPr="00DE2015" w:rsidRDefault="005B798D" w:rsidP="004C4F65">
    <w:pPr>
      <w:pStyle w:val="PageNumberReferenceLHPPageNumber"/>
      <w:rPr>
        <w:rFonts w:ascii="Verdana" w:hAnsi="Verdana"/>
        <w:color w:val="auto"/>
        <w:sz w:val="20"/>
        <w:szCs w:val="20"/>
      </w:rPr>
    </w:pPr>
    <w:r>
      <w:rPr>
        <w:rFonts w:ascii="Verdana" w:hAnsi="Verdana"/>
        <w:i/>
        <w:iCs/>
        <w:color w:val="auto"/>
        <w:sz w:val="20"/>
        <w:szCs w:val="20"/>
      </w:rPr>
      <w:t>Long-Term Sentencing Trends in Victoria</w:t>
    </w:r>
    <w:r w:rsidR="00553AA8" w:rsidRPr="00DE2015">
      <w:rPr>
        <w:rFonts w:ascii="Verdana" w:hAnsi="Verdana"/>
        <w:color w:val="auto"/>
        <w:sz w:val="20"/>
        <w:szCs w:val="20"/>
      </w:rPr>
      <w:t xml:space="preserve"> </w:t>
    </w:r>
    <w:r w:rsidR="00553AA8" w:rsidRPr="00DE2015">
      <w:rPr>
        <w:rFonts w:ascii="Verdana" w:hAnsi="Verdana" w:cs="Arial"/>
        <w:color w:val="auto"/>
        <w:sz w:val="20"/>
        <w:szCs w:val="20"/>
      </w:rPr>
      <w:t>●</w:t>
    </w:r>
    <w:r w:rsidR="00553AA8" w:rsidRPr="00DE2015">
      <w:rPr>
        <w:rFonts w:ascii="Verdana" w:hAnsi="Verdana"/>
        <w:color w:val="auto"/>
        <w:sz w:val="20"/>
        <w:szCs w:val="20"/>
      </w:rPr>
      <w:t xml:space="preserve"> </w:t>
    </w:r>
    <w:r>
      <w:rPr>
        <w:rFonts w:ascii="Verdana" w:hAnsi="Verdana"/>
        <w:color w:val="auto"/>
        <w:sz w:val="20"/>
        <w:szCs w:val="20"/>
      </w:rPr>
      <w:t>September 2022</w:t>
    </w:r>
    <w:r w:rsidR="00553AA8" w:rsidRPr="00DE2015">
      <w:rPr>
        <w:rFonts w:ascii="Verdana" w:hAnsi="Verdana"/>
        <w:color w:val="auto"/>
        <w:sz w:val="20"/>
        <w:szCs w:val="20"/>
      </w:rPr>
      <w:t xml:space="preserve"> </w:t>
    </w:r>
    <w:r w:rsidR="00553AA8" w:rsidRPr="00DE2015">
      <w:rPr>
        <w:rFonts w:ascii="Verdana" w:hAnsi="Verdana" w:cs="Arial"/>
        <w:color w:val="auto"/>
        <w:sz w:val="20"/>
        <w:szCs w:val="20"/>
      </w:rPr>
      <w:t>●</w:t>
    </w:r>
    <w:r w:rsidR="00553AA8" w:rsidRPr="00DE2015">
      <w:rPr>
        <w:rFonts w:ascii="Verdana" w:hAnsi="Verdana"/>
        <w:color w:val="auto"/>
        <w:sz w:val="20"/>
        <w:szCs w:val="20"/>
      </w:rPr>
      <w:t xml:space="preserve"> Sentencing Advisory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97F"/>
    <w:multiLevelType w:val="hybridMultilevel"/>
    <w:tmpl w:val="2826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06CDB"/>
    <w:multiLevelType w:val="hybridMultilevel"/>
    <w:tmpl w:val="53624E0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460667"/>
    <w:multiLevelType w:val="hybridMultilevel"/>
    <w:tmpl w:val="70062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11449"/>
    <w:multiLevelType w:val="hybridMultilevel"/>
    <w:tmpl w:val="BFBE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F6721C"/>
    <w:multiLevelType w:val="hybridMultilevel"/>
    <w:tmpl w:val="CCFEC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BC2350"/>
    <w:multiLevelType w:val="hybridMultilevel"/>
    <w:tmpl w:val="E11ED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EE10FE"/>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BD2207"/>
    <w:multiLevelType w:val="hybridMultilevel"/>
    <w:tmpl w:val="1F7E7B3A"/>
    <w:lvl w:ilvl="0" w:tplc="B6348BB6">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8" w15:restartNumberingAfterBreak="0">
    <w:nsid w:val="32FE6D65"/>
    <w:multiLevelType w:val="hybridMultilevel"/>
    <w:tmpl w:val="01DC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BE02FF7"/>
    <w:multiLevelType w:val="hybridMultilevel"/>
    <w:tmpl w:val="B1300D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517581"/>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1"/>
  </w:num>
  <w:num w:numId="5">
    <w:abstractNumId w:val="0"/>
  </w:num>
  <w:num w:numId="6">
    <w:abstractNumId w:val="3"/>
  </w:num>
  <w:num w:numId="7">
    <w:abstractNumId w:val="6"/>
  </w:num>
  <w:num w:numId="8">
    <w:abstractNumId w:val="2"/>
  </w:num>
  <w:num w:numId="9">
    <w:abstractNumId w:val="5"/>
  </w:num>
  <w:num w:numId="10">
    <w:abstractNumId w:val="8"/>
  </w:num>
  <w:num w:numId="11">
    <w:abstractNumId w:val="4"/>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embedSystemFonts/>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992"/>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8D"/>
    <w:rsid w:val="00005983"/>
    <w:rsid w:val="00005C26"/>
    <w:rsid w:val="00007C8C"/>
    <w:rsid w:val="00014E52"/>
    <w:rsid w:val="00014F2C"/>
    <w:rsid w:val="000171EF"/>
    <w:rsid w:val="00026071"/>
    <w:rsid w:val="000319F4"/>
    <w:rsid w:val="00031D5F"/>
    <w:rsid w:val="00034AE6"/>
    <w:rsid w:val="00035413"/>
    <w:rsid w:val="000427AA"/>
    <w:rsid w:val="000428F2"/>
    <w:rsid w:val="00043A0A"/>
    <w:rsid w:val="000449D7"/>
    <w:rsid w:val="00050B03"/>
    <w:rsid w:val="00050B8A"/>
    <w:rsid w:val="00050BF8"/>
    <w:rsid w:val="00050EE9"/>
    <w:rsid w:val="00053A2E"/>
    <w:rsid w:val="0005645F"/>
    <w:rsid w:val="00057C77"/>
    <w:rsid w:val="0006358E"/>
    <w:rsid w:val="0006596C"/>
    <w:rsid w:val="00066093"/>
    <w:rsid w:val="00066A46"/>
    <w:rsid w:val="00067FA5"/>
    <w:rsid w:val="000706AC"/>
    <w:rsid w:val="00072BF5"/>
    <w:rsid w:val="0007307E"/>
    <w:rsid w:val="0007454B"/>
    <w:rsid w:val="00075ECD"/>
    <w:rsid w:val="000802AD"/>
    <w:rsid w:val="00083BE5"/>
    <w:rsid w:val="000841B0"/>
    <w:rsid w:val="00084687"/>
    <w:rsid w:val="000853D4"/>
    <w:rsid w:val="00086F87"/>
    <w:rsid w:val="00087791"/>
    <w:rsid w:val="00090773"/>
    <w:rsid w:val="00091E82"/>
    <w:rsid w:val="000942BD"/>
    <w:rsid w:val="00094B2B"/>
    <w:rsid w:val="000A3913"/>
    <w:rsid w:val="000B028C"/>
    <w:rsid w:val="000B1B6C"/>
    <w:rsid w:val="000B45FD"/>
    <w:rsid w:val="000B4F53"/>
    <w:rsid w:val="000B5247"/>
    <w:rsid w:val="000B5939"/>
    <w:rsid w:val="000B634A"/>
    <w:rsid w:val="000C2770"/>
    <w:rsid w:val="000C5A4C"/>
    <w:rsid w:val="000C68BF"/>
    <w:rsid w:val="000C7CB4"/>
    <w:rsid w:val="000D0266"/>
    <w:rsid w:val="000D1F9C"/>
    <w:rsid w:val="000D3D73"/>
    <w:rsid w:val="000D4AB1"/>
    <w:rsid w:val="000D4ACB"/>
    <w:rsid w:val="000E1D9C"/>
    <w:rsid w:val="000E2144"/>
    <w:rsid w:val="000E2235"/>
    <w:rsid w:val="000E2800"/>
    <w:rsid w:val="000F3C5D"/>
    <w:rsid w:val="000F418F"/>
    <w:rsid w:val="000F454E"/>
    <w:rsid w:val="000F73E4"/>
    <w:rsid w:val="00105B94"/>
    <w:rsid w:val="00106679"/>
    <w:rsid w:val="00107BCD"/>
    <w:rsid w:val="00111982"/>
    <w:rsid w:val="001123B9"/>
    <w:rsid w:val="00114117"/>
    <w:rsid w:val="00114896"/>
    <w:rsid w:val="00120452"/>
    <w:rsid w:val="0012066E"/>
    <w:rsid w:val="001236B6"/>
    <w:rsid w:val="00125046"/>
    <w:rsid w:val="00125E7F"/>
    <w:rsid w:val="0012645E"/>
    <w:rsid w:val="00131244"/>
    <w:rsid w:val="00133AD1"/>
    <w:rsid w:val="00135356"/>
    <w:rsid w:val="00135C30"/>
    <w:rsid w:val="001405EA"/>
    <w:rsid w:val="0014068F"/>
    <w:rsid w:val="0014092F"/>
    <w:rsid w:val="001446F6"/>
    <w:rsid w:val="001459BF"/>
    <w:rsid w:val="001463DE"/>
    <w:rsid w:val="00150549"/>
    <w:rsid w:val="00150C14"/>
    <w:rsid w:val="00150DBB"/>
    <w:rsid w:val="00152192"/>
    <w:rsid w:val="001559E1"/>
    <w:rsid w:val="00160502"/>
    <w:rsid w:val="001615C7"/>
    <w:rsid w:val="0016439C"/>
    <w:rsid w:val="00165B10"/>
    <w:rsid w:val="0017242B"/>
    <w:rsid w:val="00173049"/>
    <w:rsid w:val="00175A75"/>
    <w:rsid w:val="00175B23"/>
    <w:rsid w:val="00177475"/>
    <w:rsid w:val="00177B78"/>
    <w:rsid w:val="00181117"/>
    <w:rsid w:val="001833B4"/>
    <w:rsid w:val="0018415B"/>
    <w:rsid w:val="001917EB"/>
    <w:rsid w:val="00191E69"/>
    <w:rsid w:val="00193059"/>
    <w:rsid w:val="00193952"/>
    <w:rsid w:val="00196BD3"/>
    <w:rsid w:val="001970F5"/>
    <w:rsid w:val="001A0831"/>
    <w:rsid w:val="001A18DD"/>
    <w:rsid w:val="001A3BFD"/>
    <w:rsid w:val="001A72C5"/>
    <w:rsid w:val="001B1E2B"/>
    <w:rsid w:val="001B2460"/>
    <w:rsid w:val="001B255C"/>
    <w:rsid w:val="001B6151"/>
    <w:rsid w:val="001B7D9F"/>
    <w:rsid w:val="001B7F6F"/>
    <w:rsid w:val="001D0105"/>
    <w:rsid w:val="001D3AD6"/>
    <w:rsid w:val="001D3B29"/>
    <w:rsid w:val="001D4674"/>
    <w:rsid w:val="001D54DB"/>
    <w:rsid w:val="001D6BB9"/>
    <w:rsid w:val="001E0CC8"/>
    <w:rsid w:val="001E11EF"/>
    <w:rsid w:val="001E3774"/>
    <w:rsid w:val="001E4E27"/>
    <w:rsid w:val="001E54C9"/>
    <w:rsid w:val="001E694E"/>
    <w:rsid w:val="001E6C0C"/>
    <w:rsid w:val="001F471E"/>
    <w:rsid w:val="001F550D"/>
    <w:rsid w:val="001F7595"/>
    <w:rsid w:val="001F7BAD"/>
    <w:rsid w:val="00203831"/>
    <w:rsid w:val="00206AF3"/>
    <w:rsid w:val="00207E1C"/>
    <w:rsid w:val="00212F61"/>
    <w:rsid w:val="00217FD7"/>
    <w:rsid w:val="002209C8"/>
    <w:rsid w:val="00220B05"/>
    <w:rsid w:val="002220B3"/>
    <w:rsid w:val="002225C5"/>
    <w:rsid w:val="002303F4"/>
    <w:rsid w:val="002323A3"/>
    <w:rsid w:val="00236601"/>
    <w:rsid w:val="002379DD"/>
    <w:rsid w:val="00237CDC"/>
    <w:rsid w:val="00240841"/>
    <w:rsid w:val="00244E1A"/>
    <w:rsid w:val="0025199A"/>
    <w:rsid w:val="002524C5"/>
    <w:rsid w:val="002546D0"/>
    <w:rsid w:val="00257443"/>
    <w:rsid w:val="00263161"/>
    <w:rsid w:val="00266788"/>
    <w:rsid w:val="00270C5B"/>
    <w:rsid w:val="00272FAB"/>
    <w:rsid w:val="00273842"/>
    <w:rsid w:val="00276DA4"/>
    <w:rsid w:val="00282BBF"/>
    <w:rsid w:val="00283226"/>
    <w:rsid w:val="00283254"/>
    <w:rsid w:val="00286947"/>
    <w:rsid w:val="00287374"/>
    <w:rsid w:val="0028752B"/>
    <w:rsid w:val="00292143"/>
    <w:rsid w:val="002940A2"/>
    <w:rsid w:val="00294202"/>
    <w:rsid w:val="002A0E65"/>
    <w:rsid w:val="002A2B29"/>
    <w:rsid w:val="002A32E7"/>
    <w:rsid w:val="002A466E"/>
    <w:rsid w:val="002B0695"/>
    <w:rsid w:val="002B12E2"/>
    <w:rsid w:val="002B1984"/>
    <w:rsid w:val="002B19E1"/>
    <w:rsid w:val="002B2B70"/>
    <w:rsid w:val="002B5CF3"/>
    <w:rsid w:val="002B73A2"/>
    <w:rsid w:val="002C2130"/>
    <w:rsid w:val="002C24B1"/>
    <w:rsid w:val="002C2CA7"/>
    <w:rsid w:val="002C2F57"/>
    <w:rsid w:val="002C3862"/>
    <w:rsid w:val="002C4F89"/>
    <w:rsid w:val="002C7B59"/>
    <w:rsid w:val="002D0B8A"/>
    <w:rsid w:val="002D322E"/>
    <w:rsid w:val="002D32D6"/>
    <w:rsid w:val="002D3764"/>
    <w:rsid w:val="002D5497"/>
    <w:rsid w:val="002D579F"/>
    <w:rsid w:val="002D6557"/>
    <w:rsid w:val="002E35E9"/>
    <w:rsid w:val="002E564C"/>
    <w:rsid w:val="002E7B69"/>
    <w:rsid w:val="002F0CCB"/>
    <w:rsid w:val="002F2DB3"/>
    <w:rsid w:val="002F4391"/>
    <w:rsid w:val="002F48E4"/>
    <w:rsid w:val="002F6B3E"/>
    <w:rsid w:val="002F7907"/>
    <w:rsid w:val="0030606D"/>
    <w:rsid w:val="00306BA2"/>
    <w:rsid w:val="00307BF1"/>
    <w:rsid w:val="00307F8D"/>
    <w:rsid w:val="0031029F"/>
    <w:rsid w:val="0031200C"/>
    <w:rsid w:val="00315385"/>
    <w:rsid w:val="00315675"/>
    <w:rsid w:val="00315FC2"/>
    <w:rsid w:val="003220B1"/>
    <w:rsid w:val="003244D4"/>
    <w:rsid w:val="003245F2"/>
    <w:rsid w:val="00324B18"/>
    <w:rsid w:val="0032633A"/>
    <w:rsid w:val="00330725"/>
    <w:rsid w:val="00331208"/>
    <w:rsid w:val="003316F3"/>
    <w:rsid w:val="00331878"/>
    <w:rsid w:val="003330BE"/>
    <w:rsid w:val="00334D30"/>
    <w:rsid w:val="00337A67"/>
    <w:rsid w:val="00342CAB"/>
    <w:rsid w:val="00346383"/>
    <w:rsid w:val="00347C2A"/>
    <w:rsid w:val="00350E89"/>
    <w:rsid w:val="00351B54"/>
    <w:rsid w:val="00352D71"/>
    <w:rsid w:val="00354898"/>
    <w:rsid w:val="003564D1"/>
    <w:rsid w:val="00362EEE"/>
    <w:rsid w:val="0036597D"/>
    <w:rsid w:val="00365FDF"/>
    <w:rsid w:val="003700BC"/>
    <w:rsid w:val="00370A91"/>
    <w:rsid w:val="00370C49"/>
    <w:rsid w:val="00370D1B"/>
    <w:rsid w:val="003724FA"/>
    <w:rsid w:val="00372C51"/>
    <w:rsid w:val="00375ED2"/>
    <w:rsid w:val="00377D92"/>
    <w:rsid w:val="00383796"/>
    <w:rsid w:val="00385C00"/>
    <w:rsid w:val="0038711E"/>
    <w:rsid w:val="00387617"/>
    <w:rsid w:val="0039053D"/>
    <w:rsid w:val="0039107C"/>
    <w:rsid w:val="00392E08"/>
    <w:rsid w:val="003948B9"/>
    <w:rsid w:val="00395F6D"/>
    <w:rsid w:val="003A3EE5"/>
    <w:rsid w:val="003A5A87"/>
    <w:rsid w:val="003B1BD7"/>
    <w:rsid w:val="003B442C"/>
    <w:rsid w:val="003B4F5C"/>
    <w:rsid w:val="003B6E5E"/>
    <w:rsid w:val="003C3218"/>
    <w:rsid w:val="003C3859"/>
    <w:rsid w:val="003C4A70"/>
    <w:rsid w:val="003C5193"/>
    <w:rsid w:val="003D3863"/>
    <w:rsid w:val="003D5C43"/>
    <w:rsid w:val="003D676F"/>
    <w:rsid w:val="003E04D0"/>
    <w:rsid w:val="003E15A3"/>
    <w:rsid w:val="003F33A3"/>
    <w:rsid w:val="003F4090"/>
    <w:rsid w:val="003F42B1"/>
    <w:rsid w:val="003F7D3A"/>
    <w:rsid w:val="00400CEB"/>
    <w:rsid w:val="00401C3E"/>
    <w:rsid w:val="00404C39"/>
    <w:rsid w:val="004055B5"/>
    <w:rsid w:val="00405F78"/>
    <w:rsid w:val="004106B3"/>
    <w:rsid w:val="004137CE"/>
    <w:rsid w:val="00415FFD"/>
    <w:rsid w:val="0042101E"/>
    <w:rsid w:val="00423332"/>
    <w:rsid w:val="004250D9"/>
    <w:rsid w:val="004255C4"/>
    <w:rsid w:val="00426FD2"/>
    <w:rsid w:val="00433B52"/>
    <w:rsid w:val="00437797"/>
    <w:rsid w:val="004520D1"/>
    <w:rsid w:val="00456CC5"/>
    <w:rsid w:val="00457D97"/>
    <w:rsid w:val="004665B1"/>
    <w:rsid w:val="00470753"/>
    <w:rsid w:val="00473DCA"/>
    <w:rsid w:val="0047446E"/>
    <w:rsid w:val="00475FBD"/>
    <w:rsid w:val="00480D98"/>
    <w:rsid w:val="00481FD8"/>
    <w:rsid w:val="0048637D"/>
    <w:rsid w:val="00486BB8"/>
    <w:rsid w:val="00487398"/>
    <w:rsid w:val="00487F5F"/>
    <w:rsid w:val="00490430"/>
    <w:rsid w:val="0049264A"/>
    <w:rsid w:val="004936FB"/>
    <w:rsid w:val="00495415"/>
    <w:rsid w:val="00496282"/>
    <w:rsid w:val="00497483"/>
    <w:rsid w:val="004A0D39"/>
    <w:rsid w:val="004A2CF3"/>
    <w:rsid w:val="004A358D"/>
    <w:rsid w:val="004A4D79"/>
    <w:rsid w:val="004A62A0"/>
    <w:rsid w:val="004B063A"/>
    <w:rsid w:val="004B068E"/>
    <w:rsid w:val="004B0C4E"/>
    <w:rsid w:val="004B12EE"/>
    <w:rsid w:val="004B3DC2"/>
    <w:rsid w:val="004B4B98"/>
    <w:rsid w:val="004B599A"/>
    <w:rsid w:val="004C1909"/>
    <w:rsid w:val="004C2D4A"/>
    <w:rsid w:val="004C4F65"/>
    <w:rsid w:val="004C52D3"/>
    <w:rsid w:val="004C6F4D"/>
    <w:rsid w:val="004D0185"/>
    <w:rsid w:val="004D055D"/>
    <w:rsid w:val="004D05B8"/>
    <w:rsid w:val="004D2CCF"/>
    <w:rsid w:val="004D43CF"/>
    <w:rsid w:val="004D5EE2"/>
    <w:rsid w:val="004D77B3"/>
    <w:rsid w:val="004D7804"/>
    <w:rsid w:val="004E0049"/>
    <w:rsid w:val="004E307B"/>
    <w:rsid w:val="004E42C7"/>
    <w:rsid w:val="004E5E37"/>
    <w:rsid w:val="004E6367"/>
    <w:rsid w:val="004F6812"/>
    <w:rsid w:val="004F73C6"/>
    <w:rsid w:val="004F73F4"/>
    <w:rsid w:val="005016C9"/>
    <w:rsid w:val="00501A0E"/>
    <w:rsid w:val="0050226F"/>
    <w:rsid w:val="005033AB"/>
    <w:rsid w:val="00513540"/>
    <w:rsid w:val="005158E5"/>
    <w:rsid w:val="00523664"/>
    <w:rsid w:val="00523CF1"/>
    <w:rsid w:val="00526D86"/>
    <w:rsid w:val="00527848"/>
    <w:rsid w:val="00527C8C"/>
    <w:rsid w:val="00533377"/>
    <w:rsid w:val="005373CC"/>
    <w:rsid w:val="00542BCC"/>
    <w:rsid w:val="00545538"/>
    <w:rsid w:val="00550862"/>
    <w:rsid w:val="00552C33"/>
    <w:rsid w:val="00552ED1"/>
    <w:rsid w:val="00553AA8"/>
    <w:rsid w:val="00554B0F"/>
    <w:rsid w:val="0056002A"/>
    <w:rsid w:val="0056748A"/>
    <w:rsid w:val="00570B9F"/>
    <w:rsid w:val="0057222A"/>
    <w:rsid w:val="00576EFD"/>
    <w:rsid w:val="00580AF1"/>
    <w:rsid w:val="0058328D"/>
    <w:rsid w:val="00585E11"/>
    <w:rsid w:val="0059183C"/>
    <w:rsid w:val="005A1A70"/>
    <w:rsid w:val="005A2DD8"/>
    <w:rsid w:val="005A3418"/>
    <w:rsid w:val="005A3FCE"/>
    <w:rsid w:val="005A4851"/>
    <w:rsid w:val="005A5FC3"/>
    <w:rsid w:val="005A69E7"/>
    <w:rsid w:val="005A6AD2"/>
    <w:rsid w:val="005A74BF"/>
    <w:rsid w:val="005B3F45"/>
    <w:rsid w:val="005B7138"/>
    <w:rsid w:val="005B798D"/>
    <w:rsid w:val="005C05FF"/>
    <w:rsid w:val="005C16F8"/>
    <w:rsid w:val="005C4C2B"/>
    <w:rsid w:val="005C7673"/>
    <w:rsid w:val="005D00F7"/>
    <w:rsid w:val="005D1C21"/>
    <w:rsid w:val="005D3C51"/>
    <w:rsid w:val="005D47B9"/>
    <w:rsid w:val="005D56D5"/>
    <w:rsid w:val="005D72E6"/>
    <w:rsid w:val="005D7FEE"/>
    <w:rsid w:val="005E03B9"/>
    <w:rsid w:val="005E08D5"/>
    <w:rsid w:val="005E1829"/>
    <w:rsid w:val="005E444F"/>
    <w:rsid w:val="005F13DF"/>
    <w:rsid w:val="005F2AE7"/>
    <w:rsid w:val="005F438A"/>
    <w:rsid w:val="005F6FA9"/>
    <w:rsid w:val="00600D96"/>
    <w:rsid w:val="00611E76"/>
    <w:rsid w:val="00613286"/>
    <w:rsid w:val="00615D12"/>
    <w:rsid w:val="006171C6"/>
    <w:rsid w:val="00620C8B"/>
    <w:rsid w:val="00620DC8"/>
    <w:rsid w:val="00621735"/>
    <w:rsid w:val="0062388D"/>
    <w:rsid w:val="00623C6B"/>
    <w:rsid w:val="00623DAF"/>
    <w:rsid w:val="006250E2"/>
    <w:rsid w:val="006267C3"/>
    <w:rsid w:val="00630CA8"/>
    <w:rsid w:val="0063162A"/>
    <w:rsid w:val="00632D14"/>
    <w:rsid w:val="00633044"/>
    <w:rsid w:val="0063308C"/>
    <w:rsid w:val="00633FF7"/>
    <w:rsid w:val="00634244"/>
    <w:rsid w:val="00635D9E"/>
    <w:rsid w:val="00635F73"/>
    <w:rsid w:val="00636B72"/>
    <w:rsid w:val="00637285"/>
    <w:rsid w:val="0064076A"/>
    <w:rsid w:val="006411AF"/>
    <w:rsid w:val="00641DA6"/>
    <w:rsid w:val="006427FE"/>
    <w:rsid w:val="0064397B"/>
    <w:rsid w:val="00643AE3"/>
    <w:rsid w:val="0065042D"/>
    <w:rsid w:val="00654B4A"/>
    <w:rsid w:val="00655103"/>
    <w:rsid w:val="00657CB1"/>
    <w:rsid w:val="00664763"/>
    <w:rsid w:val="00665523"/>
    <w:rsid w:val="006666D0"/>
    <w:rsid w:val="00672D2E"/>
    <w:rsid w:val="00672D86"/>
    <w:rsid w:val="00672E9A"/>
    <w:rsid w:val="00675B85"/>
    <w:rsid w:val="00683D32"/>
    <w:rsid w:val="006848BC"/>
    <w:rsid w:val="00685547"/>
    <w:rsid w:val="0068575E"/>
    <w:rsid w:val="00685A8A"/>
    <w:rsid w:val="00685BD2"/>
    <w:rsid w:val="006871CA"/>
    <w:rsid w:val="00690765"/>
    <w:rsid w:val="00690FCB"/>
    <w:rsid w:val="006956E1"/>
    <w:rsid w:val="00696D03"/>
    <w:rsid w:val="006A0DB0"/>
    <w:rsid w:val="006A0EDE"/>
    <w:rsid w:val="006A24A4"/>
    <w:rsid w:val="006A4BB6"/>
    <w:rsid w:val="006A56BA"/>
    <w:rsid w:val="006B291B"/>
    <w:rsid w:val="006B72F4"/>
    <w:rsid w:val="006D1BC1"/>
    <w:rsid w:val="006D1D12"/>
    <w:rsid w:val="006D202C"/>
    <w:rsid w:val="006D5104"/>
    <w:rsid w:val="006E68EC"/>
    <w:rsid w:val="006E77B6"/>
    <w:rsid w:val="006F13D9"/>
    <w:rsid w:val="006F3F36"/>
    <w:rsid w:val="006F4619"/>
    <w:rsid w:val="006F5D16"/>
    <w:rsid w:val="006F63D1"/>
    <w:rsid w:val="006F6A5C"/>
    <w:rsid w:val="006F7525"/>
    <w:rsid w:val="006F77A5"/>
    <w:rsid w:val="007010B5"/>
    <w:rsid w:val="0070203B"/>
    <w:rsid w:val="00703380"/>
    <w:rsid w:val="007044B7"/>
    <w:rsid w:val="0070601D"/>
    <w:rsid w:val="00707B92"/>
    <w:rsid w:val="0071116E"/>
    <w:rsid w:val="00711AFB"/>
    <w:rsid w:val="00712490"/>
    <w:rsid w:val="00714D14"/>
    <w:rsid w:val="00716DAB"/>
    <w:rsid w:val="00720224"/>
    <w:rsid w:val="00720D8A"/>
    <w:rsid w:val="00720DFC"/>
    <w:rsid w:val="00721534"/>
    <w:rsid w:val="00721731"/>
    <w:rsid w:val="00722FB8"/>
    <w:rsid w:val="007238AB"/>
    <w:rsid w:val="00727C4C"/>
    <w:rsid w:val="00733B0D"/>
    <w:rsid w:val="007355EA"/>
    <w:rsid w:val="00735DF1"/>
    <w:rsid w:val="00741722"/>
    <w:rsid w:val="00741AD3"/>
    <w:rsid w:val="00742CAD"/>
    <w:rsid w:val="00744633"/>
    <w:rsid w:val="007455E8"/>
    <w:rsid w:val="00750C7D"/>
    <w:rsid w:val="0075182F"/>
    <w:rsid w:val="00753619"/>
    <w:rsid w:val="0076421D"/>
    <w:rsid w:val="00764EE8"/>
    <w:rsid w:val="0076536F"/>
    <w:rsid w:val="007666D2"/>
    <w:rsid w:val="00767052"/>
    <w:rsid w:val="007715AB"/>
    <w:rsid w:val="00771A2E"/>
    <w:rsid w:val="00771DA7"/>
    <w:rsid w:val="00776366"/>
    <w:rsid w:val="00776C07"/>
    <w:rsid w:val="00782856"/>
    <w:rsid w:val="00783F29"/>
    <w:rsid w:val="00785F1D"/>
    <w:rsid w:val="00786CC9"/>
    <w:rsid w:val="007906A8"/>
    <w:rsid w:val="00790C4F"/>
    <w:rsid w:val="0079136E"/>
    <w:rsid w:val="00791C21"/>
    <w:rsid w:val="00792D4E"/>
    <w:rsid w:val="00794DFA"/>
    <w:rsid w:val="00794E58"/>
    <w:rsid w:val="0079520A"/>
    <w:rsid w:val="0079735B"/>
    <w:rsid w:val="00797752"/>
    <w:rsid w:val="007977A7"/>
    <w:rsid w:val="007B1693"/>
    <w:rsid w:val="007B298F"/>
    <w:rsid w:val="007B6AFF"/>
    <w:rsid w:val="007B7B5A"/>
    <w:rsid w:val="007C1926"/>
    <w:rsid w:val="007C1944"/>
    <w:rsid w:val="007C2B98"/>
    <w:rsid w:val="007C4F31"/>
    <w:rsid w:val="007C667F"/>
    <w:rsid w:val="007D1915"/>
    <w:rsid w:val="007D570A"/>
    <w:rsid w:val="007E07CD"/>
    <w:rsid w:val="007E570C"/>
    <w:rsid w:val="007E5CA6"/>
    <w:rsid w:val="007E6020"/>
    <w:rsid w:val="007E7774"/>
    <w:rsid w:val="007E7EEB"/>
    <w:rsid w:val="007F25B8"/>
    <w:rsid w:val="007F2D1D"/>
    <w:rsid w:val="007F3862"/>
    <w:rsid w:val="007F4552"/>
    <w:rsid w:val="007F486D"/>
    <w:rsid w:val="007F4973"/>
    <w:rsid w:val="007F6F1F"/>
    <w:rsid w:val="007F788C"/>
    <w:rsid w:val="008018CA"/>
    <w:rsid w:val="00803EA5"/>
    <w:rsid w:val="00807905"/>
    <w:rsid w:val="00807D88"/>
    <w:rsid w:val="00810254"/>
    <w:rsid w:val="0081315E"/>
    <w:rsid w:val="00813DB2"/>
    <w:rsid w:val="008144D7"/>
    <w:rsid w:val="008146DB"/>
    <w:rsid w:val="00814C4B"/>
    <w:rsid w:val="00816FA3"/>
    <w:rsid w:val="008179EA"/>
    <w:rsid w:val="0082178B"/>
    <w:rsid w:val="0082359A"/>
    <w:rsid w:val="00826EE0"/>
    <w:rsid w:val="00831580"/>
    <w:rsid w:val="00831665"/>
    <w:rsid w:val="00831DDA"/>
    <w:rsid w:val="00834BC4"/>
    <w:rsid w:val="00840142"/>
    <w:rsid w:val="00842583"/>
    <w:rsid w:val="00842802"/>
    <w:rsid w:val="00844898"/>
    <w:rsid w:val="008479CF"/>
    <w:rsid w:val="00851822"/>
    <w:rsid w:val="00854A59"/>
    <w:rsid w:val="0085620F"/>
    <w:rsid w:val="00856D9A"/>
    <w:rsid w:val="00860690"/>
    <w:rsid w:val="008631EF"/>
    <w:rsid w:val="00866DDA"/>
    <w:rsid w:val="0086723D"/>
    <w:rsid w:val="008672DB"/>
    <w:rsid w:val="00870A4C"/>
    <w:rsid w:val="00872369"/>
    <w:rsid w:val="008758CF"/>
    <w:rsid w:val="00875A2F"/>
    <w:rsid w:val="00880689"/>
    <w:rsid w:val="0088343B"/>
    <w:rsid w:val="00885021"/>
    <w:rsid w:val="0088705B"/>
    <w:rsid w:val="00894253"/>
    <w:rsid w:val="008949AE"/>
    <w:rsid w:val="00896433"/>
    <w:rsid w:val="0089673C"/>
    <w:rsid w:val="00896AE3"/>
    <w:rsid w:val="00896B8D"/>
    <w:rsid w:val="008A19D0"/>
    <w:rsid w:val="008A1C48"/>
    <w:rsid w:val="008A2083"/>
    <w:rsid w:val="008A365A"/>
    <w:rsid w:val="008B2CBA"/>
    <w:rsid w:val="008B2E75"/>
    <w:rsid w:val="008B4956"/>
    <w:rsid w:val="008B5290"/>
    <w:rsid w:val="008B5525"/>
    <w:rsid w:val="008B5A86"/>
    <w:rsid w:val="008C0CC7"/>
    <w:rsid w:val="008C2429"/>
    <w:rsid w:val="008C52BC"/>
    <w:rsid w:val="008C5716"/>
    <w:rsid w:val="008C5B57"/>
    <w:rsid w:val="008D0DB8"/>
    <w:rsid w:val="008D152C"/>
    <w:rsid w:val="008D384B"/>
    <w:rsid w:val="008D4CA6"/>
    <w:rsid w:val="008D503F"/>
    <w:rsid w:val="008D512A"/>
    <w:rsid w:val="008E0C9A"/>
    <w:rsid w:val="008E0CAB"/>
    <w:rsid w:val="008E23B0"/>
    <w:rsid w:val="008E470B"/>
    <w:rsid w:val="008F0875"/>
    <w:rsid w:val="008F2266"/>
    <w:rsid w:val="008F42B4"/>
    <w:rsid w:val="008F529F"/>
    <w:rsid w:val="008F608B"/>
    <w:rsid w:val="008F7BBD"/>
    <w:rsid w:val="00900627"/>
    <w:rsid w:val="00903B30"/>
    <w:rsid w:val="009044B2"/>
    <w:rsid w:val="009051A3"/>
    <w:rsid w:val="0091246C"/>
    <w:rsid w:val="00914BC1"/>
    <w:rsid w:val="00915C56"/>
    <w:rsid w:val="0091680F"/>
    <w:rsid w:val="00925344"/>
    <w:rsid w:val="009253CB"/>
    <w:rsid w:val="00927E96"/>
    <w:rsid w:val="00934533"/>
    <w:rsid w:val="00934E7C"/>
    <w:rsid w:val="00941267"/>
    <w:rsid w:val="00944548"/>
    <w:rsid w:val="0094526B"/>
    <w:rsid w:val="0094576D"/>
    <w:rsid w:val="00945812"/>
    <w:rsid w:val="00946381"/>
    <w:rsid w:val="009503C4"/>
    <w:rsid w:val="00951DEC"/>
    <w:rsid w:val="00952035"/>
    <w:rsid w:val="00957F3A"/>
    <w:rsid w:val="00960344"/>
    <w:rsid w:val="009603FA"/>
    <w:rsid w:val="00962272"/>
    <w:rsid w:val="00962ED1"/>
    <w:rsid w:val="00963820"/>
    <w:rsid w:val="00964354"/>
    <w:rsid w:val="00964755"/>
    <w:rsid w:val="00967087"/>
    <w:rsid w:val="00971658"/>
    <w:rsid w:val="00973F7B"/>
    <w:rsid w:val="0097436A"/>
    <w:rsid w:val="0097443C"/>
    <w:rsid w:val="00980B55"/>
    <w:rsid w:val="00980D06"/>
    <w:rsid w:val="00980EEB"/>
    <w:rsid w:val="00981F27"/>
    <w:rsid w:val="00982DEC"/>
    <w:rsid w:val="0098349A"/>
    <w:rsid w:val="00983D8C"/>
    <w:rsid w:val="0098431B"/>
    <w:rsid w:val="00987F92"/>
    <w:rsid w:val="00987FA3"/>
    <w:rsid w:val="00992587"/>
    <w:rsid w:val="009939F2"/>
    <w:rsid w:val="00993C9B"/>
    <w:rsid w:val="009967EC"/>
    <w:rsid w:val="0099739A"/>
    <w:rsid w:val="009A0D71"/>
    <w:rsid w:val="009A0E17"/>
    <w:rsid w:val="009A49FB"/>
    <w:rsid w:val="009A6FB4"/>
    <w:rsid w:val="009B167C"/>
    <w:rsid w:val="009B171E"/>
    <w:rsid w:val="009B1AE1"/>
    <w:rsid w:val="009B438E"/>
    <w:rsid w:val="009B5DA7"/>
    <w:rsid w:val="009C01C5"/>
    <w:rsid w:val="009C07C4"/>
    <w:rsid w:val="009C21E2"/>
    <w:rsid w:val="009C2A37"/>
    <w:rsid w:val="009C2C77"/>
    <w:rsid w:val="009C32E2"/>
    <w:rsid w:val="009C3CC8"/>
    <w:rsid w:val="009C630D"/>
    <w:rsid w:val="009C6CA9"/>
    <w:rsid w:val="009D0FD7"/>
    <w:rsid w:val="009D1FE4"/>
    <w:rsid w:val="009E504A"/>
    <w:rsid w:val="009E5334"/>
    <w:rsid w:val="009E6778"/>
    <w:rsid w:val="009F05B7"/>
    <w:rsid w:val="009F12CA"/>
    <w:rsid w:val="009F186F"/>
    <w:rsid w:val="009F489E"/>
    <w:rsid w:val="009F64B8"/>
    <w:rsid w:val="00A022F7"/>
    <w:rsid w:val="00A03A42"/>
    <w:rsid w:val="00A03AF9"/>
    <w:rsid w:val="00A042E9"/>
    <w:rsid w:val="00A051EB"/>
    <w:rsid w:val="00A06F72"/>
    <w:rsid w:val="00A12231"/>
    <w:rsid w:val="00A16780"/>
    <w:rsid w:val="00A21EA0"/>
    <w:rsid w:val="00A258AC"/>
    <w:rsid w:val="00A27F38"/>
    <w:rsid w:val="00A4288D"/>
    <w:rsid w:val="00A43237"/>
    <w:rsid w:val="00A46CFB"/>
    <w:rsid w:val="00A5049B"/>
    <w:rsid w:val="00A50CA4"/>
    <w:rsid w:val="00A51A6D"/>
    <w:rsid w:val="00A52977"/>
    <w:rsid w:val="00A53215"/>
    <w:rsid w:val="00A5381A"/>
    <w:rsid w:val="00A55A15"/>
    <w:rsid w:val="00A55C00"/>
    <w:rsid w:val="00A55E95"/>
    <w:rsid w:val="00A562D5"/>
    <w:rsid w:val="00A57141"/>
    <w:rsid w:val="00A57DF2"/>
    <w:rsid w:val="00A607D3"/>
    <w:rsid w:val="00A60DF6"/>
    <w:rsid w:val="00A615CD"/>
    <w:rsid w:val="00A63AA7"/>
    <w:rsid w:val="00A64327"/>
    <w:rsid w:val="00A679FC"/>
    <w:rsid w:val="00A67FE8"/>
    <w:rsid w:val="00A72EC7"/>
    <w:rsid w:val="00A73E41"/>
    <w:rsid w:val="00A813A8"/>
    <w:rsid w:val="00A81CD7"/>
    <w:rsid w:val="00A82835"/>
    <w:rsid w:val="00A83355"/>
    <w:rsid w:val="00A83BE4"/>
    <w:rsid w:val="00A8473C"/>
    <w:rsid w:val="00A901DA"/>
    <w:rsid w:val="00A92113"/>
    <w:rsid w:val="00A94AEB"/>
    <w:rsid w:val="00A96DDD"/>
    <w:rsid w:val="00AA142B"/>
    <w:rsid w:val="00AA4752"/>
    <w:rsid w:val="00AA4AB9"/>
    <w:rsid w:val="00AA507D"/>
    <w:rsid w:val="00AB01E6"/>
    <w:rsid w:val="00AB44EA"/>
    <w:rsid w:val="00AC09D3"/>
    <w:rsid w:val="00AC411F"/>
    <w:rsid w:val="00AC54F2"/>
    <w:rsid w:val="00AC562F"/>
    <w:rsid w:val="00AC7906"/>
    <w:rsid w:val="00AD21D4"/>
    <w:rsid w:val="00AE0DB0"/>
    <w:rsid w:val="00AE163C"/>
    <w:rsid w:val="00AE239B"/>
    <w:rsid w:val="00AE29F6"/>
    <w:rsid w:val="00AE3961"/>
    <w:rsid w:val="00AE45CF"/>
    <w:rsid w:val="00AE4821"/>
    <w:rsid w:val="00AE6277"/>
    <w:rsid w:val="00AE62CA"/>
    <w:rsid w:val="00AE709F"/>
    <w:rsid w:val="00AE75F2"/>
    <w:rsid w:val="00AF0E38"/>
    <w:rsid w:val="00AF1625"/>
    <w:rsid w:val="00AF3D37"/>
    <w:rsid w:val="00B00CC5"/>
    <w:rsid w:val="00B01E33"/>
    <w:rsid w:val="00B052EE"/>
    <w:rsid w:val="00B060F0"/>
    <w:rsid w:val="00B07B3F"/>
    <w:rsid w:val="00B11B51"/>
    <w:rsid w:val="00B125D2"/>
    <w:rsid w:val="00B15DCA"/>
    <w:rsid w:val="00B17325"/>
    <w:rsid w:val="00B211B2"/>
    <w:rsid w:val="00B23E8C"/>
    <w:rsid w:val="00B263DE"/>
    <w:rsid w:val="00B27213"/>
    <w:rsid w:val="00B31474"/>
    <w:rsid w:val="00B32A86"/>
    <w:rsid w:val="00B32D69"/>
    <w:rsid w:val="00B33911"/>
    <w:rsid w:val="00B403B4"/>
    <w:rsid w:val="00B411B4"/>
    <w:rsid w:val="00B41AC0"/>
    <w:rsid w:val="00B42032"/>
    <w:rsid w:val="00B42639"/>
    <w:rsid w:val="00B43D7D"/>
    <w:rsid w:val="00B453F8"/>
    <w:rsid w:val="00B456D5"/>
    <w:rsid w:val="00B45EF1"/>
    <w:rsid w:val="00B46C7E"/>
    <w:rsid w:val="00B52227"/>
    <w:rsid w:val="00B535F9"/>
    <w:rsid w:val="00B5475A"/>
    <w:rsid w:val="00B54A0D"/>
    <w:rsid w:val="00B57D3D"/>
    <w:rsid w:val="00B6312C"/>
    <w:rsid w:val="00B6486F"/>
    <w:rsid w:val="00B64EB6"/>
    <w:rsid w:val="00B65462"/>
    <w:rsid w:val="00B8008B"/>
    <w:rsid w:val="00B8144E"/>
    <w:rsid w:val="00B816DB"/>
    <w:rsid w:val="00B81D74"/>
    <w:rsid w:val="00B83458"/>
    <w:rsid w:val="00B83708"/>
    <w:rsid w:val="00B83836"/>
    <w:rsid w:val="00B84113"/>
    <w:rsid w:val="00B85A6F"/>
    <w:rsid w:val="00B86FA5"/>
    <w:rsid w:val="00B91008"/>
    <w:rsid w:val="00B916C0"/>
    <w:rsid w:val="00B96A98"/>
    <w:rsid w:val="00BA116B"/>
    <w:rsid w:val="00BA1423"/>
    <w:rsid w:val="00BA1D48"/>
    <w:rsid w:val="00BA2CFA"/>
    <w:rsid w:val="00BA3ED9"/>
    <w:rsid w:val="00BA67A0"/>
    <w:rsid w:val="00BA78E0"/>
    <w:rsid w:val="00BB2009"/>
    <w:rsid w:val="00BB426A"/>
    <w:rsid w:val="00BB4B52"/>
    <w:rsid w:val="00BB74B5"/>
    <w:rsid w:val="00BC2F03"/>
    <w:rsid w:val="00BC75DB"/>
    <w:rsid w:val="00BD355B"/>
    <w:rsid w:val="00BD5932"/>
    <w:rsid w:val="00BD6763"/>
    <w:rsid w:val="00BD6F15"/>
    <w:rsid w:val="00BD77D4"/>
    <w:rsid w:val="00BE1E63"/>
    <w:rsid w:val="00BE7636"/>
    <w:rsid w:val="00BF1330"/>
    <w:rsid w:val="00BF1743"/>
    <w:rsid w:val="00BF40A7"/>
    <w:rsid w:val="00BF776D"/>
    <w:rsid w:val="00BF7C3B"/>
    <w:rsid w:val="00C0128D"/>
    <w:rsid w:val="00C02165"/>
    <w:rsid w:val="00C027AD"/>
    <w:rsid w:val="00C03334"/>
    <w:rsid w:val="00C045F1"/>
    <w:rsid w:val="00C05CC1"/>
    <w:rsid w:val="00C0646D"/>
    <w:rsid w:val="00C107C1"/>
    <w:rsid w:val="00C14D08"/>
    <w:rsid w:val="00C1793F"/>
    <w:rsid w:val="00C21D92"/>
    <w:rsid w:val="00C21DDF"/>
    <w:rsid w:val="00C22333"/>
    <w:rsid w:val="00C2337E"/>
    <w:rsid w:val="00C25A22"/>
    <w:rsid w:val="00C26E23"/>
    <w:rsid w:val="00C279BA"/>
    <w:rsid w:val="00C30CC5"/>
    <w:rsid w:val="00C33A79"/>
    <w:rsid w:val="00C33D37"/>
    <w:rsid w:val="00C36C32"/>
    <w:rsid w:val="00C3718E"/>
    <w:rsid w:val="00C41513"/>
    <w:rsid w:val="00C4698B"/>
    <w:rsid w:val="00C53469"/>
    <w:rsid w:val="00C54DC6"/>
    <w:rsid w:val="00C63F33"/>
    <w:rsid w:val="00C643FA"/>
    <w:rsid w:val="00C718DD"/>
    <w:rsid w:val="00C71FD8"/>
    <w:rsid w:val="00C7257B"/>
    <w:rsid w:val="00C74D6E"/>
    <w:rsid w:val="00C75B09"/>
    <w:rsid w:val="00C75F41"/>
    <w:rsid w:val="00C821A8"/>
    <w:rsid w:val="00C83123"/>
    <w:rsid w:val="00C85ACD"/>
    <w:rsid w:val="00C8645E"/>
    <w:rsid w:val="00C90739"/>
    <w:rsid w:val="00C9259E"/>
    <w:rsid w:val="00C9506C"/>
    <w:rsid w:val="00C9518D"/>
    <w:rsid w:val="00C9725F"/>
    <w:rsid w:val="00CA128D"/>
    <w:rsid w:val="00CA202C"/>
    <w:rsid w:val="00CA24A7"/>
    <w:rsid w:val="00CA4604"/>
    <w:rsid w:val="00CA4B44"/>
    <w:rsid w:val="00CA4DBE"/>
    <w:rsid w:val="00CA741A"/>
    <w:rsid w:val="00CB1778"/>
    <w:rsid w:val="00CB30E6"/>
    <w:rsid w:val="00CC3156"/>
    <w:rsid w:val="00CC349F"/>
    <w:rsid w:val="00CC48DF"/>
    <w:rsid w:val="00CD484B"/>
    <w:rsid w:val="00CD4BE8"/>
    <w:rsid w:val="00CD7B7B"/>
    <w:rsid w:val="00CD7B9E"/>
    <w:rsid w:val="00CE02E1"/>
    <w:rsid w:val="00CE1A93"/>
    <w:rsid w:val="00CE2625"/>
    <w:rsid w:val="00CE2866"/>
    <w:rsid w:val="00CE2DDE"/>
    <w:rsid w:val="00CE666D"/>
    <w:rsid w:val="00CE750F"/>
    <w:rsid w:val="00CE7977"/>
    <w:rsid w:val="00CF0E8D"/>
    <w:rsid w:val="00CF2128"/>
    <w:rsid w:val="00CF2BE9"/>
    <w:rsid w:val="00CF601C"/>
    <w:rsid w:val="00CF6E79"/>
    <w:rsid w:val="00D0164B"/>
    <w:rsid w:val="00D01F24"/>
    <w:rsid w:val="00D02489"/>
    <w:rsid w:val="00D044F2"/>
    <w:rsid w:val="00D055AC"/>
    <w:rsid w:val="00D05B7A"/>
    <w:rsid w:val="00D10620"/>
    <w:rsid w:val="00D17D3A"/>
    <w:rsid w:val="00D20ED6"/>
    <w:rsid w:val="00D22FF4"/>
    <w:rsid w:val="00D267FD"/>
    <w:rsid w:val="00D27704"/>
    <w:rsid w:val="00D307AF"/>
    <w:rsid w:val="00D30D0B"/>
    <w:rsid w:val="00D31660"/>
    <w:rsid w:val="00D31CFD"/>
    <w:rsid w:val="00D31FD8"/>
    <w:rsid w:val="00D3245A"/>
    <w:rsid w:val="00D347C8"/>
    <w:rsid w:val="00D36673"/>
    <w:rsid w:val="00D41632"/>
    <w:rsid w:val="00D435FE"/>
    <w:rsid w:val="00D446E8"/>
    <w:rsid w:val="00D44EDE"/>
    <w:rsid w:val="00D45BD2"/>
    <w:rsid w:val="00D45E79"/>
    <w:rsid w:val="00D53537"/>
    <w:rsid w:val="00D5422B"/>
    <w:rsid w:val="00D5582E"/>
    <w:rsid w:val="00D603F8"/>
    <w:rsid w:val="00D60F99"/>
    <w:rsid w:val="00D614A0"/>
    <w:rsid w:val="00D6349A"/>
    <w:rsid w:val="00D64E5E"/>
    <w:rsid w:val="00D72302"/>
    <w:rsid w:val="00D72897"/>
    <w:rsid w:val="00D7328F"/>
    <w:rsid w:val="00D74761"/>
    <w:rsid w:val="00D75BAA"/>
    <w:rsid w:val="00D8020D"/>
    <w:rsid w:val="00D815EC"/>
    <w:rsid w:val="00D8626C"/>
    <w:rsid w:val="00D9381D"/>
    <w:rsid w:val="00D93830"/>
    <w:rsid w:val="00D95E1D"/>
    <w:rsid w:val="00D975FE"/>
    <w:rsid w:val="00DA0C0B"/>
    <w:rsid w:val="00DA2423"/>
    <w:rsid w:val="00DA32EE"/>
    <w:rsid w:val="00DA6CEB"/>
    <w:rsid w:val="00DB215D"/>
    <w:rsid w:val="00DB30FB"/>
    <w:rsid w:val="00DB3F3E"/>
    <w:rsid w:val="00DB57AC"/>
    <w:rsid w:val="00DB7446"/>
    <w:rsid w:val="00DC0AE0"/>
    <w:rsid w:val="00DC4EB8"/>
    <w:rsid w:val="00DD651C"/>
    <w:rsid w:val="00DE0768"/>
    <w:rsid w:val="00DE2015"/>
    <w:rsid w:val="00DF104E"/>
    <w:rsid w:val="00DF2480"/>
    <w:rsid w:val="00DF49DB"/>
    <w:rsid w:val="00DF5A63"/>
    <w:rsid w:val="00DF5EED"/>
    <w:rsid w:val="00E032FC"/>
    <w:rsid w:val="00E074D3"/>
    <w:rsid w:val="00E079F4"/>
    <w:rsid w:val="00E07D69"/>
    <w:rsid w:val="00E110FD"/>
    <w:rsid w:val="00E27776"/>
    <w:rsid w:val="00E3033C"/>
    <w:rsid w:val="00E30677"/>
    <w:rsid w:val="00E341AD"/>
    <w:rsid w:val="00E3517D"/>
    <w:rsid w:val="00E364D1"/>
    <w:rsid w:val="00E3672A"/>
    <w:rsid w:val="00E36735"/>
    <w:rsid w:val="00E40129"/>
    <w:rsid w:val="00E442FB"/>
    <w:rsid w:val="00E458B3"/>
    <w:rsid w:val="00E458E1"/>
    <w:rsid w:val="00E51613"/>
    <w:rsid w:val="00E517E3"/>
    <w:rsid w:val="00E52CBB"/>
    <w:rsid w:val="00E536D1"/>
    <w:rsid w:val="00E53ABC"/>
    <w:rsid w:val="00E54D22"/>
    <w:rsid w:val="00E556D9"/>
    <w:rsid w:val="00E55EDC"/>
    <w:rsid w:val="00E562BF"/>
    <w:rsid w:val="00E5783B"/>
    <w:rsid w:val="00E6020B"/>
    <w:rsid w:val="00E606B5"/>
    <w:rsid w:val="00E62AE6"/>
    <w:rsid w:val="00E64525"/>
    <w:rsid w:val="00E64819"/>
    <w:rsid w:val="00E66128"/>
    <w:rsid w:val="00E66634"/>
    <w:rsid w:val="00E705AE"/>
    <w:rsid w:val="00E712DD"/>
    <w:rsid w:val="00E715F0"/>
    <w:rsid w:val="00E736B3"/>
    <w:rsid w:val="00E73E8F"/>
    <w:rsid w:val="00E742E5"/>
    <w:rsid w:val="00E758B7"/>
    <w:rsid w:val="00E760E7"/>
    <w:rsid w:val="00E848FE"/>
    <w:rsid w:val="00E90DBD"/>
    <w:rsid w:val="00E936D4"/>
    <w:rsid w:val="00E93BE4"/>
    <w:rsid w:val="00E947DF"/>
    <w:rsid w:val="00E9593E"/>
    <w:rsid w:val="00E96286"/>
    <w:rsid w:val="00E972FA"/>
    <w:rsid w:val="00EA2313"/>
    <w:rsid w:val="00EA4146"/>
    <w:rsid w:val="00EA5225"/>
    <w:rsid w:val="00EA52C4"/>
    <w:rsid w:val="00EA7259"/>
    <w:rsid w:val="00EB06EB"/>
    <w:rsid w:val="00EB0BE0"/>
    <w:rsid w:val="00EB239C"/>
    <w:rsid w:val="00EB6557"/>
    <w:rsid w:val="00EC1E20"/>
    <w:rsid w:val="00EC6912"/>
    <w:rsid w:val="00ED27C5"/>
    <w:rsid w:val="00ED3634"/>
    <w:rsid w:val="00ED45A5"/>
    <w:rsid w:val="00ED7DF3"/>
    <w:rsid w:val="00EE2658"/>
    <w:rsid w:val="00EE5910"/>
    <w:rsid w:val="00EE6FFE"/>
    <w:rsid w:val="00EF2BB6"/>
    <w:rsid w:val="00EF40CA"/>
    <w:rsid w:val="00EF4D2F"/>
    <w:rsid w:val="00EF65E3"/>
    <w:rsid w:val="00EF6DA6"/>
    <w:rsid w:val="00EF7419"/>
    <w:rsid w:val="00EF7CE8"/>
    <w:rsid w:val="00F00867"/>
    <w:rsid w:val="00F055AE"/>
    <w:rsid w:val="00F06801"/>
    <w:rsid w:val="00F10BB9"/>
    <w:rsid w:val="00F12314"/>
    <w:rsid w:val="00F12469"/>
    <w:rsid w:val="00F15302"/>
    <w:rsid w:val="00F15385"/>
    <w:rsid w:val="00F226F0"/>
    <w:rsid w:val="00F22BF4"/>
    <w:rsid w:val="00F237E6"/>
    <w:rsid w:val="00F24F16"/>
    <w:rsid w:val="00F27342"/>
    <w:rsid w:val="00F349F2"/>
    <w:rsid w:val="00F37A8D"/>
    <w:rsid w:val="00F401BE"/>
    <w:rsid w:val="00F42F27"/>
    <w:rsid w:val="00F4395F"/>
    <w:rsid w:val="00F54D6A"/>
    <w:rsid w:val="00F56893"/>
    <w:rsid w:val="00F56A1A"/>
    <w:rsid w:val="00F62D45"/>
    <w:rsid w:val="00F67BC8"/>
    <w:rsid w:val="00F71B9C"/>
    <w:rsid w:val="00F72229"/>
    <w:rsid w:val="00F733BF"/>
    <w:rsid w:val="00F74DDF"/>
    <w:rsid w:val="00F77CB3"/>
    <w:rsid w:val="00F80959"/>
    <w:rsid w:val="00F874E4"/>
    <w:rsid w:val="00F9076D"/>
    <w:rsid w:val="00F91EE7"/>
    <w:rsid w:val="00F91FF2"/>
    <w:rsid w:val="00F93D7F"/>
    <w:rsid w:val="00F9594C"/>
    <w:rsid w:val="00F962AE"/>
    <w:rsid w:val="00FA4825"/>
    <w:rsid w:val="00FA491F"/>
    <w:rsid w:val="00FA6CE6"/>
    <w:rsid w:val="00FA702B"/>
    <w:rsid w:val="00FA7A0D"/>
    <w:rsid w:val="00FB3B50"/>
    <w:rsid w:val="00FB500B"/>
    <w:rsid w:val="00FC1272"/>
    <w:rsid w:val="00FC15FB"/>
    <w:rsid w:val="00FC23CF"/>
    <w:rsid w:val="00FD0F1C"/>
    <w:rsid w:val="00FD6356"/>
    <w:rsid w:val="00FD75DA"/>
    <w:rsid w:val="00FE0D28"/>
    <w:rsid w:val="00FE11F8"/>
    <w:rsid w:val="00FE132B"/>
    <w:rsid w:val="00FE3F4F"/>
    <w:rsid w:val="00FE74B5"/>
    <w:rsid w:val="00FF1890"/>
    <w:rsid w:val="00FF6596"/>
    <w:rsid w:val="00FF6666"/>
    <w:rsid w:val="00FF7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7010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549"/>
    <w:pPr>
      <w:suppressAutoHyphens/>
      <w:spacing w:before="160" w:after="160" w:line="360" w:lineRule="auto"/>
    </w:pPr>
  </w:style>
  <w:style w:type="paragraph" w:styleId="Heading1">
    <w:name w:val="heading 1"/>
    <w:basedOn w:val="Normal"/>
    <w:next w:val="Normal"/>
    <w:link w:val="Heading1Char"/>
    <w:uiPriority w:val="99"/>
    <w:qFormat/>
    <w:rsid w:val="00CD4BE8"/>
    <w:pPr>
      <w:keepNext/>
      <w:pageBreakBefore/>
      <w:spacing w:before="240" w:after="60" w:line="240" w:lineRule="auto"/>
      <w:outlineLvl w:val="0"/>
    </w:pPr>
    <w:rPr>
      <w:b/>
      <w:bCs/>
      <w:kern w:val="32"/>
      <w:sz w:val="40"/>
      <w:szCs w:val="32"/>
    </w:rPr>
  </w:style>
  <w:style w:type="paragraph" w:styleId="Heading2">
    <w:name w:val="heading 2"/>
    <w:basedOn w:val="Normal"/>
    <w:next w:val="Normal"/>
    <w:link w:val="Heading2Char"/>
    <w:uiPriority w:val="99"/>
    <w:unhideWhenUsed/>
    <w:qFormat/>
    <w:rsid w:val="00173049"/>
    <w:pPr>
      <w:keepNext/>
      <w:spacing w:before="240" w:after="120" w:line="240" w:lineRule="auto"/>
      <w:outlineLvl w:val="1"/>
    </w:pPr>
    <w:rPr>
      <w:b/>
      <w:bCs/>
      <w:iCs/>
      <w:sz w:val="32"/>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8A1C48"/>
    <w:pPr>
      <w:keepNext/>
      <w:spacing w:before="240" w:after="60"/>
      <w:outlineLvl w:val="3"/>
    </w:pPr>
    <w:rPr>
      <w:b/>
      <w:bCs/>
      <w:i/>
      <w:szCs w:val="28"/>
    </w:rPr>
  </w:style>
  <w:style w:type="paragraph" w:styleId="Heading5">
    <w:name w:val="heading 5"/>
    <w:basedOn w:val="Normal"/>
    <w:next w:val="Normal"/>
    <w:link w:val="Heading5Char"/>
    <w:uiPriority w:val="9"/>
    <w:semiHidden/>
    <w:unhideWhenUsed/>
    <w:qFormat/>
    <w:rsid w:val="0070338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1"/>
      </w:num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703380"/>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1"/>
      </w:num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pPr>
      <w:spacing w:before="120" w:after="120"/>
    </w:pPr>
  </w:style>
  <w:style w:type="paragraph" w:customStyle="1" w:styleId="TitleTitlePage">
    <w:name w:val="Title (Title Page)"/>
    <w:basedOn w:val="Normal"/>
    <w:uiPriority w:val="99"/>
    <w:rsid w:val="00AE75F2"/>
    <w:pPr>
      <w:widowControl w:val="0"/>
      <w:autoSpaceDE w:val="0"/>
      <w:autoSpaceDN w:val="0"/>
      <w:adjustRightInd w:val="0"/>
      <w:spacing w:before="120"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before="120"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spacing w:before="120" w:after="120"/>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spacing w:before="120" w:after="120"/>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before="120" w:after="120"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CD4BE8"/>
    <w:rPr>
      <w:b/>
      <w:bCs/>
      <w:kern w:val="32"/>
      <w:sz w:val="40"/>
      <w:szCs w:val="32"/>
    </w:rPr>
  </w:style>
  <w:style w:type="paragraph" w:styleId="Title">
    <w:name w:val="Title"/>
    <w:basedOn w:val="Normal"/>
    <w:next w:val="Normal"/>
    <w:link w:val="TitleChar"/>
    <w:uiPriority w:val="99"/>
    <w:qFormat/>
    <w:rsid w:val="009F186F"/>
    <w:pPr>
      <w:spacing w:before="120" w:after="240" w:line="240" w:lineRule="auto"/>
      <w:outlineLvl w:val="0"/>
    </w:pPr>
    <w:rPr>
      <w:b/>
      <w:bCs/>
      <w:kern w:val="28"/>
      <w:sz w:val="48"/>
      <w:szCs w:val="32"/>
    </w:rPr>
  </w:style>
  <w:style w:type="character" w:customStyle="1" w:styleId="TitleChar">
    <w:name w:val="Title Char"/>
    <w:link w:val="Title"/>
    <w:uiPriority w:val="99"/>
    <w:rsid w:val="009F186F"/>
    <w:rPr>
      <w:b/>
      <w:bCs/>
      <w:kern w:val="28"/>
      <w:sz w:val="48"/>
      <w:szCs w:val="32"/>
    </w:rPr>
  </w:style>
  <w:style w:type="character" w:styleId="Strong">
    <w:name w:val="Strong"/>
    <w:uiPriority w:val="22"/>
    <w:qFormat/>
    <w:rsid w:val="002B1984"/>
    <w:rPr>
      <w:b/>
      <w:bCs/>
    </w:rPr>
  </w:style>
  <w:style w:type="character" w:customStyle="1" w:styleId="Heading2Char">
    <w:name w:val="Heading 2 Char"/>
    <w:link w:val="Heading2"/>
    <w:uiPriority w:val="9"/>
    <w:rsid w:val="00173049"/>
    <w:rPr>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872369"/>
    <w:pPr>
      <w:numPr>
        <w:ilvl w:val="1"/>
        <w:numId w:val="1"/>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spacing w:before="120" w:after="120"/>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872369"/>
  </w:style>
  <w:style w:type="character" w:customStyle="1" w:styleId="Heading4Char">
    <w:name w:val="Heading 4 Char"/>
    <w:link w:val="Heading4"/>
    <w:uiPriority w:val="9"/>
    <w:rsid w:val="008A1C48"/>
    <w:rPr>
      <w:b/>
      <w:bCs/>
      <w:i/>
      <w:szCs w:val="28"/>
    </w:rPr>
  </w:style>
  <w:style w:type="character" w:customStyle="1" w:styleId="Heading5Char">
    <w:name w:val="Heading 5 Char"/>
    <w:link w:val="Heading5"/>
    <w:uiPriority w:val="9"/>
    <w:semiHidden/>
    <w:rsid w:val="00703380"/>
    <w:rPr>
      <w:rFonts w:ascii="Calibri" w:hAnsi="Calibri"/>
      <w:b/>
      <w:bCs/>
      <w:i/>
      <w:iCs/>
      <w:sz w:val="26"/>
      <w:szCs w:val="26"/>
    </w:rPr>
  </w:style>
  <w:style w:type="character" w:customStyle="1" w:styleId="Heading6Char">
    <w:name w:val="Heading 6 Char"/>
    <w:link w:val="Heading6"/>
    <w:uiPriority w:val="9"/>
    <w:semiHidden/>
    <w:rsid w:val="00703380"/>
    <w:rPr>
      <w:rFonts w:ascii="Calibri" w:hAnsi="Calibri"/>
      <w:b/>
      <w:bCs/>
    </w:rPr>
  </w:style>
  <w:style w:type="character" w:customStyle="1" w:styleId="Heading7Char">
    <w:name w:val="Heading 7 Char"/>
    <w:link w:val="Heading7"/>
    <w:uiPriority w:val="9"/>
    <w:semiHidden/>
    <w:rsid w:val="00703380"/>
    <w:rPr>
      <w:rFonts w:ascii="Calibri" w:hAnsi="Calibri"/>
    </w:rPr>
  </w:style>
  <w:style w:type="character" w:customStyle="1" w:styleId="Heading8Char">
    <w:name w:val="Heading 8 Char"/>
    <w:link w:val="Heading8"/>
    <w:uiPriority w:val="9"/>
    <w:semiHidden/>
    <w:rsid w:val="00703380"/>
    <w:rPr>
      <w:rFonts w:ascii="Calibri" w:hAnsi="Calibri"/>
      <w:i/>
      <w:iCs/>
    </w:rPr>
  </w:style>
  <w:style w:type="character" w:customStyle="1" w:styleId="Heading9Char">
    <w:name w:val="Heading 9 Char"/>
    <w:link w:val="Heading9"/>
    <w:uiPriority w:val="9"/>
    <w:semiHidden/>
    <w:rsid w:val="00703380"/>
    <w:rPr>
      <w:rFonts w:ascii="Calibri Light" w:hAnsi="Calibri Light"/>
    </w:rPr>
  </w:style>
  <w:style w:type="paragraph" w:customStyle="1" w:styleId="Heading1Numbered">
    <w:name w:val="Heading 1 Numbered"/>
    <w:next w:val="Numbered"/>
    <w:link w:val="Heading1NumberedChar"/>
    <w:qFormat/>
    <w:rsid w:val="00C9725F"/>
    <w:pPr>
      <w:pageBreakBefore/>
      <w:numPr>
        <w:numId w:val="1"/>
      </w:numPr>
      <w:tabs>
        <w:tab w:val="left" w:pos="992"/>
      </w:tabs>
      <w:suppressAutoHyphens/>
      <w:spacing w:after="240"/>
      <w:ind w:left="992" w:hanging="992"/>
    </w:pPr>
    <w:rPr>
      <w:b/>
      <w:bCs/>
      <w:kern w:val="32"/>
      <w:sz w:val="48"/>
      <w:szCs w:val="32"/>
    </w:rPr>
  </w:style>
  <w:style w:type="paragraph" w:customStyle="1" w:styleId="Bullets">
    <w:name w:val="Bullets"/>
    <w:basedOn w:val="Normal"/>
    <w:qFormat/>
    <w:rsid w:val="0031029F"/>
    <w:pPr>
      <w:numPr>
        <w:numId w:val="2"/>
      </w:numPr>
      <w:spacing w:before="60" w:after="60"/>
      <w:ind w:left="1037" w:hanging="357"/>
    </w:pPr>
  </w:style>
  <w:style w:type="character" w:customStyle="1" w:styleId="Heading1NumberedChar">
    <w:name w:val="Heading 1 Numbered Char"/>
    <w:link w:val="Heading1Numbered"/>
    <w:rsid w:val="00C9725F"/>
    <w:rPr>
      <w:b/>
      <w:bCs/>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29"/>
    <w:qFormat/>
    <w:rsid w:val="00415FFD"/>
    <w:pPr>
      <w:spacing w:before="200" w:after="120"/>
      <w:ind w:left="1134"/>
    </w:pPr>
    <w:rPr>
      <w:iCs/>
    </w:rPr>
  </w:style>
  <w:style w:type="character" w:customStyle="1" w:styleId="QuoteChar">
    <w:name w:val="Quote Char"/>
    <w:link w:val="Quote"/>
    <w:uiPriority w:val="29"/>
    <w:rsid w:val="00415FFD"/>
    <w:rPr>
      <w:rFonts w:ascii="Verdana" w:hAnsi="Verdana"/>
      <w:iCs/>
      <w:sz w:val="22"/>
      <w:szCs w:val="22"/>
    </w:rPr>
  </w:style>
  <w:style w:type="paragraph" w:customStyle="1" w:styleId="Footnote">
    <w:name w:val="Footnote"/>
    <w:uiPriority w:val="99"/>
    <w:qFormat/>
    <w:rsid w:val="0031029F"/>
    <w:pPr>
      <w:tabs>
        <w:tab w:val="left" w:pos="454"/>
      </w:tabs>
      <w:suppressAutoHyphens/>
      <w:spacing w:line="360" w:lineRule="auto"/>
      <w:ind w:left="454" w:hanging="454"/>
    </w:pPr>
    <w:rPr>
      <w:rFonts w:cs="Gill Sans Std Light"/>
      <w:color w:val="000000"/>
      <w:sz w:val="20"/>
      <w:szCs w:val="15"/>
      <w:lang w:val="en-US"/>
    </w:rPr>
  </w:style>
  <w:style w:type="paragraph" w:styleId="Caption">
    <w:name w:val="caption"/>
    <w:basedOn w:val="Normal"/>
    <w:next w:val="Normal"/>
    <w:uiPriority w:val="35"/>
    <w:unhideWhenUsed/>
    <w:qFormat/>
    <w:rsid w:val="00D10620"/>
    <w:pPr>
      <w:keepNext/>
      <w:spacing w:before="120" w:after="120" w:line="240" w:lineRule="auto"/>
    </w:pPr>
    <w:rPr>
      <w:b/>
      <w:bCs/>
      <w:sz w:val="20"/>
      <w:szCs w:val="20"/>
    </w:rPr>
  </w:style>
  <w:style w:type="paragraph" w:customStyle="1" w:styleId="TableHeading">
    <w:name w:val="Table Heading"/>
    <w:link w:val="TableHeadingChar"/>
    <w:qFormat/>
    <w:rsid w:val="00F56A1A"/>
    <w:pPr>
      <w:suppressAutoHyphens/>
    </w:pPr>
    <w:rPr>
      <w:rFonts w:cs="ITC Franklin Gothic Book"/>
      <w:b/>
      <w:sz w:val="20"/>
      <w:szCs w:val="18"/>
      <w:lang w:val="en-US"/>
    </w:rPr>
  </w:style>
  <w:style w:type="paragraph" w:customStyle="1" w:styleId="TableBody">
    <w:name w:val="Table Body"/>
    <w:qFormat/>
    <w:rsid w:val="00F56A1A"/>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pacing w:before="120" w:after="100"/>
      <w:ind w:left="220"/>
    </w:pPr>
    <w:rPr>
      <w:rFonts w:ascii="Calibri" w:hAnsi="Calibri"/>
      <w:lang w:val="en-US" w:eastAsia="en-US"/>
    </w:rPr>
  </w:style>
  <w:style w:type="paragraph" w:styleId="TOC3">
    <w:name w:val="toc 3"/>
    <w:basedOn w:val="Normal"/>
    <w:next w:val="Normal"/>
    <w:autoRedefine/>
    <w:uiPriority w:val="39"/>
    <w:unhideWhenUsed/>
    <w:rsid w:val="00AE709F"/>
    <w:pPr>
      <w:spacing w:before="120" w:after="100"/>
      <w:ind w:left="440"/>
    </w:pPr>
    <w:rPr>
      <w:rFonts w:ascii="Calibri" w:hAnsi="Calibri"/>
      <w:lang w:val="en-US" w:eastAsia="en-US"/>
    </w:rPr>
  </w:style>
  <w:style w:type="paragraph" w:customStyle="1" w:styleId="Contributorsheader2ImprintandContributors">
    <w:name w:val="Contributors header 2 (Imprint and Contributors)"/>
    <w:basedOn w:val="NoParagraphStyle"/>
    <w:uiPriority w:val="99"/>
    <w:rsid w:val="00C107C1"/>
    <w:pPr>
      <w:suppressAutoHyphens/>
      <w:spacing w:before="130" w:line="270" w:lineRule="atLeast"/>
    </w:pPr>
    <w:rPr>
      <w:rFonts w:ascii="ITC Franklin Gothic Book" w:eastAsiaTheme="minorEastAsia" w:hAnsi="ITC Franklin Gothic Book" w:cs="ITC Franklin Gothic Book"/>
      <w:color w:val="555559"/>
      <w:sz w:val="21"/>
      <w:szCs w:val="21"/>
      <w:lang w:val="en-US"/>
    </w:rPr>
  </w:style>
  <w:style w:type="paragraph" w:customStyle="1" w:styleId="ABCGeneralStyles">
    <w:name w:val="ABC (General Styles)"/>
    <w:basedOn w:val="BodyGeneralStyles"/>
    <w:uiPriority w:val="99"/>
    <w:rsid w:val="00C107C1"/>
    <w:pPr>
      <w:spacing w:after="57"/>
      <w:ind w:left="600" w:hanging="360"/>
    </w:pPr>
    <w:rPr>
      <w:rFonts w:eastAsiaTheme="minorEastAsia"/>
    </w:rPr>
  </w:style>
  <w:style w:type="paragraph" w:customStyle="1" w:styleId="NumberedGeneralStyles">
    <w:name w:val="Numbered (General Styles)"/>
    <w:basedOn w:val="ABCGeneralStyles"/>
    <w:uiPriority w:val="99"/>
    <w:rsid w:val="00C107C1"/>
    <w:pPr>
      <w:ind w:left="720"/>
    </w:pPr>
  </w:style>
  <w:style w:type="paragraph" w:customStyle="1" w:styleId="BodyPrebulletGeneralStyles">
    <w:name w:val="Body Prebullet (General Styles)"/>
    <w:basedOn w:val="BodyGeneralStyles"/>
    <w:uiPriority w:val="99"/>
    <w:rsid w:val="00C107C1"/>
    <w:pPr>
      <w:spacing w:after="57"/>
    </w:pPr>
    <w:rPr>
      <w:rFonts w:eastAsiaTheme="minorEastAsia"/>
    </w:rPr>
  </w:style>
  <w:style w:type="paragraph" w:customStyle="1" w:styleId="BulletlastGeneralStyles">
    <w:name w:val="Bullet last (General Styles)"/>
    <w:basedOn w:val="BulletGeneralStyles"/>
    <w:uiPriority w:val="99"/>
    <w:rsid w:val="00C107C1"/>
    <w:pPr>
      <w:spacing w:after="130"/>
    </w:pPr>
    <w:rPr>
      <w:rFonts w:eastAsiaTheme="minorEastAsia"/>
    </w:rPr>
  </w:style>
  <w:style w:type="paragraph" w:customStyle="1" w:styleId="QuoteindentGeneralStyles">
    <w:name w:val="Quote indent (General Styles)"/>
    <w:basedOn w:val="BodyGeneralStyles"/>
    <w:uiPriority w:val="99"/>
    <w:rsid w:val="00C107C1"/>
    <w:pPr>
      <w:ind w:left="1304" w:right="57"/>
    </w:pPr>
    <w:rPr>
      <w:rFonts w:eastAsiaTheme="minorEastAsia"/>
      <w:sz w:val="19"/>
      <w:szCs w:val="19"/>
    </w:rPr>
  </w:style>
  <w:style w:type="paragraph" w:customStyle="1" w:styleId="RecommendationHeadingAGeneralStyles">
    <w:name w:val="Recommendation Heading A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BodyGeneralStyles">
    <w:name w:val="Recommendation Body (General Styles)"/>
    <w:basedOn w:val="BodyGeneralStyles"/>
    <w:uiPriority w:val="99"/>
    <w:rsid w:val="00C107C1"/>
    <w:pPr>
      <w:spacing w:after="130"/>
      <w:ind w:left="120"/>
    </w:pPr>
    <w:rPr>
      <w:rFonts w:eastAsiaTheme="minorEastAsia"/>
    </w:rPr>
  </w:style>
  <w:style w:type="paragraph" w:customStyle="1" w:styleId="RecommendationABCGeneralStyles">
    <w:name w:val="Recommendation ABC (General Styles)"/>
    <w:basedOn w:val="BodyGeneralStyles"/>
    <w:uiPriority w:val="99"/>
    <w:rsid w:val="00C107C1"/>
    <w:pPr>
      <w:tabs>
        <w:tab w:val="left" w:pos="907"/>
      </w:tabs>
      <w:spacing w:after="57"/>
      <w:ind w:left="600" w:hanging="320"/>
    </w:pPr>
    <w:rPr>
      <w:rFonts w:eastAsiaTheme="minorEastAsia"/>
    </w:rPr>
  </w:style>
  <w:style w:type="paragraph" w:customStyle="1" w:styleId="RecommendationHeadingGeneralStyles">
    <w:name w:val="Recommendation Heading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LastGeneralStyles">
    <w:name w:val="Recommendation Last (General Styles)"/>
    <w:basedOn w:val="RecommendationABCGeneralStyles"/>
    <w:uiPriority w:val="99"/>
    <w:rsid w:val="00C107C1"/>
    <w:pPr>
      <w:pBdr>
        <w:bottom w:val="single" w:sz="16" w:space="13" w:color="7594CC"/>
      </w:pBdr>
      <w:ind w:left="120" w:firstLine="0"/>
    </w:pPr>
  </w:style>
  <w:style w:type="paragraph" w:customStyle="1" w:styleId="QuotebulletGeneralStyles">
    <w:name w:val="Quote bullet (General Styles)"/>
    <w:basedOn w:val="NoParagraphStyle"/>
    <w:uiPriority w:val="99"/>
    <w:rsid w:val="00C107C1"/>
    <w:pPr>
      <w:tabs>
        <w:tab w:val="left" w:pos="1440"/>
      </w:tabs>
      <w:suppressAutoHyphens/>
      <w:spacing w:after="40"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QuotebulletlastGeneralStyles">
    <w:name w:val="Quote bullet last (General Styles)"/>
    <w:basedOn w:val="NoParagraphStyle"/>
    <w:uiPriority w:val="99"/>
    <w:rsid w:val="00C107C1"/>
    <w:pPr>
      <w:tabs>
        <w:tab w:val="left" w:pos="1440"/>
      </w:tabs>
      <w:suppressAutoHyphens/>
      <w:spacing w:after="135"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ABCindentGeneralStyles">
    <w:name w:val="ABC indent (General Styles)"/>
    <w:basedOn w:val="BodyGeneralStyles"/>
    <w:uiPriority w:val="99"/>
    <w:rsid w:val="00C107C1"/>
    <w:pPr>
      <w:spacing w:after="57"/>
      <w:ind w:left="1260" w:hanging="400"/>
    </w:pPr>
    <w:rPr>
      <w:rFonts w:eastAsiaTheme="minorEastAsia"/>
    </w:rPr>
  </w:style>
  <w:style w:type="paragraph" w:customStyle="1" w:styleId="ABCindentlastGeneralStyles">
    <w:name w:val="ABC indent last (General Styles)"/>
    <w:basedOn w:val="BodyGeneralStyles"/>
    <w:uiPriority w:val="99"/>
    <w:rsid w:val="00C107C1"/>
    <w:pPr>
      <w:spacing w:after="130"/>
      <w:ind w:left="1260" w:hanging="400"/>
    </w:pPr>
    <w:rPr>
      <w:rFonts w:eastAsiaTheme="minorEastAsia"/>
    </w:rPr>
  </w:style>
  <w:style w:type="paragraph" w:customStyle="1" w:styleId="NumberedIndentGeneralStyles">
    <w:name w:val="Numbered Indent (General Styles)"/>
    <w:basedOn w:val="BodyGeneralStyles"/>
    <w:uiPriority w:val="99"/>
    <w:rsid w:val="00C107C1"/>
    <w:pPr>
      <w:tabs>
        <w:tab w:val="left" w:pos="907"/>
      </w:tabs>
      <w:spacing w:after="57"/>
      <w:ind w:left="1077" w:hanging="227"/>
    </w:pPr>
    <w:rPr>
      <w:rFonts w:eastAsiaTheme="minorEastAsia"/>
    </w:rPr>
  </w:style>
  <w:style w:type="paragraph" w:customStyle="1" w:styleId="NumberedIndentLastGeneralStyles">
    <w:name w:val="Numbered Indent Last (General Styles)"/>
    <w:basedOn w:val="BodyGeneralStyles"/>
    <w:uiPriority w:val="99"/>
    <w:rsid w:val="00C107C1"/>
    <w:pPr>
      <w:tabs>
        <w:tab w:val="left" w:pos="907"/>
      </w:tabs>
      <w:spacing w:after="130"/>
      <w:ind w:left="1077" w:hanging="227"/>
    </w:pPr>
    <w:rPr>
      <w:rFonts w:eastAsiaTheme="minorEastAsia"/>
    </w:rPr>
  </w:style>
  <w:style w:type="paragraph" w:customStyle="1" w:styleId="SubSubbulletindentGeneralStyles">
    <w:name w:val="Sub Subbullet indent (General Styles)"/>
    <w:basedOn w:val="BodyGeneralStyles"/>
    <w:uiPriority w:val="99"/>
    <w:rsid w:val="00C107C1"/>
    <w:pPr>
      <w:tabs>
        <w:tab w:val="left" w:pos="907"/>
      </w:tabs>
      <w:spacing w:after="57"/>
      <w:ind w:left="1701" w:hanging="198"/>
    </w:pPr>
    <w:rPr>
      <w:rFonts w:eastAsiaTheme="minorEastAsia"/>
    </w:rPr>
  </w:style>
  <w:style w:type="paragraph" w:customStyle="1" w:styleId="TableNoteGeneralStyles">
    <w:name w:val="Table Note (General Styles)"/>
    <w:basedOn w:val="NoParagraphStyle"/>
    <w:uiPriority w:val="99"/>
    <w:rsid w:val="00C107C1"/>
    <w:pPr>
      <w:tabs>
        <w:tab w:val="left" w:pos="255"/>
      </w:tabs>
      <w:suppressAutoHyphens/>
      <w:spacing w:after="113" w:line="190" w:lineRule="atLeast"/>
      <w:ind w:left="227" w:hanging="227"/>
    </w:pPr>
    <w:rPr>
      <w:rFonts w:ascii="Gill Sans Std Light" w:eastAsiaTheme="minorEastAsia" w:hAnsi="Gill Sans Std Light" w:cs="Gill Sans Std Light"/>
      <w:sz w:val="16"/>
      <w:szCs w:val="16"/>
      <w:lang w:val="en-US"/>
    </w:rPr>
  </w:style>
  <w:style w:type="paragraph" w:customStyle="1" w:styleId="RecommendationBodyPrebulletGeneralStyles">
    <w:name w:val="Recommendation Body Prebullet (General Styles)"/>
    <w:basedOn w:val="BodyGeneralStyles"/>
    <w:uiPriority w:val="99"/>
    <w:rsid w:val="00C107C1"/>
    <w:pPr>
      <w:spacing w:after="57"/>
      <w:ind w:left="120"/>
    </w:pPr>
    <w:rPr>
      <w:rFonts w:eastAsiaTheme="minorEastAsia"/>
    </w:rPr>
  </w:style>
  <w:style w:type="paragraph" w:customStyle="1" w:styleId="Body51PrebulletBodyParas">
    <w:name w:val="Body 5.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51BodyParas0">
    <w:name w:val="Body 5.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BodyParas0">
    <w:name w:val="Body 6.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PrebulletBodyParas">
    <w:name w:val="Body 6.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71BodyParas0">
    <w:name w:val="Body 7.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71PrebulletBodyParas">
    <w:name w:val="Body 7.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0">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PrebulletBodyParas">
    <w:name w:val="Body 8.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character" w:customStyle="1" w:styleId="Bold">
    <w:name w:val="Bold"/>
    <w:uiPriority w:val="99"/>
    <w:rsid w:val="00C107C1"/>
    <w:rPr>
      <w:b/>
      <w:bCs/>
    </w:rPr>
  </w:style>
  <w:style w:type="character" w:customStyle="1" w:styleId="Italic">
    <w:name w:val="Italic"/>
    <w:uiPriority w:val="99"/>
    <w:rsid w:val="00C107C1"/>
    <w:rPr>
      <w:i/>
      <w:iCs/>
      <w:lang w:val="en-AU"/>
    </w:rPr>
  </w:style>
  <w:style w:type="character" w:customStyle="1" w:styleId="WhiteFootnote">
    <w:name w:val="White Footnote"/>
    <w:basedOn w:val="Superscript"/>
    <w:uiPriority w:val="99"/>
    <w:rsid w:val="00C107C1"/>
    <w:rPr>
      <w:b/>
      <w:bCs/>
      <w:outline/>
      <w:vertAlign w:val="superscript"/>
      <w:lang w:val="en-AU"/>
    </w:rPr>
  </w:style>
  <w:style w:type="character" w:customStyle="1" w:styleId="TableBold">
    <w:name w:val="Table Bold"/>
    <w:uiPriority w:val="99"/>
    <w:rsid w:val="00C107C1"/>
  </w:style>
  <w:style w:type="paragraph" w:styleId="FootnoteText">
    <w:name w:val="footnote text"/>
    <w:basedOn w:val="Normal"/>
    <w:link w:val="FootnoteTextChar"/>
    <w:uiPriority w:val="99"/>
    <w:semiHidden/>
    <w:unhideWhenUsed/>
    <w:rsid w:val="00050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BF8"/>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050BF8"/>
    <w:rPr>
      <w:vertAlign w:val="superscript"/>
    </w:rPr>
  </w:style>
  <w:style w:type="paragraph" w:customStyle="1" w:styleId="BodyFranklinGothicFranklinGothicSection">
    <w:name w:val="Body Franklin Gothic (Franklin Gothic Section)"/>
    <w:basedOn w:val="BodyGeneralStyles"/>
    <w:uiPriority w:val="99"/>
    <w:rsid w:val="000D1F9C"/>
    <w:pPr>
      <w:widowControl/>
      <w:spacing w:line="280" w:lineRule="atLeast"/>
    </w:pPr>
    <w:rPr>
      <w:rFonts w:ascii="ITC Franklin Gothic Book" w:hAnsi="ITC Franklin Gothic Book" w:cs="ITC Franklin Gothic Book"/>
      <w:sz w:val="20"/>
      <w:szCs w:val="20"/>
    </w:rPr>
  </w:style>
  <w:style w:type="character" w:customStyle="1" w:styleId="Demi">
    <w:name w:val="Demi"/>
    <w:uiPriority w:val="99"/>
    <w:rsid w:val="000D1F9C"/>
  </w:style>
  <w:style w:type="paragraph" w:customStyle="1" w:styleId="Heading1FranklinGothicFranklinGothicSection">
    <w:name w:val="Heading 1 Franklin Gothic (Franklin Gothic Section)"/>
    <w:basedOn w:val="NoParagraphStyle"/>
    <w:uiPriority w:val="99"/>
    <w:rsid w:val="007C1944"/>
    <w:pPr>
      <w:widowControl/>
      <w:suppressAutoHyphens/>
      <w:spacing w:before="270" w:after="135" w:line="280" w:lineRule="atLeast"/>
    </w:pPr>
    <w:rPr>
      <w:rFonts w:ascii="Franklin Gothic Medium" w:hAnsi="Franklin Gothic Medium" w:cs="Franklin Gothic Medium"/>
      <w:lang w:val="en-US"/>
    </w:rPr>
  </w:style>
  <w:style w:type="paragraph" w:customStyle="1" w:styleId="GothicBulletFranklinGothicSection">
    <w:name w:val="Gothic Bullet (Franklin Gothic Section)"/>
    <w:basedOn w:val="BodyFranklinGothicFranklinGothicSection"/>
    <w:uiPriority w:val="99"/>
    <w:rsid w:val="007C1944"/>
    <w:pPr>
      <w:spacing w:after="60"/>
      <w:ind w:left="360" w:hanging="240"/>
    </w:pPr>
  </w:style>
  <w:style w:type="paragraph" w:customStyle="1" w:styleId="GothicSubbulletFranklinGothicSection">
    <w:name w:val="Gothic Subbullet (Franklin Gothic Section)"/>
    <w:basedOn w:val="GothicBulletFranklinGothicSection"/>
    <w:uiPriority w:val="99"/>
    <w:rsid w:val="007C1944"/>
    <w:pPr>
      <w:ind w:left="720"/>
    </w:pPr>
  </w:style>
  <w:style w:type="paragraph" w:customStyle="1" w:styleId="SourceFranklinGothicSection">
    <w:name w:val="Source (Franklin Gothic Section)"/>
    <w:basedOn w:val="BodyFranklinGothicFranklinGothicSection"/>
    <w:uiPriority w:val="99"/>
    <w:rsid w:val="007C1944"/>
    <w:pPr>
      <w:spacing w:line="220" w:lineRule="atLeast"/>
    </w:pPr>
    <w:rPr>
      <w:sz w:val="18"/>
      <w:szCs w:val="18"/>
    </w:rPr>
  </w:style>
  <w:style w:type="paragraph" w:customStyle="1" w:styleId="GothicABCFranklinGothicSection">
    <w:name w:val="Gothic ABC (Franklin Gothic Section)"/>
    <w:basedOn w:val="GothicBulletFranklinGothicSection"/>
    <w:uiPriority w:val="99"/>
    <w:rsid w:val="003B6E5E"/>
    <w:pPr>
      <w:ind w:left="567" w:hanging="397"/>
    </w:pPr>
  </w:style>
  <w:style w:type="character" w:customStyle="1" w:styleId="BookItalic">
    <w:name w:val="Book Italic"/>
    <w:uiPriority w:val="99"/>
    <w:rsid w:val="00B57D3D"/>
    <w:rPr>
      <w:i/>
      <w:iCs/>
      <w:lang w:val="en-AU"/>
    </w:rPr>
  </w:style>
  <w:style w:type="paragraph" w:styleId="ListParagraph">
    <w:name w:val="List Paragraph"/>
    <w:basedOn w:val="Normal"/>
    <w:uiPriority w:val="34"/>
    <w:qFormat/>
    <w:rsid w:val="007238AB"/>
    <w:pPr>
      <w:ind w:left="720"/>
      <w:contextualSpacing/>
    </w:pPr>
  </w:style>
  <w:style w:type="paragraph" w:customStyle="1" w:styleId="BodyRun-inHeadGeneralStyles">
    <w:name w:val="Body Run-in Head (General Styles)"/>
    <w:basedOn w:val="NoParagraphStyle"/>
    <w:uiPriority w:val="99"/>
    <w:rsid w:val="00613286"/>
    <w:pPr>
      <w:keepLines/>
      <w:suppressAutoHyphens/>
      <w:spacing w:before="270" w:after="135" w:line="270" w:lineRule="atLeast"/>
    </w:pPr>
    <w:rPr>
      <w:rFonts w:ascii="Gill Sans Std Light" w:eastAsiaTheme="minorEastAsia" w:hAnsi="Gill Sans Std Light" w:cs="Gill Sans Std Light"/>
      <w:sz w:val="21"/>
      <w:szCs w:val="21"/>
      <w:lang w:val="en-US"/>
    </w:rPr>
  </w:style>
  <w:style w:type="paragraph" w:customStyle="1" w:styleId="BodyindentprebulletGeneralStyles">
    <w:name w:val="Body indent prebullet (General Styles)"/>
    <w:basedOn w:val="BodyGeneralStyles"/>
    <w:uiPriority w:val="99"/>
    <w:rsid w:val="00613286"/>
    <w:pPr>
      <w:spacing w:after="57"/>
      <w:ind w:left="600"/>
    </w:pPr>
    <w:rPr>
      <w:rFonts w:eastAsiaTheme="minorEastAsia"/>
    </w:rPr>
  </w:style>
  <w:style w:type="paragraph" w:customStyle="1" w:styleId="TableHeadingLeft2FiguresTable">
    <w:name w:val="Table Heading Left 2 (Figures / Table)"/>
    <w:basedOn w:val="BodyGeneralStyles"/>
    <w:uiPriority w:val="99"/>
    <w:rsid w:val="00613286"/>
    <w:pPr>
      <w:spacing w:line="240" w:lineRule="atLeast"/>
    </w:pPr>
    <w:rPr>
      <w:rFonts w:ascii="ITC Franklin Gothic Demi" w:eastAsiaTheme="minorEastAsia" w:hAnsi="ITC Franklin Gothic Demi" w:cs="ITC Franklin Gothic Demi"/>
      <w:color w:val="53555A"/>
      <w:sz w:val="18"/>
      <w:szCs w:val="18"/>
    </w:rPr>
  </w:style>
  <w:style w:type="paragraph" w:customStyle="1" w:styleId="TableHeadingRight2FiguresTable">
    <w:name w:val="Table Heading Right 2 (Figures / Table)"/>
    <w:basedOn w:val="BodyGeneralStyles"/>
    <w:uiPriority w:val="99"/>
    <w:rsid w:val="00613286"/>
    <w:pPr>
      <w:spacing w:line="240" w:lineRule="atLeast"/>
      <w:jc w:val="right"/>
    </w:pPr>
    <w:rPr>
      <w:rFonts w:ascii="ITC Franklin Gothic Demi" w:eastAsiaTheme="minorEastAsia" w:hAnsi="ITC Franklin Gothic Demi" w:cs="ITC Franklin Gothic Demi"/>
      <w:color w:val="53555A"/>
      <w:sz w:val="18"/>
      <w:szCs w:val="18"/>
    </w:rPr>
  </w:style>
  <w:style w:type="character" w:customStyle="1" w:styleId="DemiColour">
    <w:name w:val="Demi Colour"/>
    <w:uiPriority w:val="99"/>
    <w:rsid w:val="00613286"/>
    <w:rPr>
      <w:rFonts w:ascii="ITC Franklin Gothic Demi" w:hAnsi="ITC Franklin Gothic Demi" w:cs="ITC Franklin Gothic Demi"/>
      <w:color w:val="7594CC"/>
    </w:rPr>
  </w:style>
  <w:style w:type="character" w:customStyle="1" w:styleId="White">
    <w:name w:val="White"/>
    <w:uiPriority w:val="99"/>
    <w:rsid w:val="00613286"/>
    <w:rPr>
      <w:rFonts w:ascii="ITC Franklin Gothic" w:hAnsi="ITC Franklin Gothic" w:cs="ITC Franklin Gothic"/>
      <w:outline/>
    </w:rPr>
  </w:style>
  <w:style w:type="paragraph" w:customStyle="1" w:styleId="TOCMainTOC">
    <w:name w:val="TOC Main (TOC)"/>
    <w:basedOn w:val="NoParagraphStyle"/>
    <w:uiPriority w:val="99"/>
    <w:rsid w:val="006D1D12"/>
    <w:pPr>
      <w:suppressAutoHyphens/>
      <w:spacing w:before="165" w:after="20" w:line="240" w:lineRule="atLeast"/>
    </w:pPr>
    <w:rPr>
      <w:rFonts w:ascii="ITC Franklin Gothic Demi" w:eastAsiaTheme="minorEastAsia" w:hAnsi="ITC Franklin Gothic Demi" w:cs="ITC Franklin Gothic Demi"/>
      <w:color w:val="7594CC"/>
      <w:sz w:val="18"/>
      <w:szCs w:val="18"/>
      <w:lang w:val="en-US"/>
    </w:rPr>
  </w:style>
  <w:style w:type="paragraph" w:customStyle="1" w:styleId="TOCH1TOC">
    <w:name w:val="TOC H1 (TOC)"/>
    <w:basedOn w:val="NoParagraphStyle"/>
    <w:uiPriority w:val="99"/>
    <w:rsid w:val="006D1D12"/>
    <w:pPr>
      <w:tabs>
        <w:tab w:val="left" w:pos="473"/>
      </w:tabs>
      <w:suppressAutoHyphens/>
      <w:spacing w:after="20" w:line="240" w:lineRule="atLeast"/>
    </w:pPr>
    <w:rPr>
      <w:rFonts w:ascii="ITC Franklin Gothic Book" w:eastAsiaTheme="minorEastAsia" w:hAnsi="ITC Franklin Gothic Book" w:cs="ITC Franklin Gothic Book"/>
      <w:sz w:val="18"/>
      <w:szCs w:val="18"/>
      <w:lang w:val="en-US"/>
    </w:rPr>
  </w:style>
  <w:style w:type="paragraph" w:customStyle="1" w:styleId="TOCH2TOC">
    <w:name w:val="TOC H2 (TOC)"/>
    <w:basedOn w:val="NoParagraphStyle"/>
    <w:uiPriority w:val="99"/>
    <w:rsid w:val="006D1D12"/>
    <w:pPr>
      <w:suppressAutoHyphens/>
      <w:spacing w:after="20" w:line="240" w:lineRule="atLeast"/>
      <w:ind w:left="360"/>
    </w:pPr>
    <w:rPr>
      <w:rFonts w:ascii="ITC Franklin Gothic" w:eastAsiaTheme="minorEastAsia" w:hAnsi="ITC Franklin Gothic" w:cs="ITC Franklin Gothic"/>
      <w:sz w:val="18"/>
      <w:szCs w:val="18"/>
      <w:lang w:val="en-US"/>
    </w:rPr>
  </w:style>
  <w:style w:type="character" w:styleId="PageNumber">
    <w:name w:val="page number"/>
    <w:basedOn w:val="DefaultParagraphFont"/>
    <w:uiPriority w:val="99"/>
    <w:rsid w:val="006D1D12"/>
    <w:rPr>
      <w:rFonts w:ascii="ITC Franklin Gothic Book" w:hAnsi="ITC Franklin Gothic Book" w:cs="ITC Franklin Gothic Book"/>
      <w:color w:val="000000"/>
    </w:rPr>
  </w:style>
  <w:style w:type="paragraph" w:customStyle="1" w:styleId="BodyFranklinGothicNumberedFranklinGothicSection">
    <w:name w:val="Body Franklin Gothic Numbered (Franklin Gothic Section)"/>
    <w:basedOn w:val="BodyGeneralStyles"/>
    <w:uiPriority w:val="99"/>
    <w:rsid w:val="006D1D12"/>
    <w:pPr>
      <w:pageBreakBefore/>
      <w:tabs>
        <w:tab w:val="left" w:pos="360"/>
      </w:tabs>
      <w:spacing w:after="0" w:line="210" w:lineRule="atLeast"/>
      <w:ind w:left="360" w:hanging="360"/>
    </w:pPr>
    <w:rPr>
      <w:rFonts w:ascii="ITC Franklin Gothic Book" w:eastAsiaTheme="minorEastAsia" w:hAnsi="ITC Franklin Gothic Book" w:cs="ITC Franklin Gothic Book"/>
      <w:sz w:val="18"/>
      <w:szCs w:val="18"/>
    </w:rPr>
  </w:style>
  <w:style w:type="paragraph" w:customStyle="1" w:styleId="BodyFranklinGothicNumberedWhiteFranklinGothicSection">
    <w:name w:val="Body Franklin Gothic Numbered White (Franklin Gothic Section)"/>
    <w:basedOn w:val="BodyGeneralStyles"/>
    <w:uiPriority w:val="99"/>
    <w:rsid w:val="006D1D12"/>
    <w:pPr>
      <w:pageBreakBefore/>
      <w:tabs>
        <w:tab w:val="left" w:pos="360"/>
      </w:tabs>
      <w:spacing w:after="0" w:line="210" w:lineRule="atLeast"/>
      <w:ind w:left="360" w:hanging="360"/>
    </w:pPr>
    <w:rPr>
      <w:rFonts w:ascii="ITC Franklin Gothic Demi" w:eastAsiaTheme="minorEastAsia" w:hAnsi="ITC Franklin Gothic Demi" w:cs="ITC Franklin Gothic Demi"/>
      <w:color w:val="FFFFFF"/>
      <w:sz w:val="18"/>
      <w:szCs w:val="18"/>
    </w:rPr>
  </w:style>
  <w:style w:type="paragraph" w:customStyle="1" w:styleId="TableNumber">
    <w:name w:val="Table Number"/>
    <w:basedOn w:val="TableBody"/>
    <w:qFormat/>
    <w:rsid w:val="002A32E7"/>
    <w:pPr>
      <w:spacing w:after="60"/>
    </w:pPr>
  </w:style>
  <w:style w:type="paragraph" w:customStyle="1" w:styleId="FranklinGothicBulletFranklinGothicSection">
    <w:name w:val="Franklin Gothic Bullet (Franklin Gothic Section)"/>
    <w:basedOn w:val="Normal"/>
    <w:uiPriority w:val="99"/>
    <w:rsid w:val="00CA4B44"/>
    <w:pPr>
      <w:widowControl w:val="0"/>
      <w:tabs>
        <w:tab w:val="left" w:pos="907"/>
      </w:tabs>
      <w:autoSpaceDE w:val="0"/>
      <w:autoSpaceDN w:val="0"/>
      <w:adjustRightInd w:val="0"/>
      <w:spacing w:before="0" w:after="57" w:line="260" w:lineRule="atLeast"/>
      <w:ind w:left="360" w:hanging="170"/>
      <w:textAlignment w:val="center"/>
    </w:pPr>
    <w:rPr>
      <w:rFonts w:ascii="ITC Franklin Gothic Book" w:eastAsiaTheme="minorEastAsia" w:hAnsi="ITC Franklin Gothic Book" w:cs="ITC Franklin Gothic Book"/>
      <w:color w:val="000000"/>
      <w:sz w:val="18"/>
      <w:szCs w:val="18"/>
      <w:lang w:val="en-US"/>
    </w:rPr>
  </w:style>
  <w:style w:type="paragraph" w:customStyle="1" w:styleId="Pa63">
    <w:name w:val="Pa63"/>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64">
    <w:name w:val="Pa64"/>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12">
    <w:name w:val="Pa12"/>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FranklinGothlicLargeTextFranklinGothicSection">
    <w:name w:val="Franklin Gothlic Large Text (Franklin Gothic Section)"/>
    <w:basedOn w:val="Normal"/>
    <w:uiPriority w:val="99"/>
    <w:rsid w:val="00F80959"/>
    <w:pPr>
      <w:widowControl w:val="0"/>
      <w:autoSpaceDE w:val="0"/>
      <w:autoSpaceDN w:val="0"/>
      <w:adjustRightInd w:val="0"/>
      <w:spacing w:before="0" w:after="135" w:line="360" w:lineRule="atLeast"/>
      <w:textAlignment w:val="center"/>
    </w:pPr>
    <w:rPr>
      <w:rFonts w:ascii="ITC Franklin Gothic Demi Italic" w:eastAsiaTheme="minorEastAsia" w:hAnsi="ITC Franklin Gothic Demi Italic" w:cs="ITC Franklin Gothic Demi Italic"/>
      <w:i/>
      <w:iCs/>
      <w:color w:val="000000"/>
      <w:sz w:val="28"/>
      <w:szCs w:val="28"/>
      <w:lang w:val="en-US"/>
    </w:rPr>
  </w:style>
  <w:style w:type="paragraph" w:customStyle="1" w:styleId="TableNoteABCGeneralStyles">
    <w:name w:val="Table Note ABC (General Styles)"/>
    <w:basedOn w:val="NoParagraphStyle"/>
    <w:uiPriority w:val="99"/>
    <w:rsid w:val="005A3418"/>
    <w:pPr>
      <w:tabs>
        <w:tab w:val="left" w:pos="283"/>
        <w:tab w:val="left" w:pos="360"/>
      </w:tabs>
      <w:suppressAutoHyphens/>
      <w:spacing w:after="20" w:line="200" w:lineRule="atLeast"/>
      <w:ind w:left="283" w:hanging="283"/>
    </w:pPr>
    <w:rPr>
      <w:rFonts w:ascii="Gill Sans Std Light" w:eastAsiaTheme="minorEastAsia" w:hAnsi="Gill Sans Std Light" w:cs="Gill Sans Std Light"/>
      <w:sz w:val="16"/>
      <w:szCs w:val="16"/>
      <w:lang w:val="en-US"/>
    </w:rPr>
  </w:style>
  <w:style w:type="character" w:customStyle="1" w:styleId="DemiBlack">
    <w:name w:val="Demi Black"/>
    <w:uiPriority w:val="99"/>
    <w:rsid w:val="005A3418"/>
    <w:rPr>
      <w:rFonts w:ascii="ITC Franklin Gothic Std Book" w:hAnsi="ITC Franklin Gothic Std Book" w:cs="ITC Franklin Gothic Std Book"/>
      <w:color w:val="000000"/>
    </w:rPr>
  </w:style>
  <w:style w:type="character" w:customStyle="1" w:styleId="DemiWhite">
    <w:name w:val="Demi White"/>
    <w:uiPriority w:val="99"/>
    <w:rsid w:val="005A3418"/>
    <w:rPr>
      <w:rFonts w:ascii="ITC Franklin Gothic Std Book" w:hAnsi="ITC Franklin Gothic Std Book" w:cs="ITC Franklin Gothic Std Book"/>
      <w:outline/>
    </w:rPr>
  </w:style>
  <w:style w:type="character" w:customStyle="1" w:styleId="FigureNumber">
    <w:name w:val="Figure Number"/>
    <w:uiPriority w:val="99"/>
    <w:rsid w:val="005A3418"/>
    <w:rPr>
      <w:color w:val="3E608F"/>
    </w:rPr>
  </w:style>
  <w:style w:type="paragraph" w:customStyle="1" w:styleId="PageNumberReferenceLHPPageNumber">
    <w:name w:val="Page Number Reference LHP (Page Number)"/>
    <w:basedOn w:val="Normal"/>
    <w:uiPriority w:val="99"/>
    <w:rsid w:val="004C4F65"/>
    <w:pPr>
      <w:widowControl w:val="0"/>
      <w:autoSpaceDE w:val="0"/>
      <w:autoSpaceDN w:val="0"/>
      <w:adjustRightInd w:val="0"/>
      <w:spacing w:before="0" w:after="0" w:line="250" w:lineRule="atLeast"/>
      <w:textAlignment w:val="center"/>
    </w:pPr>
    <w:rPr>
      <w:rFonts w:ascii="ITC Franklin Gothic Std Book" w:eastAsiaTheme="minorEastAsia" w:hAnsi="ITC Franklin Gothic Std Book" w:cs="ITC Franklin Gothic Std Book"/>
      <w:color w:val="55565A"/>
      <w:sz w:val="19"/>
      <w:szCs w:val="19"/>
      <w:lang w:val="en-US"/>
    </w:rPr>
  </w:style>
  <w:style w:type="character" w:customStyle="1" w:styleId="ProjectColour">
    <w:name w:val="Project Colour"/>
    <w:uiPriority w:val="99"/>
    <w:rsid w:val="00B85A6F"/>
    <w:rPr>
      <w:color w:val="3E608F"/>
    </w:rPr>
  </w:style>
  <w:style w:type="paragraph" w:styleId="Subtitle">
    <w:name w:val="Subtitle"/>
    <w:basedOn w:val="Normal"/>
    <w:next w:val="Normal"/>
    <w:link w:val="SubtitleChar"/>
    <w:uiPriority w:val="11"/>
    <w:qFormat/>
    <w:rsid w:val="0007454B"/>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7454B"/>
    <w:rPr>
      <w:rFonts w:asciiTheme="minorHAnsi" w:eastAsiaTheme="minorEastAsia" w:hAnsiTheme="minorHAnsi" w:cstheme="minorBidi"/>
      <w:color w:val="5A5A5A" w:themeColor="text1" w:themeTint="A5"/>
      <w:spacing w:val="15"/>
      <w:sz w:val="22"/>
      <w:szCs w:val="22"/>
    </w:rPr>
  </w:style>
  <w:style w:type="paragraph" w:customStyle="1" w:styleId="NumberedLastGeneralStyles">
    <w:name w:val="Numbered Last (General Styles)"/>
    <w:basedOn w:val="ABCGeneralStyles"/>
    <w:uiPriority w:val="99"/>
    <w:rsid w:val="004250D9"/>
    <w:pPr>
      <w:tabs>
        <w:tab w:val="left" w:pos="640"/>
      </w:tabs>
      <w:spacing w:after="135" w:line="360" w:lineRule="atLeast"/>
      <w:ind w:left="720"/>
    </w:pPr>
    <w:rPr>
      <w:sz w:val="24"/>
      <w:szCs w:val="24"/>
    </w:rPr>
  </w:style>
  <w:style w:type="paragraph" w:customStyle="1" w:styleId="Quote1GeneralStyles">
    <w:name w:val="Quote 1 (General Styles)"/>
    <w:basedOn w:val="QuotebulletGeneralStyles"/>
    <w:uiPriority w:val="99"/>
    <w:rsid w:val="004250D9"/>
    <w:pPr>
      <w:spacing w:line="360" w:lineRule="atLeast"/>
      <w:ind w:left="1020" w:hanging="255"/>
      <w:jc w:val="left"/>
    </w:pPr>
    <w:rPr>
      <w:sz w:val="21"/>
      <w:szCs w:val="21"/>
    </w:rPr>
  </w:style>
  <w:style w:type="paragraph" w:customStyle="1" w:styleId="Quote234GeneralStyles">
    <w:name w:val="Quote 234 (General Styles)"/>
    <w:basedOn w:val="QuotebulletGeneralStyles"/>
    <w:uiPriority w:val="99"/>
    <w:rsid w:val="004250D9"/>
    <w:pPr>
      <w:spacing w:line="360" w:lineRule="atLeast"/>
      <w:ind w:left="1020" w:hanging="255"/>
      <w:jc w:val="left"/>
    </w:pPr>
    <w:rPr>
      <w:sz w:val="21"/>
      <w:szCs w:val="21"/>
    </w:rPr>
  </w:style>
  <w:style w:type="paragraph" w:customStyle="1" w:styleId="BodyFranklinGothicQuoteLeftLastFranklinGothicSection">
    <w:name w:val="Body Franklin Gothic Quote Left Last (Franklin Gothic Section)"/>
    <w:basedOn w:val="BodyGeneralStyles"/>
    <w:uiPriority w:val="99"/>
    <w:rsid w:val="004250D9"/>
    <w:pPr>
      <w:spacing w:after="120" w:line="360" w:lineRule="atLeast"/>
    </w:pPr>
    <w:rPr>
      <w:rFonts w:ascii="ITC Franklin Gothic Std Book" w:eastAsiaTheme="minorEastAsia" w:hAnsi="ITC Franklin Gothic Std Book" w:cs="ITC Franklin Gothic Std Book"/>
      <w:sz w:val="26"/>
      <w:szCs w:val="26"/>
    </w:rPr>
  </w:style>
  <w:style w:type="paragraph" w:customStyle="1" w:styleId="BodyFranklinGothicQuoteRightSourceFranklinGothicSection">
    <w:name w:val="Body Franklin Gothic Quote Right Source (Franklin Gothic Section)"/>
    <w:basedOn w:val="BodyGeneralStyles"/>
    <w:uiPriority w:val="99"/>
    <w:rsid w:val="004250D9"/>
    <w:pPr>
      <w:spacing w:after="280" w:line="360" w:lineRule="atLeast"/>
      <w:ind w:left="1200"/>
      <w:jc w:val="right"/>
    </w:pPr>
    <w:rPr>
      <w:rFonts w:ascii="ITC Franklin Gothic Std Book" w:eastAsiaTheme="minorEastAsia" w:hAnsi="ITC Franklin Gothic Std Book" w:cs="ITC Franklin Gothic Std Book"/>
      <w:sz w:val="22"/>
      <w:szCs w:val="22"/>
    </w:rPr>
  </w:style>
  <w:style w:type="paragraph" w:customStyle="1" w:styleId="BodyFranklinGothicQuoteLeftFirstandLastFranklinGothicSection">
    <w:name w:val="Body Franklin Gothic Quote Left First and Last (Franklin Gothic Section)"/>
    <w:basedOn w:val="BodyGeneralStyles"/>
    <w:uiPriority w:val="99"/>
    <w:rsid w:val="004250D9"/>
    <w:pPr>
      <w:spacing w:before="240" w:after="120" w:line="360" w:lineRule="atLeast"/>
    </w:pPr>
    <w:rPr>
      <w:rFonts w:ascii="ITC Franklin Gothic Std Book" w:eastAsiaTheme="minorEastAsia" w:hAnsi="ITC Franklin Gothic Std Book" w:cs="ITC Franklin Gothic Std Book"/>
      <w:sz w:val="26"/>
      <w:szCs w:val="26"/>
    </w:rPr>
  </w:style>
  <w:style w:type="paragraph" w:customStyle="1" w:styleId="BodyFranklinGothicQuoteLeftFranklinGothicSection">
    <w:name w:val="Body Franklin Gothic Quote Left (Franklin Gothic Section)"/>
    <w:basedOn w:val="BodyGeneralStyles"/>
    <w:uiPriority w:val="99"/>
    <w:rsid w:val="004250D9"/>
    <w:pPr>
      <w:spacing w:after="180" w:line="360" w:lineRule="atLeast"/>
    </w:pPr>
    <w:rPr>
      <w:rFonts w:ascii="ITC Franklin Gothic Std Book" w:eastAsiaTheme="minorEastAsia" w:hAnsi="ITC Franklin Gothic Std Book" w:cs="ITC Franklin Gothic Std Book"/>
      <w:sz w:val="26"/>
      <w:szCs w:val="26"/>
    </w:rPr>
  </w:style>
  <w:style w:type="paragraph" w:customStyle="1" w:styleId="BodyFranklinGothicQuoteLeftFirstFranklinGothicSection">
    <w:name w:val="Body Franklin Gothic Quote Left First (Franklin Gothic Section)"/>
    <w:basedOn w:val="BodyGeneralStyles"/>
    <w:uiPriority w:val="99"/>
    <w:rsid w:val="004250D9"/>
    <w:pPr>
      <w:spacing w:before="240" w:after="180" w:line="360" w:lineRule="atLeast"/>
    </w:pPr>
    <w:rPr>
      <w:rFonts w:ascii="ITC Franklin Gothic Std Book" w:eastAsiaTheme="minorEastAsia" w:hAnsi="ITC Franklin Gothic Std Book" w:cs="ITC Franklin Gothic Std Book"/>
      <w:sz w:val="26"/>
      <w:szCs w:val="26"/>
    </w:rPr>
  </w:style>
  <w:style w:type="paragraph" w:customStyle="1" w:styleId="BlackCalloutFranklinGothicSection">
    <w:name w:val="Black Callout (Franklin Gothic Section)"/>
    <w:basedOn w:val="BodyGeneralStyles"/>
    <w:uiPriority w:val="99"/>
    <w:rsid w:val="004250D9"/>
    <w:pPr>
      <w:spacing w:after="180" w:line="360" w:lineRule="atLeast"/>
    </w:pPr>
    <w:rPr>
      <w:rFonts w:ascii="Franklin Gothic Medium" w:eastAsiaTheme="minorEastAsia" w:hAnsi="Franklin Gothic Medium" w:cs="Franklin Gothic Medium"/>
      <w:sz w:val="26"/>
      <w:szCs w:val="26"/>
    </w:rPr>
  </w:style>
  <w:style w:type="paragraph" w:customStyle="1" w:styleId="BodyNoSpaceGeneralStyles">
    <w:name w:val="Body No Space (General Styles)"/>
    <w:basedOn w:val="NoParagraphStyle"/>
    <w:uiPriority w:val="99"/>
    <w:rsid w:val="004250D9"/>
    <w:pPr>
      <w:suppressAutoHyphens/>
      <w:spacing w:after="60" w:line="360" w:lineRule="atLeast"/>
    </w:pPr>
    <w:rPr>
      <w:rFonts w:ascii="Gill Sans Std Light" w:eastAsiaTheme="minorEastAsia" w:hAnsi="Gill Sans Std Light" w:cs="Gill Sans Std Light"/>
      <w:lang w:val="en-US"/>
    </w:rPr>
  </w:style>
  <w:style w:type="paragraph" w:customStyle="1" w:styleId="Footnote1-9Footnote">
    <w:name w:val="Footnote 1-9 (Footnote)"/>
    <w:basedOn w:val="NoParagraphStyle"/>
    <w:uiPriority w:val="99"/>
    <w:rsid w:val="004250D9"/>
    <w:pPr>
      <w:tabs>
        <w:tab w:val="left" w:pos="369"/>
      </w:tabs>
      <w:suppressAutoHyphens/>
      <w:spacing w:after="113" w:line="280" w:lineRule="atLeast"/>
      <w:ind w:left="369" w:hanging="369"/>
    </w:pPr>
    <w:rPr>
      <w:rFonts w:ascii="Gill Sans Std Light" w:eastAsiaTheme="minorEastAsia" w:hAnsi="Gill Sans Std Light" w:cs="Gill Sans Std Light"/>
      <w:sz w:val="20"/>
      <w:szCs w:val="20"/>
      <w:lang w:val="en-US"/>
    </w:rPr>
  </w:style>
  <w:style w:type="paragraph" w:customStyle="1" w:styleId="Footnote10-99Footnote">
    <w:name w:val="Footnote 10-99 (Footnote)"/>
    <w:basedOn w:val="NoParagraphStyle"/>
    <w:uiPriority w:val="99"/>
    <w:rsid w:val="004250D9"/>
    <w:pPr>
      <w:tabs>
        <w:tab w:val="left" w:pos="369"/>
      </w:tabs>
      <w:suppressAutoHyphens/>
      <w:spacing w:after="113" w:line="280" w:lineRule="atLeast"/>
      <w:ind w:left="369" w:hanging="369"/>
    </w:pPr>
    <w:rPr>
      <w:rFonts w:ascii="Gill Sans Std Light" w:eastAsiaTheme="minorEastAsia" w:hAnsi="Gill Sans Std Light" w:cs="Gill Sans Std Light"/>
      <w:sz w:val="20"/>
      <w:szCs w:val="20"/>
      <w:lang w:val="en-US"/>
    </w:rPr>
  </w:style>
  <w:style w:type="character" w:customStyle="1" w:styleId="RegularItalic">
    <w:name w:val="Regular Italic"/>
    <w:uiPriority w:val="99"/>
    <w:rsid w:val="004250D9"/>
    <w:rPr>
      <w:i/>
      <w:iCs/>
      <w:lang w:val="en-AU"/>
    </w:rPr>
  </w:style>
  <w:style w:type="character" w:customStyle="1" w:styleId="DemiGrey">
    <w:name w:val="Demi Grey"/>
    <w:uiPriority w:val="99"/>
    <w:rsid w:val="004250D9"/>
    <w:rPr>
      <w:rFonts w:ascii="ITC Franklin Gothic Std Book" w:hAnsi="ITC Franklin Gothic Std Book" w:cs="ITC Franklin Gothic Std Book"/>
      <w:color w:val="55565A"/>
    </w:rPr>
  </w:style>
  <w:style w:type="paragraph" w:customStyle="1" w:styleId="BlueCalloutFranklinGothicSection">
    <w:name w:val="Blue Callout (Franklin Gothic Section)"/>
    <w:basedOn w:val="BodyGeneralStyles"/>
    <w:uiPriority w:val="99"/>
    <w:rsid w:val="00964354"/>
    <w:pPr>
      <w:spacing w:after="180" w:line="360" w:lineRule="atLeast"/>
    </w:pPr>
    <w:rPr>
      <w:rFonts w:ascii="Franklin Gothic Medium" w:eastAsiaTheme="minorEastAsia" w:hAnsi="Franklin Gothic Medium" w:cs="Franklin Gothic Medium"/>
      <w:sz w:val="26"/>
      <w:szCs w:val="26"/>
    </w:rPr>
  </w:style>
  <w:style w:type="paragraph" w:styleId="IntenseQuote">
    <w:name w:val="Intense Quote"/>
    <w:basedOn w:val="Normal"/>
    <w:next w:val="Normal"/>
    <w:link w:val="IntenseQuoteChar"/>
    <w:uiPriority w:val="30"/>
    <w:qFormat/>
    <w:rsid w:val="0017242B"/>
    <w:pPr>
      <w:pBdr>
        <w:top w:val="single" w:sz="4" w:space="10" w:color="auto"/>
        <w:bottom w:val="single" w:sz="4" w:space="10" w:color="auto"/>
      </w:pBdr>
      <w:spacing w:before="360" w:after="360"/>
      <w:ind w:left="864" w:right="864"/>
      <w:jc w:val="center"/>
    </w:pPr>
    <w:rPr>
      <w:b/>
      <w:iCs/>
    </w:rPr>
  </w:style>
  <w:style w:type="character" w:customStyle="1" w:styleId="IntenseQuoteChar">
    <w:name w:val="Intense Quote Char"/>
    <w:basedOn w:val="DefaultParagraphFont"/>
    <w:link w:val="IntenseQuote"/>
    <w:uiPriority w:val="30"/>
    <w:rsid w:val="0017242B"/>
    <w:rPr>
      <w:b/>
      <w:iCs/>
    </w:rPr>
  </w:style>
  <w:style w:type="paragraph" w:customStyle="1" w:styleId="TableBodyRight">
    <w:name w:val="Table Body Right"/>
    <w:basedOn w:val="TableBody"/>
    <w:qFormat/>
    <w:rsid w:val="00E66634"/>
    <w:pPr>
      <w:jc w:val="right"/>
    </w:pPr>
  </w:style>
  <w:style w:type="paragraph" w:customStyle="1" w:styleId="Body">
    <w:name w:val="Body"/>
    <w:basedOn w:val="NoParagraphStyle"/>
    <w:uiPriority w:val="99"/>
    <w:rsid w:val="00E62AE6"/>
    <w:pPr>
      <w:suppressAutoHyphens/>
      <w:spacing w:after="160" w:line="320" w:lineRule="atLeast"/>
    </w:pPr>
    <w:rPr>
      <w:rFonts w:ascii="ITC Franklin Gothic Std Book" w:eastAsiaTheme="minorEastAsia" w:hAnsi="ITC Franklin Gothic Std Book" w:cs="ITC Franklin Gothic Std Book"/>
      <w:sz w:val="22"/>
      <w:szCs w:val="22"/>
      <w:lang w:val="en-US"/>
    </w:rPr>
  </w:style>
  <w:style w:type="paragraph" w:customStyle="1" w:styleId="BodyPrebullet">
    <w:name w:val="Body Prebullet"/>
    <w:basedOn w:val="NoParagraphStyle"/>
    <w:uiPriority w:val="99"/>
    <w:rsid w:val="00E62AE6"/>
    <w:pPr>
      <w:suppressAutoHyphens/>
      <w:spacing w:after="70" w:line="320" w:lineRule="atLeast"/>
    </w:pPr>
    <w:rPr>
      <w:rFonts w:ascii="ITC Franklin Gothic Std Book" w:eastAsiaTheme="minorEastAsia" w:hAnsi="ITC Franklin Gothic Std Book" w:cs="ITC Franklin Gothic Std Book"/>
      <w:sz w:val="22"/>
      <w:szCs w:val="22"/>
      <w:lang w:val="en-US"/>
    </w:rPr>
  </w:style>
  <w:style w:type="paragraph" w:customStyle="1" w:styleId="Bullet">
    <w:name w:val="Bullet"/>
    <w:basedOn w:val="NoParagraphStyle"/>
    <w:uiPriority w:val="99"/>
    <w:rsid w:val="00E62AE6"/>
    <w:pPr>
      <w:tabs>
        <w:tab w:val="left" w:pos="482"/>
      </w:tabs>
      <w:suppressAutoHyphens/>
      <w:spacing w:after="70" w:line="320" w:lineRule="atLeast"/>
      <w:ind w:left="460" w:hanging="200"/>
    </w:pPr>
    <w:rPr>
      <w:rFonts w:ascii="ITC Franklin Gothic Std Book" w:eastAsiaTheme="minorEastAsia" w:hAnsi="ITC Franklin Gothic Std Book" w:cs="ITC Franklin Gothic Std Book"/>
      <w:sz w:val="22"/>
      <w:szCs w:val="22"/>
      <w:lang w:val="en-US"/>
    </w:rPr>
  </w:style>
  <w:style w:type="paragraph" w:customStyle="1" w:styleId="BulletLast">
    <w:name w:val="Bullet Last"/>
    <w:basedOn w:val="NoParagraphStyle"/>
    <w:uiPriority w:val="99"/>
    <w:rsid w:val="00E62AE6"/>
    <w:pPr>
      <w:tabs>
        <w:tab w:val="left" w:pos="360"/>
      </w:tabs>
      <w:suppressAutoHyphens/>
      <w:spacing w:after="140" w:line="320" w:lineRule="atLeast"/>
      <w:ind w:left="460" w:hanging="200"/>
    </w:pPr>
    <w:rPr>
      <w:rFonts w:ascii="ITC Franklin Gothic Std Book" w:eastAsiaTheme="minorEastAsia" w:hAnsi="ITC Franklin Gothic Std Book" w:cs="ITC Franklin Gothic Std Book"/>
      <w:sz w:val="22"/>
      <w:szCs w:val="22"/>
      <w:lang w:val="en-US"/>
    </w:rPr>
  </w:style>
  <w:style w:type="paragraph" w:customStyle="1" w:styleId="Anchor">
    <w:name w:val="Anchor"/>
    <w:basedOn w:val="NoParagraphStyle"/>
    <w:uiPriority w:val="99"/>
    <w:rsid w:val="00E62AE6"/>
    <w:pPr>
      <w:suppressAutoHyphens/>
      <w:spacing w:line="125" w:lineRule="atLeast"/>
    </w:pPr>
    <w:rPr>
      <w:rFonts w:ascii="ITC Franklin Gothic Std Book" w:eastAsiaTheme="minorEastAsia" w:hAnsi="ITC Franklin Gothic Std Book" w:cs="ITC Franklin Gothic Std Book"/>
      <w:sz w:val="13"/>
      <w:szCs w:val="13"/>
      <w:lang w:val="en-US"/>
    </w:rPr>
  </w:style>
  <w:style w:type="paragraph" w:customStyle="1" w:styleId="References">
    <w:name w:val="References"/>
    <w:basedOn w:val="NoParagraphStyle"/>
    <w:uiPriority w:val="99"/>
    <w:rsid w:val="00E62AE6"/>
    <w:pPr>
      <w:suppressAutoHyphens/>
      <w:spacing w:line="320" w:lineRule="atLeast"/>
      <w:ind w:left="360" w:hanging="360"/>
    </w:pPr>
    <w:rPr>
      <w:rFonts w:ascii="ITC Franklin Gothic Std Book" w:eastAsiaTheme="minorEastAsia" w:hAnsi="ITC Franklin Gothic Std Book" w:cs="ITC Franklin Gothic Std Book"/>
      <w:sz w:val="20"/>
      <w:szCs w:val="20"/>
      <w:lang w:val="en-US"/>
    </w:rPr>
  </w:style>
  <w:style w:type="character" w:customStyle="1" w:styleId="Figurenumber0">
    <w:name w:val="Figure number"/>
    <w:uiPriority w:val="99"/>
    <w:rsid w:val="00E62AE6"/>
    <w:rPr>
      <w:color w:val="246754"/>
    </w:rPr>
  </w:style>
  <w:style w:type="paragraph" w:customStyle="1" w:styleId="CalloutText">
    <w:name w:val="Callout Text"/>
    <w:basedOn w:val="Normal"/>
    <w:uiPriority w:val="99"/>
    <w:rsid w:val="00DB215D"/>
    <w:pPr>
      <w:widowControl w:val="0"/>
      <w:autoSpaceDE w:val="0"/>
      <w:autoSpaceDN w:val="0"/>
      <w:adjustRightInd w:val="0"/>
      <w:spacing w:before="0" w:after="40" w:line="320" w:lineRule="atLeast"/>
    </w:pPr>
    <w:rPr>
      <w:rFonts w:ascii="ITC Franklin Gothic Std Book" w:eastAsiaTheme="minorEastAsia" w:hAnsi="ITC Franklin Gothic Std Book" w:cs="ITC Franklin Gothic Std Book"/>
      <w:color w:val="FFFFFF"/>
      <w:lang w:val="en-US"/>
    </w:rPr>
  </w:style>
  <w:style w:type="paragraph" w:customStyle="1" w:styleId="CalloutBullet">
    <w:name w:val="Callout Bullet"/>
    <w:basedOn w:val="Normal"/>
    <w:uiPriority w:val="99"/>
    <w:rsid w:val="00DB215D"/>
    <w:pPr>
      <w:widowControl w:val="0"/>
      <w:autoSpaceDE w:val="0"/>
      <w:autoSpaceDN w:val="0"/>
      <w:adjustRightInd w:val="0"/>
      <w:spacing w:before="0" w:after="40" w:line="320" w:lineRule="atLeast"/>
      <w:ind w:left="454" w:hanging="283"/>
    </w:pPr>
    <w:rPr>
      <w:rFonts w:ascii="ITC Franklin Gothic Std Book" w:eastAsiaTheme="minorEastAsia" w:hAnsi="ITC Franklin Gothic Std Book" w:cs="ITC Franklin Gothic Std Book"/>
      <w:color w:val="FFFFFF"/>
      <w:lang w:val="en-US"/>
    </w:rPr>
  </w:style>
  <w:style w:type="paragraph" w:customStyle="1" w:styleId="Imprint">
    <w:name w:val="Imprint"/>
    <w:basedOn w:val="Normal"/>
    <w:uiPriority w:val="99"/>
    <w:rsid w:val="00753619"/>
    <w:pPr>
      <w:widowControl w:val="0"/>
      <w:autoSpaceDE w:val="0"/>
      <w:autoSpaceDN w:val="0"/>
      <w:adjustRightInd w:val="0"/>
      <w:spacing w:before="0" w:after="60" w:line="240" w:lineRule="atLeast"/>
    </w:pPr>
    <w:rPr>
      <w:rFonts w:ascii="ITC Franklin Gothic Std Book" w:eastAsiaTheme="minorEastAsia" w:hAnsi="ITC Franklin Gothic Std Book" w:cs="ITC Franklin Gothic Std Book"/>
      <w:color w:val="000000"/>
      <w:sz w:val="18"/>
      <w:szCs w:val="18"/>
      <w:lang w:val="en-US"/>
    </w:rPr>
  </w:style>
  <w:style w:type="paragraph" w:customStyle="1" w:styleId="TableHeadingRight">
    <w:name w:val="Table Heading Right"/>
    <w:basedOn w:val="TableHeading"/>
    <w:link w:val="TableHeadingRightChar"/>
    <w:qFormat/>
    <w:rsid w:val="00E40129"/>
    <w:pPr>
      <w:jc w:val="right"/>
    </w:pPr>
  </w:style>
  <w:style w:type="character" w:customStyle="1" w:styleId="TableHeadingChar">
    <w:name w:val="Table Heading Char"/>
    <w:basedOn w:val="DefaultParagraphFont"/>
    <w:link w:val="TableHeading"/>
    <w:rsid w:val="00E40129"/>
    <w:rPr>
      <w:rFonts w:cs="ITC Franklin Gothic Book"/>
      <w:b/>
      <w:sz w:val="20"/>
      <w:szCs w:val="18"/>
      <w:lang w:val="en-US"/>
    </w:rPr>
  </w:style>
  <w:style w:type="character" w:customStyle="1" w:styleId="TableHeadingRightChar">
    <w:name w:val="Table Heading Right Char"/>
    <w:basedOn w:val="TableHeadingChar"/>
    <w:link w:val="TableHeadingRight"/>
    <w:rsid w:val="00E40129"/>
    <w:rPr>
      <w:rFonts w:cs="ITC Franklin Gothic Book"/>
      <w:b/>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656">
      <w:bodyDiv w:val="1"/>
      <w:marLeft w:val="0"/>
      <w:marRight w:val="0"/>
      <w:marTop w:val="0"/>
      <w:marBottom w:val="0"/>
      <w:divBdr>
        <w:top w:val="none" w:sz="0" w:space="0" w:color="auto"/>
        <w:left w:val="none" w:sz="0" w:space="0" w:color="auto"/>
        <w:bottom w:val="none" w:sz="0" w:space="0" w:color="auto"/>
        <w:right w:val="none" w:sz="0" w:space="0" w:color="auto"/>
      </w:divBdr>
    </w:div>
    <w:div w:id="41562592">
      <w:bodyDiv w:val="1"/>
      <w:marLeft w:val="0"/>
      <w:marRight w:val="0"/>
      <w:marTop w:val="0"/>
      <w:marBottom w:val="0"/>
      <w:divBdr>
        <w:top w:val="none" w:sz="0" w:space="0" w:color="auto"/>
        <w:left w:val="none" w:sz="0" w:space="0" w:color="auto"/>
        <w:bottom w:val="none" w:sz="0" w:space="0" w:color="auto"/>
        <w:right w:val="none" w:sz="0" w:space="0" w:color="auto"/>
      </w:divBdr>
    </w:div>
    <w:div w:id="52778886">
      <w:bodyDiv w:val="1"/>
      <w:marLeft w:val="0"/>
      <w:marRight w:val="0"/>
      <w:marTop w:val="0"/>
      <w:marBottom w:val="0"/>
      <w:divBdr>
        <w:top w:val="none" w:sz="0" w:space="0" w:color="auto"/>
        <w:left w:val="none" w:sz="0" w:space="0" w:color="auto"/>
        <w:bottom w:val="none" w:sz="0" w:space="0" w:color="auto"/>
        <w:right w:val="none" w:sz="0" w:space="0" w:color="auto"/>
      </w:divBdr>
    </w:div>
    <w:div w:id="68233506">
      <w:bodyDiv w:val="1"/>
      <w:marLeft w:val="0"/>
      <w:marRight w:val="0"/>
      <w:marTop w:val="0"/>
      <w:marBottom w:val="0"/>
      <w:divBdr>
        <w:top w:val="none" w:sz="0" w:space="0" w:color="auto"/>
        <w:left w:val="none" w:sz="0" w:space="0" w:color="auto"/>
        <w:bottom w:val="none" w:sz="0" w:space="0" w:color="auto"/>
        <w:right w:val="none" w:sz="0" w:space="0" w:color="auto"/>
      </w:divBdr>
    </w:div>
    <w:div w:id="70276249">
      <w:bodyDiv w:val="1"/>
      <w:marLeft w:val="0"/>
      <w:marRight w:val="0"/>
      <w:marTop w:val="0"/>
      <w:marBottom w:val="0"/>
      <w:divBdr>
        <w:top w:val="none" w:sz="0" w:space="0" w:color="auto"/>
        <w:left w:val="none" w:sz="0" w:space="0" w:color="auto"/>
        <w:bottom w:val="none" w:sz="0" w:space="0" w:color="auto"/>
        <w:right w:val="none" w:sz="0" w:space="0" w:color="auto"/>
      </w:divBdr>
    </w:div>
    <w:div w:id="80953335">
      <w:bodyDiv w:val="1"/>
      <w:marLeft w:val="0"/>
      <w:marRight w:val="0"/>
      <w:marTop w:val="0"/>
      <w:marBottom w:val="0"/>
      <w:divBdr>
        <w:top w:val="none" w:sz="0" w:space="0" w:color="auto"/>
        <w:left w:val="none" w:sz="0" w:space="0" w:color="auto"/>
        <w:bottom w:val="none" w:sz="0" w:space="0" w:color="auto"/>
        <w:right w:val="none" w:sz="0" w:space="0" w:color="auto"/>
      </w:divBdr>
    </w:div>
    <w:div w:id="98567153">
      <w:bodyDiv w:val="1"/>
      <w:marLeft w:val="0"/>
      <w:marRight w:val="0"/>
      <w:marTop w:val="0"/>
      <w:marBottom w:val="0"/>
      <w:divBdr>
        <w:top w:val="none" w:sz="0" w:space="0" w:color="auto"/>
        <w:left w:val="none" w:sz="0" w:space="0" w:color="auto"/>
        <w:bottom w:val="none" w:sz="0" w:space="0" w:color="auto"/>
        <w:right w:val="none" w:sz="0" w:space="0" w:color="auto"/>
      </w:divBdr>
    </w:div>
    <w:div w:id="106701725">
      <w:bodyDiv w:val="1"/>
      <w:marLeft w:val="0"/>
      <w:marRight w:val="0"/>
      <w:marTop w:val="0"/>
      <w:marBottom w:val="0"/>
      <w:divBdr>
        <w:top w:val="none" w:sz="0" w:space="0" w:color="auto"/>
        <w:left w:val="none" w:sz="0" w:space="0" w:color="auto"/>
        <w:bottom w:val="none" w:sz="0" w:space="0" w:color="auto"/>
        <w:right w:val="none" w:sz="0" w:space="0" w:color="auto"/>
      </w:divBdr>
    </w:div>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26243955">
      <w:bodyDiv w:val="1"/>
      <w:marLeft w:val="0"/>
      <w:marRight w:val="0"/>
      <w:marTop w:val="0"/>
      <w:marBottom w:val="0"/>
      <w:divBdr>
        <w:top w:val="none" w:sz="0" w:space="0" w:color="auto"/>
        <w:left w:val="none" w:sz="0" w:space="0" w:color="auto"/>
        <w:bottom w:val="none" w:sz="0" w:space="0" w:color="auto"/>
        <w:right w:val="none" w:sz="0" w:space="0" w:color="auto"/>
      </w:divBdr>
    </w:div>
    <w:div w:id="145241436">
      <w:bodyDiv w:val="1"/>
      <w:marLeft w:val="0"/>
      <w:marRight w:val="0"/>
      <w:marTop w:val="0"/>
      <w:marBottom w:val="0"/>
      <w:divBdr>
        <w:top w:val="none" w:sz="0" w:space="0" w:color="auto"/>
        <w:left w:val="none" w:sz="0" w:space="0" w:color="auto"/>
        <w:bottom w:val="none" w:sz="0" w:space="0" w:color="auto"/>
        <w:right w:val="none" w:sz="0" w:space="0" w:color="auto"/>
      </w:divBdr>
    </w:div>
    <w:div w:id="159777461">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89167735">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300234194">
      <w:bodyDiv w:val="1"/>
      <w:marLeft w:val="0"/>
      <w:marRight w:val="0"/>
      <w:marTop w:val="0"/>
      <w:marBottom w:val="0"/>
      <w:divBdr>
        <w:top w:val="none" w:sz="0" w:space="0" w:color="auto"/>
        <w:left w:val="none" w:sz="0" w:space="0" w:color="auto"/>
        <w:bottom w:val="none" w:sz="0" w:space="0" w:color="auto"/>
        <w:right w:val="none" w:sz="0" w:space="0" w:color="auto"/>
      </w:divBdr>
    </w:div>
    <w:div w:id="309870076">
      <w:bodyDiv w:val="1"/>
      <w:marLeft w:val="0"/>
      <w:marRight w:val="0"/>
      <w:marTop w:val="0"/>
      <w:marBottom w:val="0"/>
      <w:divBdr>
        <w:top w:val="none" w:sz="0" w:space="0" w:color="auto"/>
        <w:left w:val="none" w:sz="0" w:space="0" w:color="auto"/>
        <w:bottom w:val="none" w:sz="0" w:space="0" w:color="auto"/>
        <w:right w:val="none" w:sz="0" w:space="0" w:color="auto"/>
      </w:divBdr>
    </w:div>
    <w:div w:id="310913766">
      <w:bodyDiv w:val="1"/>
      <w:marLeft w:val="0"/>
      <w:marRight w:val="0"/>
      <w:marTop w:val="0"/>
      <w:marBottom w:val="0"/>
      <w:divBdr>
        <w:top w:val="none" w:sz="0" w:space="0" w:color="auto"/>
        <w:left w:val="none" w:sz="0" w:space="0" w:color="auto"/>
        <w:bottom w:val="none" w:sz="0" w:space="0" w:color="auto"/>
        <w:right w:val="none" w:sz="0" w:space="0" w:color="auto"/>
      </w:divBdr>
    </w:div>
    <w:div w:id="316997878">
      <w:bodyDiv w:val="1"/>
      <w:marLeft w:val="0"/>
      <w:marRight w:val="0"/>
      <w:marTop w:val="0"/>
      <w:marBottom w:val="0"/>
      <w:divBdr>
        <w:top w:val="none" w:sz="0" w:space="0" w:color="auto"/>
        <w:left w:val="none" w:sz="0" w:space="0" w:color="auto"/>
        <w:bottom w:val="none" w:sz="0" w:space="0" w:color="auto"/>
        <w:right w:val="none" w:sz="0" w:space="0" w:color="auto"/>
      </w:divBdr>
    </w:div>
    <w:div w:id="322851807">
      <w:bodyDiv w:val="1"/>
      <w:marLeft w:val="0"/>
      <w:marRight w:val="0"/>
      <w:marTop w:val="0"/>
      <w:marBottom w:val="0"/>
      <w:divBdr>
        <w:top w:val="none" w:sz="0" w:space="0" w:color="auto"/>
        <w:left w:val="none" w:sz="0" w:space="0" w:color="auto"/>
        <w:bottom w:val="none" w:sz="0" w:space="0" w:color="auto"/>
        <w:right w:val="none" w:sz="0" w:space="0" w:color="auto"/>
      </w:divBdr>
    </w:div>
    <w:div w:id="339891757">
      <w:bodyDiv w:val="1"/>
      <w:marLeft w:val="0"/>
      <w:marRight w:val="0"/>
      <w:marTop w:val="0"/>
      <w:marBottom w:val="0"/>
      <w:divBdr>
        <w:top w:val="none" w:sz="0" w:space="0" w:color="auto"/>
        <w:left w:val="none" w:sz="0" w:space="0" w:color="auto"/>
        <w:bottom w:val="none" w:sz="0" w:space="0" w:color="auto"/>
        <w:right w:val="none" w:sz="0" w:space="0" w:color="auto"/>
      </w:divBdr>
    </w:div>
    <w:div w:id="345592857">
      <w:bodyDiv w:val="1"/>
      <w:marLeft w:val="0"/>
      <w:marRight w:val="0"/>
      <w:marTop w:val="0"/>
      <w:marBottom w:val="0"/>
      <w:divBdr>
        <w:top w:val="none" w:sz="0" w:space="0" w:color="auto"/>
        <w:left w:val="none" w:sz="0" w:space="0" w:color="auto"/>
        <w:bottom w:val="none" w:sz="0" w:space="0" w:color="auto"/>
        <w:right w:val="none" w:sz="0" w:space="0" w:color="auto"/>
      </w:divBdr>
    </w:div>
    <w:div w:id="347416913">
      <w:bodyDiv w:val="1"/>
      <w:marLeft w:val="0"/>
      <w:marRight w:val="0"/>
      <w:marTop w:val="0"/>
      <w:marBottom w:val="0"/>
      <w:divBdr>
        <w:top w:val="none" w:sz="0" w:space="0" w:color="auto"/>
        <w:left w:val="none" w:sz="0" w:space="0" w:color="auto"/>
        <w:bottom w:val="none" w:sz="0" w:space="0" w:color="auto"/>
        <w:right w:val="none" w:sz="0" w:space="0" w:color="auto"/>
      </w:divBdr>
    </w:div>
    <w:div w:id="383869941">
      <w:bodyDiv w:val="1"/>
      <w:marLeft w:val="0"/>
      <w:marRight w:val="0"/>
      <w:marTop w:val="0"/>
      <w:marBottom w:val="0"/>
      <w:divBdr>
        <w:top w:val="none" w:sz="0" w:space="0" w:color="auto"/>
        <w:left w:val="none" w:sz="0" w:space="0" w:color="auto"/>
        <w:bottom w:val="none" w:sz="0" w:space="0" w:color="auto"/>
        <w:right w:val="none" w:sz="0" w:space="0" w:color="auto"/>
      </w:divBdr>
    </w:div>
    <w:div w:id="383909937">
      <w:bodyDiv w:val="1"/>
      <w:marLeft w:val="0"/>
      <w:marRight w:val="0"/>
      <w:marTop w:val="0"/>
      <w:marBottom w:val="0"/>
      <w:divBdr>
        <w:top w:val="none" w:sz="0" w:space="0" w:color="auto"/>
        <w:left w:val="none" w:sz="0" w:space="0" w:color="auto"/>
        <w:bottom w:val="none" w:sz="0" w:space="0" w:color="auto"/>
        <w:right w:val="none" w:sz="0" w:space="0" w:color="auto"/>
      </w:divBdr>
    </w:div>
    <w:div w:id="425228017">
      <w:bodyDiv w:val="1"/>
      <w:marLeft w:val="0"/>
      <w:marRight w:val="0"/>
      <w:marTop w:val="0"/>
      <w:marBottom w:val="0"/>
      <w:divBdr>
        <w:top w:val="none" w:sz="0" w:space="0" w:color="auto"/>
        <w:left w:val="none" w:sz="0" w:space="0" w:color="auto"/>
        <w:bottom w:val="none" w:sz="0" w:space="0" w:color="auto"/>
        <w:right w:val="none" w:sz="0" w:space="0" w:color="auto"/>
      </w:divBdr>
    </w:div>
    <w:div w:id="447159759">
      <w:bodyDiv w:val="1"/>
      <w:marLeft w:val="0"/>
      <w:marRight w:val="0"/>
      <w:marTop w:val="0"/>
      <w:marBottom w:val="0"/>
      <w:divBdr>
        <w:top w:val="none" w:sz="0" w:space="0" w:color="auto"/>
        <w:left w:val="none" w:sz="0" w:space="0" w:color="auto"/>
        <w:bottom w:val="none" w:sz="0" w:space="0" w:color="auto"/>
        <w:right w:val="none" w:sz="0" w:space="0" w:color="auto"/>
      </w:divBdr>
    </w:div>
    <w:div w:id="454910518">
      <w:bodyDiv w:val="1"/>
      <w:marLeft w:val="0"/>
      <w:marRight w:val="0"/>
      <w:marTop w:val="0"/>
      <w:marBottom w:val="0"/>
      <w:divBdr>
        <w:top w:val="none" w:sz="0" w:space="0" w:color="auto"/>
        <w:left w:val="none" w:sz="0" w:space="0" w:color="auto"/>
        <w:bottom w:val="none" w:sz="0" w:space="0" w:color="auto"/>
        <w:right w:val="none" w:sz="0" w:space="0" w:color="auto"/>
      </w:divBdr>
    </w:div>
    <w:div w:id="471097515">
      <w:bodyDiv w:val="1"/>
      <w:marLeft w:val="0"/>
      <w:marRight w:val="0"/>
      <w:marTop w:val="0"/>
      <w:marBottom w:val="0"/>
      <w:divBdr>
        <w:top w:val="none" w:sz="0" w:space="0" w:color="auto"/>
        <w:left w:val="none" w:sz="0" w:space="0" w:color="auto"/>
        <w:bottom w:val="none" w:sz="0" w:space="0" w:color="auto"/>
        <w:right w:val="none" w:sz="0" w:space="0" w:color="auto"/>
      </w:divBdr>
    </w:div>
    <w:div w:id="482280939">
      <w:bodyDiv w:val="1"/>
      <w:marLeft w:val="0"/>
      <w:marRight w:val="0"/>
      <w:marTop w:val="0"/>
      <w:marBottom w:val="0"/>
      <w:divBdr>
        <w:top w:val="none" w:sz="0" w:space="0" w:color="auto"/>
        <w:left w:val="none" w:sz="0" w:space="0" w:color="auto"/>
        <w:bottom w:val="none" w:sz="0" w:space="0" w:color="auto"/>
        <w:right w:val="none" w:sz="0" w:space="0" w:color="auto"/>
      </w:divBdr>
    </w:div>
    <w:div w:id="579632705">
      <w:bodyDiv w:val="1"/>
      <w:marLeft w:val="0"/>
      <w:marRight w:val="0"/>
      <w:marTop w:val="0"/>
      <w:marBottom w:val="0"/>
      <w:divBdr>
        <w:top w:val="none" w:sz="0" w:space="0" w:color="auto"/>
        <w:left w:val="none" w:sz="0" w:space="0" w:color="auto"/>
        <w:bottom w:val="none" w:sz="0" w:space="0" w:color="auto"/>
        <w:right w:val="none" w:sz="0" w:space="0" w:color="auto"/>
      </w:divBdr>
    </w:div>
    <w:div w:id="605574774">
      <w:bodyDiv w:val="1"/>
      <w:marLeft w:val="0"/>
      <w:marRight w:val="0"/>
      <w:marTop w:val="0"/>
      <w:marBottom w:val="0"/>
      <w:divBdr>
        <w:top w:val="none" w:sz="0" w:space="0" w:color="auto"/>
        <w:left w:val="none" w:sz="0" w:space="0" w:color="auto"/>
        <w:bottom w:val="none" w:sz="0" w:space="0" w:color="auto"/>
        <w:right w:val="none" w:sz="0" w:space="0" w:color="auto"/>
      </w:divBdr>
    </w:div>
    <w:div w:id="616722735">
      <w:bodyDiv w:val="1"/>
      <w:marLeft w:val="0"/>
      <w:marRight w:val="0"/>
      <w:marTop w:val="0"/>
      <w:marBottom w:val="0"/>
      <w:divBdr>
        <w:top w:val="none" w:sz="0" w:space="0" w:color="auto"/>
        <w:left w:val="none" w:sz="0" w:space="0" w:color="auto"/>
        <w:bottom w:val="none" w:sz="0" w:space="0" w:color="auto"/>
        <w:right w:val="none" w:sz="0" w:space="0" w:color="auto"/>
      </w:divBdr>
    </w:div>
    <w:div w:id="622007827">
      <w:bodyDiv w:val="1"/>
      <w:marLeft w:val="0"/>
      <w:marRight w:val="0"/>
      <w:marTop w:val="0"/>
      <w:marBottom w:val="0"/>
      <w:divBdr>
        <w:top w:val="none" w:sz="0" w:space="0" w:color="auto"/>
        <w:left w:val="none" w:sz="0" w:space="0" w:color="auto"/>
        <w:bottom w:val="none" w:sz="0" w:space="0" w:color="auto"/>
        <w:right w:val="none" w:sz="0" w:space="0" w:color="auto"/>
      </w:divBdr>
    </w:div>
    <w:div w:id="629937628">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680933441">
      <w:bodyDiv w:val="1"/>
      <w:marLeft w:val="0"/>
      <w:marRight w:val="0"/>
      <w:marTop w:val="0"/>
      <w:marBottom w:val="0"/>
      <w:divBdr>
        <w:top w:val="none" w:sz="0" w:space="0" w:color="auto"/>
        <w:left w:val="none" w:sz="0" w:space="0" w:color="auto"/>
        <w:bottom w:val="none" w:sz="0" w:space="0" w:color="auto"/>
        <w:right w:val="none" w:sz="0" w:space="0" w:color="auto"/>
      </w:divBdr>
    </w:div>
    <w:div w:id="709570870">
      <w:bodyDiv w:val="1"/>
      <w:marLeft w:val="0"/>
      <w:marRight w:val="0"/>
      <w:marTop w:val="0"/>
      <w:marBottom w:val="0"/>
      <w:divBdr>
        <w:top w:val="none" w:sz="0" w:space="0" w:color="auto"/>
        <w:left w:val="none" w:sz="0" w:space="0" w:color="auto"/>
        <w:bottom w:val="none" w:sz="0" w:space="0" w:color="auto"/>
        <w:right w:val="none" w:sz="0" w:space="0" w:color="auto"/>
      </w:divBdr>
    </w:div>
    <w:div w:id="793328173">
      <w:bodyDiv w:val="1"/>
      <w:marLeft w:val="0"/>
      <w:marRight w:val="0"/>
      <w:marTop w:val="0"/>
      <w:marBottom w:val="0"/>
      <w:divBdr>
        <w:top w:val="none" w:sz="0" w:space="0" w:color="auto"/>
        <w:left w:val="none" w:sz="0" w:space="0" w:color="auto"/>
        <w:bottom w:val="none" w:sz="0" w:space="0" w:color="auto"/>
        <w:right w:val="none" w:sz="0" w:space="0" w:color="auto"/>
      </w:divBdr>
    </w:div>
    <w:div w:id="801844922">
      <w:bodyDiv w:val="1"/>
      <w:marLeft w:val="0"/>
      <w:marRight w:val="0"/>
      <w:marTop w:val="0"/>
      <w:marBottom w:val="0"/>
      <w:divBdr>
        <w:top w:val="none" w:sz="0" w:space="0" w:color="auto"/>
        <w:left w:val="none" w:sz="0" w:space="0" w:color="auto"/>
        <w:bottom w:val="none" w:sz="0" w:space="0" w:color="auto"/>
        <w:right w:val="none" w:sz="0" w:space="0" w:color="auto"/>
      </w:divBdr>
    </w:div>
    <w:div w:id="830678666">
      <w:bodyDiv w:val="1"/>
      <w:marLeft w:val="0"/>
      <w:marRight w:val="0"/>
      <w:marTop w:val="0"/>
      <w:marBottom w:val="0"/>
      <w:divBdr>
        <w:top w:val="none" w:sz="0" w:space="0" w:color="auto"/>
        <w:left w:val="none" w:sz="0" w:space="0" w:color="auto"/>
        <w:bottom w:val="none" w:sz="0" w:space="0" w:color="auto"/>
        <w:right w:val="none" w:sz="0" w:space="0" w:color="auto"/>
      </w:divBdr>
    </w:div>
    <w:div w:id="850602420">
      <w:bodyDiv w:val="1"/>
      <w:marLeft w:val="0"/>
      <w:marRight w:val="0"/>
      <w:marTop w:val="0"/>
      <w:marBottom w:val="0"/>
      <w:divBdr>
        <w:top w:val="none" w:sz="0" w:space="0" w:color="auto"/>
        <w:left w:val="none" w:sz="0" w:space="0" w:color="auto"/>
        <w:bottom w:val="none" w:sz="0" w:space="0" w:color="auto"/>
        <w:right w:val="none" w:sz="0" w:space="0" w:color="auto"/>
      </w:divBdr>
    </w:div>
    <w:div w:id="853037540">
      <w:bodyDiv w:val="1"/>
      <w:marLeft w:val="0"/>
      <w:marRight w:val="0"/>
      <w:marTop w:val="0"/>
      <w:marBottom w:val="0"/>
      <w:divBdr>
        <w:top w:val="none" w:sz="0" w:space="0" w:color="auto"/>
        <w:left w:val="none" w:sz="0" w:space="0" w:color="auto"/>
        <w:bottom w:val="none" w:sz="0" w:space="0" w:color="auto"/>
        <w:right w:val="none" w:sz="0" w:space="0" w:color="auto"/>
      </w:divBdr>
    </w:div>
    <w:div w:id="894395367">
      <w:bodyDiv w:val="1"/>
      <w:marLeft w:val="0"/>
      <w:marRight w:val="0"/>
      <w:marTop w:val="0"/>
      <w:marBottom w:val="0"/>
      <w:divBdr>
        <w:top w:val="none" w:sz="0" w:space="0" w:color="auto"/>
        <w:left w:val="none" w:sz="0" w:space="0" w:color="auto"/>
        <w:bottom w:val="none" w:sz="0" w:space="0" w:color="auto"/>
        <w:right w:val="none" w:sz="0" w:space="0" w:color="auto"/>
      </w:divBdr>
    </w:div>
    <w:div w:id="902182954">
      <w:bodyDiv w:val="1"/>
      <w:marLeft w:val="0"/>
      <w:marRight w:val="0"/>
      <w:marTop w:val="0"/>
      <w:marBottom w:val="0"/>
      <w:divBdr>
        <w:top w:val="none" w:sz="0" w:space="0" w:color="auto"/>
        <w:left w:val="none" w:sz="0" w:space="0" w:color="auto"/>
        <w:bottom w:val="none" w:sz="0" w:space="0" w:color="auto"/>
        <w:right w:val="none" w:sz="0" w:space="0" w:color="auto"/>
      </w:divBdr>
    </w:div>
    <w:div w:id="914054751">
      <w:bodyDiv w:val="1"/>
      <w:marLeft w:val="0"/>
      <w:marRight w:val="0"/>
      <w:marTop w:val="0"/>
      <w:marBottom w:val="0"/>
      <w:divBdr>
        <w:top w:val="none" w:sz="0" w:space="0" w:color="auto"/>
        <w:left w:val="none" w:sz="0" w:space="0" w:color="auto"/>
        <w:bottom w:val="none" w:sz="0" w:space="0" w:color="auto"/>
        <w:right w:val="none" w:sz="0" w:space="0" w:color="auto"/>
      </w:divBdr>
    </w:div>
    <w:div w:id="974261452">
      <w:bodyDiv w:val="1"/>
      <w:marLeft w:val="0"/>
      <w:marRight w:val="0"/>
      <w:marTop w:val="0"/>
      <w:marBottom w:val="0"/>
      <w:divBdr>
        <w:top w:val="none" w:sz="0" w:space="0" w:color="auto"/>
        <w:left w:val="none" w:sz="0" w:space="0" w:color="auto"/>
        <w:bottom w:val="none" w:sz="0" w:space="0" w:color="auto"/>
        <w:right w:val="none" w:sz="0" w:space="0" w:color="auto"/>
      </w:divBdr>
    </w:div>
    <w:div w:id="981276058">
      <w:bodyDiv w:val="1"/>
      <w:marLeft w:val="0"/>
      <w:marRight w:val="0"/>
      <w:marTop w:val="0"/>
      <w:marBottom w:val="0"/>
      <w:divBdr>
        <w:top w:val="none" w:sz="0" w:space="0" w:color="auto"/>
        <w:left w:val="none" w:sz="0" w:space="0" w:color="auto"/>
        <w:bottom w:val="none" w:sz="0" w:space="0" w:color="auto"/>
        <w:right w:val="none" w:sz="0" w:space="0" w:color="auto"/>
      </w:divBdr>
    </w:div>
    <w:div w:id="1039746596">
      <w:bodyDiv w:val="1"/>
      <w:marLeft w:val="0"/>
      <w:marRight w:val="0"/>
      <w:marTop w:val="0"/>
      <w:marBottom w:val="0"/>
      <w:divBdr>
        <w:top w:val="none" w:sz="0" w:space="0" w:color="auto"/>
        <w:left w:val="none" w:sz="0" w:space="0" w:color="auto"/>
        <w:bottom w:val="none" w:sz="0" w:space="0" w:color="auto"/>
        <w:right w:val="none" w:sz="0" w:space="0" w:color="auto"/>
      </w:divBdr>
    </w:div>
    <w:div w:id="1045762154">
      <w:bodyDiv w:val="1"/>
      <w:marLeft w:val="0"/>
      <w:marRight w:val="0"/>
      <w:marTop w:val="0"/>
      <w:marBottom w:val="0"/>
      <w:divBdr>
        <w:top w:val="none" w:sz="0" w:space="0" w:color="auto"/>
        <w:left w:val="none" w:sz="0" w:space="0" w:color="auto"/>
        <w:bottom w:val="none" w:sz="0" w:space="0" w:color="auto"/>
        <w:right w:val="none" w:sz="0" w:space="0" w:color="auto"/>
      </w:divBdr>
    </w:div>
    <w:div w:id="1055815836">
      <w:bodyDiv w:val="1"/>
      <w:marLeft w:val="0"/>
      <w:marRight w:val="0"/>
      <w:marTop w:val="0"/>
      <w:marBottom w:val="0"/>
      <w:divBdr>
        <w:top w:val="none" w:sz="0" w:space="0" w:color="auto"/>
        <w:left w:val="none" w:sz="0" w:space="0" w:color="auto"/>
        <w:bottom w:val="none" w:sz="0" w:space="0" w:color="auto"/>
        <w:right w:val="none" w:sz="0" w:space="0" w:color="auto"/>
      </w:divBdr>
    </w:div>
    <w:div w:id="1065176364">
      <w:bodyDiv w:val="1"/>
      <w:marLeft w:val="0"/>
      <w:marRight w:val="0"/>
      <w:marTop w:val="0"/>
      <w:marBottom w:val="0"/>
      <w:divBdr>
        <w:top w:val="none" w:sz="0" w:space="0" w:color="auto"/>
        <w:left w:val="none" w:sz="0" w:space="0" w:color="auto"/>
        <w:bottom w:val="none" w:sz="0" w:space="0" w:color="auto"/>
        <w:right w:val="none" w:sz="0" w:space="0" w:color="auto"/>
      </w:divBdr>
    </w:div>
    <w:div w:id="1066150916">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108891827">
      <w:bodyDiv w:val="1"/>
      <w:marLeft w:val="0"/>
      <w:marRight w:val="0"/>
      <w:marTop w:val="0"/>
      <w:marBottom w:val="0"/>
      <w:divBdr>
        <w:top w:val="none" w:sz="0" w:space="0" w:color="auto"/>
        <w:left w:val="none" w:sz="0" w:space="0" w:color="auto"/>
        <w:bottom w:val="none" w:sz="0" w:space="0" w:color="auto"/>
        <w:right w:val="none" w:sz="0" w:space="0" w:color="auto"/>
      </w:divBdr>
    </w:div>
    <w:div w:id="1198010112">
      <w:bodyDiv w:val="1"/>
      <w:marLeft w:val="0"/>
      <w:marRight w:val="0"/>
      <w:marTop w:val="0"/>
      <w:marBottom w:val="0"/>
      <w:divBdr>
        <w:top w:val="none" w:sz="0" w:space="0" w:color="auto"/>
        <w:left w:val="none" w:sz="0" w:space="0" w:color="auto"/>
        <w:bottom w:val="none" w:sz="0" w:space="0" w:color="auto"/>
        <w:right w:val="none" w:sz="0" w:space="0" w:color="auto"/>
      </w:divBdr>
    </w:div>
    <w:div w:id="1207140317">
      <w:bodyDiv w:val="1"/>
      <w:marLeft w:val="0"/>
      <w:marRight w:val="0"/>
      <w:marTop w:val="0"/>
      <w:marBottom w:val="0"/>
      <w:divBdr>
        <w:top w:val="none" w:sz="0" w:space="0" w:color="auto"/>
        <w:left w:val="none" w:sz="0" w:space="0" w:color="auto"/>
        <w:bottom w:val="none" w:sz="0" w:space="0" w:color="auto"/>
        <w:right w:val="none" w:sz="0" w:space="0" w:color="auto"/>
      </w:divBdr>
    </w:div>
    <w:div w:id="1211839285">
      <w:bodyDiv w:val="1"/>
      <w:marLeft w:val="0"/>
      <w:marRight w:val="0"/>
      <w:marTop w:val="0"/>
      <w:marBottom w:val="0"/>
      <w:divBdr>
        <w:top w:val="none" w:sz="0" w:space="0" w:color="auto"/>
        <w:left w:val="none" w:sz="0" w:space="0" w:color="auto"/>
        <w:bottom w:val="none" w:sz="0" w:space="0" w:color="auto"/>
        <w:right w:val="none" w:sz="0" w:space="0" w:color="auto"/>
      </w:divBdr>
    </w:div>
    <w:div w:id="1226337790">
      <w:bodyDiv w:val="1"/>
      <w:marLeft w:val="0"/>
      <w:marRight w:val="0"/>
      <w:marTop w:val="0"/>
      <w:marBottom w:val="0"/>
      <w:divBdr>
        <w:top w:val="none" w:sz="0" w:space="0" w:color="auto"/>
        <w:left w:val="none" w:sz="0" w:space="0" w:color="auto"/>
        <w:bottom w:val="none" w:sz="0" w:space="0" w:color="auto"/>
        <w:right w:val="none" w:sz="0" w:space="0" w:color="auto"/>
      </w:divBdr>
    </w:div>
    <w:div w:id="1249194459">
      <w:bodyDiv w:val="1"/>
      <w:marLeft w:val="0"/>
      <w:marRight w:val="0"/>
      <w:marTop w:val="0"/>
      <w:marBottom w:val="0"/>
      <w:divBdr>
        <w:top w:val="none" w:sz="0" w:space="0" w:color="auto"/>
        <w:left w:val="none" w:sz="0" w:space="0" w:color="auto"/>
        <w:bottom w:val="none" w:sz="0" w:space="0" w:color="auto"/>
        <w:right w:val="none" w:sz="0" w:space="0" w:color="auto"/>
      </w:divBdr>
    </w:div>
    <w:div w:id="1253928055">
      <w:bodyDiv w:val="1"/>
      <w:marLeft w:val="0"/>
      <w:marRight w:val="0"/>
      <w:marTop w:val="0"/>
      <w:marBottom w:val="0"/>
      <w:divBdr>
        <w:top w:val="none" w:sz="0" w:space="0" w:color="auto"/>
        <w:left w:val="none" w:sz="0" w:space="0" w:color="auto"/>
        <w:bottom w:val="none" w:sz="0" w:space="0" w:color="auto"/>
        <w:right w:val="none" w:sz="0" w:space="0" w:color="auto"/>
      </w:divBdr>
    </w:div>
    <w:div w:id="1282491292">
      <w:bodyDiv w:val="1"/>
      <w:marLeft w:val="0"/>
      <w:marRight w:val="0"/>
      <w:marTop w:val="0"/>
      <w:marBottom w:val="0"/>
      <w:divBdr>
        <w:top w:val="none" w:sz="0" w:space="0" w:color="auto"/>
        <w:left w:val="none" w:sz="0" w:space="0" w:color="auto"/>
        <w:bottom w:val="none" w:sz="0" w:space="0" w:color="auto"/>
        <w:right w:val="none" w:sz="0" w:space="0" w:color="auto"/>
      </w:divBdr>
    </w:div>
    <w:div w:id="1292634655">
      <w:bodyDiv w:val="1"/>
      <w:marLeft w:val="0"/>
      <w:marRight w:val="0"/>
      <w:marTop w:val="0"/>
      <w:marBottom w:val="0"/>
      <w:divBdr>
        <w:top w:val="none" w:sz="0" w:space="0" w:color="auto"/>
        <w:left w:val="none" w:sz="0" w:space="0" w:color="auto"/>
        <w:bottom w:val="none" w:sz="0" w:space="0" w:color="auto"/>
        <w:right w:val="none" w:sz="0" w:space="0" w:color="auto"/>
      </w:divBdr>
    </w:div>
    <w:div w:id="1301421078">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321806955">
      <w:bodyDiv w:val="1"/>
      <w:marLeft w:val="0"/>
      <w:marRight w:val="0"/>
      <w:marTop w:val="0"/>
      <w:marBottom w:val="0"/>
      <w:divBdr>
        <w:top w:val="none" w:sz="0" w:space="0" w:color="auto"/>
        <w:left w:val="none" w:sz="0" w:space="0" w:color="auto"/>
        <w:bottom w:val="none" w:sz="0" w:space="0" w:color="auto"/>
        <w:right w:val="none" w:sz="0" w:space="0" w:color="auto"/>
      </w:divBdr>
    </w:div>
    <w:div w:id="1384716848">
      <w:bodyDiv w:val="1"/>
      <w:marLeft w:val="0"/>
      <w:marRight w:val="0"/>
      <w:marTop w:val="0"/>
      <w:marBottom w:val="0"/>
      <w:divBdr>
        <w:top w:val="none" w:sz="0" w:space="0" w:color="auto"/>
        <w:left w:val="none" w:sz="0" w:space="0" w:color="auto"/>
        <w:bottom w:val="none" w:sz="0" w:space="0" w:color="auto"/>
        <w:right w:val="none" w:sz="0" w:space="0" w:color="auto"/>
      </w:divBdr>
    </w:div>
    <w:div w:id="1403410402">
      <w:bodyDiv w:val="1"/>
      <w:marLeft w:val="0"/>
      <w:marRight w:val="0"/>
      <w:marTop w:val="0"/>
      <w:marBottom w:val="0"/>
      <w:divBdr>
        <w:top w:val="none" w:sz="0" w:space="0" w:color="auto"/>
        <w:left w:val="none" w:sz="0" w:space="0" w:color="auto"/>
        <w:bottom w:val="none" w:sz="0" w:space="0" w:color="auto"/>
        <w:right w:val="none" w:sz="0" w:space="0" w:color="auto"/>
      </w:divBdr>
    </w:div>
    <w:div w:id="1416249006">
      <w:bodyDiv w:val="1"/>
      <w:marLeft w:val="0"/>
      <w:marRight w:val="0"/>
      <w:marTop w:val="0"/>
      <w:marBottom w:val="0"/>
      <w:divBdr>
        <w:top w:val="none" w:sz="0" w:space="0" w:color="auto"/>
        <w:left w:val="none" w:sz="0" w:space="0" w:color="auto"/>
        <w:bottom w:val="none" w:sz="0" w:space="0" w:color="auto"/>
        <w:right w:val="none" w:sz="0" w:space="0" w:color="auto"/>
      </w:divBdr>
    </w:div>
    <w:div w:id="1425498555">
      <w:bodyDiv w:val="1"/>
      <w:marLeft w:val="0"/>
      <w:marRight w:val="0"/>
      <w:marTop w:val="0"/>
      <w:marBottom w:val="0"/>
      <w:divBdr>
        <w:top w:val="none" w:sz="0" w:space="0" w:color="auto"/>
        <w:left w:val="none" w:sz="0" w:space="0" w:color="auto"/>
        <w:bottom w:val="none" w:sz="0" w:space="0" w:color="auto"/>
        <w:right w:val="none" w:sz="0" w:space="0" w:color="auto"/>
      </w:divBdr>
    </w:div>
    <w:div w:id="1447962624">
      <w:bodyDiv w:val="1"/>
      <w:marLeft w:val="0"/>
      <w:marRight w:val="0"/>
      <w:marTop w:val="0"/>
      <w:marBottom w:val="0"/>
      <w:divBdr>
        <w:top w:val="none" w:sz="0" w:space="0" w:color="auto"/>
        <w:left w:val="none" w:sz="0" w:space="0" w:color="auto"/>
        <w:bottom w:val="none" w:sz="0" w:space="0" w:color="auto"/>
        <w:right w:val="none" w:sz="0" w:space="0" w:color="auto"/>
      </w:divBdr>
    </w:div>
    <w:div w:id="1459378181">
      <w:bodyDiv w:val="1"/>
      <w:marLeft w:val="0"/>
      <w:marRight w:val="0"/>
      <w:marTop w:val="0"/>
      <w:marBottom w:val="0"/>
      <w:divBdr>
        <w:top w:val="none" w:sz="0" w:space="0" w:color="auto"/>
        <w:left w:val="none" w:sz="0" w:space="0" w:color="auto"/>
        <w:bottom w:val="none" w:sz="0" w:space="0" w:color="auto"/>
        <w:right w:val="none" w:sz="0" w:space="0" w:color="auto"/>
      </w:divBdr>
    </w:div>
    <w:div w:id="1472987825">
      <w:bodyDiv w:val="1"/>
      <w:marLeft w:val="0"/>
      <w:marRight w:val="0"/>
      <w:marTop w:val="0"/>
      <w:marBottom w:val="0"/>
      <w:divBdr>
        <w:top w:val="none" w:sz="0" w:space="0" w:color="auto"/>
        <w:left w:val="none" w:sz="0" w:space="0" w:color="auto"/>
        <w:bottom w:val="none" w:sz="0" w:space="0" w:color="auto"/>
        <w:right w:val="none" w:sz="0" w:space="0" w:color="auto"/>
      </w:divBdr>
    </w:div>
    <w:div w:id="1476989409">
      <w:bodyDiv w:val="1"/>
      <w:marLeft w:val="0"/>
      <w:marRight w:val="0"/>
      <w:marTop w:val="0"/>
      <w:marBottom w:val="0"/>
      <w:divBdr>
        <w:top w:val="none" w:sz="0" w:space="0" w:color="auto"/>
        <w:left w:val="none" w:sz="0" w:space="0" w:color="auto"/>
        <w:bottom w:val="none" w:sz="0" w:space="0" w:color="auto"/>
        <w:right w:val="none" w:sz="0" w:space="0" w:color="auto"/>
      </w:divBdr>
    </w:div>
    <w:div w:id="1566378242">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15476011">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654260672">
      <w:bodyDiv w:val="1"/>
      <w:marLeft w:val="0"/>
      <w:marRight w:val="0"/>
      <w:marTop w:val="0"/>
      <w:marBottom w:val="0"/>
      <w:divBdr>
        <w:top w:val="none" w:sz="0" w:space="0" w:color="auto"/>
        <w:left w:val="none" w:sz="0" w:space="0" w:color="auto"/>
        <w:bottom w:val="none" w:sz="0" w:space="0" w:color="auto"/>
        <w:right w:val="none" w:sz="0" w:space="0" w:color="auto"/>
      </w:divBdr>
    </w:div>
    <w:div w:id="1673801804">
      <w:bodyDiv w:val="1"/>
      <w:marLeft w:val="0"/>
      <w:marRight w:val="0"/>
      <w:marTop w:val="0"/>
      <w:marBottom w:val="0"/>
      <w:divBdr>
        <w:top w:val="none" w:sz="0" w:space="0" w:color="auto"/>
        <w:left w:val="none" w:sz="0" w:space="0" w:color="auto"/>
        <w:bottom w:val="none" w:sz="0" w:space="0" w:color="auto"/>
        <w:right w:val="none" w:sz="0" w:space="0" w:color="auto"/>
      </w:divBdr>
    </w:div>
    <w:div w:id="1708095922">
      <w:bodyDiv w:val="1"/>
      <w:marLeft w:val="0"/>
      <w:marRight w:val="0"/>
      <w:marTop w:val="0"/>
      <w:marBottom w:val="0"/>
      <w:divBdr>
        <w:top w:val="none" w:sz="0" w:space="0" w:color="auto"/>
        <w:left w:val="none" w:sz="0" w:space="0" w:color="auto"/>
        <w:bottom w:val="none" w:sz="0" w:space="0" w:color="auto"/>
        <w:right w:val="none" w:sz="0" w:space="0" w:color="auto"/>
      </w:divBdr>
    </w:div>
    <w:div w:id="1712803588">
      <w:bodyDiv w:val="1"/>
      <w:marLeft w:val="0"/>
      <w:marRight w:val="0"/>
      <w:marTop w:val="0"/>
      <w:marBottom w:val="0"/>
      <w:divBdr>
        <w:top w:val="none" w:sz="0" w:space="0" w:color="auto"/>
        <w:left w:val="none" w:sz="0" w:space="0" w:color="auto"/>
        <w:bottom w:val="none" w:sz="0" w:space="0" w:color="auto"/>
        <w:right w:val="none" w:sz="0" w:space="0" w:color="auto"/>
      </w:divBdr>
    </w:div>
    <w:div w:id="171326556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777670894">
      <w:bodyDiv w:val="1"/>
      <w:marLeft w:val="0"/>
      <w:marRight w:val="0"/>
      <w:marTop w:val="0"/>
      <w:marBottom w:val="0"/>
      <w:divBdr>
        <w:top w:val="none" w:sz="0" w:space="0" w:color="auto"/>
        <w:left w:val="none" w:sz="0" w:space="0" w:color="auto"/>
        <w:bottom w:val="none" w:sz="0" w:space="0" w:color="auto"/>
        <w:right w:val="none" w:sz="0" w:space="0" w:color="auto"/>
      </w:divBdr>
    </w:div>
    <w:div w:id="1810973581">
      <w:bodyDiv w:val="1"/>
      <w:marLeft w:val="0"/>
      <w:marRight w:val="0"/>
      <w:marTop w:val="0"/>
      <w:marBottom w:val="0"/>
      <w:divBdr>
        <w:top w:val="none" w:sz="0" w:space="0" w:color="auto"/>
        <w:left w:val="none" w:sz="0" w:space="0" w:color="auto"/>
        <w:bottom w:val="none" w:sz="0" w:space="0" w:color="auto"/>
        <w:right w:val="none" w:sz="0" w:space="0" w:color="auto"/>
      </w:divBdr>
    </w:div>
    <w:div w:id="1813449230">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840538355">
      <w:bodyDiv w:val="1"/>
      <w:marLeft w:val="0"/>
      <w:marRight w:val="0"/>
      <w:marTop w:val="0"/>
      <w:marBottom w:val="0"/>
      <w:divBdr>
        <w:top w:val="none" w:sz="0" w:space="0" w:color="auto"/>
        <w:left w:val="none" w:sz="0" w:space="0" w:color="auto"/>
        <w:bottom w:val="none" w:sz="0" w:space="0" w:color="auto"/>
        <w:right w:val="none" w:sz="0" w:space="0" w:color="auto"/>
      </w:divBdr>
    </w:div>
    <w:div w:id="1859930354">
      <w:bodyDiv w:val="1"/>
      <w:marLeft w:val="0"/>
      <w:marRight w:val="0"/>
      <w:marTop w:val="0"/>
      <w:marBottom w:val="0"/>
      <w:divBdr>
        <w:top w:val="none" w:sz="0" w:space="0" w:color="auto"/>
        <w:left w:val="none" w:sz="0" w:space="0" w:color="auto"/>
        <w:bottom w:val="none" w:sz="0" w:space="0" w:color="auto"/>
        <w:right w:val="none" w:sz="0" w:space="0" w:color="auto"/>
      </w:divBdr>
    </w:div>
    <w:div w:id="1874885063">
      <w:bodyDiv w:val="1"/>
      <w:marLeft w:val="0"/>
      <w:marRight w:val="0"/>
      <w:marTop w:val="0"/>
      <w:marBottom w:val="0"/>
      <w:divBdr>
        <w:top w:val="none" w:sz="0" w:space="0" w:color="auto"/>
        <w:left w:val="none" w:sz="0" w:space="0" w:color="auto"/>
        <w:bottom w:val="none" w:sz="0" w:space="0" w:color="auto"/>
        <w:right w:val="none" w:sz="0" w:space="0" w:color="auto"/>
      </w:divBdr>
    </w:div>
    <w:div w:id="1881087845">
      <w:bodyDiv w:val="1"/>
      <w:marLeft w:val="0"/>
      <w:marRight w:val="0"/>
      <w:marTop w:val="0"/>
      <w:marBottom w:val="0"/>
      <w:divBdr>
        <w:top w:val="none" w:sz="0" w:space="0" w:color="auto"/>
        <w:left w:val="none" w:sz="0" w:space="0" w:color="auto"/>
        <w:bottom w:val="none" w:sz="0" w:space="0" w:color="auto"/>
        <w:right w:val="none" w:sz="0" w:space="0" w:color="auto"/>
      </w:divBdr>
    </w:div>
    <w:div w:id="1883667520">
      <w:bodyDiv w:val="1"/>
      <w:marLeft w:val="0"/>
      <w:marRight w:val="0"/>
      <w:marTop w:val="0"/>
      <w:marBottom w:val="0"/>
      <w:divBdr>
        <w:top w:val="none" w:sz="0" w:space="0" w:color="auto"/>
        <w:left w:val="none" w:sz="0" w:space="0" w:color="auto"/>
        <w:bottom w:val="none" w:sz="0" w:space="0" w:color="auto"/>
        <w:right w:val="none" w:sz="0" w:space="0" w:color="auto"/>
      </w:divBdr>
    </w:div>
    <w:div w:id="1888494714">
      <w:bodyDiv w:val="1"/>
      <w:marLeft w:val="0"/>
      <w:marRight w:val="0"/>
      <w:marTop w:val="0"/>
      <w:marBottom w:val="0"/>
      <w:divBdr>
        <w:top w:val="none" w:sz="0" w:space="0" w:color="auto"/>
        <w:left w:val="none" w:sz="0" w:space="0" w:color="auto"/>
        <w:bottom w:val="none" w:sz="0" w:space="0" w:color="auto"/>
        <w:right w:val="none" w:sz="0" w:space="0" w:color="auto"/>
      </w:divBdr>
    </w:div>
    <w:div w:id="1923879240">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 w:id="1938639780">
      <w:bodyDiv w:val="1"/>
      <w:marLeft w:val="0"/>
      <w:marRight w:val="0"/>
      <w:marTop w:val="0"/>
      <w:marBottom w:val="0"/>
      <w:divBdr>
        <w:top w:val="none" w:sz="0" w:space="0" w:color="auto"/>
        <w:left w:val="none" w:sz="0" w:space="0" w:color="auto"/>
        <w:bottom w:val="none" w:sz="0" w:space="0" w:color="auto"/>
        <w:right w:val="none" w:sz="0" w:space="0" w:color="auto"/>
      </w:divBdr>
    </w:div>
    <w:div w:id="1989281798">
      <w:bodyDiv w:val="1"/>
      <w:marLeft w:val="0"/>
      <w:marRight w:val="0"/>
      <w:marTop w:val="0"/>
      <w:marBottom w:val="0"/>
      <w:divBdr>
        <w:top w:val="none" w:sz="0" w:space="0" w:color="auto"/>
        <w:left w:val="none" w:sz="0" w:space="0" w:color="auto"/>
        <w:bottom w:val="none" w:sz="0" w:space="0" w:color="auto"/>
        <w:right w:val="none" w:sz="0" w:space="0" w:color="auto"/>
      </w:divBdr>
    </w:div>
    <w:div w:id="2029401262">
      <w:bodyDiv w:val="1"/>
      <w:marLeft w:val="0"/>
      <w:marRight w:val="0"/>
      <w:marTop w:val="0"/>
      <w:marBottom w:val="0"/>
      <w:divBdr>
        <w:top w:val="none" w:sz="0" w:space="0" w:color="auto"/>
        <w:left w:val="none" w:sz="0" w:space="0" w:color="auto"/>
        <w:bottom w:val="none" w:sz="0" w:space="0" w:color="auto"/>
        <w:right w:val="none" w:sz="0" w:space="0" w:color="auto"/>
      </w:divBdr>
    </w:div>
    <w:div w:id="2041466869">
      <w:bodyDiv w:val="1"/>
      <w:marLeft w:val="0"/>
      <w:marRight w:val="0"/>
      <w:marTop w:val="0"/>
      <w:marBottom w:val="0"/>
      <w:divBdr>
        <w:top w:val="none" w:sz="0" w:space="0" w:color="auto"/>
        <w:left w:val="none" w:sz="0" w:space="0" w:color="auto"/>
        <w:bottom w:val="none" w:sz="0" w:space="0" w:color="auto"/>
        <w:right w:val="none" w:sz="0" w:space="0" w:color="auto"/>
      </w:divBdr>
    </w:div>
    <w:div w:id="2052803215">
      <w:bodyDiv w:val="1"/>
      <w:marLeft w:val="0"/>
      <w:marRight w:val="0"/>
      <w:marTop w:val="0"/>
      <w:marBottom w:val="0"/>
      <w:divBdr>
        <w:top w:val="none" w:sz="0" w:space="0" w:color="auto"/>
        <w:left w:val="none" w:sz="0" w:space="0" w:color="auto"/>
        <w:bottom w:val="none" w:sz="0" w:space="0" w:color="auto"/>
        <w:right w:val="none" w:sz="0" w:space="0" w:color="auto"/>
      </w:divBdr>
    </w:div>
    <w:div w:id="2092308262">
      <w:bodyDiv w:val="1"/>
      <w:marLeft w:val="0"/>
      <w:marRight w:val="0"/>
      <w:marTop w:val="0"/>
      <w:marBottom w:val="0"/>
      <w:divBdr>
        <w:top w:val="none" w:sz="0" w:space="0" w:color="auto"/>
        <w:left w:val="none" w:sz="0" w:space="0" w:color="auto"/>
        <w:bottom w:val="none" w:sz="0" w:space="0" w:color="auto"/>
        <w:right w:val="none" w:sz="0" w:space="0" w:color="auto"/>
      </w:divBdr>
    </w:div>
    <w:div w:id="20961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B2174-7FFD-422D-8206-4D7C7E76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5290</Words>
  <Characters>30155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Long-Term Sentencing Trends in Victoria</vt:lpstr>
    </vt:vector>
  </TitlesOfParts>
  <Company/>
  <LinksUpToDate>false</LinksUpToDate>
  <CharactersWithSpaces>35375</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Sentencing Trends in Victoria</dc:title>
  <dc:subject/>
  <dc:creator/>
  <cp:keywords/>
  <dc:description/>
  <cp:lastModifiedBy/>
  <cp:revision>1</cp:revision>
  <dcterms:created xsi:type="dcterms:W3CDTF">2022-08-30T07:07:00Z</dcterms:created>
  <dcterms:modified xsi:type="dcterms:W3CDTF">2022-09-05T02:23:00Z</dcterms:modified>
</cp:coreProperties>
</file>