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FCB06" w14:textId="448F8FCF" w:rsidR="0075110B" w:rsidRPr="0060474A" w:rsidRDefault="0075110B" w:rsidP="003E047A">
      <w:pPr>
        <w:pStyle w:val="Title"/>
      </w:pPr>
      <w:r w:rsidRPr="0060474A">
        <w:t>The Criminal Justice Diversion Program in Victoria</w:t>
      </w:r>
      <w:r w:rsidR="00117D67" w:rsidRPr="0060474A">
        <w:t xml:space="preserve">: </w:t>
      </w:r>
      <w:r w:rsidRPr="0060474A">
        <w:t>Second Statistical Profile</w:t>
      </w:r>
    </w:p>
    <w:p w14:paraId="6110B4C0" w14:textId="452D45B0" w:rsidR="00F26E16" w:rsidRPr="0060474A" w:rsidRDefault="00F26E16" w:rsidP="00F26E16">
      <w:pPr>
        <w:rPr>
          <w:b/>
          <w:bCs/>
        </w:rPr>
      </w:pPr>
      <w:r w:rsidRPr="0060474A">
        <w:rPr>
          <w:b/>
          <w:bCs/>
        </w:rPr>
        <w:t>Sentencing Advisory Council</w:t>
      </w:r>
    </w:p>
    <w:p w14:paraId="60FFF59C" w14:textId="6D1F5B23" w:rsidR="00F26E16" w:rsidRDefault="00F26E16" w:rsidP="00F26E16">
      <w:pPr>
        <w:pStyle w:val="Heading1"/>
        <w:pageBreakBefore w:val="0"/>
      </w:pPr>
      <w:bookmarkStart w:id="0" w:name="_Toc170138898"/>
      <w:r w:rsidRPr="0060474A">
        <w:t>Contents</w:t>
      </w:r>
      <w:bookmarkEnd w:id="0"/>
    </w:p>
    <w:p w14:paraId="4E36F9E1" w14:textId="04C84955" w:rsidR="0066380D" w:rsidRDefault="0066380D">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\p " " \h \z \t "Heading 1,1" </w:instrText>
      </w:r>
      <w:r>
        <w:fldChar w:fldCharType="separate"/>
      </w:r>
      <w:hyperlink w:anchor="_Toc170138899" w:history="1">
        <w:r w:rsidRPr="005C6140">
          <w:rPr>
            <w:rStyle w:val="Hyperlink"/>
            <w:noProof/>
          </w:rPr>
          <w:t>Acknowledgement of Country</w:t>
        </w:r>
        <w:r>
          <w:rPr>
            <w:noProof/>
            <w:webHidden/>
          </w:rPr>
          <w:t xml:space="preserve"> </w:t>
        </w:r>
        <w:r>
          <w:rPr>
            <w:noProof/>
            <w:webHidden/>
          </w:rPr>
          <w:fldChar w:fldCharType="begin"/>
        </w:r>
        <w:r>
          <w:rPr>
            <w:noProof/>
            <w:webHidden/>
          </w:rPr>
          <w:instrText xml:space="preserve"> PAGEREF _Toc170138899 \h </w:instrText>
        </w:r>
        <w:r>
          <w:rPr>
            <w:noProof/>
            <w:webHidden/>
          </w:rPr>
        </w:r>
        <w:r>
          <w:rPr>
            <w:noProof/>
            <w:webHidden/>
          </w:rPr>
          <w:fldChar w:fldCharType="separate"/>
        </w:r>
        <w:r w:rsidR="00F70E36">
          <w:rPr>
            <w:noProof/>
            <w:webHidden/>
          </w:rPr>
          <w:t>2</w:t>
        </w:r>
        <w:r>
          <w:rPr>
            <w:noProof/>
            <w:webHidden/>
          </w:rPr>
          <w:fldChar w:fldCharType="end"/>
        </w:r>
      </w:hyperlink>
    </w:p>
    <w:p w14:paraId="2E1D0861" w14:textId="4E80885A"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0" w:history="1">
        <w:r w:rsidR="0066380D" w:rsidRPr="005C6140">
          <w:rPr>
            <w:rStyle w:val="Hyperlink"/>
            <w:noProof/>
          </w:rPr>
          <w:t>Stakeholder acknowledgments</w:t>
        </w:r>
        <w:r w:rsidR="0066380D">
          <w:rPr>
            <w:noProof/>
            <w:webHidden/>
          </w:rPr>
          <w:t xml:space="preserve"> </w:t>
        </w:r>
        <w:r w:rsidR="0066380D">
          <w:rPr>
            <w:noProof/>
            <w:webHidden/>
          </w:rPr>
          <w:fldChar w:fldCharType="begin"/>
        </w:r>
        <w:r w:rsidR="0066380D">
          <w:rPr>
            <w:noProof/>
            <w:webHidden/>
          </w:rPr>
          <w:instrText xml:space="preserve"> PAGEREF _Toc170138900 \h </w:instrText>
        </w:r>
        <w:r w:rsidR="0066380D">
          <w:rPr>
            <w:noProof/>
            <w:webHidden/>
          </w:rPr>
        </w:r>
        <w:r w:rsidR="0066380D">
          <w:rPr>
            <w:noProof/>
            <w:webHidden/>
          </w:rPr>
          <w:fldChar w:fldCharType="separate"/>
        </w:r>
        <w:r w:rsidR="00F70E36">
          <w:rPr>
            <w:noProof/>
            <w:webHidden/>
          </w:rPr>
          <w:t>2</w:t>
        </w:r>
        <w:r w:rsidR="0066380D">
          <w:rPr>
            <w:noProof/>
            <w:webHidden/>
          </w:rPr>
          <w:fldChar w:fldCharType="end"/>
        </w:r>
      </w:hyperlink>
    </w:p>
    <w:p w14:paraId="2AD735CD" w14:textId="5E6A012D"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1" w:history="1">
        <w:r w:rsidR="0066380D" w:rsidRPr="005C6140">
          <w:rPr>
            <w:rStyle w:val="Hyperlink"/>
            <w:noProof/>
          </w:rPr>
          <w:t>Executive summary</w:t>
        </w:r>
        <w:r w:rsidR="0066380D">
          <w:rPr>
            <w:noProof/>
            <w:webHidden/>
          </w:rPr>
          <w:t xml:space="preserve"> </w:t>
        </w:r>
        <w:r w:rsidR="0066380D">
          <w:rPr>
            <w:noProof/>
            <w:webHidden/>
          </w:rPr>
          <w:fldChar w:fldCharType="begin"/>
        </w:r>
        <w:r w:rsidR="0066380D">
          <w:rPr>
            <w:noProof/>
            <w:webHidden/>
          </w:rPr>
          <w:instrText xml:space="preserve"> PAGEREF _Toc170138901 \h </w:instrText>
        </w:r>
        <w:r w:rsidR="0066380D">
          <w:rPr>
            <w:noProof/>
            <w:webHidden/>
          </w:rPr>
        </w:r>
        <w:r w:rsidR="0066380D">
          <w:rPr>
            <w:noProof/>
            <w:webHidden/>
          </w:rPr>
          <w:fldChar w:fldCharType="separate"/>
        </w:r>
        <w:r w:rsidR="00F70E36">
          <w:rPr>
            <w:noProof/>
            <w:webHidden/>
          </w:rPr>
          <w:t>3</w:t>
        </w:r>
        <w:r w:rsidR="0066380D">
          <w:rPr>
            <w:noProof/>
            <w:webHidden/>
          </w:rPr>
          <w:fldChar w:fldCharType="end"/>
        </w:r>
      </w:hyperlink>
    </w:p>
    <w:p w14:paraId="1D37B4AB" w14:textId="019F4BBA"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2" w:history="1">
        <w:r w:rsidR="0066380D" w:rsidRPr="005C6140">
          <w:rPr>
            <w:rStyle w:val="Hyperlink"/>
            <w:noProof/>
          </w:rPr>
          <w:t>1. Introduction</w:t>
        </w:r>
        <w:r w:rsidR="0066380D">
          <w:rPr>
            <w:noProof/>
            <w:webHidden/>
          </w:rPr>
          <w:t xml:space="preserve"> </w:t>
        </w:r>
        <w:r w:rsidR="0066380D">
          <w:rPr>
            <w:noProof/>
            <w:webHidden/>
          </w:rPr>
          <w:fldChar w:fldCharType="begin"/>
        </w:r>
        <w:r w:rsidR="0066380D">
          <w:rPr>
            <w:noProof/>
            <w:webHidden/>
          </w:rPr>
          <w:instrText xml:space="preserve"> PAGEREF _Toc170138902 \h </w:instrText>
        </w:r>
        <w:r w:rsidR="0066380D">
          <w:rPr>
            <w:noProof/>
            <w:webHidden/>
          </w:rPr>
        </w:r>
        <w:r w:rsidR="0066380D">
          <w:rPr>
            <w:noProof/>
            <w:webHidden/>
          </w:rPr>
          <w:fldChar w:fldCharType="separate"/>
        </w:r>
        <w:r w:rsidR="00F70E36">
          <w:rPr>
            <w:noProof/>
            <w:webHidden/>
          </w:rPr>
          <w:t>5</w:t>
        </w:r>
        <w:r w:rsidR="0066380D">
          <w:rPr>
            <w:noProof/>
            <w:webHidden/>
          </w:rPr>
          <w:fldChar w:fldCharType="end"/>
        </w:r>
      </w:hyperlink>
    </w:p>
    <w:p w14:paraId="7D1ACAA0" w14:textId="54EF1DF2"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3" w:history="1">
        <w:r w:rsidR="0066380D" w:rsidRPr="005C6140">
          <w:rPr>
            <w:rStyle w:val="Hyperlink"/>
            <w:noProof/>
          </w:rPr>
          <w:t>2. The characteristics of diversion cases</w:t>
        </w:r>
        <w:r w:rsidR="0066380D">
          <w:rPr>
            <w:noProof/>
            <w:webHidden/>
          </w:rPr>
          <w:t xml:space="preserve"> </w:t>
        </w:r>
        <w:r w:rsidR="0066380D">
          <w:rPr>
            <w:noProof/>
            <w:webHidden/>
          </w:rPr>
          <w:fldChar w:fldCharType="begin"/>
        </w:r>
        <w:r w:rsidR="0066380D">
          <w:rPr>
            <w:noProof/>
            <w:webHidden/>
          </w:rPr>
          <w:instrText xml:space="preserve"> PAGEREF _Toc170138903 \h </w:instrText>
        </w:r>
        <w:r w:rsidR="0066380D">
          <w:rPr>
            <w:noProof/>
            <w:webHidden/>
          </w:rPr>
        </w:r>
        <w:r w:rsidR="0066380D">
          <w:rPr>
            <w:noProof/>
            <w:webHidden/>
          </w:rPr>
          <w:fldChar w:fldCharType="separate"/>
        </w:r>
        <w:r w:rsidR="00F70E36">
          <w:rPr>
            <w:noProof/>
            <w:webHidden/>
          </w:rPr>
          <w:t>12</w:t>
        </w:r>
        <w:r w:rsidR="0066380D">
          <w:rPr>
            <w:noProof/>
            <w:webHidden/>
          </w:rPr>
          <w:fldChar w:fldCharType="end"/>
        </w:r>
      </w:hyperlink>
    </w:p>
    <w:p w14:paraId="07DC5969" w14:textId="20EEF1DE"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4" w:history="1">
        <w:r w:rsidR="0066380D" w:rsidRPr="005C6140">
          <w:rPr>
            <w:rStyle w:val="Hyperlink"/>
            <w:noProof/>
          </w:rPr>
          <w:t>3. The prevalence of diversion plans</w:t>
        </w:r>
        <w:r w:rsidR="0066380D">
          <w:rPr>
            <w:noProof/>
            <w:webHidden/>
          </w:rPr>
          <w:t xml:space="preserve"> </w:t>
        </w:r>
        <w:r w:rsidR="0066380D">
          <w:rPr>
            <w:noProof/>
            <w:webHidden/>
          </w:rPr>
          <w:fldChar w:fldCharType="begin"/>
        </w:r>
        <w:r w:rsidR="0066380D">
          <w:rPr>
            <w:noProof/>
            <w:webHidden/>
          </w:rPr>
          <w:instrText xml:space="preserve"> PAGEREF _Toc170138904 \h </w:instrText>
        </w:r>
        <w:r w:rsidR="0066380D">
          <w:rPr>
            <w:noProof/>
            <w:webHidden/>
          </w:rPr>
        </w:r>
        <w:r w:rsidR="0066380D">
          <w:rPr>
            <w:noProof/>
            <w:webHidden/>
          </w:rPr>
          <w:fldChar w:fldCharType="separate"/>
        </w:r>
        <w:r w:rsidR="00F70E36">
          <w:rPr>
            <w:noProof/>
            <w:webHidden/>
          </w:rPr>
          <w:t>26</w:t>
        </w:r>
        <w:r w:rsidR="0066380D">
          <w:rPr>
            <w:noProof/>
            <w:webHidden/>
          </w:rPr>
          <w:fldChar w:fldCharType="end"/>
        </w:r>
      </w:hyperlink>
    </w:p>
    <w:p w14:paraId="2B5EB93C" w14:textId="60566BB5"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5" w:history="1">
        <w:r w:rsidR="0066380D" w:rsidRPr="005C6140">
          <w:rPr>
            <w:rStyle w:val="Hyperlink"/>
            <w:noProof/>
          </w:rPr>
          <w:t>4. Prior offending and reoffending</w:t>
        </w:r>
        <w:r w:rsidR="0066380D">
          <w:rPr>
            <w:noProof/>
            <w:webHidden/>
          </w:rPr>
          <w:t xml:space="preserve"> </w:t>
        </w:r>
        <w:r w:rsidR="0066380D">
          <w:rPr>
            <w:noProof/>
            <w:webHidden/>
          </w:rPr>
          <w:fldChar w:fldCharType="begin"/>
        </w:r>
        <w:r w:rsidR="0066380D">
          <w:rPr>
            <w:noProof/>
            <w:webHidden/>
          </w:rPr>
          <w:instrText xml:space="preserve"> PAGEREF _Toc170138905 \h </w:instrText>
        </w:r>
        <w:r w:rsidR="0066380D">
          <w:rPr>
            <w:noProof/>
            <w:webHidden/>
          </w:rPr>
        </w:r>
        <w:r w:rsidR="0066380D">
          <w:rPr>
            <w:noProof/>
            <w:webHidden/>
          </w:rPr>
          <w:fldChar w:fldCharType="separate"/>
        </w:r>
        <w:r w:rsidR="00F70E36">
          <w:rPr>
            <w:noProof/>
            <w:webHidden/>
          </w:rPr>
          <w:t>37</w:t>
        </w:r>
        <w:r w:rsidR="0066380D">
          <w:rPr>
            <w:noProof/>
            <w:webHidden/>
          </w:rPr>
          <w:fldChar w:fldCharType="end"/>
        </w:r>
      </w:hyperlink>
    </w:p>
    <w:p w14:paraId="6BF4ED17" w14:textId="324C1948"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6" w:history="1">
        <w:r w:rsidR="0066380D" w:rsidRPr="005C6140">
          <w:rPr>
            <w:rStyle w:val="Hyperlink"/>
            <w:noProof/>
          </w:rPr>
          <w:t>5. Concluding remarks</w:t>
        </w:r>
        <w:r w:rsidR="0066380D">
          <w:rPr>
            <w:noProof/>
            <w:webHidden/>
          </w:rPr>
          <w:t xml:space="preserve"> </w:t>
        </w:r>
        <w:r w:rsidR="0066380D">
          <w:rPr>
            <w:noProof/>
            <w:webHidden/>
          </w:rPr>
          <w:fldChar w:fldCharType="begin"/>
        </w:r>
        <w:r w:rsidR="0066380D">
          <w:rPr>
            <w:noProof/>
            <w:webHidden/>
          </w:rPr>
          <w:instrText xml:space="preserve"> PAGEREF _Toc170138906 \h </w:instrText>
        </w:r>
        <w:r w:rsidR="0066380D">
          <w:rPr>
            <w:noProof/>
            <w:webHidden/>
          </w:rPr>
        </w:r>
        <w:r w:rsidR="0066380D">
          <w:rPr>
            <w:noProof/>
            <w:webHidden/>
          </w:rPr>
          <w:fldChar w:fldCharType="separate"/>
        </w:r>
        <w:r w:rsidR="00F70E36">
          <w:rPr>
            <w:noProof/>
            <w:webHidden/>
          </w:rPr>
          <w:t>45</w:t>
        </w:r>
        <w:r w:rsidR="0066380D">
          <w:rPr>
            <w:noProof/>
            <w:webHidden/>
          </w:rPr>
          <w:fldChar w:fldCharType="end"/>
        </w:r>
      </w:hyperlink>
    </w:p>
    <w:p w14:paraId="2E387156" w14:textId="4704EDC2"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7" w:history="1">
        <w:r w:rsidR="0066380D" w:rsidRPr="005C6140">
          <w:rPr>
            <w:rStyle w:val="Hyperlink"/>
            <w:noProof/>
          </w:rPr>
          <w:t>Appendix: The diversion matrix</w:t>
        </w:r>
        <w:r w:rsidR="0066380D">
          <w:rPr>
            <w:noProof/>
            <w:webHidden/>
          </w:rPr>
          <w:t xml:space="preserve"> </w:t>
        </w:r>
        <w:r w:rsidR="0066380D">
          <w:rPr>
            <w:noProof/>
            <w:webHidden/>
          </w:rPr>
          <w:fldChar w:fldCharType="begin"/>
        </w:r>
        <w:r w:rsidR="0066380D">
          <w:rPr>
            <w:noProof/>
            <w:webHidden/>
          </w:rPr>
          <w:instrText xml:space="preserve"> PAGEREF _Toc170138907 \h </w:instrText>
        </w:r>
        <w:r w:rsidR="0066380D">
          <w:rPr>
            <w:noProof/>
            <w:webHidden/>
          </w:rPr>
        </w:r>
        <w:r w:rsidR="0066380D">
          <w:rPr>
            <w:noProof/>
            <w:webHidden/>
          </w:rPr>
          <w:fldChar w:fldCharType="separate"/>
        </w:r>
        <w:r w:rsidR="00F70E36">
          <w:rPr>
            <w:noProof/>
            <w:webHidden/>
          </w:rPr>
          <w:t>48</w:t>
        </w:r>
        <w:r w:rsidR="0066380D">
          <w:rPr>
            <w:noProof/>
            <w:webHidden/>
          </w:rPr>
          <w:fldChar w:fldCharType="end"/>
        </w:r>
      </w:hyperlink>
    </w:p>
    <w:p w14:paraId="05B1CD4B" w14:textId="6C1E7B7E" w:rsidR="0066380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70138909" w:history="1">
        <w:r w:rsidR="0066380D" w:rsidRPr="005C6140">
          <w:rPr>
            <w:rStyle w:val="Hyperlink"/>
            <w:noProof/>
          </w:rPr>
          <w:t>References</w:t>
        </w:r>
        <w:r w:rsidR="0066380D">
          <w:rPr>
            <w:noProof/>
            <w:webHidden/>
          </w:rPr>
          <w:t xml:space="preserve"> </w:t>
        </w:r>
        <w:r w:rsidR="0066380D">
          <w:rPr>
            <w:noProof/>
            <w:webHidden/>
          </w:rPr>
          <w:fldChar w:fldCharType="begin"/>
        </w:r>
        <w:r w:rsidR="0066380D">
          <w:rPr>
            <w:noProof/>
            <w:webHidden/>
          </w:rPr>
          <w:instrText xml:space="preserve"> PAGEREF _Toc170138909 \h </w:instrText>
        </w:r>
        <w:r w:rsidR="0066380D">
          <w:rPr>
            <w:noProof/>
            <w:webHidden/>
          </w:rPr>
        </w:r>
        <w:r w:rsidR="0066380D">
          <w:rPr>
            <w:noProof/>
            <w:webHidden/>
          </w:rPr>
          <w:fldChar w:fldCharType="separate"/>
        </w:r>
        <w:r w:rsidR="00F70E36">
          <w:rPr>
            <w:noProof/>
            <w:webHidden/>
          </w:rPr>
          <w:t>51</w:t>
        </w:r>
        <w:r w:rsidR="0066380D">
          <w:rPr>
            <w:noProof/>
            <w:webHidden/>
          </w:rPr>
          <w:fldChar w:fldCharType="end"/>
        </w:r>
      </w:hyperlink>
    </w:p>
    <w:p w14:paraId="05FF1DCD" w14:textId="111D7052" w:rsidR="00947A5A" w:rsidRPr="00947A5A" w:rsidRDefault="0066380D" w:rsidP="00947A5A">
      <w:r>
        <w:fldChar w:fldCharType="end"/>
      </w:r>
    </w:p>
    <w:p w14:paraId="5F7B05C0" w14:textId="77777777" w:rsidR="00417C86" w:rsidRPr="0060474A" w:rsidRDefault="00417C86" w:rsidP="00752C88">
      <w:pPr>
        <w:pStyle w:val="Heading1"/>
      </w:pPr>
      <w:bookmarkStart w:id="1" w:name="_Toc170138899"/>
      <w:r w:rsidRPr="0060474A">
        <w:lastRenderedPageBreak/>
        <w:t>Acknowledgement of Country</w:t>
      </w:r>
      <w:bookmarkEnd w:id="1"/>
    </w:p>
    <w:p w14:paraId="0D987B28" w14:textId="77777777" w:rsidR="00417C86" w:rsidRPr="0060474A" w:rsidRDefault="00417C86" w:rsidP="00D74421">
      <w:r w:rsidRPr="0060474A">
        <w:t>The Sentencing Advisory Council acknowledges the Traditional Owners of the lands and waters on which we live and work, and we pay our respects to them, their culture and their Elders past and present.</w:t>
      </w:r>
    </w:p>
    <w:p w14:paraId="2DB9704B" w14:textId="77777777" w:rsidR="00417C86" w:rsidRPr="0060474A" w:rsidRDefault="00417C86" w:rsidP="00BB524F">
      <w:pPr>
        <w:pStyle w:val="Heading1"/>
        <w:pageBreakBefore w:val="0"/>
        <w:spacing w:before="480"/>
      </w:pPr>
      <w:bookmarkStart w:id="2" w:name="_Toc170138900"/>
      <w:r w:rsidRPr="0060474A">
        <w:t>Stakeholder acknowledgments</w:t>
      </w:r>
      <w:bookmarkEnd w:id="2"/>
    </w:p>
    <w:p w14:paraId="3E15C104" w14:textId="77777777" w:rsidR="00417C86" w:rsidRPr="0060474A" w:rsidRDefault="00417C86" w:rsidP="004F2FCB">
      <w:r w:rsidRPr="0060474A">
        <w:t xml:space="preserve">In finalising this statistical profile, we presented our findings to the following organisations to seek their input, and we thank them for their generous contributions and time: </w:t>
      </w:r>
    </w:p>
    <w:p w14:paraId="639A9323" w14:textId="77777777" w:rsidR="00417C86" w:rsidRPr="0060474A" w:rsidRDefault="00417C86" w:rsidP="00D74421">
      <w:pPr>
        <w:pStyle w:val="Bullets"/>
      </w:pPr>
      <w:r w:rsidRPr="0060474A">
        <w:t>Law Institute of Victoria (Diversion Working Group);</w:t>
      </w:r>
    </w:p>
    <w:p w14:paraId="3C0B9A01" w14:textId="77777777" w:rsidR="00417C86" w:rsidRPr="0060474A" w:rsidRDefault="00417C86" w:rsidP="00D74421">
      <w:pPr>
        <w:pStyle w:val="Bullets"/>
      </w:pPr>
      <w:r w:rsidRPr="0060474A">
        <w:t>Magistrates’ Court of Victoria;</w:t>
      </w:r>
    </w:p>
    <w:p w14:paraId="241FEE9C" w14:textId="77777777" w:rsidR="00417C86" w:rsidRPr="0060474A" w:rsidRDefault="00417C86" w:rsidP="00D74421">
      <w:pPr>
        <w:pStyle w:val="Bullets"/>
      </w:pPr>
      <w:r w:rsidRPr="0060474A">
        <w:t>Victoria Legal Aid;</w:t>
      </w:r>
    </w:p>
    <w:p w14:paraId="78118CC4" w14:textId="77777777" w:rsidR="00417C86" w:rsidRPr="0060474A" w:rsidRDefault="00417C86" w:rsidP="00D74421">
      <w:pPr>
        <w:pStyle w:val="Bullets"/>
      </w:pPr>
      <w:r w:rsidRPr="0060474A">
        <w:t>Victoria Police; and</w:t>
      </w:r>
    </w:p>
    <w:p w14:paraId="545240F3" w14:textId="77777777" w:rsidR="00417C86" w:rsidRPr="0060474A" w:rsidRDefault="00417C86" w:rsidP="00D74421">
      <w:pPr>
        <w:pStyle w:val="Bullets"/>
      </w:pPr>
      <w:r w:rsidRPr="0060474A">
        <w:t>Women’s Legal Service Victoria.</w:t>
      </w:r>
    </w:p>
    <w:p w14:paraId="72928CF5" w14:textId="77777777" w:rsidR="00417C86" w:rsidRPr="0060474A" w:rsidRDefault="00417C86" w:rsidP="001205A6">
      <w:pPr>
        <w:pStyle w:val="Heading1"/>
      </w:pPr>
      <w:bookmarkStart w:id="3" w:name="_Toc170138901"/>
      <w:r w:rsidRPr="0060474A">
        <w:lastRenderedPageBreak/>
        <w:t>Executive summary</w:t>
      </w:r>
      <w:bookmarkEnd w:id="3"/>
    </w:p>
    <w:p w14:paraId="7B36754E" w14:textId="77777777" w:rsidR="00417C86" w:rsidRPr="0060474A" w:rsidRDefault="00417C86" w:rsidP="00D74421">
      <w:r w:rsidRPr="0060474A">
        <w:t>This statistical profile presents data on the use of the Criminal Justice Diversion Program (CJDP) in the Magistrates’ Court in the 10 years to 30 June 2021. It includes the demographics of people receiving diversion plans, the principal proven offences people were prosecuted for, the conditions of their diversion plans, and their criminal history before and after receiving the diversion plan. It also updates the findings of our first CJDP statistical profile published in 2008.</w:t>
      </w:r>
    </w:p>
    <w:p w14:paraId="733F3D86" w14:textId="77777777" w:rsidR="00417C86" w:rsidRPr="0060474A" w:rsidRDefault="00417C86" w:rsidP="004F2FCB">
      <w:r w:rsidRPr="0060474A">
        <w:t xml:space="preserve">Key findings include: </w:t>
      </w:r>
    </w:p>
    <w:p w14:paraId="5C283830" w14:textId="77777777" w:rsidR="00417C86" w:rsidRPr="0060474A" w:rsidRDefault="00417C86" w:rsidP="00D74421">
      <w:pPr>
        <w:pStyle w:val="Bullets"/>
      </w:pPr>
      <w:r w:rsidRPr="0060474A">
        <w:t>more than 50,000 people received a diversion plan in the 10 years to 30 June 2021;</w:t>
      </w:r>
    </w:p>
    <w:p w14:paraId="0E0062AE" w14:textId="77777777" w:rsidR="00417C86" w:rsidRPr="0060474A" w:rsidRDefault="00417C86" w:rsidP="00D74421">
      <w:pPr>
        <w:pStyle w:val="Bullets"/>
      </w:pPr>
      <w:r w:rsidRPr="0060474A">
        <w:t>during the 10 years, there was a numerical and proportional increase in the use of diversion plans, making up 6.6% of all Magistrates’ Court outcomes by 2020–21 (there were almost 6,000 diversion plans in the year before COVID-19 affected court operations);</w:t>
      </w:r>
    </w:p>
    <w:p w14:paraId="3FD66D80" w14:textId="77777777" w:rsidR="00417C86" w:rsidRPr="0060474A" w:rsidRDefault="00417C86" w:rsidP="00D74421">
      <w:pPr>
        <w:pStyle w:val="Bullets"/>
      </w:pPr>
      <w:r w:rsidRPr="0060474A">
        <w:t xml:space="preserve">while men made up the majority of people receiving diversion plans (67.3% of diversion plans), women were much more </w:t>
      </w:r>
      <w:r w:rsidRPr="0060474A">
        <w:rPr>
          <w:rStyle w:val="Italic"/>
          <w:iCs w:val="0"/>
        </w:rPr>
        <w:t>likely</w:t>
      </w:r>
      <w:r w:rsidRPr="0060474A">
        <w:t xml:space="preserve"> than men to receive diversion plans (8.7% of all women’s cases, compared to 5.2% of men’s), especially in cases with a family violence flag (17.3% of women’s cases with a family violence flag, compared to 5.2% of men’s cases with a family violence flag);</w:t>
      </w:r>
    </w:p>
    <w:p w14:paraId="20339B7F" w14:textId="77777777" w:rsidR="00417C86" w:rsidRPr="0060474A" w:rsidRDefault="00417C86" w:rsidP="00D74421">
      <w:pPr>
        <w:pStyle w:val="Bullets"/>
      </w:pPr>
      <w:r w:rsidRPr="0060474A">
        <w:t>both younger people (aged 18 to 19) and older people (aged 65 and over) were more likely to receive diversion plans (16.8% and 10.8% respectively) than people aged 20 to 64 (6.1%), most likely because of the unique mitigating factors associated with people who offend early or later in life;</w:t>
      </w:r>
    </w:p>
    <w:p w14:paraId="76E1225D" w14:textId="77777777" w:rsidR="00417C86" w:rsidRPr="0060474A" w:rsidRDefault="00417C86" w:rsidP="00D74421">
      <w:pPr>
        <w:pStyle w:val="Bullets"/>
      </w:pPr>
      <w:r w:rsidRPr="0060474A">
        <w:t xml:space="preserve">a diversion plan was most commonly imposed in cases involving property offences, such as theft and criminal damage (13.9%), </w:t>
      </w:r>
      <w:r w:rsidRPr="0060474A">
        <w:lastRenderedPageBreak/>
        <w:t>and least commonly imposed in cases involving traffic offences, such as speeding (1.6%), which is likely because there are significant restrictions on the availability of diversion plans for traffic offences;</w:t>
      </w:r>
    </w:p>
    <w:p w14:paraId="35F031B6" w14:textId="77777777" w:rsidR="00417C86" w:rsidRPr="0060474A" w:rsidRDefault="00417C86" w:rsidP="00D74421">
      <w:pPr>
        <w:pStyle w:val="Bullets"/>
      </w:pPr>
      <w:r w:rsidRPr="0060474A">
        <w:t>diversion plans have gotten longer over time, from an average of 3.6 months in 2011–12 to 5.4 months in 2020–21 (the legislated maximum is 12 months);</w:t>
      </w:r>
    </w:p>
    <w:p w14:paraId="5AAFEA8F" w14:textId="77777777" w:rsidR="00417C86" w:rsidRPr="0060474A" w:rsidRDefault="00417C86" w:rsidP="00D74421">
      <w:pPr>
        <w:pStyle w:val="Bullets"/>
      </w:pPr>
      <w:r w:rsidRPr="0060474A">
        <w:t>the vast majority of diversion plans are successfully completed (93.3%);</w:t>
      </w:r>
    </w:p>
    <w:p w14:paraId="29C648D1" w14:textId="77777777" w:rsidR="00417C86" w:rsidRPr="0060474A" w:rsidRDefault="00417C86" w:rsidP="00D74421">
      <w:pPr>
        <w:pStyle w:val="Bullets"/>
      </w:pPr>
      <w:r w:rsidRPr="0060474A">
        <w:t>the four most common conditions of diversion plans are to be of good behaviour (68.0% of diversion plans), to make a donation to either the Court Fund or a charitable organisation (63.6%), to write a letter of apology to the victim or a letter of gratitude to the police informant (47.1%), and to compensate the victim (12.8%);</w:t>
      </w:r>
    </w:p>
    <w:p w14:paraId="36E43DBD" w14:textId="77777777" w:rsidR="00417C86" w:rsidRPr="0060474A" w:rsidRDefault="00417C86" w:rsidP="00D74421">
      <w:pPr>
        <w:pStyle w:val="Bullets"/>
      </w:pPr>
      <w:r w:rsidRPr="0060474A">
        <w:t>there were some significant changes over time in the types of conditions included in a diversion plan, with the letter of apology or gratitude condition almost halving (from 64.6% to 38.4%) and the good behaviour condition almost doubling (from 44.8% to 87.2%);</w:t>
      </w:r>
    </w:p>
    <w:p w14:paraId="6D213DE5" w14:textId="77777777" w:rsidR="00417C86" w:rsidRPr="0060474A" w:rsidRDefault="00417C86" w:rsidP="00D74421">
      <w:pPr>
        <w:pStyle w:val="Bullets"/>
      </w:pPr>
      <w:r w:rsidRPr="0060474A">
        <w:t>people who received a diversion plan were significantly less likely to have any prior offences in the last five years (11.0%) than people receiving other court outcomes (35.8%); and</w:t>
      </w:r>
    </w:p>
    <w:p w14:paraId="2F5069E9" w14:textId="77777777" w:rsidR="00417C86" w:rsidRPr="0060474A" w:rsidRDefault="00417C86" w:rsidP="00D74421">
      <w:pPr>
        <w:pStyle w:val="Bullets"/>
      </w:pPr>
      <w:r w:rsidRPr="0060474A">
        <w:t>people who received a diversion plan were also significantly less likely to reoffend in the next five years (21.3%) than people receiving other court outcomes (40.2%).</w:t>
      </w:r>
    </w:p>
    <w:p w14:paraId="3AFBE2E4" w14:textId="77777777" w:rsidR="00417C86" w:rsidRPr="0060474A" w:rsidRDefault="00417C86" w:rsidP="00417C86">
      <w:pPr>
        <w:pStyle w:val="Heading1"/>
      </w:pPr>
      <w:bookmarkStart w:id="4" w:name="_Toc170138902"/>
      <w:r w:rsidRPr="0060474A">
        <w:lastRenderedPageBreak/>
        <w:t>1. Introduction</w:t>
      </w:r>
      <w:bookmarkEnd w:id="4"/>
    </w:p>
    <w:p w14:paraId="6C3C1719" w14:textId="77777777" w:rsidR="00417C86" w:rsidRPr="0060474A" w:rsidRDefault="00417C86" w:rsidP="00D74421">
      <w:r w:rsidRPr="0060474A">
        <w:t>The Criminal Justice Diversion Program (CJDP) is a pre-plea diversion program available for eligible defendants in the Magistrates’ Court of Victoria,</w:t>
      </w:r>
      <w:r w:rsidRPr="0060474A">
        <w:rPr>
          <w:rStyle w:val="Superscript"/>
        </w:rPr>
        <w:footnoteReference w:id="1"/>
      </w:r>
      <w:r w:rsidRPr="0060474A">
        <w:t xml:space="preserve"> and is primarily (but not exclusively) aimed at first-time offenders.</w:t>
      </w:r>
      <w:r w:rsidRPr="0060474A">
        <w:rPr>
          <w:rStyle w:val="Superscript"/>
        </w:rPr>
        <w:footnoteReference w:id="2"/>
      </w:r>
      <w:r w:rsidRPr="0060474A">
        <w:t xml:space="preserve"> It involves adjourning proceedings for up to 12 months so that the person can complete a diversion plan, which will involve certain conditions. Examples of conditions include apologising to the victim, compensating the victim, completing an education course, undertaking counselling or treatment, or donating to a charitable organisation.</w:t>
      </w:r>
    </w:p>
    <w:p w14:paraId="584F04DB" w14:textId="77777777" w:rsidR="00417C86" w:rsidRPr="0060474A" w:rsidRDefault="00417C86" w:rsidP="00D74421">
      <w:r w:rsidRPr="0060474A">
        <w:t>The CJDP began as a pilot program in 1997 in Broadmeadows Magistrates’ Court. It became available statewide in 2001 and formally became ongoing in July 2003.</w:t>
      </w:r>
      <w:r w:rsidRPr="0060474A">
        <w:rPr>
          <w:rStyle w:val="Superscript"/>
        </w:rPr>
        <w:footnoteReference w:id="3"/>
      </w:r>
      <w:r w:rsidRPr="0060474A">
        <w:t xml:space="preserve"> A 2004 evaluation showed positive results, with a 94% completion rate.</w:t>
      </w:r>
      <w:r w:rsidRPr="0060474A">
        <w:rPr>
          <w:rStyle w:val="Superscript"/>
        </w:rPr>
        <w:footnoteReference w:id="4"/>
      </w:r>
      <w:r w:rsidRPr="0060474A">
        <w:t xml:space="preserve"> In addition, our 2008 analysis found that over 90% of participants successfully completed their diversion plans.</w:t>
      </w:r>
      <w:r w:rsidRPr="0060474A">
        <w:rPr>
          <w:rStyle w:val="Superscript"/>
        </w:rPr>
        <w:footnoteReference w:id="5"/>
      </w:r>
      <w:r w:rsidRPr="0060474A">
        <w:t xml:space="preserve"> </w:t>
      </w:r>
    </w:p>
    <w:p w14:paraId="6A7A1940" w14:textId="77777777" w:rsidR="00417C86" w:rsidRPr="0060474A" w:rsidRDefault="00417C86" w:rsidP="00D74421">
      <w:r w:rsidRPr="0060474A">
        <w:t>To be eligible for a diversion plan, the defendant must acknowledge responsibility for the offending,</w:t>
      </w:r>
      <w:r w:rsidRPr="0060474A">
        <w:rPr>
          <w:rStyle w:val="Superscript"/>
        </w:rPr>
        <w:footnoteReference w:id="6"/>
      </w:r>
      <w:r w:rsidRPr="0060474A">
        <w:t xml:space="preserve"> the offending must not preclude the defendant from accessing the CJDP,</w:t>
      </w:r>
      <w:r w:rsidRPr="0060474A">
        <w:rPr>
          <w:rStyle w:val="Superscript"/>
        </w:rPr>
        <w:footnoteReference w:id="7"/>
      </w:r>
      <w:r w:rsidRPr="0060474A">
        <w:t xml:space="preserve"> the court must consider it </w:t>
      </w:r>
      <w:r w:rsidRPr="0060474A">
        <w:lastRenderedPageBreak/>
        <w:t>appropriate to make the order,</w:t>
      </w:r>
      <w:r w:rsidRPr="0060474A">
        <w:rPr>
          <w:rStyle w:val="Superscript"/>
        </w:rPr>
        <w:footnoteReference w:id="8"/>
      </w:r>
      <w:r w:rsidRPr="0060474A">
        <w:t xml:space="preserve"> and the prosecution and the defendant must consent.</w:t>
      </w:r>
      <w:r w:rsidRPr="0060474A">
        <w:rPr>
          <w:rStyle w:val="Superscript"/>
        </w:rPr>
        <w:footnoteReference w:id="9"/>
      </w:r>
      <w:r w:rsidRPr="0060474A">
        <w:t xml:space="preserve"> The prosecution’s decision whether to consent to a diversion plan is guided by the ‘diversion matrix’ established by Victoria Police. A copy of the current matrix, which has been revised over time, is included in the Appendix. The requirement of prosecutorial consent for a diversion plan is a controversial one, with many justice system stakeholders advocating for its removal, and a recent parliamentary inquiry into the Victorian criminal justice system recommending that prosecutorial consent be reviewed.</w:t>
      </w:r>
      <w:r w:rsidRPr="0060474A">
        <w:rPr>
          <w:rStyle w:val="Superscript"/>
        </w:rPr>
        <w:footnoteReference w:id="10"/>
      </w:r>
      <w:r w:rsidRPr="0060474A">
        <w:t xml:space="preserve"> </w:t>
      </w:r>
    </w:p>
    <w:p w14:paraId="6927A854" w14:textId="77777777" w:rsidR="00417C86" w:rsidRPr="0060474A" w:rsidRDefault="00417C86" w:rsidP="00D74421">
      <w:r w:rsidRPr="0060474A">
        <w:t>If a defendant receives a diversion plan and completes it to the satisfaction of the court, they are discharged without receiving a finding of guilt or a conviction.</w:t>
      </w:r>
      <w:r w:rsidRPr="0060474A">
        <w:rPr>
          <w:rStyle w:val="Superscript"/>
        </w:rPr>
        <w:footnoteReference w:id="11"/>
      </w:r>
      <w:r w:rsidRPr="0060474A">
        <w:t xml:space="preserve"> If they do not complete the diversion plan to the satisfaction of the court, the matter continues as a contested matter (unless the defendant pleads guilty), and their previous acknowledgment of responsibility cannot be used as evidence against them.</w:t>
      </w:r>
      <w:r w:rsidRPr="0060474A">
        <w:rPr>
          <w:rStyle w:val="Superscript"/>
        </w:rPr>
        <w:footnoteReference w:id="12"/>
      </w:r>
      <w:r w:rsidRPr="0060474A">
        <w:t xml:space="preserve"> If they later plead guilty or are found guilty, the court must take into account at sentencing the extent to which they complied with the CJDP.</w:t>
      </w:r>
      <w:r w:rsidRPr="0060474A">
        <w:rPr>
          <w:rStyle w:val="Superscript"/>
        </w:rPr>
        <w:footnoteReference w:id="13"/>
      </w:r>
      <w:r w:rsidRPr="0060474A">
        <w:t xml:space="preserve"> </w:t>
      </w:r>
    </w:p>
    <w:p w14:paraId="317196ED" w14:textId="77777777" w:rsidR="00417C86" w:rsidRPr="0060474A" w:rsidRDefault="00417C86" w:rsidP="00417C86">
      <w:pPr>
        <w:pStyle w:val="Heading2"/>
      </w:pPr>
      <w:r w:rsidRPr="0060474A">
        <w:lastRenderedPageBreak/>
        <w:t>Other types of diversion in Victoria</w:t>
      </w:r>
    </w:p>
    <w:p w14:paraId="6DB7D7F7" w14:textId="77777777" w:rsidR="00417C86" w:rsidRPr="0060474A" w:rsidRDefault="00417C86" w:rsidP="00D74421">
      <w:r w:rsidRPr="0060474A">
        <w:t>The CJDP is not the only diversionary initiative in Victoria. Other initiatives include police cautions for adults,</w:t>
      </w:r>
      <w:r w:rsidRPr="0060474A">
        <w:rPr>
          <w:rStyle w:val="Superscript"/>
        </w:rPr>
        <w:footnoteReference w:id="14"/>
      </w:r>
      <w:r w:rsidRPr="0060474A">
        <w:t xml:space="preserve"> drug diversion cautions for adults,</w:t>
      </w:r>
      <w:r w:rsidRPr="0060474A">
        <w:rPr>
          <w:rStyle w:val="Superscript"/>
        </w:rPr>
        <w:footnoteReference w:id="15"/>
      </w:r>
      <w:r w:rsidRPr="0060474A">
        <w:t xml:space="preserve"> police cautions for children,</w:t>
      </w:r>
      <w:r w:rsidRPr="0060474A">
        <w:rPr>
          <w:rStyle w:val="Superscript"/>
        </w:rPr>
        <w:footnoteReference w:id="16"/>
      </w:r>
      <w:r w:rsidRPr="0060474A">
        <w:t xml:space="preserve"> infringement notices and official warnings,</w:t>
      </w:r>
      <w:r w:rsidRPr="0060474A">
        <w:rPr>
          <w:rStyle w:val="Superscript"/>
        </w:rPr>
        <w:footnoteReference w:id="17"/>
      </w:r>
      <w:r w:rsidRPr="0060474A">
        <w:t xml:space="preserve"> prosecutorial discretion not to proceed with charges,</w:t>
      </w:r>
      <w:r w:rsidRPr="0060474A">
        <w:rPr>
          <w:rStyle w:val="Superscript"/>
        </w:rPr>
        <w:footnoteReference w:id="18"/>
      </w:r>
      <w:r w:rsidRPr="0060474A">
        <w:t xml:space="preserve"> and Children’s Court youth diversion.</w:t>
      </w:r>
      <w:r w:rsidRPr="0060474A">
        <w:rPr>
          <w:rStyle w:val="Superscript"/>
        </w:rPr>
        <w:footnoteReference w:id="19"/>
      </w:r>
      <w:r w:rsidRPr="0060474A">
        <w:t xml:space="preserve"> The Magistrates’ Court’s Assessment and Referral Court (ARC) List also enables participants to have their case adjourned for </w:t>
      </w:r>
      <w:r w:rsidRPr="0060474A">
        <w:lastRenderedPageBreak/>
        <w:t>up to one year to allow them to receive psychological, health, disability, housing, or drug and alcohol treatment services.</w:t>
      </w:r>
      <w:r w:rsidRPr="0060474A">
        <w:rPr>
          <w:rStyle w:val="Superscript"/>
        </w:rPr>
        <w:footnoteReference w:id="20"/>
      </w:r>
      <w:r w:rsidRPr="0060474A">
        <w:t xml:space="preserve"> Similar to successful completion of a diversion plan, successful participation in an ARC plan allows the court to discharge the offender without making a finding of guilt.</w:t>
      </w:r>
      <w:r w:rsidRPr="0060474A">
        <w:rPr>
          <w:rStyle w:val="Superscript"/>
        </w:rPr>
        <w:footnoteReference w:id="21"/>
      </w:r>
    </w:p>
    <w:p w14:paraId="40E4FEB7" w14:textId="77777777" w:rsidR="00417C86" w:rsidRPr="0060474A" w:rsidRDefault="00417C86" w:rsidP="00D74421">
      <w:r w:rsidRPr="0060474A">
        <w:t>Each of these initiatives operates at different stages of the criminal justice system and has different requirements and rules. The focus of this statistical profile, however, is exclusively the CJDP.</w:t>
      </w:r>
    </w:p>
    <w:p w14:paraId="2C0C802F" w14:textId="77777777" w:rsidR="00417C86" w:rsidRPr="0060474A" w:rsidRDefault="00417C86" w:rsidP="00417C86">
      <w:pPr>
        <w:pStyle w:val="Heading2"/>
      </w:pPr>
      <w:r w:rsidRPr="0060474A">
        <w:t>The Council’s first statistical profile on the CJDP (2008)</w:t>
      </w:r>
    </w:p>
    <w:p w14:paraId="769E4C69" w14:textId="77777777" w:rsidR="00417C86" w:rsidRPr="0060474A" w:rsidRDefault="00417C86" w:rsidP="004F2FCB">
      <w:r w:rsidRPr="0060474A">
        <w:t>In 2008, we published a statistical profile of all 5,201 people who received a diversion plan in the 2006–07 financial year (accounting for 7.2% of all Magistrates’ Court outcomes that year).</w:t>
      </w:r>
      <w:r w:rsidRPr="0060474A">
        <w:rPr>
          <w:rStyle w:val="Superscript"/>
        </w:rPr>
        <w:footnoteReference w:id="22"/>
      </w:r>
      <w:r w:rsidRPr="0060474A">
        <w:t xml:space="preserve"> Some of the key findings in that statistical profile included that:</w:t>
      </w:r>
    </w:p>
    <w:p w14:paraId="31E640F8" w14:textId="77777777" w:rsidR="00417C86" w:rsidRPr="0060474A" w:rsidRDefault="00417C86" w:rsidP="00D74421">
      <w:pPr>
        <w:pStyle w:val="Bullets"/>
      </w:pPr>
      <w:r w:rsidRPr="0060474A">
        <w:t>91.3% of diversion plans were successfully completed (the other 8.7% were not successfully completed, and the person was sentenced for their offending);</w:t>
      </w:r>
    </w:p>
    <w:p w14:paraId="6957486D" w14:textId="77777777" w:rsidR="00417C86" w:rsidRPr="0060474A" w:rsidRDefault="00417C86" w:rsidP="00D74421">
      <w:pPr>
        <w:pStyle w:val="Bullets"/>
      </w:pPr>
      <w:r w:rsidRPr="0060474A">
        <w:t>the vast majority of diversion plans (84.5%) were 4 months or less (51.3% were 3 to 4 months, and 33.2% were 1 to 2 months), and just 2.0% were 9 months or longer;</w:t>
      </w:r>
    </w:p>
    <w:p w14:paraId="548271BC" w14:textId="77777777" w:rsidR="00417C86" w:rsidRPr="0060474A" w:rsidRDefault="00417C86" w:rsidP="00D74421">
      <w:pPr>
        <w:pStyle w:val="Bullets"/>
      </w:pPr>
      <w:r w:rsidRPr="0060474A">
        <w:t>while men made up the majority of people receiving diversion plans (71.2%), women were much more likely than men to receive diversion plans (11.0% compared to 6.4% of men);</w:t>
      </w:r>
    </w:p>
    <w:p w14:paraId="2B5227F8" w14:textId="77777777" w:rsidR="00417C86" w:rsidRPr="0060474A" w:rsidRDefault="00417C86" w:rsidP="00D74421">
      <w:pPr>
        <w:pStyle w:val="Bullets"/>
      </w:pPr>
      <w:r w:rsidRPr="0060474A">
        <w:t>both younger people (aged 17 to 19) and older people (aged 65 and over) were most likely to receive a diversion plan as the outcome in their case (17.4% and 16.1% respectively), both more than twice the rate of adults aged 20 to 64 (6.9%);</w:t>
      </w:r>
    </w:p>
    <w:p w14:paraId="09D41370" w14:textId="77777777" w:rsidR="00417C86" w:rsidRPr="0060474A" w:rsidRDefault="00417C86" w:rsidP="00D74421">
      <w:pPr>
        <w:pStyle w:val="Bullets"/>
      </w:pPr>
      <w:r w:rsidRPr="0060474A">
        <w:lastRenderedPageBreak/>
        <w:t>the offence type most likely to result in a diversion plan was a property offence such as theft (14.4% of cases involving a property offence received a diversion plan), and the offence type least likely to result in a diversion plan was a traffic offence (3.4% of cases involving traffic offences received a diversion plan);</w:t>
      </w:r>
    </w:p>
    <w:p w14:paraId="27FA67F6" w14:textId="77777777" w:rsidR="00417C86" w:rsidRPr="0060474A" w:rsidRDefault="00417C86" w:rsidP="00D74421">
      <w:pPr>
        <w:pStyle w:val="Bullets"/>
      </w:pPr>
      <w:r w:rsidRPr="0060474A">
        <w:t>the five most common offences in cases resulting in a diversion plan (</w:t>
      </w:r>
      <w:r w:rsidRPr="0060474A">
        <w:rPr>
          <w:rStyle w:val="Italic"/>
        </w:rPr>
        <w:t>diversion cases</w:t>
      </w:r>
      <w:r w:rsidRPr="0060474A">
        <w:t>), collectively accounting for 39.4% of all diversion cases, were careless driving (13.7%), theft (8.1%), shop-theft (7.3%), unlawful assault (5.8%) and criminal damage (4.5%); and</w:t>
      </w:r>
    </w:p>
    <w:p w14:paraId="4C730BA7" w14:textId="77777777" w:rsidR="00417C86" w:rsidRPr="0060474A" w:rsidRDefault="00417C86" w:rsidP="00D74421">
      <w:pPr>
        <w:pStyle w:val="Bullets"/>
      </w:pPr>
      <w:r w:rsidRPr="0060474A">
        <w:t>the most common conditions in diversion plans were making a donation (71.7% of diversion plans), making an apology (33.1%), writing a letter of gratitude to the police informant (24.0%) and compensating the victim or victims (17.7%).</w:t>
      </w:r>
    </w:p>
    <w:p w14:paraId="7492E3DA" w14:textId="77777777" w:rsidR="00417C86" w:rsidRPr="0060474A" w:rsidRDefault="00417C86" w:rsidP="00417C86">
      <w:pPr>
        <w:pStyle w:val="Heading2"/>
      </w:pPr>
      <w:r w:rsidRPr="0060474A">
        <w:t>Aim of this statistical profile</w:t>
      </w:r>
    </w:p>
    <w:p w14:paraId="423C0866" w14:textId="77777777" w:rsidR="00417C86" w:rsidRPr="0060474A" w:rsidRDefault="00417C86" w:rsidP="004F2FCB">
      <w:r w:rsidRPr="0060474A">
        <w:t xml:space="preserve">The aim of this statistical profile is to update our 2008 report and examine whether there have been any changes in the use of diversion plans since then. It has been 16 years since the 2008 report was published, and much has changed in the Victorian criminal justice system in that time. In addition, this statistical profile will introduce three novel analyses that were unavailable in 2008: </w:t>
      </w:r>
    </w:p>
    <w:p w14:paraId="141B019B" w14:textId="77777777" w:rsidR="00417C86" w:rsidRPr="0060474A" w:rsidRDefault="00417C86" w:rsidP="00D74421">
      <w:pPr>
        <w:pStyle w:val="Bullets"/>
      </w:pPr>
      <w:r w:rsidRPr="0060474A">
        <w:t>analysis of trends over time for a number of variables, made possible by the use of a larger, 10-year reference period (1 July 2011 to 30 June 2021);</w:t>
      </w:r>
    </w:p>
    <w:p w14:paraId="6B1954E6" w14:textId="77777777" w:rsidR="00417C86" w:rsidRPr="0060474A" w:rsidRDefault="00417C86" w:rsidP="00D74421">
      <w:pPr>
        <w:pStyle w:val="Bullets"/>
      </w:pPr>
      <w:r w:rsidRPr="0060474A">
        <w:t xml:space="preserve">an analysis of diversion plans in family violence cases, made possible by the introduction of a family violence indicator in the Magistrates’ Court database in 2015; and </w:t>
      </w:r>
    </w:p>
    <w:p w14:paraId="45DAE13B" w14:textId="77777777" w:rsidR="00417C86" w:rsidRPr="0060474A" w:rsidRDefault="00417C86" w:rsidP="00D74421">
      <w:pPr>
        <w:pStyle w:val="Bullets"/>
      </w:pPr>
      <w:r w:rsidRPr="0060474A">
        <w:lastRenderedPageBreak/>
        <w:t>an examination of prior offending and reoffending by people receiving diversion plans, made possible by our reoffending database, which was developed in 2012.</w:t>
      </w:r>
    </w:p>
    <w:p w14:paraId="78FF8100" w14:textId="77777777" w:rsidR="00417C86" w:rsidRPr="0060474A" w:rsidRDefault="00417C86" w:rsidP="00417C86">
      <w:pPr>
        <w:pStyle w:val="Heading2"/>
      </w:pPr>
      <w:r w:rsidRPr="0060474A">
        <w:t>Methodology</w:t>
      </w:r>
    </w:p>
    <w:p w14:paraId="7D04E4C4" w14:textId="77777777" w:rsidR="00417C86" w:rsidRPr="0060474A" w:rsidRDefault="00417C86" w:rsidP="00D74421">
      <w:r w:rsidRPr="0060474A">
        <w:t>The statistics in this report derive from two extracts of Magistrates’ Court’s data: one from the Courtlink system, which has information about cases dealt with in the criminal division,</w:t>
      </w:r>
      <w:r w:rsidRPr="0060474A">
        <w:rPr>
          <w:rStyle w:val="Superscript"/>
        </w:rPr>
        <w:footnoteReference w:id="23"/>
      </w:r>
      <w:r w:rsidRPr="0060474A">
        <w:t xml:space="preserve"> and another from the Platypus database, which contains details of diversion plans imposed in the Magistrates’ Court.</w:t>
      </w:r>
      <w:r w:rsidRPr="0060474A">
        <w:rPr>
          <w:rStyle w:val="Superscript"/>
        </w:rPr>
        <w:footnoteReference w:id="24"/>
      </w:r>
      <w:r w:rsidRPr="0060474A">
        <w:t xml:space="preserve"> A data-matching operation was conducted to link the two datasets together using unique identifiers and key dates. There were 50,988 cases receiving a diversion plan in the Courtlink dataset during the 10-year reference period. The data-matching operation was successful in matching 46,671 (91.5%) of these Courtlink cases with their corresponding records in the Platypus database such that the diversion plans for this subgroup were reliably linked to their associated conditions.</w:t>
      </w:r>
    </w:p>
    <w:p w14:paraId="3FC93880" w14:textId="77777777" w:rsidR="00417C86" w:rsidRPr="0060474A" w:rsidRDefault="00417C86" w:rsidP="00D74421">
      <w:r w:rsidRPr="0060474A">
        <w:t>The index population in this statistical profile is everyone identified in Courtlink as having received a diversion plan in the 10 years from 1 July 2011 to 30 June 2021 (i.e. people involved with the 50,988 cases that received a diversion plan). The index population excludes people who were initially considered for a diversion plan but did not, for whatever reason, receive one (e.g. because the prosecution did not consent, or the court did not consider it appropriate).</w:t>
      </w:r>
    </w:p>
    <w:p w14:paraId="258965BC" w14:textId="77777777" w:rsidR="00417C86" w:rsidRPr="0060474A" w:rsidRDefault="00417C86" w:rsidP="00D74421">
      <w:r w:rsidRPr="0060474A">
        <w:t xml:space="preserve">In some parts of this statistical profile, other populations are used as a point of comparison (e.g. people who received outcomes other than a </w:t>
      </w:r>
      <w:r w:rsidRPr="0060474A">
        <w:lastRenderedPageBreak/>
        <w:t>diversion plan). And in other parts, subsets of the index population are examined (e.g. people receiving diversion plans in particular years). Platypus data was only included in this statistical profile where a reliable linkage could be established with one of the 50,988 cases in the Courtlink dataset.</w:t>
      </w:r>
    </w:p>
    <w:p w14:paraId="2310B1F8" w14:textId="77777777" w:rsidR="00417C86" w:rsidRPr="0060474A" w:rsidRDefault="00417C86" w:rsidP="00D74421">
      <w:r w:rsidRPr="0060474A">
        <w:t xml:space="preserve">Reliable data became available in 2015 to identify whether a Magistrates’ Court case involved family violence; as such, the analysis of family violence cases is limited to 2015–16 onwards. Where a case has a family violence flag, this indicates that at least one offence in the case occurred in a family violence context, but not which offence or offences in that case. The family violence flag is variously described throughout this statistical profile as either a ‘family violence flag’ or a ‘family violence indicator’. </w:t>
      </w:r>
    </w:p>
    <w:p w14:paraId="5288344F" w14:textId="77777777" w:rsidR="00417C86" w:rsidRPr="0060474A" w:rsidRDefault="00417C86" w:rsidP="00D74421">
      <w:r w:rsidRPr="0060474A">
        <w:t>This statistical profile focuses exclusively on the duration and conditions of diversion plans at first instance as this reflects what the court originally regarded as an appropriate response to the offending. In some instances, a case may involve more than one diversion plan, or the original diversion plan changes over time (e.g. due to a change in circumstance); however, these events are not within the scope of this profile.</w:t>
      </w:r>
    </w:p>
    <w:p w14:paraId="4E4BA3E6" w14:textId="77777777" w:rsidR="00417C86" w:rsidRPr="0060474A" w:rsidRDefault="00417C86" w:rsidP="00417C86">
      <w:pPr>
        <w:pStyle w:val="Heading1"/>
      </w:pPr>
      <w:bookmarkStart w:id="5" w:name="_Toc170138903"/>
      <w:r w:rsidRPr="0060474A">
        <w:lastRenderedPageBreak/>
        <w:t>2. The characteristics of diversion cases</w:t>
      </w:r>
      <w:bookmarkEnd w:id="5"/>
    </w:p>
    <w:p w14:paraId="46DB894B" w14:textId="77777777" w:rsidR="00417C86" w:rsidRPr="0060474A" w:rsidRDefault="00417C86" w:rsidP="00D74421">
      <w:r w:rsidRPr="0060474A">
        <w:t>This chapter focuses on the characteristics of all cases that received a diversion plan (</w:t>
      </w:r>
      <w:r w:rsidRPr="0060474A">
        <w:rPr>
          <w:rStyle w:val="Italic"/>
          <w:iCs w:val="0"/>
        </w:rPr>
        <w:t>diversion cases</w:t>
      </w:r>
      <w:r w:rsidRPr="0060474A">
        <w:t xml:space="preserve">). Importantly, the data does not illustrate the </w:t>
      </w:r>
      <w:r w:rsidRPr="0060474A">
        <w:rPr>
          <w:rStyle w:val="Italic"/>
          <w:iCs w:val="0"/>
        </w:rPr>
        <w:t>likelihood</w:t>
      </w:r>
      <w:r w:rsidRPr="0060474A">
        <w:t xml:space="preserve"> of receiving diversion plans for these characteristics (for that analysis, see Chapter 3). For instance, the data in this chapter shows that men constituted the majority of people receiving diversion plans, but that is because of their over-representation in the criminal justice system generally. In comparison, the data in Chapter 3 shows that women were more </w:t>
      </w:r>
      <w:r w:rsidRPr="0060474A">
        <w:rPr>
          <w:rStyle w:val="Italic"/>
          <w:iCs w:val="0"/>
        </w:rPr>
        <w:t>likely</w:t>
      </w:r>
      <w:r w:rsidRPr="0060474A">
        <w:t xml:space="preserve"> to receive diversion plans than men were. Nevertheless, the data in this chapter is important in painting a picture of who is receiving diversion plans.</w:t>
      </w:r>
    </w:p>
    <w:p w14:paraId="6F2EDACF" w14:textId="77777777" w:rsidR="00417C86" w:rsidRPr="0060474A" w:rsidRDefault="00417C86" w:rsidP="00417C86">
      <w:pPr>
        <w:pStyle w:val="Heading2"/>
      </w:pPr>
      <w:r w:rsidRPr="0060474A">
        <w:t>Number of diversion plans</w:t>
      </w:r>
    </w:p>
    <w:p w14:paraId="738D2BDC" w14:textId="77777777" w:rsidR="00417C86" w:rsidRPr="0060474A" w:rsidRDefault="00417C86" w:rsidP="00D74421">
      <w:r w:rsidRPr="0060474A">
        <w:t xml:space="preserve">In the 10 years to June 2021, people received a diversion plan in 50,988 cases. </w:t>
      </w:r>
    </w:p>
    <w:p w14:paraId="09D89016" w14:textId="77777777" w:rsidR="00417C86" w:rsidRPr="0060474A" w:rsidRDefault="00417C86" w:rsidP="00D74421">
      <w:r w:rsidRPr="0060474A">
        <w:t xml:space="preserve">The number of diversion cases each year has increased steadily since 2011–12 (Figure 1). The number peaked at almost 6,000 people in 2018–19 and declined thereafter. However, the recent decrease is almost certainly due to the effect of COVID-19 on court operations. In particular, from March 2020, courts had reduced capacity to manage their workloads, and they prioritised more serious cases that were less likely to receive a diversion plan, especially where people were being held on remand or were facing imprisonment. </w:t>
      </w:r>
    </w:p>
    <w:p w14:paraId="541C4487" w14:textId="77777777" w:rsidR="00417C86" w:rsidRPr="0060474A" w:rsidRDefault="00417C86" w:rsidP="00187BBF">
      <w:pPr>
        <w:pStyle w:val="Caption"/>
      </w:pPr>
      <w:r w:rsidRPr="0060474A">
        <w:t>Figure 1: Number of diversion cases, by year (50,988 cases)</w:t>
      </w:r>
    </w:p>
    <w:tbl>
      <w:tblPr>
        <w:tblStyle w:val="Table"/>
        <w:tblW w:w="5000" w:type="pct"/>
        <w:tblLook w:val="04A0" w:firstRow="1" w:lastRow="0" w:firstColumn="1" w:lastColumn="0" w:noHBand="0" w:noVBand="1"/>
      </w:tblPr>
      <w:tblGrid>
        <w:gridCol w:w="4178"/>
        <w:gridCol w:w="4838"/>
      </w:tblGrid>
      <w:tr w:rsidR="004822AD" w:rsidRPr="0060474A" w14:paraId="72E47F15" w14:textId="77777777" w:rsidTr="00FD113D">
        <w:trPr>
          <w:trHeight w:val="290"/>
          <w:tblHeader/>
        </w:trPr>
        <w:tc>
          <w:tcPr>
            <w:tcW w:w="2317" w:type="pct"/>
            <w:noWrap/>
            <w:hideMark/>
          </w:tcPr>
          <w:p w14:paraId="0808AAA0" w14:textId="77777777" w:rsidR="004822AD" w:rsidRPr="0060474A" w:rsidRDefault="004822AD" w:rsidP="000027A4">
            <w:pPr>
              <w:pStyle w:val="TableHeading"/>
            </w:pPr>
            <w:r w:rsidRPr="0060474A">
              <w:t>Year</w:t>
            </w:r>
          </w:p>
        </w:tc>
        <w:tc>
          <w:tcPr>
            <w:tcW w:w="2683" w:type="pct"/>
            <w:noWrap/>
            <w:hideMark/>
          </w:tcPr>
          <w:p w14:paraId="4F866BDB" w14:textId="77777777" w:rsidR="004822AD" w:rsidRPr="0060474A" w:rsidRDefault="004822AD" w:rsidP="000027A4">
            <w:pPr>
              <w:pStyle w:val="TableHeading"/>
            </w:pPr>
            <w:r w:rsidRPr="0060474A">
              <w:t>Number</w:t>
            </w:r>
          </w:p>
        </w:tc>
      </w:tr>
      <w:tr w:rsidR="004822AD" w:rsidRPr="0060474A" w14:paraId="08D530D9" w14:textId="77777777" w:rsidTr="00FD113D">
        <w:trPr>
          <w:trHeight w:val="290"/>
        </w:trPr>
        <w:tc>
          <w:tcPr>
            <w:tcW w:w="2317" w:type="pct"/>
            <w:noWrap/>
            <w:hideMark/>
          </w:tcPr>
          <w:p w14:paraId="42EC3041" w14:textId="77777777" w:rsidR="004822AD" w:rsidRPr="0060474A" w:rsidRDefault="004822AD" w:rsidP="0093555B">
            <w:pPr>
              <w:pStyle w:val="TableBody"/>
            </w:pPr>
            <w:r w:rsidRPr="0060474A">
              <w:t>2011-12</w:t>
            </w:r>
          </w:p>
        </w:tc>
        <w:tc>
          <w:tcPr>
            <w:tcW w:w="2683" w:type="pct"/>
            <w:noWrap/>
            <w:hideMark/>
          </w:tcPr>
          <w:p w14:paraId="7A040F8B" w14:textId="77777777" w:rsidR="004822AD" w:rsidRPr="0060474A" w:rsidRDefault="004822AD" w:rsidP="00BC2E77">
            <w:pPr>
              <w:pStyle w:val="TableBody"/>
            </w:pPr>
            <w:r w:rsidRPr="0060474A">
              <w:t>4,388</w:t>
            </w:r>
          </w:p>
        </w:tc>
      </w:tr>
      <w:tr w:rsidR="004822AD" w:rsidRPr="0060474A" w14:paraId="0D85C030" w14:textId="77777777" w:rsidTr="00FD113D">
        <w:trPr>
          <w:trHeight w:val="290"/>
        </w:trPr>
        <w:tc>
          <w:tcPr>
            <w:tcW w:w="2317" w:type="pct"/>
            <w:noWrap/>
            <w:hideMark/>
          </w:tcPr>
          <w:p w14:paraId="75BFB74A" w14:textId="77777777" w:rsidR="004822AD" w:rsidRPr="0060474A" w:rsidRDefault="004822AD" w:rsidP="0093555B">
            <w:pPr>
              <w:pStyle w:val="TableBody"/>
            </w:pPr>
            <w:r w:rsidRPr="0060474A">
              <w:t>2012-13</w:t>
            </w:r>
          </w:p>
        </w:tc>
        <w:tc>
          <w:tcPr>
            <w:tcW w:w="2683" w:type="pct"/>
            <w:noWrap/>
            <w:hideMark/>
          </w:tcPr>
          <w:p w14:paraId="56E79681" w14:textId="77777777" w:rsidR="004822AD" w:rsidRPr="0060474A" w:rsidRDefault="004822AD" w:rsidP="00BC2E77">
            <w:pPr>
              <w:pStyle w:val="TableBody"/>
            </w:pPr>
            <w:r w:rsidRPr="0060474A">
              <w:t>4,928</w:t>
            </w:r>
          </w:p>
        </w:tc>
      </w:tr>
      <w:tr w:rsidR="004822AD" w:rsidRPr="0060474A" w14:paraId="2A93AFD6" w14:textId="77777777" w:rsidTr="00FD113D">
        <w:trPr>
          <w:trHeight w:val="290"/>
        </w:trPr>
        <w:tc>
          <w:tcPr>
            <w:tcW w:w="2317" w:type="pct"/>
            <w:noWrap/>
            <w:hideMark/>
          </w:tcPr>
          <w:p w14:paraId="5F2AA570" w14:textId="77777777" w:rsidR="004822AD" w:rsidRPr="0060474A" w:rsidRDefault="004822AD" w:rsidP="0093555B">
            <w:pPr>
              <w:pStyle w:val="TableBody"/>
            </w:pPr>
            <w:r w:rsidRPr="0060474A">
              <w:t>2013-14</w:t>
            </w:r>
          </w:p>
        </w:tc>
        <w:tc>
          <w:tcPr>
            <w:tcW w:w="2683" w:type="pct"/>
            <w:noWrap/>
            <w:hideMark/>
          </w:tcPr>
          <w:p w14:paraId="021995C7" w14:textId="77777777" w:rsidR="004822AD" w:rsidRPr="0060474A" w:rsidRDefault="004822AD" w:rsidP="00BC2E77">
            <w:pPr>
              <w:pStyle w:val="TableBody"/>
            </w:pPr>
            <w:r w:rsidRPr="0060474A">
              <w:t>5,180</w:t>
            </w:r>
          </w:p>
        </w:tc>
      </w:tr>
      <w:tr w:rsidR="004822AD" w:rsidRPr="0060474A" w14:paraId="483CC65B" w14:textId="77777777" w:rsidTr="00FD113D">
        <w:trPr>
          <w:trHeight w:val="290"/>
        </w:trPr>
        <w:tc>
          <w:tcPr>
            <w:tcW w:w="2317" w:type="pct"/>
            <w:noWrap/>
            <w:hideMark/>
          </w:tcPr>
          <w:p w14:paraId="7ECD7597" w14:textId="77777777" w:rsidR="004822AD" w:rsidRPr="0060474A" w:rsidRDefault="004822AD" w:rsidP="0093555B">
            <w:pPr>
              <w:pStyle w:val="TableBody"/>
            </w:pPr>
            <w:r w:rsidRPr="0060474A">
              <w:t>2014-15</w:t>
            </w:r>
          </w:p>
        </w:tc>
        <w:tc>
          <w:tcPr>
            <w:tcW w:w="2683" w:type="pct"/>
            <w:noWrap/>
            <w:hideMark/>
          </w:tcPr>
          <w:p w14:paraId="2B251253" w14:textId="77777777" w:rsidR="004822AD" w:rsidRPr="0060474A" w:rsidRDefault="004822AD" w:rsidP="00BC2E77">
            <w:pPr>
              <w:pStyle w:val="TableBody"/>
            </w:pPr>
            <w:r w:rsidRPr="0060474A">
              <w:t>5,416</w:t>
            </w:r>
          </w:p>
        </w:tc>
      </w:tr>
      <w:tr w:rsidR="004822AD" w:rsidRPr="0060474A" w14:paraId="0F14CAA9" w14:textId="77777777" w:rsidTr="00FD113D">
        <w:trPr>
          <w:trHeight w:val="290"/>
        </w:trPr>
        <w:tc>
          <w:tcPr>
            <w:tcW w:w="2317" w:type="pct"/>
            <w:noWrap/>
            <w:hideMark/>
          </w:tcPr>
          <w:p w14:paraId="5E92607B" w14:textId="77777777" w:rsidR="004822AD" w:rsidRPr="0060474A" w:rsidRDefault="004822AD" w:rsidP="0093555B">
            <w:pPr>
              <w:pStyle w:val="TableBody"/>
            </w:pPr>
            <w:r w:rsidRPr="0060474A">
              <w:t>2015-16</w:t>
            </w:r>
          </w:p>
        </w:tc>
        <w:tc>
          <w:tcPr>
            <w:tcW w:w="2683" w:type="pct"/>
            <w:noWrap/>
            <w:hideMark/>
          </w:tcPr>
          <w:p w14:paraId="308C3D34" w14:textId="77777777" w:rsidR="004822AD" w:rsidRPr="0060474A" w:rsidRDefault="004822AD" w:rsidP="00BC2E77">
            <w:pPr>
              <w:pStyle w:val="TableBody"/>
            </w:pPr>
            <w:r w:rsidRPr="0060474A">
              <w:t>5,194</w:t>
            </w:r>
          </w:p>
        </w:tc>
      </w:tr>
      <w:tr w:rsidR="004822AD" w:rsidRPr="0060474A" w14:paraId="30377FF1" w14:textId="77777777" w:rsidTr="00FD113D">
        <w:trPr>
          <w:trHeight w:val="290"/>
        </w:trPr>
        <w:tc>
          <w:tcPr>
            <w:tcW w:w="2317" w:type="pct"/>
            <w:noWrap/>
            <w:hideMark/>
          </w:tcPr>
          <w:p w14:paraId="2BAF75E9" w14:textId="77777777" w:rsidR="004822AD" w:rsidRPr="0060474A" w:rsidRDefault="004822AD" w:rsidP="0093555B">
            <w:pPr>
              <w:pStyle w:val="TableBody"/>
            </w:pPr>
            <w:r w:rsidRPr="0060474A">
              <w:t>2016-17</w:t>
            </w:r>
          </w:p>
        </w:tc>
        <w:tc>
          <w:tcPr>
            <w:tcW w:w="2683" w:type="pct"/>
            <w:noWrap/>
            <w:hideMark/>
          </w:tcPr>
          <w:p w14:paraId="054B2E2F" w14:textId="77777777" w:rsidR="004822AD" w:rsidRPr="0060474A" w:rsidRDefault="004822AD" w:rsidP="00BC2E77">
            <w:pPr>
              <w:pStyle w:val="TableBody"/>
            </w:pPr>
            <w:r w:rsidRPr="0060474A">
              <w:t>5,353</w:t>
            </w:r>
          </w:p>
        </w:tc>
      </w:tr>
      <w:tr w:rsidR="004822AD" w:rsidRPr="0060474A" w14:paraId="3BD7492D" w14:textId="77777777" w:rsidTr="00FD113D">
        <w:trPr>
          <w:trHeight w:val="290"/>
        </w:trPr>
        <w:tc>
          <w:tcPr>
            <w:tcW w:w="2317" w:type="pct"/>
            <w:noWrap/>
            <w:hideMark/>
          </w:tcPr>
          <w:p w14:paraId="5C34033C" w14:textId="77777777" w:rsidR="004822AD" w:rsidRPr="0060474A" w:rsidRDefault="004822AD" w:rsidP="0093555B">
            <w:pPr>
              <w:pStyle w:val="TableBody"/>
            </w:pPr>
            <w:r w:rsidRPr="0060474A">
              <w:t>2017-18</w:t>
            </w:r>
          </w:p>
        </w:tc>
        <w:tc>
          <w:tcPr>
            <w:tcW w:w="2683" w:type="pct"/>
            <w:noWrap/>
            <w:hideMark/>
          </w:tcPr>
          <w:p w14:paraId="526D07F6" w14:textId="77777777" w:rsidR="004822AD" w:rsidRPr="0060474A" w:rsidRDefault="004822AD" w:rsidP="00BC2E77">
            <w:pPr>
              <w:pStyle w:val="TableBody"/>
            </w:pPr>
            <w:r w:rsidRPr="0060474A">
              <w:t>5,753</w:t>
            </w:r>
          </w:p>
        </w:tc>
      </w:tr>
      <w:tr w:rsidR="004822AD" w:rsidRPr="0060474A" w14:paraId="6D83117D" w14:textId="77777777" w:rsidTr="00FD113D">
        <w:trPr>
          <w:trHeight w:val="290"/>
        </w:trPr>
        <w:tc>
          <w:tcPr>
            <w:tcW w:w="2317" w:type="pct"/>
            <w:noWrap/>
            <w:hideMark/>
          </w:tcPr>
          <w:p w14:paraId="4D1F10E6" w14:textId="77777777" w:rsidR="004822AD" w:rsidRPr="0060474A" w:rsidRDefault="004822AD" w:rsidP="0093555B">
            <w:pPr>
              <w:pStyle w:val="TableBody"/>
            </w:pPr>
            <w:r w:rsidRPr="0060474A">
              <w:t>2018-19</w:t>
            </w:r>
          </w:p>
        </w:tc>
        <w:tc>
          <w:tcPr>
            <w:tcW w:w="2683" w:type="pct"/>
            <w:noWrap/>
            <w:hideMark/>
          </w:tcPr>
          <w:p w14:paraId="3BD82152" w14:textId="77777777" w:rsidR="004822AD" w:rsidRPr="0060474A" w:rsidRDefault="004822AD" w:rsidP="00BC2E77">
            <w:pPr>
              <w:pStyle w:val="TableBody"/>
            </w:pPr>
            <w:r w:rsidRPr="0060474A">
              <w:t>5,874</w:t>
            </w:r>
          </w:p>
        </w:tc>
      </w:tr>
      <w:tr w:rsidR="004822AD" w:rsidRPr="0060474A" w14:paraId="41B65DC9" w14:textId="77777777" w:rsidTr="00FD113D">
        <w:trPr>
          <w:trHeight w:val="290"/>
        </w:trPr>
        <w:tc>
          <w:tcPr>
            <w:tcW w:w="2317" w:type="pct"/>
            <w:noWrap/>
            <w:hideMark/>
          </w:tcPr>
          <w:p w14:paraId="5842EC48" w14:textId="77777777" w:rsidR="004822AD" w:rsidRPr="0060474A" w:rsidRDefault="004822AD" w:rsidP="0093555B">
            <w:pPr>
              <w:pStyle w:val="TableBody"/>
            </w:pPr>
            <w:r w:rsidRPr="0060474A">
              <w:t>2019-20</w:t>
            </w:r>
          </w:p>
        </w:tc>
        <w:tc>
          <w:tcPr>
            <w:tcW w:w="2683" w:type="pct"/>
            <w:noWrap/>
            <w:hideMark/>
          </w:tcPr>
          <w:p w14:paraId="1A6F7A5F" w14:textId="77777777" w:rsidR="004822AD" w:rsidRPr="0060474A" w:rsidRDefault="004822AD" w:rsidP="00BC2E77">
            <w:pPr>
              <w:pStyle w:val="TableBody"/>
            </w:pPr>
            <w:r w:rsidRPr="0060474A">
              <w:t>4,652</w:t>
            </w:r>
          </w:p>
        </w:tc>
      </w:tr>
      <w:tr w:rsidR="004822AD" w:rsidRPr="0060474A" w14:paraId="096968C6" w14:textId="77777777" w:rsidTr="00FD113D">
        <w:trPr>
          <w:trHeight w:val="290"/>
        </w:trPr>
        <w:tc>
          <w:tcPr>
            <w:tcW w:w="2317" w:type="pct"/>
            <w:noWrap/>
            <w:hideMark/>
          </w:tcPr>
          <w:p w14:paraId="0C38C89B" w14:textId="77777777" w:rsidR="004822AD" w:rsidRPr="0060474A" w:rsidRDefault="004822AD" w:rsidP="0093555B">
            <w:pPr>
              <w:pStyle w:val="TableBody"/>
            </w:pPr>
            <w:r w:rsidRPr="0060474A">
              <w:lastRenderedPageBreak/>
              <w:t>2020-21</w:t>
            </w:r>
          </w:p>
        </w:tc>
        <w:tc>
          <w:tcPr>
            <w:tcW w:w="2683" w:type="pct"/>
            <w:noWrap/>
            <w:hideMark/>
          </w:tcPr>
          <w:p w14:paraId="79749AF4" w14:textId="77777777" w:rsidR="004822AD" w:rsidRPr="0060474A" w:rsidRDefault="004822AD" w:rsidP="00BC2E77">
            <w:pPr>
              <w:pStyle w:val="TableBody"/>
            </w:pPr>
            <w:r w:rsidRPr="0060474A">
              <w:t>4,250</w:t>
            </w:r>
          </w:p>
        </w:tc>
      </w:tr>
    </w:tbl>
    <w:p w14:paraId="051A260F" w14:textId="77777777" w:rsidR="00417C86" w:rsidRPr="0060474A" w:rsidRDefault="00417C86" w:rsidP="001826C5">
      <w:pPr>
        <w:pStyle w:val="Heading2"/>
      </w:pPr>
      <w:r w:rsidRPr="0060474A">
        <w:t>Age and gender of people receiving diversion plans</w:t>
      </w:r>
    </w:p>
    <w:p w14:paraId="5732CB57" w14:textId="77777777" w:rsidR="00417C86" w:rsidRPr="0060474A" w:rsidRDefault="00417C86" w:rsidP="00D74421">
      <w:r w:rsidRPr="0060474A">
        <w:t>Two-thirds of people receiving diversion plans in the 10 years to 2020–21 were men (67.3%).</w:t>
      </w:r>
      <w:r w:rsidRPr="0060474A">
        <w:rPr>
          <w:rStyle w:val="Superscript"/>
        </w:rPr>
        <w:footnoteReference w:id="25"/>
      </w:r>
      <w:r w:rsidRPr="0060474A">
        <w:t xml:space="preserve"> This is slightly less than our finding in 2008 that 71.2% of people receiving diversion plans were men.</w:t>
      </w:r>
      <w:r w:rsidRPr="0060474A">
        <w:rPr>
          <w:rStyle w:val="Superscript"/>
        </w:rPr>
        <w:footnoteReference w:id="26"/>
      </w:r>
    </w:p>
    <w:p w14:paraId="1E9B43FA" w14:textId="19E8326A" w:rsidR="00E959BF" w:rsidRPr="0060474A" w:rsidRDefault="00E959BF" w:rsidP="003F2273">
      <w:pPr>
        <w:pStyle w:val="IntenseQuote"/>
      </w:pPr>
      <w:r w:rsidRPr="0060474A">
        <w:t>Two-thirds of people receiving a diversion plan were men</w:t>
      </w:r>
    </w:p>
    <w:p w14:paraId="52AFA3CB" w14:textId="77777777" w:rsidR="00417C86" w:rsidRPr="0060474A" w:rsidRDefault="00417C86" w:rsidP="00D74421">
      <w:r w:rsidRPr="0060474A">
        <w:t>Almost half of all people receiving diversion plans (47.8%) were aged between 20 and 34 (Figure 2), though a significant proportion were aged 18 or 19 (10.7%).</w:t>
      </w:r>
      <w:r w:rsidRPr="0060474A">
        <w:rPr>
          <w:rStyle w:val="Superscript"/>
        </w:rPr>
        <w:footnoteReference w:id="27"/>
      </w:r>
      <w:r w:rsidRPr="0060474A">
        <w:t xml:space="preserve"> These rates are also broadly similar to those in our 2008 profile,</w:t>
      </w:r>
      <w:r w:rsidRPr="0060474A">
        <w:rPr>
          <w:rStyle w:val="Superscript"/>
        </w:rPr>
        <w:footnoteReference w:id="28"/>
      </w:r>
      <w:r w:rsidRPr="0060474A">
        <w:t xml:space="preserve"> suggesting that, as with our finding on gender, the ages of people receiving diversion plans have not changed much over the years. </w:t>
      </w:r>
    </w:p>
    <w:p w14:paraId="372B7EC2" w14:textId="77777777" w:rsidR="00417C86" w:rsidRPr="0060474A" w:rsidRDefault="00417C86" w:rsidP="00187BBF">
      <w:pPr>
        <w:pStyle w:val="Caption"/>
      </w:pPr>
      <w:r w:rsidRPr="0060474A">
        <w:t>Figure 2: Ages of people receiving diversion plans (50,630 cases)</w:t>
      </w:r>
    </w:p>
    <w:tbl>
      <w:tblPr>
        <w:tblStyle w:val="Table"/>
        <w:tblW w:w="5000" w:type="pct"/>
        <w:tblLook w:val="04A0" w:firstRow="1" w:lastRow="0" w:firstColumn="1" w:lastColumn="0" w:noHBand="0" w:noVBand="1"/>
      </w:tblPr>
      <w:tblGrid>
        <w:gridCol w:w="4558"/>
        <w:gridCol w:w="4458"/>
      </w:tblGrid>
      <w:tr w:rsidR="00C93937" w:rsidRPr="0060474A" w14:paraId="19C2E050" w14:textId="77777777" w:rsidTr="008B3F51">
        <w:trPr>
          <w:trHeight w:val="290"/>
          <w:tblHeader/>
        </w:trPr>
        <w:tc>
          <w:tcPr>
            <w:tcW w:w="2528" w:type="pct"/>
            <w:noWrap/>
            <w:hideMark/>
          </w:tcPr>
          <w:p w14:paraId="337E16B0" w14:textId="129C180B" w:rsidR="00C93937" w:rsidRPr="0060474A" w:rsidRDefault="00C93937" w:rsidP="000027A4">
            <w:pPr>
              <w:pStyle w:val="TableHeading"/>
            </w:pPr>
            <w:r w:rsidRPr="0060474A">
              <w:t>Age</w:t>
            </w:r>
          </w:p>
        </w:tc>
        <w:tc>
          <w:tcPr>
            <w:tcW w:w="2472" w:type="pct"/>
            <w:noWrap/>
            <w:hideMark/>
          </w:tcPr>
          <w:p w14:paraId="07391A2F" w14:textId="77777777" w:rsidR="00C93937" w:rsidRPr="0060474A" w:rsidRDefault="00C93937" w:rsidP="000027A4">
            <w:pPr>
              <w:pStyle w:val="TableHeading"/>
            </w:pPr>
            <w:r w:rsidRPr="0060474A">
              <w:t>Percentage</w:t>
            </w:r>
          </w:p>
        </w:tc>
      </w:tr>
      <w:tr w:rsidR="00C93937" w:rsidRPr="0060474A" w14:paraId="0319ADAC" w14:textId="77777777" w:rsidTr="00C93937">
        <w:trPr>
          <w:trHeight w:val="290"/>
        </w:trPr>
        <w:tc>
          <w:tcPr>
            <w:tcW w:w="2528" w:type="pct"/>
            <w:noWrap/>
            <w:hideMark/>
          </w:tcPr>
          <w:p w14:paraId="64240A64" w14:textId="77777777" w:rsidR="00C93937" w:rsidRPr="0060474A" w:rsidRDefault="00C93937" w:rsidP="00F00045">
            <w:pPr>
              <w:pStyle w:val="TableBody"/>
            </w:pPr>
            <w:r w:rsidRPr="0060474A">
              <w:t>18 to 19</w:t>
            </w:r>
          </w:p>
        </w:tc>
        <w:tc>
          <w:tcPr>
            <w:tcW w:w="2472" w:type="pct"/>
            <w:noWrap/>
            <w:hideMark/>
          </w:tcPr>
          <w:p w14:paraId="55AF9A69" w14:textId="77777777" w:rsidR="00C93937" w:rsidRPr="0060474A" w:rsidRDefault="00C93937" w:rsidP="00F00045">
            <w:pPr>
              <w:pStyle w:val="TableBody"/>
            </w:pPr>
            <w:r w:rsidRPr="0060474A">
              <w:t>10.7%</w:t>
            </w:r>
          </w:p>
        </w:tc>
      </w:tr>
      <w:tr w:rsidR="00C93937" w:rsidRPr="0060474A" w14:paraId="096CD75C" w14:textId="77777777" w:rsidTr="00C93937">
        <w:trPr>
          <w:trHeight w:val="290"/>
        </w:trPr>
        <w:tc>
          <w:tcPr>
            <w:tcW w:w="2528" w:type="pct"/>
            <w:noWrap/>
            <w:hideMark/>
          </w:tcPr>
          <w:p w14:paraId="0B28591C" w14:textId="77777777" w:rsidR="00C93937" w:rsidRPr="0060474A" w:rsidRDefault="00C93937" w:rsidP="00F00045">
            <w:pPr>
              <w:pStyle w:val="TableBody"/>
            </w:pPr>
            <w:r w:rsidRPr="0060474A">
              <w:t>20 to 24</w:t>
            </w:r>
          </w:p>
        </w:tc>
        <w:tc>
          <w:tcPr>
            <w:tcW w:w="2472" w:type="pct"/>
            <w:noWrap/>
            <w:hideMark/>
          </w:tcPr>
          <w:p w14:paraId="25EF2E70" w14:textId="77777777" w:rsidR="00C93937" w:rsidRPr="0060474A" w:rsidRDefault="00C93937" w:rsidP="00F00045">
            <w:pPr>
              <w:pStyle w:val="TableBody"/>
            </w:pPr>
            <w:r w:rsidRPr="0060474A">
              <w:t>23.8%</w:t>
            </w:r>
          </w:p>
        </w:tc>
      </w:tr>
      <w:tr w:rsidR="00C93937" w:rsidRPr="0060474A" w14:paraId="6AA1B003" w14:textId="77777777" w:rsidTr="00C93937">
        <w:trPr>
          <w:trHeight w:val="290"/>
        </w:trPr>
        <w:tc>
          <w:tcPr>
            <w:tcW w:w="2528" w:type="pct"/>
            <w:noWrap/>
            <w:hideMark/>
          </w:tcPr>
          <w:p w14:paraId="2F8E8AF0" w14:textId="77777777" w:rsidR="00C93937" w:rsidRPr="0060474A" w:rsidRDefault="00C93937" w:rsidP="00F00045">
            <w:pPr>
              <w:pStyle w:val="TableBody"/>
            </w:pPr>
            <w:r w:rsidRPr="0060474A">
              <w:t>25 to 34</w:t>
            </w:r>
          </w:p>
        </w:tc>
        <w:tc>
          <w:tcPr>
            <w:tcW w:w="2472" w:type="pct"/>
            <w:noWrap/>
            <w:hideMark/>
          </w:tcPr>
          <w:p w14:paraId="0A74DA9A" w14:textId="77777777" w:rsidR="00C93937" w:rsidRPr="0060474A" w:rsidRDefault="00C93937" w:rsidP="00F00045">
            <w:pPr>
              <w:pStyle w:val="TableBody"/>
            </w:pPr>
            <w:r w:rsidRPr="0060474A">
              <w:t>24.0%</w:t>
            </w:r>
          </w:p>
        </w:tc>
      </w:tr>
      <w:tr w:rsidR="00C93937" w:rsidRPr="0060474A" w14:paraId="50EAC193" w14:textId="77777777" w:rsidTr="00C93937">
        <w:trPr>
          <w:trHeight w:val="290"/>
        </w:trPr>
        <w:tc>
          <w:tcPr>
            <w:tcW w:w="2528" w:type="pct"/>
            <w:noWrap/>
            <w:hideMark/>
          </w:tcPr>
          <w:p w14:paraId="57EA50A2" w14:textId="77777777" w:rsidR="00C93937" w:rsidRPr="0060474A" w:rsidRDefault="00C93937" w:rsidP="00F00045">
            <w:pPr>
              <w:pStyle w:val="TableBody"/>
            </w:pPr>
            <w:r w:rsidRPr="0060474A">
              <w:t>35 to 44</w:t>
            </w:r>
          </w:p>
        </w:tc>
        <w:tc>
          <w:tcPr>
            <w:tcW w:w="2472" w:type="pct"/>
            <w:noWrap/>
            <w:hideMark/>
          </w:tcPr>
          <w:p w14:paraId="5324461F" w14:textId="77777777" w:rsidR="00C93937" w:rsidRPr="0060474A" w:rsidRDefault="00C93937" w:rsidP="00F00045">
            <w:pPr>
              <w:pStyle w:val="TableBody"/>
            </w:pPr>
            <w:r w:rsidRPr="0060474A">
              <w:t>17.0%</w:t>
            </w:r>
          </w:p>
        </w:tc>
      </w:tr>
      <w:tr w:rsidR="00C93937" w:rsidRPr="0060474A" w14:paraId="0B0F45B6" w14:textId="77777777" w:rsidTr="00C93937">
        <w:trPr>
          <w:trHeight w:val="290"/>
        </w:trPr>
        <w:tc>
          <w:tcPr>
            <w:tcW w:w="2528" w:type="pct"/>
            <w:noWrap/>
            <w:hideMark/>
          </w:tcPr>
          <w:p w14:paraId="5911110C" w14:textId="77777777" w:rsidR="00C93937" w:rsidRPr="0060474A" w:rsidRDefault="00C93937" w:rsidP="00F00045">
            <w:pPr>
              <w:pStyle w:val="TableBody"/>
            </w:pPr>
            <w:r w:rsidRPr="0060474A">
              <w:t>45 to 54</w:t>
            </w:r>
          </w:p>
        </w:tc>
        <w:tc>
          <w:tcPr>
            <w:tcW w:w="2472" w:type="pct"/>
            <w:noWrap/>
            <w:hideMark/>
          </w:tcPr>
          <w:p w14:paraId="7EC7E1BB" w14:textId="77777777" w:rsidR="00C93937" w:rsidRPr="0060474A" w:rsidRDefault="00C93937" w:rsidP="00F00045">
            <w:pPr>
              <w:pStyle w:val="TableBody"/>
            </w:pPr>
            <w:r w:rsidRPr="0060474A">
              <w:t>12.7%</w:t>
            </w:r>
          </w:p>
        </w:tc>
      </w:tr>
      <w:tr w:rsidR="00C93937" w:rsidRPr="0060474A" w14:paraId="0C28B632" w14:textId="77777777" w:rsidTr="00C93937">
        <w:trPr>
          <w:trHeight w:val="290"/>
        </w:trPr>
        <w:tc>
          <w:tcPr>
            <w:tcW w:w="2528" w:type="pct"/>
            <w:noWrap/>
            <w:hideMark/>
          </w:tcPr>
          <w:p w14:paraId="63F1FAEE" w14:textId="77777777" w:rsidR="00C93937" w:rsidRPr="0060474A" w:rsidRDefault="00C93937" w:rsidP="00F00045">
            <w:pPr>
              <w:pStyle w:val="TableBody"/>
            </w:pPr>
            <w:r w:rsidRPr="0060474A">
              <w:t>55 to 64</w:t>
            </w:r>
          </w:p>
        </w:tc>
        <w:tc>
          <w:tcPr>
            <w:tcW w:w="2472" w:type="pct"/>
            <w:noWrap/>
            <w:hideMark/>
          </w:tcPr>
          <w:p w14:paraId="553475EB" w14:textId="77777777" w:rsidR="00C93937" w:rsidRPr="0060474A" w:rsidRDefault="00C93937" w:rsidP="00F00045">
            <w:pPr>
              <w:pStyle w:val="TableBody"/>
            </w:pPr>
            <w:r w:rsidRPr="0060474A">
              <w:t>7.1%</w:t>
            </w:r>
          </w:p>
        </w:tc>
      </w:tr>
      <w:tr w:rsidR="00C93937" w:rsidRPr="0060474A" w14:paraId="1A43C6F3" w14:textId="77777777" w:rsidTr="00C93937">
        <w:trPr>
          <w:trHeight w:val="290"/>
        </w:trPr>
        <w:tc>
          <w:tcPr>
            <w:tcW w:w="2528" w:type="pct"/>
            <w:noWrap/>
            <w:hideMark/>
          </w:tcPr>
          <w:p w14:paraId="10E248AD" w14:textId="08287BC8" w:rsidR="00C93937" w:rsidRPr="0060474A" w:rsidRDefault="00C93937" w:rsidP="00F00045">
            <w:pPr>
              <w:pStyle w:val="TableBody"/>
            </w:pPr>
            <w:r w:rsidRPr="0060474A">
              <w:t xml:space="preserve">65 </w:t>
            </w:r>
            <w:r w:rsidR="00541379" w:rsidRPr="0060474A">
              <w:t>and</w:t>
            </w:r>
            <w:r w:rsidRPr="0060474A">
              <w:t xml:space="preserve"> </w:t>
            </w:r>
            <w:r w:rsidR="00541379" w:rsidRPr="0060474A">
              <w:t>over</w:t>
            </w:r>
          </w:p>
        </w:tc>
        <w:tc>
          <w:tcPr>
            <w:tcW w:w="2472" w:type="pct"/>
            <w:noWrap/>
            <w:hideMark/>
          </w:tcPr>
          <w:p w14:paraId="540AC447" w14:textId="77777777" w:rsidR="00C93937" w:rsidRPr="0060474A" w:rsidRDefault="00C93937" w:rsidP="00F00045">
            <w:pPr>
              <w:pStyle w:val="TableBody"/>
            </w:pPr>
            <w:r w:rsidRPr="0060474A">
              <w:t>4.6%</w:t>
            </w:r>
          </w:p>
        </w:tc>
      </w:tr>
    </w:tbl>
    <w:p w14:paraId="21D81B7B" w14:textId="77777777" w:rsidR="00417C86" w:rsidRPr="0060474A" w:rsidRDefault="00417C86" w:rsidP="00417C86">
      <w:pPr>
        <w:pStyle w:val="Heading2"/>
      </w:pPr>
      <w:r w:rsidRPr="0060474A">
        <w:lastRenderedPageBreak/>
        <w:t>Successful completion rates</w:t>
      </w:r>
    </w:p>
    <w:p w14:paraId="7AA2F068" w14:textId="77777777" w:rsidR="00417C86" w:rsidRPr="0060474A" w:rsidRDefault="00417C86" w:rsidP="00D74421">
      <w:r w:rsidRPr="0060474A">
        <w:t>It was possible to determine the successful completion rates for the 46,671 cases that were reliably matched with Courtlink data. Of those 46,671 diversion plans, 93.3% were successfully completed (43,545 diversion plans). The remaining 6.7% were not (3,126 diversion plans). This high success rate is largely consistent with the successful completion rates found in the 2004 and 2008 reviews of the CJDP (94% and 91% respectively).</w:t>
      </w:r>
      <w:r w:rsidRPr="0060474A">
        <w:rPr>
          <w:rStyle w:val="Superscript"/>
        </w:rPr>
        <w:footnoteReference w:id="29"/>
      </w:r>
      <w:r w:rsidRPr="0060474A">
        <w:t xml:space="preserve"> </w:t>
      </w:r>
    </w:p>
    <w:p w14:paraId="6A219081" w14:textId="696876A9" w:rsidR="00E252DD" w:rsidRPr="0060474A" w:rsidRDefault="00E252DD" w:rsidP="00ED6F47">
      <w:pPr>
        <w:pStyle w:val="IntenseQuote"/>
      </w:pPr>
      <w:r w:rsidRPr="0060474A">
        <w:t>93% of diversion plans are successfully completed</w:t>
      </w:r>
    </w:p>
    <w:p w14:paraId="57EDC4DC" w14:textId="77777777" w:rsidR="00417C86" w:rsidRPr="0060474A" w:rsidRDefault="00417C86" w:rsidP="00417C86">
      <w:pPr>
        <w:pStyle w:val="Heading2"/>
      </w:pPr>
      <w:r w:rsidRPr="0060474A">
        <w:t>Diversion cases with a family violence flag</w:t>
      </w:r>
    </w:p>
    <w:p w14:paraId="57A60828" w14:textId="77777777" w:rsidR="00417C86" w:rsidRPr="0060474A" w:rsidRDefault="00417C86" w:rsidP="00D74421">
      <w:r w:rsidRPr="0060474A">
        <w:t>A reliable family violence flag has been available for Magistrates’ Court cases since mid-2015. That flag indicates that at least one of the offences in a case occurred in a family violence context. Of the 31,076 cases resulting in a diversion plan in the six years to 30 June 2021, 5,381 (17.3%) involved at least some family violence related offending.</w:t>
      </w:r>
    </w:p>
    <w:p w14:paraId="1DFCA37E" w14:textId="4EBA717E" w:rsidR="00181AB9" w:rsidRPr="0060474A" w:rsidRDefault="00181AB9" w:rsidP="00181AB9">
      <w:pPr>
        <w:pStyle w:val="IntenseQuote"/>
      </w:pPr>
      <w:r w:rsidRPr="0060474A">
        <w:t>17% of diversion cases had a family violence flag</w:t>
      </w:r>
    </w:p>
    <w:p w14:paraId="1793D760" w14:textId="77777777" w:rsidR="00417C86" w:rsidRPr="0060474A" w:rsidRDefault="00417C86" w:rsidP="00417C86">
      <w:pPr>
        <w:pStyle w:val="Heading2"/>
      </w:pPr>
      <w:r w:rsidRPr="0060474A">
        <w:t>Offence types in diversion cases</w:t>
      </w:r>
    </w:p>
    <w:p w14:paraId="1DBA467C" w14:textId="77777777" w:rsidR="00417C86" w:rsidRPr="0060474A" w:rsidRDefault="00417C86" w:rsidP="00D74421">
      <w:r w:rsidRPr="0060474A">
        <w:t xml:space="preserve">Only principal proven offences have been examined in analysing the offence types in the 50,988 cases resulting in a diversion plan. The </w:t>
      </w:r>
      <w:r w:rsidRPr="0060474A">
        <w:rPr>
          <w:rStyle w:val="Italic"/>
          <w:iCs w:val="0"/>
        </w:rPr>
        <w:t xml:space="preserve">principal proven offence </w:t>
      </w:r>
      <w:r w:rsidRPr="0060474A">
        <w:t xml:space="preserve">is the most serious offence in each case, as </w:t>
      </w:r>
      <w:r w:rsidRPr="0060474A">
        <w:lastRenderedPageBreak/>
        <w:t>measured by the offence receiving the most serious penalty or having the most serious ranking according to the National Offence Index.</w:t>
      </w:r>
      <w:r w:rsidRPr="0060474A">
        <w:rPr>
          <w:rStyle w:val="Superscript"/>
        </w:rPr>
        <w:footnoteReference w:id="30"/>
      </w:r>
      <w:r w:rsidRPr="0060474A">
        <w:t xml:space="preserve"> </w:t>
      </w:r>
    </w:p>
    <w:p w14:paraId="0E2EB6E7" w14:textId="77777777" w:rsidR="00417C86" w:rsidRPr="0060474A" w:rsidRDefault="00417C86" w:rsidP="00D74421">
      <w:r w:rsidRPr="0060474A">
        <w:t>Property offences, such as theft and fraud, represented one-third of all diversion cases (Figure 3), and offences against the person another one-quarter. This suggests that there have been some significant shifts in the offence profile of diversion cases since 2006–07.</w:t>
      </w:r>
      <w:r w:rsidRPr="0060474A">
        <w:rPr>
          <w:rStyle w:val="Superscript"/>
        </w:rPr>
        <w:footnoteReference w:id="31"/>
      </w:r>
      <w:r w:rsidRPr="0060474A">
        <w:t xml:space="preserve"> In particular, the prevalence of offences against the person more than doubled (from 11.6% to 24.6% of diversion cases), drug-related offences substantially increased (from 4.7% to 7.4%) and traffic offences reduced significantly (from 21.7% to 13.8%).</w:t>
      </w:r>
    </w:p>
    <w:p w14:paraId="312B63B5" w14:textId="77777777" w:rsidR="00417C86" w:rsidRPr="0060474A" w:rsidRDefault="00417C86" w:rsidP="00187BBF">
      <w:pPr>
        <w:pStyle w:val="Caption"/>
      </w:pPr>
      <w:r w:rsidRPr="0060474A">
        <w:t>Figure 3: Offence types in diversion cases, 2011–12 to 2020–21 (50,988 cases)</w:t>
      </w:r>
    </w:p>
    <w:tbl>
      <w:tblPr>
        <w:tblStyle w:val="Table"/>
        <w:tblW w:w="5000" w:type="pct"/>
        <w:tblLook w:val="04A0" w:firstRow="1" w:lastRow="0" w:firstColumn="1" w:lastColumn="0" w:noHBand="0" w:noVBand="1"/>
      </w:tblPr>
      <w:tblGrid>
        <w:gridCol w:w="4858"/>
        <w:gridCol w:w="1780"/>
        <w:gridCol w:w="2378"/>
      </w:tblGrid>
      <w:tr w:rsidR="00145F90" w:rsidRPr="00545549" w14:paraId="32134492" w14:textId="77777777" w:rsidTr="00913D58">
        <w:trPr>
          <w:trHeight w:val="290"/>
          <w:tblHeader/>
        </w:trPr>
        <w:tc>
          <w:tcPr>
            <w:tcW w:w="2694" w:type="pct"/>
            <w:noWrap/>
            <w:hideMark/>
          </w:tcPr>
          <w:p w14:paraId="7EC0B64C" w14:textId="7964C4E5" w:rsidR="00145F90" w:rsidRPr="0060474A" w:rsidRDefault="00145F90" w:rsidP="00B21277">
            <w:pPr>
              <w:pStyle w:val="TableHeading"/>
            </w:pPr>
            <w:r w:rsidRPr="0060474A">
              <w:t xml:space="preserve">Offence </w:t>
            </w:r>
            <w:r>
              <w:t>type</w:t>
            </w:r>
          </w:p>
        </w:tc>
        <w:tc>
          <w:tcPr>
            <w:tcW w:w="987" w:type="pct"/>
          </w:tcPr>
          <w:p w14:paraId="62CD33F1" w14:textId="10966838" w:rsidR="00145F90" w:rsidRPr="0060474A" w:rsidRDefault="00145F90" w:rsidP="00B21277">
            <w:pPr>
              <w:pStyle w:val="TableHeading"/>
            </w:pPr>
            <w:r w:rsidRPr="00545549">
              <w:t>Number</w:t>
            </w:r>
          </w:p>
        </w:tc>
        <w:tc>
          <w:tcPr>
            <w:tcW w:w="1319" w:type="pct"/>
            <w:noWrap/>
            <w:hideMark/>
          </w:tcPr>
          <w:p w14:paraId="421E75E6" w14:textId="2A5C4B2A" w:rsidR="00145F90" w:rsidRPr="0060474A" w:rsidRDefault="00145F90" w:rsidP="00B21277">
            <w:pPr>
              <w:pStyle w:val="TableHeading"/>
            </w:pPr>
            <w:r w:rsidRPr="0060474A">
              <w:t>Percentage</w:t>
            </w:r>
          </w:p>
        </w:tc>
      </w:tr>
      <w:tr w:rsidR="00145F90" w:rsidRPr="0060474A" w14:paraId="29735D00" w14:textId="77777777" w:rsidTr="00913D58">
        <w:trPr>
          <w:trHeight w:val="290"/>
        </w:trPr>
        <w:tc>
          <w:tcPr>
            <w:tcW w:w="2694" w:type="pct"/>
            <w:noWrap/>
            <w:hideMark/>
          </w:tcPr>
          <w:p w14:paraId="283A746D" w14:textId="17345B84" w:rsidR="00145F90" w:rsidRPr="0060474A" w:rsidRDefault="00145F90" w:rsidP="00B21277">
            <w:pPr>
              <w:pStyle w:val="TableBody"/>
            </w:pPr>
            <w:r w:rsidRPr="0060474A">
              <w:t>Offences against the person</w:t>
            </w:r>
          </w:p>
        </w:tc>
        <w:tc>
          <w:tcPr>
            <w:tcW w:w="987" w:type="pct"/>
          </w:tcPr>
          <w:p w14:paraId="61DD36C5" w14:textId="7528E79C" w:rsidR="00145F90" w:rsidRPr="0060474A" w:rsidRDefault="00145F90" w:rsidP="00B21277">
            <w:pPr>
              <w:pStyle w:val="TableBody"/>
            </w:pPr>
            <w:r w:rsidRPr="0060474A">
              <w:t>12,532</w:t>
            </w:r>
          </w:p>
        </w:tc>
        <w:tc>
          <w:tcPr>
            <w:tcW w:w="1319" w:type="pct"/>
            <w:noWrap/>
            <w:hideMark/>
          </w:tcPr>
          <w:p w14:paraId="659135D7" w14:textId="1E2040E5" w:rsidR="00145F90" w:rsidRPr="0060474A" w:rsidRDefault="00145F90" w:rsidP="00B21277">
            <w:pPr>
              <w:pStyle w:val="TableBody"/>
            </w:pPr>
            <w:r w:rsidRPr="0060474A">
              <w:t>24.6%</w:t>
            </w:r>
          </w:p>
        </w:tc>
      </w:tr>
      <w:tr w:rsidR="00145F90" w:rsidRPr="0060474A" w14:paraId="5AFAB13F" w14:textId="77777777" w:rsidTr="00913D58">
        <w:trPr>
          <w:trHeight w:val="290"/>
        </w:trPr>
        <w:tc>
          <w:tcPr>
            <w:tcW w:w="2694" w:type="pct"/>
            <w:noWrap/>
            <w:hideMark/>
          </w:tcPr>
          <w:p w14:paraId="49C39CB2" w14:textId="4EA78FC0" w:rsidR="00145F90" w:rsidRPr="0060474A" w:rsidRDefault="00145F90" w:rsidP="00B21277">
            <w:pPr>
              <w:pStyle w:val="TableBody"/>
            </w:pPr>
            <w:r w:rsidRPr="0060474A">
              <w:t>Property offences</w:t>
            </w:r>
          </w:p>
        </w:tc>
        <w:tc>
          <w:tcPr>
            <w:tcW w:w="987" w:type="pct"/>
          </w:tcPr>
          <w:p w14:paraId="393EA161" w14:textId="3D4A3F83" w:rsidR="00145F90" w:rsidRPr="0060474A" w:rsidRDefault="00145F90" w:rsidP="00B21277">
            <w:pPr>
              <w:pStyle w:val="TableBody"/>
            </w:pPr>
            <w:r w:rsidRPr="0060474A">
              <w:t>16,764</w:t>
            </w:r>
          </w:p>
        </w:tc>
        <w:tc>
          <w:tcPr>
            <w:tcW w:w="1319" w:type="pct"/>
            <w:noWrap/>
            <w:hideMark/>
          </w:tcPr>
          <w:p w14:paraId="705F2E61" w14:textId="2C0C09CE" w:rsidR="00145F90" w:rsidRPr="0060474A" w:rsidRDefault="00145F90" w:rsidP="00B21277">
            <w:pPr>
              <w:pStyle w:val="TableBody"/>
            </w:pPr>
            <w:r w:rsidRPr="0060474A">
              <w:t>32.9%</w:t>
            </w:r>
          </w:p>
        </w:tc>
      </w:tr>
      <w:tr w:rsidR="00145F90" w:rsidRPr="0060474A" w14:paraId="1C5855B8" w14:textId="77777777" w:rsidTr="00913D58">
        <w:trPr>
          <w:trHeight w:val="290"/>
        </w:trPr>
        <w:tc>
          <w:tcPr>
            <w:tcW w:w="2694" w:type="pct"/>
            <w:noWrap/>
            <w:hideMark/>
          </w:tcPr>
          <w:p w14:paraId="5E6EA4D6" w14:textId="6E6D1E24" w:rsidR="00145F90" w:rsidRPr="0060474A" w:rsidRDefault="00145F90" w:rsidP="00B21277">
            <w:pPr>
              <w:pStyle w:val="TableBody"/>
            </w:pPr>
            <w:r w:rsidRPr="0060474A">
              <w:t>Traffic offences</w:t>
            </w:r>
          </w:p>
        </w:tc>
        <w:tc>
          <w:tcPr>
            <w:tcW w:w="987" w:type="pct"/>
          </w:tcPr>
          <w:p w14:paraId="521D382E" w14:textId="64735789" w:rsidR="00145F90" w:rsidRPr="0060474A" w:rsidRDefault="00145F90" w:rsidP="00B21277">
            <w:pPr>
              <w:pStyle w:val="TableBody"/>
            </w:pPr>
            <w:r w:rsidRPr="0060474A">
              <w:t>7,032</w:t>
            </w:r>
          </w:p>
        </w:tc>
        <w:tc>
          <w:tcPr>
            <w:tcW w:w="1319" w:type="pct"/>
            <w:noWrap/>
            <w:hideMark/>
          </w:tcPr>
          <w:p w14:paraId="55B6959C" w14:textId="228574A8" w:rsidR="00145F90" w:rsidRPr="0060474A" w:rsidRDefault="00145F90" w:rsidP="00B21277">
            <w:pPr>
              <w:pStyle w:val="TableBody"/>
            </w:pPr>
            <w:r w:rsidRPr="0060474A">
              <w:t>13.8%</w:t>
            </w:r>
          </w:p>
        </w:tc>
      </w:tr>
      <w:tr w:rsidR="00145F90" w:rsidRPr="0060474A" w14:paraId="308C3B35" w14:textId="77777777" w:rsidTr="00913D58">
        <w:trPr>
          <w:trHeight w:val="290"/>
        </w:trPr>
        <w:tc>
          <w:tcPr>
            <w:tcW w:w="2694" w:type="pct"/>
            <w:noWrap/>
            <w:hideMark/>
          </w:tcPr>
          <w:p w14:paraId="03DD3D21" w14:textId="0D428674" w:rsidR="00145F90" w:rsidRPr="0060474A" w:rsidRDefault="00145F90" w:rsidP="00B21277">
            <w:pPr>
              <w:pStyle w:val="TableBody"/>
            </w:pPr>
            <w:r w:rsidRPr="0060474A">
              <w:t>Drug-related offences</w:t>
            </w:r>
          </w:p>
        </w:tc>
        <w:tc>
          <w:tcPr>
            <w:tcW w:w="987" w:type="pct"/>
          </w:tcPr>
          <w:p w14:paraId="32D0B0A3" w14:textId="37F1FF88" w:rsidR="00145F90" w:rsidRPr="0060474A" w:rsidRDefault="00145F90" w:rsidP="00B21277">
            <w:pPr>
              <w:pStyle w:val="TableBody"/>
            </w:pPr>
            <w:r w:rsidRPr="0060474A">
              <w:t>3,772</w:t>
            </w:r>
          </w:p>
        </w:tc>
        <w:tc>
          <w:tcPr>
            <w:tcW w:w="1319" w:type="pct"/>
            <w:noWrap/>
            <w:hideMark/>
          </w:tcPr>
          <w:p w14:paraId="597EC0D3" w14:textId="474F0137" w:rsidR="00145F90" w:rsidRPr="0060474A" w:rsidRDefault="00145F90" w:rsidP="00B21277">
            <w:pPr>
              <w:pStyle w:val="TableBody"/>
            </w:pPr>
            <w:r w:rsidRPr="0060474A">
              <w:t>7.4%</w:t>
            </w:r>
          </w:p>
        </w:tc>
      </w:tr>
      <w:tr w:rsidR="00145F90" w:rsidRPr="0060474A" w14:paraId="0B5495F6" w14:textId="77777777" w:rsidTr="00913D58">
        <w:trPr>
          <w:trHeight w:val="290"/>
        </w:trPr>
        <w:tc>
          <w:tcPr>
            <w:tcW w:w="2694" w:type="pct"/>
            <w:noWrap/>
            <w:hideMark/>
          </w:tcPr>
          <w:p w14:paraId="0EC83719" w14:textId="4C2CD17A" w:rsidR="00145F90" w:rsidRPr="0060474A" w:rsidRDefault="00145F90" w:rsidP="00B21277">
            <w:pPr>
              <w:pStyle w:val="TableBody"/>
            </w:pPr>
            <w:r w:rsidRPr="0060474A">
              <w:t>Other offences</w:t>
            </w:r>
          </w:p>
        </w:tc>
        <w:tc>
          <w:tcPr>
            <w:tcW w:w="987" w:type="pct"/>
          </w:tcPr>
          <w:p w14:paraId="46A074C2" w14:textId="59E4D94C" w:rsidR="00145F90" w:rsidRPr="0060474A" w:rsidRDefault="00145F90" w:rsidP="00B21277">
            <w:pPr>
              <w:pStyle w:val="TableBody"/>
            </w:pPr>
            <w:r w:rsidRPr="0060474A">
              <w:t>10,888</w:t>
            </w:r>
          </w:p>
        </w:tc>
        <w:tc>
          <w:tcPr>
            <w:tcW w:w="1319" w:type="pct"/>
            <w:noWrap/>
            <w:hideMark/>
          </w:tcPr>
          <w:p w14:paraId="31F68191" w14:textId="212183B1" w:rsidR="00145F90" w:rsidRPr="0060474A" w:rsidRDefault="00145F90" w:rsidP="00B21277">
            <w:pPr>
              <w:pStyle w:val="TableBody"/>
            </w:pPr>
            <w:r w:rsidRPr="0060474A">
              <w:t>21.4%</w:t>
            </w:r>
          </w:p>
        </w:tc>
      </w:tr>
    </w:tbl>
    <w:p w14:paraId="649F0D3B" w14:textId="77777777" w:rsidR="00417C86" w:rsidRPr="0060474A" w:rsidRDefault="00417C86" w:rsidP="004F2FCB">
      <w:r w:rsidRPr="0060474A">
        <w:t xml:space="preserve">These rates also varied by the demographics and characteristics of the relevant people and cases: </w:t>
      </w:r>
    </w:p>
    <w:p w14:paraId="44CB70F1" w14:textId="77777777" w:rsidR="00417C86" w:rsidRPr="0060474A" w:rsidRDefault="00417C86" w:rsidP="00D74421">
      <w:pPr>
        <w:pStyle w:val="Bullets"/>
      </w:pPr>
      <w:r w:rsidRPr="0060474A">
        <w:rPr>
          <w:b/>
          <w:bCs/>
        </w:rPr>
        <w:t>Gender</w:t>
      </w:r>
      <w:r w:rsidRPr="0060474A">
        <w:t>: property offences were the most common offence types in both men’s and women’s diversion cases, but at a higher proportion for women than for men (37.5% and 30.7% respectively) (Figure 4).</w:t>
      </w:r>
    </w:p>
    <w:p w14:paraId="4BB8A597" w14:textId="77777777" w:rsidR="00417C86" w:rsidRPr="0060474A" w:rsidRDefault="00417C86" w:rsidP="00187BBF">
      <w:pPr>
        <w:pStyle w:val="Caption"/>
      </w:pPr>
      <w:r w:rsidRPr="0060474A">
        <w:t>Figure 4: Offence types in diversion cases, by gender</w:t>
      </w:r>
    </w:p>
    <w:tbl>
      <w:tblPr>
        <w:tblStyle w:val="Table"/>
        <w:tblW w:w="5000" w:type="pct"/>
        <w:tblLook w:val="04A0" w:firstRow="1" w:lastRow="0" w:firstColumn="1" w:lastColumn="0" w:noHBand="0" w:noVBand="1"/>
      </w:tblPr>
      <w:tblGrid>
        <w:gridCol w:w="3444"/>
        <w:gridCol w:w="2500"/>
        <w:gridCol w:w="3072"/>
      </w:tblGrid>
      <w:tr w:rsidR="0047246A" w:rsidRPr="0060474A" w14:paraId="0FC933E1" w14:textId="77777777" w:rsidTr="0094412F">
        <w:trPr>
          <w:trHeight w:val="290"/>
          <w:tblHeader/>
        </w:trPr>
        <w:tc>
          <w:tcPr>
            <w:tcW w:w="1951" w:type="pct"/>
            <w:noWrap/>
            <w:hideMark/>
          </w:tcPr>
          <w:p w14:paraId="2038CA34" w14:textId="53A3B87F" w:rsidR="0047246A" w:rsidRPr="0060474A" w:rsidRDefault="00101951" w:rsidP="00BF7F38">
            <w:pPr>
              <w:pStyle w:val="TableHeading"/>
            </w:pPr>
            <w:r w:rsidRPr="0060474A">
              <w:t>Offence type</w:t>
            </w:r>
          </w:p>
        </w:tc>
        <w:tc>
          <w:tcPr>
            <w:tcW w:w="1305" w:type="pct"/>
            <w:noWrap/>
            <w:hideMark/>
          </w:tcPr>
          <w:p w14:paraId="3DB1F6D8" w14:textId="6B7E50C6" w:rsidR="0047246A" w:rsidRPr="0060474A" w:rsidRDefault="0047246A" w:rsidP="00BF7F38">
            <w:pPr>
              <w:pStyle w:val="TableHeading"/>
            </w:pPr>
            <w:r w:rsidRPr="0060474A">
              <w:t>Male</w:t>
            </w:r>
            <w:r w:rsidR="00D43A9C">
              <w:t xml:space="preserve"> (34,279 cases)</w:t>
            </w:r>
          </w:p>
        </w:tc>
        <w:tc>
          <w:tcPr>
            <w:tcW w:w="1744" w:type="pct"/>
            <w:noWrap/>
            <w:hideMark/>
          </w:tcPr>
          <w:p w14:paraId="6F57A105" w14:textId="6FC90990" w:rsidR="0047246A" w:rsidRPr="0060474A" w:rsidRDefault="0047246A" w:rsidP="00BF7F38">
            <w:pPr>
              <w:pStyle w:val="TableHeading"/>
            </w:pPr>
            <w:r w:rsidRPr="0060474A">
              <w:t>Female</w:t>
            </w:r>
            <w:r w:rsidR="00D43A9C">
              <w:t xml:space="preserve"> (16,641 cases)</w:t>
            </w:r>
          </w:p>
        </w:tc>
      </w:tr>
      <w:tr w:rsidR="0047246A" w:rsidRPr="0060474A" w14:paraId="70F1CFF6" w14:textId="77777777" w:rsidTr="00BF7F38">
        <w:trPr>
          <w:trHeight w:val="290"/>
        </w:trPr>
        <w:tc>
          <w:tcPr>
            <w:tcW w:w="1951" w:type="pct"/>
            <w:noWrap/>
            <w:hideMark/>
          </w:tcPr>
          <w:p w14:paraId="34D80A58" w14:textId="550E36B1" w:rsidR="0047246A" w:rsidRPr="0060474A" w:rsidRDefault="0047246A" w:rsidP="00CD415A">
            <w:pPr>
              <w:pStyle w:val="TableBody"/>
            </w:pPr>
            <w:r w:rsidRPr="0060474A">
              <w:t>Offences against the person</w:t>
            </w:r>
          </w:p>
        </w:tc>
        <w:tc>
          <w:tcPr>
            <w:tcW w:w="1305" w:type="pct"/>
            <w:noWrap/>
            <w:hideMark/>
          </w:tcPr>
          <w:p w14:paraId="5F119002" w14:textId="77777777" w:rsidR="0047246A" w:rsidRPr="0060474A" w:rsidRDefault="0047246A" w:rsidP="00CD415A">
            <w:pPr>
              <w:pStyle w:val="TableBody"/>
            </w:pPr>
            <w:r w:rsidRPr="0060474A">
              <w:t>24.8%</w:t>
            </w:r>
          </w:p>
        </w:tc>
        <w:tc>
          <w:tcPr>
            <w:tcW w:w="1744" w:type="pct"/>
            <w:noWrap/>
            <w:hideMark/>
          </w:tcPr>
          <w:p w14:paraId="3FCE85DA" w14:textId="77777777" w:rsidR="0047246A" w:rsidRPr="0060474A" w:rsidRDefault="0047246A" w:rsidP="00CD415A">
            <w:pPr>
              <w:pStyle w:val="TableBody"/>
            </w:pPr>
            <w:r w:rsidRPr="0060474A">
              <w:t>24.1%</w:t>
            </w:r>
          </w:p>
        </w:tc>
      </w:tr>
      <w:tr w:rsidR="0047246A" w:rsidRPr="0060474A" w14:paraId="15E3F00D" w14:textId="77777777" w:rsidTr="00BF7F38">
        <w:trPr>
          <w:trHeight w:val="290"/>
        </w:trPr>
        <w:tc>
          <w:tcPr>
            <w:tcW w:w="1951" w:type="pct"/>
            <w:noWrap/>
            <w:hideMark/>
          </w:tcPr>
          <w:p w14:paraId="07C4136C" w14:textId="1D551166" w:rsidR="0047246A" w:rsidRPr="0060474A" w:rsidRDefault="0047246A" w:rsidP="00CD415A">
            <w:pPr>
              <w:pStyle w:val="TableBody"/>
            </w:pPr>
            <w:r w:rsidRPr="0060474A">
              <w:lastRenderedPageBreak/>
              <w:t>Property offences</w:t>
            </w:r>
          </w:p>
        </w:tc>
        <w:tc>
          <w:tcPr>
            <w:tcW w:w="1305" w:type="pct"/>
            <w:noWrap/>
            <w:hideMark/>
          </w:tcPr>
          <w:p w14:paraId="0829BDE0" w14:textId="77777777" w:rsidR="0047246A" w:rsidRPr="0060474A" w:rsidRDefault="0047246A" w:rsidP="00CD415A">
            <w:pPr>
              <w:pStyle w:val="TableBody"/>
            </w:pPr>
            <w:r w:rsidRPr="0060474A">
              <w:t>30.7%</w:t>
            </w:r>
          </w:p>
        </w:tc>
        <w:tc>
          <w:tcPr>
            <w:tcW w:w="1744" w:type="pct"/>
            <w:noWrap/>
            <w:hideMark/>
          </w:tcPr>
          <w:p w14:paraId="4465F139" w14:textId="77777777" w:rsidR="0047246A" w:rsidRPr="0060474A" w:rsidRDefault="0047246A" w:rsidP="00CD415A">
            <w:pPr>
              <w:pStyle w:val="TableBody"/>
            </w:pPr>
            <w:r w:rsidRPr="0060474A">
              <w:t>37.5%</w:t>
            </w:r>
          </w:p>
        </w:tc>
      </w:tr>
      <w:tr w:rsidR="0047246A" w:rsidRPr="0060474A" w14:paraId="488B029D" w14:textId="77777777" w:rsidTr="00BF7F38">
        <w:trPr>
          <w:trHeight w:val="290"/>
        </w:trPr>
        <w:tc>
          <w:tcPr>
            <w:tcW w:w="1951" w:type="pct"/>
            <w:noWrap/>
            <w:hideMark/>
          </w:tcPr>
          <w:p w14:paraId="647CDC1E" w14:textId="63893B83" w:rsidR="0047246A" w:rsidRPr="0060474A" w:rsidRDefault="0047246A" w:rsidP="00CD415A">
            <w:pPr>
              <w:pStyle w:val="TableBody"/>
            </w:pPr>
            <w:r w:rsidRPr="0060474A">
              <w:t>Traffic offences</w:t>
            </w:r>
          </w:p>
        </w:tc>
        <w:tc>
          <w:tcPr>
            <w:tcW w:w="1305" w:type="pct"/>
            <w:noWrap/>
            <w:hideMark/>
          </w:tcPr>
          <w:p w14:paraId="251549FC" w14:textId="77777777" w:rsidR="0047246A" w:rsidRPr="0060474A" w:rsidRDefault="0047246A" w:rsidP="00CD415A">
            <w:pPr>
              <w:pStyle w:val="TableBody"/>
            </w:pPr>
            <w:r w:rsidRPr="0060474A">
              <w:t>13.2%</w:t>
            </w:r>
          </w:p>
        </w:tc>
        <w:tc>
          <w:tcPr>
            <w:tcW w:w="1744" w:type="pct"/>
            <w:noWrap/>
            <w:hideMark/>
          </w:tcPr>
          <w:p w14:paraId="3CC40F48" w14:textId="77777777" w:rsidR="0047246A" w:rsidRPr="0060474A" w:rsidRDefault="0047246A" w:rsidP="00CD415A">
            <w:pPr>
              <w:pStyle w:val="TableBody"/>
            </w:pPr>
            <w:r w:rsidRPr="0060474A">
              <w:t>15.0%</w:t>
            </w:r>
          </w:p>
        </w:tc>
      </w:tr>
      <w:tr w:rsidR="0047246A" w:rsidRPr="0060474A" w14:paraId="0C9DD985" w14:textId="77777777" w:rsidTr="00BF7F38">
        <w:trPr>
          <w:trHeight w:val="290"/>
        </w:trPr>
        <w:tc>
          <w:tcPr>
            <w:tcW w:w="1951" w:type="pct"/>
            <w:noWrap/>
            <w:hideMark/>
          </w:tcPr>
          <w:p w14:paraId="17F0297D" w14:textId="22BCF90B" w:rsidR="0047246A" w:rsidRPr="0060474A" w:rsidRDefault="0047246A" w:rsidP="00CD415A">
            <w:pPr>
              <w:pStyle w:val="TableBody"/>
            </w:pPr>
            <w:r w:rsidRPr="0060474A">
              <w:t>Drug-related offences</w:t>
            </w:r>
          </w:p>
        </w:tc>
        <w:tc>
          <w:tcPr>
            <w:tcW w:w="1305" w:type="pct"/>
            <w:noWrap/>
            <w:hideMark/>
          </w:tcPr>
          <w:p w14:paraId="73745BD3" w14:textId="77777777" w:rsidR="0047246A" w:rsidRPr="0060474A" w:rsidRDefault="0047246A" w:rsidP="00CD415A">
            <w:pPr>
              <w:pStyle w:val="TableBody"/>
            </w:pPr>
            <w:r w:rsidRPr="0060474A">
              <w:t>7.9%</w:t>
            </w:r>
          </w:p>
        </w:tc>
        <w:tc>
          <w:tcPr>
            <w:tcW w:w="1744" w:type="pct"/>
            <w:noWrap/>
            <w:hideMark/>
          </w:tcPr>
          <w:p w14:paraId="51F3AF6D" w14:textId="77777777" w:rsidR="0047246A" w:rsidRPr="0060474A" w:rsidRDefault="0047246A" w:rsidP="00CD415A">
            <w:pPr>
              <w:pStyle w:val="TableBody"/>
            </w:pPr>
            <w:r w:rsidRPr="0060474A">
              <w:t>6.4%</w:t>
            </w:r>
          </w:p>
        </w:tc>
      </w:tr>
      <w:tr w:rsidR="0047246A" w:rsidRPr="0060474A" w14:paraId="65DE39C9" w14:textId="77777777" w:rsidTr="00BF7F38">
        <w:trPr>
          <w:trHeight w:val="290"/>
        </w:trPr>
        <w:tc>
          <w:tcPr>
            <w:tcW w:w="1951" w:type="pct"/>
            <w:noWrap/>
            <w:hideMark/>
          </w:tcPr>
          <w:p w14:paraId="1EAE6C88" w14:textId="2D9B5B05" w:rsidR="0047246A" w:rsidRPr="0060474A" w:rsidRDefault="00F47D84" w:rsidP="00CD415A">
            <w:pPr>
              <w:pStyle w:val="TableBody"/>
            </w:pPr>
            <w:r w:rsidRPr="0060474A">
              <w:t>Other</w:t>
            </w:r>
          </w:p>
        </w:tc>
        <w:tc>
          <w:tcPr>
            <w:tcW w:w="1305" w:type="pct"/>
            <w:noWrap/>
            <w:hideMark/>
          </w:tcPr>
          <w:p w14:paraId="24864D23" w14:textId="77777777" w:rsidR="0047246A" w:rsidRPr="0060474A" w:rsidRDefault="0047246A" w:rsidP="00CD415A">
            <w:pPr>
              <w:pStyle w:val="TableBody"/>
            </w:pPr>
            <w:r w:rsidRPr="0060474A">
              <w:t>23.4%</w:t>
            </w:r>
          </w:p>
        </w:tc>
        <w:tc>
          <w:tcPr>
            <w:tcW w:w="1744" w:type="pct"/>
            <w:noWrap/>
            <w:hideMark/>
          </w:tcPr>
          <w:p w14:paraId="4F4A063D" w14:textId="77777777" w:rsidR="0047246A" w:rsidRPr="0060474A" w:rsidRDefault="0047246A" w:rsidP="00CD415A">
            <w:pPr>
              <w:pStyle w:val="TableBody"/>
            </w:pPr>
            <w:r w:rsidRPr="0060474A">
              <w:t>16.9%</w:t>
            </w:r>
          </w:p>
        </w:tc>
      </w:tr>
    </w:tbl>
    <w:p w14:paraId="1E66E104" w14:textId="77777777" w:rsidR="00417C86" w:rsidRPr="0060474A" w:rsidRDefault="00417C86" w:rsidP="00CF3768">
      <w:pPr>
        <w:pStyle w:val="Bullets"/>
        <w:spacing w:before="240"/>
      </w:pPr>
      <w:r w:rsidRPr="0060474A">
        <w:rPr>
          <w:b/>
          <w:bCs/>
        </w:rPr>
        <w:t>Family violence</w:t>
      </w:r>
      <w:r w:rsidRPr="0060474A">
        <w:t>: between July 2015 and June 2021, offences against the person made up just over half of all diversion cases with a family violence flag (52.7% compared to 19.0% of diversion cases with no family violence flag) (Figure 5). In comparison, property offences, traffic offences and drug-related offences made up a much larger proportion of diversion cases with no family violence flag. This is consistent with the offence profile of family violence cases generally. The vast majority of family violence offences tend to be assaults and breaches of court orders (with the latter classified here as part of the ‘other’ offences).</w:t>
      </w:r>
      <w:r w:rsidRPr="0060474A">
        <w:rPr>
          <w:rStyle w:val="Superscript"/>
        </w:rPr>
        <w:footnoteReference w:id="32"/>
      </w:r>
    </w:p>
    <w:p w14:paraId="6BD31BAF" w14:textId="77777777" w:rsidR="00417C86" w:rsidRPr="0060474A" w:rsidRDefault="00417C86" w:rsidP="00187BBF">
      <w:pPr>
        <w:pStyle w:val="Caption"/>
      </w:pPr>
      <w:r w:rsidRPr="0060474A">
        <w:t>Figure 5: Offence types in diversion cases, by family violence indicator</w:t>
      </w:r>
    </w:p>
    <w:tbl>
      <w:tblPr>
        <w:tblStyle w:val="Table"/>
        <w:tblW w:w="5000" w:type="pct"/>
        <w:tblLook w:val="04A0" w:firstRow="1" w:lastRow="0" w:firstColumn="1" w:lastColumn="0" w:noHBand="0" w:noVBand="1"/>
      </w:tblPr>
      <w:tblGrid>
        <w:gridCol w:w="2907"/>
        <w:gridCol w:w="2897"/>
        <w:gridCol w:w="3212"/>
      </w:tblGrid>
      <w:tr w:rsidR="00DA0CC4" w:rsidRPr="0060474A" w14:paraId="467272E0" w14:textId="77777777" w:rsidTr="0071583D">
        <w:trPr>
          <w:trHeight w:val="290"/>
          <w:tblHeader/>
        </w:trPr>
        <w:tc>
          <w:tcPr>
            <w:tcW w:w="2010" w:type="pct"/>
            <w:noWrap/>
            <w:hideMark/>
          </w:tcPr>
          <w:p w14:paraId="4DBF50D6" w14:textId="3C70B3D7" w:rsidR="00DA0CC4" w:rsidRPr="0060474A" w:rsidRDefault="001D274E" w:rsidP="00DA0CC4">
            <w:pPr>
              <w:pStyle w:val="TableHeading"/>
            </w:pPr>
            <w:r w:rsidRPr="0060474A">
              <w:t>Offence type</w:t>
            </w:r>
          </w:p>
        </w:tc>
        <w:tc>
          <w:tcPr>
            <w:tcW w:w="1246" w:type="pct"/>
            <w:noWrap/>
            <w:hideMark/>
          </w:tcPr>
          <w:p w14:paraId="3F8D138F" w14:textId="77777777" w:rsidR="00DA0CC4" w:rsidRPr="0060474A" w:rsidRDefault="00DA0CC4" w:rsidP="00DA0CC4">
            <w:pPr>
              <w:pStyle w:val="TableHeading"/>
            </w:pPr>
            <w:r w:rsidRPr="0060474A">
              <w:t>Family violence indicator</w:t>
            </w:r>
          </w:p>
        </w:tc>
        <w:tc>
          <w:tcPr>
            <w:tcW w:w="1744" w:type="pct"/>
            <w:noWrap/>
            <w:hideMark/>
          </w:tcPr>
          <w:p w14:paraId="22342B6B" w14:textId="77777777" w:rsidR="00DA0CC4" w:rsidRPr="0060474A" w:rsidRDefault="00DA0CC4" w:rsidP="00DA0CC4">
            <w:pPr>
              <w:pStyle w:val="TableHeading"/>
            </w:pPr>
            <w:r w:rsidRPr="0060474A">
              <w:t>No family violence indicator</w:t>
            </w:r>
          </w:p>
        </w:tc>
      </w:tr>
      <w:tr w:rsidR="00DA0CC4" w:rsidRPr="0060474A" w14:paraId="3759DB39" w14:textId="77777777" w:rsidTr="009E537B">
        <w:trPr>
          <w:trHeight w:val="290"/>
        </w:trPr>
        <w:tc>
          <w:tcPr>
            <w:tcW w:w="2010" w:type="pct"/>
            <w:noWrap/>
            <w:hideMark/>
          </w:tcPr>
          <w:p w14:paraId="2FADCE66" w14:textId="0D17A6A0" w:rsidR="00DA0CC4" w:rsidRPr="0060474A" w:rsidRDefault="00DA0CC4" w:rsidP="00DA0CC4">
            <w:pPr>
              <w:pStyle w:val="TableBody"/>
            </w:pPr>
            <w:r w:rsidRPr="0060474A">
              <w:t>Offences against the person</w:t>
            </w:r>
          </w:p>
        </w:tc>
        <w:tc>
          <w:tcPr>
            <w:tcW w:w="1246" w:type="pct"/>
            <w:noWrap/>
            <w:hideMark/>
          </w:tcPr>
          <w:p w14:paraId="39D3DC6C" w14:textId="77777777" w:rsidR="00DA0CC4" w:rsidRPr="0060474A" w:rsidRDefault="00DA0CC4" w:rsidP="00DA0CC4">
            <w:pPr>
              <w:pStyle w:val="TableBody"/>
            </w:pPr>
            <w:r w:rsidRPr="0060474A">
              <w:t>52.7%</w:t>
            </w:r>
          </w:p>
        </w:tc>
        <w:tc>
          <w:tcPr>
            <w:tcW w:w="1744" w:type="pct"/>
            <w:noWrap/>
            <w:hideMark/>
          </w:tcPr>
          <w:p w14:paraId="0FBBEC03" w14:textId="77777777" w:rsidR="00DA0CC4" w:rsidRPr="0060474A" w:rsidRDefault="00DA0CC4" w:rsidP="00DA0CC4">
            <w:pPr>
              <w:pStyle w:val="TableBody"/>
            </w:pPr>
            <w:r w:rsidRPr="0060474A">
              <w:t>19.0%</w:t>
            </w:r>
          </w:p>
        </w:tc>
      </w:tr>
      <w:tr w:rsidR="00DA0CC4" w:rsidRPr="0060474A" w14:paraId="23EC2BEB" w14:textId="77777777" w:rsidTr="009E537B">
        <w:trPr>
          <w:trHeight w:val="290"/>
        </w:trPr>
        <w:tc>
          <w:tcPr>
            <w:tcW w:w="2010" w:type="pct"/>
            <w:noWrap/>
            <w:hideMark/>
          </w:tcPr>
          <w:p w14:paraId="0D3BF306" w14:textId="5F5FF4B5" w:rsidR="00DA0CC4" w:rsidRPr="0060474A" w:rsidRDefault="00DA0CC4" w:rsidP="00DA0CC4">
            <w:pPr>
              <w:pStyle w:val="TableBody"/>
            </w:pPr>
            <w:r w:rsidRPr="0060474A">
              <w:t>Property offences</w:t>
            </w:r>
          </w:p>
        </w:tc>
        <w:tc>
          <w:tcPr>
            <w:tcW w:w="1246" w:type="pct"/>
            <w:noWrap/>
            <w:hideMark/>
          </w:tcPr>
          <w:p w14:paraId="4FE6F470" w14:textId="77777777" w:rsidR="00DA0CC4" w:rsidRPr="0060474A" w:rsidRDefault="00DA0CC4" w:rsidP="00DA0CC4">
            <w:pPr>
              <w:pStyle w:val="TableBody"/>
            </w:pPr>
            <w:r w:rsidRPr="0060474A">
              <w:t>15.7%</w:t>
            </w:r>
          </w:p>
        </w:tc>
        <w:tc>
          <w:tcPr>
            <w:tcW w:w="1744" w:type="pct"/>
            <w:noWrap/>
            <w:hideMark/>
          </w:tcPr>
          <w:p w14:paraId="6A3C3C8F" w14:textId="77777777" w:rsidR="00DA0CC4" w:rsidRPr="0060474A" w:rsidRDefault="00DA0CC4" w:rsidP="00DA0CC4">
            <w:pPr>
              <w:pStyle w:val="TableBody"/>
            </w:pPr>
            <w:r w:rsidRPr="0060474A">
              <w:t>35.1%</w:t>
            </w:r>
          </w:p>
        </w:tc>
      </w:tr>
      <w:tr w:rsidR="00DA0CC4" w:rsidRPr="0060474A" w14:paraId="1495A16E" w14:textId="77777777" w:rsidTr="009E537B">
        <w:trPr>
          <w:trHeight w:val="290"/>
        </w:trPr>
        <w:tc>
          <w:tcPr>
            <w:tcW w:w="2010" w:type="pct"/>
            <w:noWrap/>
            <w:hideMark/>
          </w:tcPr>
          <w:p w14:paraId="365D946A" w14:textId="7F3BA083" w:rsidR="00DA0CC4" w:rsidRPr="0060474A" w:rsidRDefault="00DA0CC4" w:rsidP="00DA0CC4">
            <w:pPr>
              <w:pStyle w:val="TableBody"/>
            </w:pPr>
            <w:r w:rsidRPr="0060474A">
              <w:t>Traffic offences</w:t>
            </w:r>
          </w:p>
        </w:tc>
        <w:tc>
          <w:tcPr>
            <w:tcW w:w="1246" w:type="pct"/>
            <w:noWrap/>
            <w:hideMark/>
          </w:tcPr>
          <w:p w14:paraId="3F136945" w14:textId="77777777" w:rsidR="00DA0CC4" w:rsidRPr="0060474A" w:rsidRDefault="00DA0CC4" w:rsidP="00DA0CC4">
            <w:pPr>
              <w:pStyle w:val="TableBody"/>
            </w:pPr>
            <w:r w:rsidRPr="0060474A">
              <w:t>0.2%</w:t>
            </w:r>
          </w:p>
        </w:tc>
        <w:tc>
          <w:tcPr>
            <w:tcW w:w="1744" w:type="pct"/>
            <w:noWrap/>
            <w:hideMark/>
          </w:tcPr>
          <w:p w14:paraId="66BA4FD6" w14:textId="77777777" w:rsidR="00DA0CC4" w:rsidRPr="0060474A" w:rsidRDefault="00DA0CC4" w:rsidP="00DA0CC4">
            <w:pPr>
              <w:pStyle w:val="TableBody"/>
            </w:pPr>
            <w:r w:rsidRPr="0060474A">
              <w:t>16.5%</w:t>
            </w:r>
          </w:p>
        </w:tc>
      </w:tr>
      <w:tr w:rsidR="00DA0CC4" w:rsidRPr="0060474A" w14:paraId="3248B15E" w14:textId="77777777" w:rsidTr="009E537B">
        <w:trPr>
          <w:trHeight w:val="290"/>
        </w:trPr>
        <w:tc>
          <w:tcPr>
            <w:tcW w:w="2010" w:type="pct"/>
            <w:noWrap/>
            <w:hideMark/>
          </w:tcPr>
          <w:p w14:paraId="4B5EC6E3" w14:textId="2D89BCD9" w:rsidR="00DA0CC4" w:rsidRPr="0060474A" w:rsidRDefault="00DA0CC4" w:rsidP="00DA0CC4">
            <w:pPr>
              <w:pStyle w:val="TableBody"/>
            </w:pPr>
            <w:r w:rsidRPr="0060474A">
              <w:t>Drug-related offences</w:t>
            </w:r>
          </w:p>
        </w:tc>
        <w:tc>
          <w:tcPr>
            <w:tcW w:w="1246" w:type="pct"/>
            <w:noWrap/>
            <w:hideMark/>
          </w:tcPr>
          <w:p w14:paraId="0E00C8B6" w14:textId="77777777" w:rsidR="00DA0CC4" w:rsidRPr="0060474A" w:rsidRDefault="00DA0CC4" w:rsidP="00DA0CC4">
            <w:pPr>
              <w:pStyle w:val="TableBody"/>
            </w:pPr>
            <w:r w:rsidRPr="0060474A">
              <w:t>0.6%</w:t>
            </w:r>
          </w:p>
        </w:tc>
        <w:tc>
          <w:tcPr>
            <w:tcW w:w="1744" w:type="pct"/>
            <w:noWrap/>
            <w:hideMark/>
          </w:tcPr>
          <w:p w14:paraId="4F20A437" w14:textId="77777777" w:rsidR="00DA0CC4" w:rsidRPr="0060474A" w:rsidRDefault="00DA0CC4" w:rsidP="00DA0CC4">
            <w:pPr>
              <w:pStyle w:val="TableBody"/>
            </w:pPr>
            <w:r w:rsidRPr="0060474A">
              <w:t>9.3%</w:t>
            </w:r>
          </w:p>
        </w:tc>
      </w:tr>
      <w:tr w:rsidR="00DA0CC4" w:rsidRPr="0060474A" w14:paraId="68885472" w14:textId="77777777" w:rsidTr="009E537B">
        <w:trPr>
          <w:trHeight w:val="290"/>
        </w:trPr>
        <w:tc>
          <w:tcPr>
            <w:tcW w:w="2010" w:type="pct"/>
            <w:noWrap/>
            <w:hideMark/>
          </w:tcPr>
          <w:p w14:paraId="29C91F64" w14:textId="597A6C43" w:rsidR="00DA0CC4" w:rsidRPr="0060474A" w:rsidRDefault="00F47D84" w:rsidP="00DA0CC4">
            <w:pPr>
              <w:pStyle w:val="TableBody"/>
            </w:pPr>
            <w:r w:rsidRPr="0060474A">
              <w:t>Other</w:t>
            </w:r>
          </w:p>
        </w:tc>
        <w:tc>
          <w:tcPr>
            <w:tcW w:w="1246" w:type="pct"/>
            <w:noWrap/>
            <w:hideMark/>
          </w:tcPr>
          <w:p w14:paraId="23C61AAB" w14:textId="77777777" w:rsidR="00DA0CC4" w:rsidRPr="0060474A" w:rsidRDefault="00DA0CC4" w:rsidP="00DA0CC4">
            <w:pPr>
              <w:pStyle w:val="TableBody"/>
            </w:pPr>
            <w:r w:rsidRPr="0060474A">
              <w:t>30.7%</w:t>
            </w:r>
          </w:p>
        </w:tc>
        <w:tc>
          <w:tcPr>
            <w:tcW w:w="1744" w:type="pct"/>
            <w:noWrap/>
            <w:hideMark/>
          </w:tcPr>
          <w:p w14:paraId="01F9D5B6" w14:textId="77777777" w:rsidR="00DA0CC4" w:rsidRPr="0060474A" w:rsidRDefault="00DA0CC4" w:rsidP="00DA0CC4">
            <w:pPr>
              <w:pStyle w:val="TableBody"/>
            </w:pPr>
            <w:r w:rsidRPr="0060474A">
              <w:t>20.2%</w:t>
            </w:r>
          </w:p>
        </w:tc>
      </w:tr>
    </w:tbl>
    <w:p w14:paraId="729E16E6" w14:textId="77777777" w:rsidR="00417C86" w:rsidRPr="0060474A" w:rsidRDefault="00417C86" w:rsidP="00874B2D">
      <w:pPr>
        <w:pStyle w:val="Bullets"/>
        <w:spacing w:before="240"/>
      </w:pPr>
      <w:r w:rsidRPr="0060474A">
        <w:rPr>
          <w:b/>
          <w:bCs/>
        </w:rPr>
        <w:t>Age</w:t>
      </w:r>
      <w:r w:rsidRPr="0060474A">
        <w:t xml:space="preserve">: for offenders aged 18 to 19, almost half of diversion cases involved property offences (42.2%), whereas this age group had a relatively low rate of offences against the person (15.3%) (Figure 6). In comparison, for offenders aged 65 and over, the most common offence type (excluding ‘other’) in diversion cases </w:t>
      </w:r>
      <w:r w:rsidRPr="0060474A">
        <w:lastRenderedPageBreak/>
        <w:t>was traffic offences (25.6%). Notably, this represents a significant decrease in the proportion of traffic offences in diversion cases for this age group since 2006–07, from 41.2% to 25.6%, and a doubling in offences against the person, from 12.2% to 24.5%.</w:t>
      </w:r>
      <w:r w:rsidRPr="0060474A">
        <w:rPr>
          <w:rStyle w:val="Superscript"/>
        </w:rPr>
        <w:footnoteReference w:id="33"/>
      </w:r>
    </w:p>
    <w:p w14:paraId="35E17D2D" w14:textId="77777777" w:rsidR="00417C86" w:rsidRPr="0060474A" w:rsidRDefault="00417C86" w:rsidP="00187BBF">
      <w:pPr>
        <w:pStyle w:val="Caption"/>
      </w:pPr>
      <w:r w:rsidRPr="0060474A">
        <w:t xml:space="preserve">Figure 6: Offence categories in diversion cases, by age group </w:t>
      </w:r>
    </w:p>
    <w:tbl>
      <w:tblPr>
        <w:tblStyle w:val="Table"/>
        <w:tblW w:w="5000" w:type="pct"/>
        <w:tblLayout w:type="fixed"/>
        <w:tblLook w:val="04A0" w:firstRow="1" w:lastRow="0" w:firstColumn="1" w:lastColumn="0" w:noHBand="0" w:noVBand="1"/>
      </w:tblPr>
      <w:tblGrid>
        <w:gridCol w:w="2254"/>
        <w:gridCol w:w="2254"/>
        <w:gridCol w:w="2254"/>
        <w:gridCol w:w="2254"/>
      </w:tblGrid>
      <w:tr w:rsidR="0081018F" w:rsidRPr="0060474A" w14:paraId="04C63ECA" w14:textId="77777777" w:rsidTr="004B2E15">
        <w:trPr>
          <w:trHeight w:val="290"/>
          <w:tblHeader/>
        </w:trPr>
        <w:tc>
          <w:tcPr>
            <w:tcW w:w="1250" w:type="pct"/>
            <w:noWrap/>
            <w:hideMark/>
          </w:tcPr>
          <w:p w14:paraId="36EEBAE7" w14:textId="5DA7EF67" w:rsidR="0081018F" w:rsidRPr="0060474A" w:rsidRDefault="002E52FB" w:rsidP="00E51C94">
            <w:pPr>
              <w:pStyle w:val="TableHeading"/>
            </w:pPr>
            <w:r w:rsidRPr="0060474A">
              <w:t>Offence type</w:t>
            </w:r>
          </w:p>
        </w:tc>
        <w:tc>
          <w:tcPr>
            <w:tcW w:w="1250" w:type="pct"/>
            <w:noWrap/>
            <w:hideMark/>
          </w:tcPr>
          <w:p w14:paraId="7F84FED0" w14:textId="44874C45" w:rsidR="0081018F" w:rsidRPr="0060474A" w:rsidRDefault="0081018F" w:rsidP="00E51C94">
            <w:pPr>
              <w:pStyle w:val="TableHeading"/>
            </w:pPr>
            <w:r w:rsidRPr="0060474A">
              <w:t>18 to 19 (5,430</w:t>
            </w:r>
            <w:r w:rsidR="004670E3" w:rsidRPr="0060474A">
              <w:t xml:space="preserve"> cases</w:t>
            </w:r>
            <w:r w:rsidRPr="0060474A">
              <w:t>)</w:t>
            </w:r>
          </w:p>
        </w:tc>
        <w:tc>
          <w:tcPr>
            <w:tcW w:w="1250" w:type="pct"/>
            <w:noWrap/>
            <w:hideMark/>
          </w:tcPr>
          <w:p w14:paraId="2C307C08" w14:textId="1585CBC9" w:rsidR="0081018F" w:rsidRPr="0060474A" w:rsidRDefault="0081018F" w:rsidP="00E51C94">
            <w:pPr>
              <w:pStyle w:val="TableHeading"/>
            </w:pPr>
            <w:r w:rsidRPr="0060474A">
              <w:t>20 to 64 (42,857</w:t>
            </w:r>
            <w:r w:rsidR="004670E3" w:rsidRPr="0060474A">
              <w:t xml:space="preserve"> cases</w:t>
            </w:r>
            <w:r w:rsidRPr="0060474A">
              <w:t>)</w:t>
            </w:r>
          </w:p>
        </w:tc>
        <w:tc>
          <w:tcPr>
            <w:tcW w:w="1250" w:type="pct"/>
            <w:noWrap/>
            <w:hideMark/>
          </w:tcPr>
          <w:p w14:paraId="5B130C28" w14:textId="48E793E5" w:rsidR="0081018F" w:rsidRPr="0060474A" w:rsidRDefault="0081018F" w:rsidP="00E51C94">
            <w:pPr>
              <w:pStyle w:val="TableHeading"/>
            </w:pPr>
            <w:r w:rsidRPr="0060474A">
              <w:t xml:space="preserve">65 </w:t>
            </w:r>
            <w:r w:rsidR="00C729EF" w:rsidRPr="0060474A">
              <w:t>and over</w:t>
            </w:r>
            <w:r w:rsidRPr="0060474A">
              <w:t xml:space="preserve"> (2,343</w:t>
            </w:r>
            <w:r w:rsidR="004670E3" w:rsidRPr="0060474A">
              <w:t xml:space="preserve"> cases</w:t>
            </w:r>
            <w:r w:rsidRPr="0060474A">
              <w:t>)</w:t>
            </w:r>
          </w:p>
        </w:tc>
      </w:tr>
      <w:tr w:rsidR="0081018F" w:rsidRPr="0060474A" w14:paraId="5E6888F3" w14:textId="77777777" w:rsidTr="004B2E15">
        <w:trPr>
          <w:trHeight w:val="290"/>
        </w:trPr>
        <w:tc>
          <w:tcPr>
            <w:tcW w:w="1250" w:type="pct"/>
            <w:noWrap/>
            <w:hideMark/>
          </w:tcPr>
          <w:p w14:paraId="44638035" w14:textId="6E26E420" w:rsidR="0081018F" w:rsidRPr="0060474A" w:rsidRDefault="0081018F" w:rsidP="00E51C94">
            <w:pPr>
              <w:pStyle w:val="TableBody"/>
            </w:pPr>
            <w:r w:rsidRPr="0060474A">
              <w:t>Offences against the person</w:t>
            </w:r>
          </w:p>
        </w:tc>
        <w:tc>
          <w:tcPr>
            <w:tcW w:w="1250" w:type="pct"/>
            <w:noWrap/>
            <w:hideMark/>
          </w:tcPr>
          <w:p w14:paraId="383A4D44" w14:textId="77777777" w:rsidR="0081018F" w:rsidRPr="0060474A" w:rsidRDefault="0081018F" w:rsidP="00E51C94">
            <w:pPr>
              <w:pStyle w:val="TableBody"/>
            </w:pPr>
            <w:r w:rsidRPr="0060474A">
              <w:t>15.3%</w:t>
            </w:r>
          </w:p>
        </w:tc>
        <w:tc>
          <w:tcPr>
            <w:tcW w:w="1250" w:type="pct"/>
            <w:noWrap/>
            <w:hideMark/>
          </w:tcPr>
          <w:p w14:paraId="2FB305A4" w14:textId="77777777" w:rsidR="0081018F" w:rsidRPr="0060474A" w:rsidRDefault="0081018F" w:rsidP="00E51C94">
            <w:pPr>
              <w:pStyle w:val="TableBody"/>
            </w:pPr>
            <w:r w:rsidRPr="0060474A">
              <w:t>25.9%</w:t>
            </w:r>
          </w:p>
        </w:tc>
        <w:tc>
          <w:tcPr>
            <w:tcW w:w="1250" w:type="pct"/>
            <w:noWrap/>
            <w:hideMark/>
          </w:tcPr>
          <w:p w14:paraId="01EC398D" w14:textId="77777777" w:rsidR="0081018F" w:rsidRPr="0060474A" w:rsidRDefault="0081018F" w:rsidP="00E51C94">
            <w:pPr>
              <w:pStyle w:val="TableBody"/>
            </w:pPr>
            <w:r w:rsidRPr="0060474A">
              <w:t>24.5%</w:t>
            </w:r>
          </w:p>
        </w:tc>
      </w:tr>
      <w:tr w:rsidR="0081018F" w:rsidRPr="0060474A" w14:paraId="10FF48B0" w14:textId="77777777" w:rsidTr="004B2E15">
        <w:trPr>
          <w:trHeight w:val="290"/>
        </w:trPr>
        <w:tc>
          <w:tcPr>
            <w:tcW w:w="1250" w:type="pct"/>
            <w:noWrap/>
            <w:hideMark/>
          </w:tcPr>
          <w:p w14:paraId="6B5AAAFE" w14:textId="77777777" w:rsidR="0081018F" w:rsidRPr="0060474A" w:rsidRDefault="0081018F" w:rsidP="00E51C94">
            <w:pPr>
              <w:pStyle w:val="TableBody"/>
            </w:pPr>
            <w:r w:rsidRPr="0060474A">
              <w:t>Property offences</w:t>
            </w:r>
          </w:p>
        </w:tc>
        <w:tc>
          <w:tcPr>
            <w:tcW w:w="1250" w:type="pct"/>
            <w:noWrap/>
            <w:hideMark/>
          </w:tcPr>
          <w:p w14:paraId="105EC584" w14:textId="77777777" w:rsidR="0081018F" w:rsidRPr="0060474A" w:rsidRDefault="0081018F" w:rsidP="00E51C94">
            <w:pPr>
              <w:pStyle w:val="TableBody"/>
            </w:pPr>
            <w:r w:rsidRPr="0060474A">
              <w:t>42.2%</w:t>
            </w:r>
          </w:p>
        </w:tc>
        <w:tc>
          <w:tcPr>
            <w:tcW w:w="1250" w:type="pct"/>
            <w:noWrap/>
            <w:hideMark/>
          </w:tcPr>
          <w:p w14:paraId="1ECC1A85" w14:textId="77777777" w:rsidR="0081018F" w:rsidRPr="0060474A" w:rsidRDefault="0081018F" w:rsidP="00E51C94">
            <w:pPr>
              <w:pStyle w:val="TableBody"/>
            </w:pPr>
            <w:r w:rsidRPr="0060474A">
              <w:t>32.5%</w:t>
            </w:r>
          </w:p>
        </w:tc>
        <w:tc>
          <w:tcPr>
            <w:tcW w:w="1250" w:type="pct"/>
            <w:noWrap/>
            <w:hideMark/>
          </w:tcPr>
          <w:p w14:paraId="17221153" w14:textId="77777777" w:rsidR="0081018F" w:rsidRPr="0060474A" w:rsidRDefault="0081018F" w:rsidP="00E51C94">
            <w:pPr>
              <w:pStyle w:val="TableBody"/>
            </w:pPr>
            <w:r w:rsidRPr="0060474A">
              <w:t>21.0%</w:t>
            </w:r>
          </w:p>
        </w:tc>
      </w:tr>
      <w:tr w:rsidR="00E51C94" w:rsidRPr="0060474A" w14:paraId="4D0621F9" w14:textId="77777777" w:rsidTr="004B2E15">
        <w:trPr>
          <w:trHeight w:val="290"/>
        </w:trPr>
        <w:tc>
          <w:tcPr>
            <w:tcW w:w="1250" w:type="pct"/>
            <w:noWrap/>
            <w:hideMark/>
          </w:tcPr>
          <w:p w14:paraId="2C944FDF" w14:textId="650A8646" w:rsidR="0081018F" w:rsidRPr="0060474A" w:rsidRDefault="0081018F" w:rsidP="00E51C94">
            <w:pPr>
              <w:pStyle w:val="TableBody"/>
            </w:pPr>
            <w:r w:rsidRPr="0060474A">
              <w:t>Traffic offences</w:t>
            </w:r>
          </w:p>
        </w:tc>
        <w:tc>
          <w:tcPr>
            <w:tcW w:w="1250" w:type="pct"/>
            <w:noWrap/>
            <w:hideMark/>
          </w:tcPr>
          <w:p w14:paraId="50C8DFDF" w14:textId="77777777" w:rsidR="0081018F" w:rsidRPr="0060474A" w:rsidRDefault="0081018F" w:rsidP="00E51C94">
            <w:pPr>
              <w:pStyle w:val="TableBody"/>
            </w:pPr>
            <w:r w:rsidRPr="0060474A">
              <w:t>20.7%</w:t>
            </w:r>
          </w:p>
        </w:tc>
        <w:tc>
          <w:tcPr>
            <w:tcW w:w="1250" w:type="pct"/>
            <w:noWrap/>
            <w:hideMark/>
          </w:tcPr>
          <w:p w14:paraId="45416140" w14:textId="77777777" w:rsidR="0081018F" w:rsidRPr="0060474A" w:rsidRDefault="0081018F" w:rsidP="00E51C94">
            <w:pPr>
              <w:pStyle w:val="TableBody"/>
            </w:pPr>
            <w:r w:rsidRPr="0060474A">
              <w:t>12.4%</w:t>
            </w:r>
          </w:p>
        </w:tc>
        <w:tc>
          <w:tcPr>
            <w:tcW w:w="1250" w:type="pct"/>
            <w:noWrap/>
            <w:hideMark/>
          </w:tcPr>
          <w:p w14:paraId="783CBC06" w14:textId="77777777" w:rsidR="0081018F" w:rsidRPr="0060474A" w:rsidRDefault="0081018F" w:rsidP="00E51C94">
            <w:pPr>
              <w:pStyle w:val="TableBody"/>
            </w:pPr>
            <w:r w:rsidRPr="0060474A">
              <w:t>25.6%</w:t>
            </w:r>
          </w:p>
        </w:tc>
      </w:tr>
      <w:tr w:rsidR="00E51C94" w:rsidRPr="0060474A" w14:paraId="46C62927" w14:textId="77777777" w:rsidTr="004B2E15">
        <w:trPr>
          <w:trHeight w:val="290"/>
        </w:trPr>
        <w:tc>
          <w:tcPr>
            <w:tcW w:w="1250" w:type="pct"/>
            <w:noWrap/>
            <w:hideMark/>
          </w:tcPr>
          <w:p w14:paraId="7F522798" w14:textId="5FCE25F0" w:rsidR="0081018F" w:rsidRPr="0060474A" w:rsidRDefault="0081018F" w:rsidP="00E51C94">
            <w:pPr>
              <w:pStyle w:val="TableBody"/>
            </w:pPr>
            <w:r w:rsidRPr="0060474A">
              <w:t>Drug-related offences</w:t>
            </w:r>
          </w:p>
        </w:tc>
        <w:tc>
          <w:tcPr>
            <w:tcW w:w="1250" w:type="pct"/>
            <w:noWrap/>
            <w:hideMark/>
          </w:tcPr>
          <w:p w14:paraId="0DC5DFC4" w14:textId="77777777" w:rsidR="0081018F" w:rsidRPr="0060474A" w:rsidRDefault="0081018F" w:rsidP="00E51C94">
            <w:pPr>
              <w:pStyle w:val="TableBody"/>
            </w:pPr>
            <w:r w:rsidRPr="0060474A">
              <w:t>7.4%</w:t>
            </w:r>
          </w:p>
        </w:tc>
        <w:tc>
          <w:tcPr>
            <w:tcW w:w="1250" w:type="pct"/>
            <w:noWrap/>
            <w:hideMark/>
          </w:tcPr>
          <w:p w14:paraId="7B262B41" w14:textId="77777777" w:rsidR="0081018F" w:rsidRPr="0060474A" w:rsidRDefault="0081018F" w:rsidP="00E51C94">
            <w:pPr>
              <w:pStyle w:val="TableBody"/>
            </w:pPr>
            <w:r w:rsidRPr="0060474A">
              <w:t>7.8%</w:t>
            </w:r>
          </w:p>
        </w:tc>
        <w:tc>
          <w:tcPr>
            <w:tcW w:w="1250" w:type="pct"/>
            <w:noWrap/>
            <w:hideMark/>
          </w:tcPr>
          <w:p w14:paraId="025660A4" w14:textId="77777777" w:rsidR="0081018F" w:rsidRPr="0060474A" w:rsidRDefault="0081018F" w:rsidP="00E51C94">
            <w:pPr>
              <w:pStyle w:val="TableBody"/>
            </w:pPr>
            <w:r w:rsidRPr="0060474A">
              <w:t>1.6%</w:t>
            </w:r>
          </w:p>
        </w:tc>
      </w:tr>
      <w:tr w:rsidR="00E51C94" w:rsidRPr="0060474A" w14:paraId="60B3E498" w14:textId="77777777" w:rsidTr="004B2E15">
        <w:trPr>
          <w:trHeight w:val="290"/>
        </w:trPr>
        <w:tc>
          <w:tcPr>
            <w:tcW w:w="1250" w:type="pct"/>
            <w:noWrap/>
            <w:hideMark/>
          </w:tcPr>
          <w:p w14:paraId="3B259224" w14:textId="12954E2A" w:rsidR="0081018F" w:rsidRPr="0060474A" w:rsidRDefault="0081018F" w:rsidP="00E51C94">
            <w:pPr>
              <w:pStyle w:val="TableBody"/>
            </w:pPr>
            <w:r w:rsidRPr="0060474A">
              <w:t>Other</w:t>
            </w:r>
          </w:p>
        </w:tc>
        <w:tc>
          <w:tcPr>
            <w:tcW w:w="1250" w:type="pct"/>
            <w:noWrap/>
            <w:hideMark/>
          </w:tcPr>
          <w:p w14:paraId="2B6438CF" w14:textId="77777777" w:rsidR="0081018F" w:rsidRPr="0060474A" w:rsidRDefault="0081018F" w:rsidP="00E51C94">
            <w:pPr>
              <w:pStyle w:val="TableBody"/>
            </w:pPr>
            <w:r w:rsidRPr="0060474A">
              <w:t>14.4%</w:t>
            </w:r>
          </w:p>
        </w:tc>
        <w:tc>
          <w:tcPr>
            <w:tcW w:w="1250" w:type="pct"/>
            <w:noWrap/>
            <w:hideMark/>
          </w:tcPr>
          <w:p w14:paraId="3EE42CD9" w14:textId="77777777" w:rsidR="0081018F" w:rsidRPr="0060474A" w:rsidRDefault="0081018F" w:rsidP="00E51C94">
            <w:pPr>
              <w:pStyle w:val="TableBody"/>
            </w:pPr>
            <w:r w:rsidRPr="0060474A">
              <w:t>21.5%</w:t>
            </w:r>
          </w:p>
        </w:tc>
        <w:tc>
          <w:tcPr>
            <w:tcW w:w="1250" w:type="pct"/>
            <w:noWrap/>
            <w:hideMark/>
          </w:tcPr>
          <w:p w14:paraId="52995DE4" w14:textId="77777777" w:rsidR="0081018F" w:rsidRPr="0060474A" w:rsidRDefault="0081018F" w:rsidP="00E51C94">
            <w:pPr>
              <w:pStyle w:val="TableBody"/>
            </w:pPr>
            <w:r w:rsidRPr="0060474A">
              <w:t>27.3%</w:t>
            </w:r>
          </w:p>
        </w:tc>
      </w:tr>
    </w:tbl>
    <w:p w14:paraId="62C8EF1C" w14:textId="6C3DE6D7" w:rsidR="00417C86" w:rsidRPr="0060474A" w:rsidRDefault="00417C86" w:rsidP="00417C86">
      <w:pPr>
        <w:pStyle w:val="Heading2"/>
      </w:pPr>
      <w:r w:rsidRPr="0060474A">
        <w:t>Specific offences in diversion cases</w:t>
      </w:r>
    </w:p>
    <w:p w14:paraId="5189F03E" w14:textId="116A101A" w:rsidR="00417C86" w:rsidRPr="0060474A" w:rsidRDefault="00417C86" w:rsidP="00D74421">
      <w:r w:rsidRPr="0060474A">
        <w:t xml:space="preserve">Beyond high-level offence groupings, it is also useful to examine which </w:t>
      </w:r>
      <w:r w:rsidRPr="0060474A">
        <w:rPr>
          <w:rStyle w:val="Italic"/>
          <w:iCs w:val="0"/>
        </w:rPr>
        <w:t>specific</w:t>
      </w:r>
      <w:r w:rsidRPr="0060474A">
        <w:t xml:space="preserve"> offences were most common in diversion cases. The three most common principal proven offences in all diversion cases were unlawful assault</w:t>
      </w:r>
      <w:r w:rsidRPr="0060474A">
        <w:rPr>
          <w:rStyle w:val="Superscript"/>
        </w:rPr>
        <w:footnoteReference w:id="34"/>
      </w:r>
      <w:r w:rsidRPr="0060474A">
        <w:t xml:space="preserve"> (14.1% or 7,164 cases), theft</w:t>
      </w:r>
      <w:r w:rsidRPr="0060474A">
        <w:rPr>
          <w:rStyle w:val="Superscript"/>
        </w:rPr>
        <w:footnoteReference w:id="35"/>
      </w:r>
      <w:r w:rsidRPr="0060474A">
        <w:t xml:space="preserve"> (13.5% or 6,861 cases) and careless driving</w:t>
      </w:r>
      <w:r w:rsidRPr="0060474A">
        <w:rPr>
          <w:rStyle w:val="Superscript"/>
        </w:rPr>
        <w:footnoteReference w:id="36"/>
      </w:r>
      <w:r w:rsidRPr="0060474A">
        <w:t xml:space="preserve"> (7.8% or 3,968 cases) (Figure 7). Effectively, unlawful assault and careless driving have switched places in prevalence since 2006–07, when careless driving was the most common offence in diversion cases (13.7%) and unlawful assault was the fourth most common (5.8%).</w:t>
      </w:r>
      <w:r w:rsidRPr="0060474A">
        <w:rPr>
          <w:rStyle w:val="Superscript"/>
        </w:rPr>
        <w:footnoteReference w:id="37"/>
      </w:r>
    </w:p>
    <w:p w14:paraId="33D26A05" w14:textId="77777777" w:rsidR="00417C86" w:rsidRPr="0060474A" w:rsidRDefault="00417C86" w:rsidP="00187BBF">
      <w:pPr>
        <w:pStyle w:val="Caption"/>
      </w:pPr>
      <w:r w:rsidRPr="0060474A">
        <w:lastRenderedPageBreak/>
        <w:t>Figure 7: The five most common principal proven offences in diversion cases (50,988 cases)</w:t>
      </w:r>
    </w:p>
    <w:tbl>
      <w:tblPr>
        <w:tblStyle w:val="Table"/>
        <w:tblW w:w="5000" w:type="pct"/>
        <w:tblLook w:val="04A0" w:firstRow="1" w:lastRow="0" w:firstColumn="1" w:lastColumn="0" w:noHBand="0" w:noVBand="1"/>
      </w:tblPr>
      <w:tblGrid>
        <w:gridCol w:w="3005"/>
        <w:gridCol w:w="3005"/>
        <w:gridCol w:w="3006"/>
      </w:tblGrid>
      <w:tr w:rsidR="00B66D95" w:rsidRPr="0060474A" w14:paraId="07EB5CD8" w14:textId="77777777" w:rsidTr="0089310C">
        <w:trPr>
          <w:trHeight w:val="290"/>
          <w:tblHeader/>
        </w:trPr>
        <w:tc>
          <w:tcPr>
            <w:tcW w:w="1666" w:type="pct"/>
            <w:noWrap/>
            <w:hideMark/>
          </w:tcPr>
          <w:p w14:paraId="29B286D1" w14:textId="3638CA70" w:rsidR="00B66D95" w:rsidRPr="0060474A" w:rsidRDefault="00B66D95" w:rsidP="00526D81">
            <w:pPr>
              <w:pStyle w:val="TableHeading"/>
            </w:pPr>
            <w:r w:rsidRPr="0060474A">
              <w:t>Offence</w:t>
            </w:r>
          </w:p>
        </w:tc>
        <w:tc>
          <w:tcPr>
            <w:tcW w:w="1666" w:type="pct"/>
          </w:tcPr>
          <w:p w14:paraId="159052B5" w14:textId="7FE8B57C" w:rsidR="00B66D95" w:rsidRPr="0060474A" w:rsidRDefault="00B66D95" w:rsidP="000027A4">
            <w:pPr>
              <w:pStyle w:val="TableHeading"/>
            </w:pPr>
            <w:r w:rsidRPr="0060474A">
              <w:t>Number</w:t>
            </w:r>
          </w:p>
        </w:tc>
        <w:tc>
          <w:tcPr>
            <w:tcW w:w="1667" w:type="pct"/>
            <w:noWrap/>
            <w:hideMark/>
          </w:tcPr>
          <w:p w14:paraId="40EAB9EC" w14:textId="1D3BAE09" w:rsidR="00B66D95" w:rsidRPr="0060474A" w:rsidRDefault="00B66D95" w:rsidP="000027A4">
            <w:pPr>
              <w:pStyle w:val="TableHeading"/>
            </w:pPr>
            <w:r w:rsidRPr="0060474A">
              <w:t>Percentage</w:t>
            </w:r>
          </w:p>
        </w:tc>
      </w:tr>
      <w:tr w:rsidR="00B66D95" w:rsidRPr="0060474A" w14:paraId="172867F8" w14:textId="77777777" w:rsidTr="0089310C">
        <w:trPr>
          <w:trHeight w:val="290"/>
        </w:trPr>
        <w:tc>
          <w:tcPr>
            <w:tcW w:w="1666" w:type="pct"/>
            <w:noWrap/>
            <w:hideMark/>
          </w:tcPr>
          <w:p w14:paraId="6B55703B" w14:textId="59982028" w:rsidR="00B66D95" w:rsidRPr="0060474A" w:rsidRDefault="00B66D95" w:rsidP="00B66D95">
            <w:pPr>
              <w:pStyle w:val="TableBody"/>
            </w:pPr>
            <w:r w:rsidRPr="0060474A">
              <w:t>Unlawful assault</w:t>
            </w:r>
          </w:p>
        </w:tc>
        <w:tc>
          <w:tcPr>
            <w:tcW w:w="1666" w:type="pct"/>
          </w:tcPr>
          <w:p w14:paraId="0D77128E" w14:textId="7422CF98" w:rsidR="00B66D95" w:rsidRPr="0060474A" w:rsidRDefault="00DE2478" w:rsidP="00BC2E77">
            <w:pPr>
              <w:pStyle w:val="TableBody"/>
            </w:pPr>
            <w:r w:rsidRPr="0060474A">
              <w:t>7,164</w:t>
            </w:r>
          </w:p>
        </w:tc>
        <w:tc>
          <w:tcPr>
            <w:tcW w:w="1667" w:type="pct"/>
            <w:noWrap/>
            <w:hideMark/>
          </w:tcPr>
          <w:p w14:paraId="47BF7641" w14:textId="5CC1AF83" w:rsidR="00B66D95" w:rsidRPr="0060474A" w:rsidRDefault="00B66D95" w:rsidP="00BC2E77">
            <w:pPr>
              <w:pStyle w:val="TableBody"/>
            </w:pPr>
            <w:r w:rsidRPr="0060474A">
              <w:t>14.1%</w:t>
            </w:r>
          </w:p>
        </w:tc>
      </w:tr>
      <w:tr w:rsidR="00B66D95" w:rsidRPr="0060474A" w14:paraId="52ADC25E" w14:textId="77777777" w:rsidTr="0089310C">
        <w:trPr>
          <w:trHeight w:val="290"/>
        </w:trPr>
        <w:tc>
          <w:tcPr>
            <w:tcW w:w="1666" w:type="pct"/>
            <w:noWrap/>
            <w:hideMark/>
          </w:tcPr>
          <w:p w14:paraId="04294C18" w14:textId="0A230F0F" w:rsidR="00B66D95" w:rsidRPr="0060474A" w:rsidRDefault="00B66D95" w:rsidP="00B66D95">
            <w:pPr>
              <w:pStyle w:val="TableBody"/>
            </w:pPr>
            <w:r w:rsidRPr="0060474A">
              <w:t>Theft</w:t>
            </w:r>
          </w:p>
        </w:tc>
        <w:tc>
          <w:tcPr>
            <w:tcW w:w="1666" w:type="pct"/>
          </w:tcPr>
          <w:p w14:paraId="6928D73A" w14:textId="2D94DE86" w:rsidR="00B66D95" w:rsidRPr="0060474A" w:rsidRDefault="00DE2478" w:rsidP="00BC2E77">
            <w:pPr>
              <w:pStyle w:val="TableBody"/>
            </w:pPr>
            <w:r w:rsidRPr="0060474A">
              <w:t>6,861</w:t>
            </w:r>
          </w:p>
        </w:tc>
        <w:tc>
          <w:tcPr>
            <w:tcW w:w="1667" w:type="pct"/>
            <w:noWrap/>
            <w:hideMark/>
          </w:tcPr>
          <w:p w14:paraId="3F58F4A2" w14:textId="2C0F7C85" w:rsidR="00B66D95" w:rsidRPr="0060474A" w:rsidRDefault="00B66D95" w:rsidP="00BC2E77">
            <w:pPr>
              <w:pStyle w:val="TableBody"/>
            </w:pPr>
            <w:r w:rsidRPr="0060474A">
              <w:t>13.5%</w:t>
            </w:r>
          </w:p>
        </w:tc>
      </w:tr>
      <w:tr w:rsidR="00B66D95" w:rsidRPr="0060474A" w14:paraId="38E1A4EC" w14:textId="77777777" w:rsidTr="0089310C">
        <w:trPr>
          <w:trHeight w:val="290"/>
        </w:trPr>
        <w:tc>
          <w:tcPr>
            <w:tcW w:w="1666" w:type="pct"/>
            <w:noWrap/>
            <w:hideMark/>
          </w:tcPr>
          <w:p w14:paraId="6F066FFB" w14:textId="68E2AC08" w:rsidR="00B66D95" w:rsidRPr="0060474A" w:rsidRDefault="00B66D95" w:rsidP="00B66D95">
            <w:pPr>
              <w:pStyle w:val="TableBody"/>
            </w:pPr>
            <w:r w:rsidRPr="0060474A">
              <w:t>Careless driving</w:t>
            </w:r>
          </w:p>
        </w:tc>
        <w:tc>
          <w:tcPr>
            <w:tcW w:w="1666" w:type="pct"/>
          </w:tcPr>
          <w:p w14:paraId="46A39DCC" w14:textId="6E22957A" w:rsidR="00B66D95" w:rsidRPr="0060474A" w:rsidRDefault="00DE2478" w:rsidP="00BC2E77">
            <w:pPr>
              <w:pStyle w:val="TableBody"/>
            </w:pPr>
            <w:r w:rsidRPr="0060474A">
              <w:t>3,968</w:t>
            </w:r>
          </w:p>
        </w:tc>
        <w:tc>
          <w:tcPr>
            <w:tcW w:w="1667" w:type="pct"/>
            <w:noWrap/>
            <w:hideMark/>
          </w:tcPr>
          <w:p w14:paraId="6502D63C" w14:textId="5ED5AEE6" w:rsidR="00B66D95" w:rsidRPr="0060474A" w:rsidRDefault="00B66D95" w:rsidP="00BC2E77">
            <w:pPr>
              <w:pStyle w:val="TableBody"/>
            </w:pPr>
            <w:r w:rsidRPr="0060474A">
              <w:t>7.8%</w:t>
            </w:r>
          </w:p>
        </w:tc>
      </w:tr>
      <w:tr w:rsidR="00B66D95" w:rsidRPr="0060474A" w14:paraId="49A56926" w14:textId="77777777" w:rsidTr="0089310C">
        <w:trPr>
          <w:trHeight w:val="290"/>
        </w:trPr>
        <w:tc>
          <w:tcPr>
            <w:tcW w:w="1666" w:type="pct"/>
            <w:noWrap/>
            <w:hideMark/>
          </w:tcPr>
          <w:p w14:paraId="4380C581" w14:textId="5A922717" w:rsidR="00B66D95" w:rsidRPr="0060474A" w:rsidRDefault="00B66D95" w:rsidP="00B66D95">
            <w:pPr>
              <w:pStyle w:val="TableBody"/>
            </w:pPr>
            <w:r w:rsidRPr="0060474A">
              <w:t>Criminal damage</w:t>
            </w:r>
          </w:p>
        </w:tc>
        <w:tc>
          <w:tcPr>
            <w:tcW w:w="1666" w:type="pct"/>
          </w:tcPr>
          <w:p w14:paraId="50C8197B" w14:textId="73093132" w:rsidR="00B66D95" w:rsidRPr="0060474A" w:rsidRDefault="00DE2478" w:rsidP="00BC2E77">
            <w:pPr>
              <w:pStyle w:val="TableBody"/>
            </w:pPr>
            <w:r w:rsidRPr="0060474A">
              <w:t>3,610</w:t>
            </w:r>
          </w:p>
        </w:tc>
        <w:tc>
          <w:tcPr>
            <w:tcW w:w="1667" w:type="pct"/>
            <w:noWrap/>
            <w:hideMark/>
          </w:tcPr>
          <w:p w14:paraId="3E25C28D" w14:textId="0DE978B3" w:rsidR="00B66D95" w:rsidRPr="0060474A" w:rsidRDefault="00B66D95" w:rsidP="00BC2E77">
            <w:pPr>
              <w:pStyle w:val="TableBody"/>
            </w:pPr>
            <w:r w:rsidRPr="0060474A">
              <w:t>7.1%</w:t>
            </w:r>
          </w:p>
        </w:tc>
      </w:tr>
      <w:tr w:rsidR="00B66D95" w:rsidRPr="0060474A" w14:paraId="39A734AC" w14:textId="77777777" w:rsidTr="0089310C">
        <w:trPr>
          <w:trHeight w:val="290"/>
        </w:trPr>
        <w:tc>
          <w:tcPr>
            <w:tcW w:w="1666" w:type="pct"/>
            <w:noWrap/>
            <w:hideMark/>
          </w:tcPr>
          <w:p w14:paraId="69BFAD0C" w14:textId="0AFBFF17" w:rsidR="00B66D95" w:rsidRPr="0060474A" w:rsidRDefault="00B66D95" w:rsidP="00B66D95">
            <w:pPr>
              <w:pStyle w:val="TableBody"/>
            </w:pPr>
            <w:r w:rsidRPr="0060474A">
              <w:t>Cause injury recklessly</w:t>
            </w:r>
          </w:p>
        </w:tc>
        <w:tc>
          <w:tcPr>
            <w:tcW w:w="1666" w:type="pct"/>
          </w:tcPr>
          <w:p w14:paraId="6C4B067B" w14:textId="1DC2033E" w:rsidR="00B66D95" w:rsidRPr="0060474A" w:rsidRDefault="00DE2478" w:rsidP="00BC2E77">
            <w:pPr>
              <w:pStyle w:val="TableBody"/>
            </w:pPr>
            <w:r w:rsidRPr="0060474A">
              <w:t>2,071</w:t>
            </w:r>
          </w:p>
        </w:tc>
        <w:tc>
          <w:tcPr>
            <w:tcW w:w="1667" w:type="pct"/>
            <w:noWrap/>
            <w:hideMark/>
          </w:tcPr>
          <w:p w14:paraId="795E81D1" w14:textId="27867534" w:rsidR="00B66D95" w:rsidRPr="0060474A" w:rsidRDefault="00B66D95" w:rsidP="00BC2E77">
            <w:pPr>
              <w:pStyle w:val="TableBody"/>
            </w:pPr>
            <w:r w:rsidRPr="0060474A">
              <w:t>4.1%</w:t>
            </w:r>
          </w:p>
        </w:tc>
      </w:tr>
      <w:tr w:rsidR="00B66D95" w:rsidRPr="0060474A" w14:paraId="59CB8824" w14:textId="77777777" w:rsidTr="0089310C">
        <w:trPr>
          <w:trHeight w:val="290"/>
        </w:trPr>
        <w:tc>
          <w:tcPr>
            <w:tcW w:w="1666" w:type="pct"/>
            <w:noWrap/>
            <w:hideMark/>
          </w:tcPr>
          <w:p w14:paraId="5E9C8D2A" w14:textId="49E93B8F" w:rsidR="00B66D95" w:rsidRPr="0060474A" w:rsidRDefault="00B66D95" w:rsidP="00B66D95">
            <w:pPr>
              <w:pStyle w:val="TableBody"/>
            </w:pPr>
            <w:r w:rsidRPr="0060474A">
              <w:t>Other</w:t>
            </w:r>
          </w:p>
        </w:tc>
        <w:tc>
          <w:tcPr>
            <w:tcW w:w="1666" w:type="pct"/>
          </w:tcPr>
          <w:p w14:paraId="0482BF5F" w14:textId="2D35AD81" w:rsidR="00B66D95" w:rsidRPr="0060474A" w:rsidRDefault="00DE2478" w:rsidP="00BC2E77">
            <w:pPr>
              <w:pStyle w:val="TableBody"/>
            </w:pPr>
            <w:r w:rsidRPr="0060474A">
              <w:t>27,314</w:t>
            </w:r>
          </w:p>
        </w:tc>
        <w:tc>
          <w:tcPr>
            <w:tcW w:w="1667" w:type="pct"/>
            <w:noWrap/>
            <w:hideMark/>
          </w:tcPr>
          <w:p w14:paraId="36E06691" w14:textId="15449E8A" w:rsidR="00B66D95" w:rsidRPr="0060474A" w:rsidRDefault="00B66D95" w:rsidP="00BC2E77">
            <w:pPr>
              <w:pStyle w:val="TableBody"/>
            </w:pPr>
            <w:r w:rsidRPr="0060474A">
              <w:t>53.6%</w:t>
            </w:r>
          </w:p>
        </w:tc>
      </w:tr>
    </w:tbl>
    <w:p w14:paraId="0E21FD4C" w14:textId="77777777" w:rsidR="00417C86" w:rsidRPr="0060474A" w:rsidRDefault="00417C86" w:rsidP="004F2FCB">
      <w:r w:rsidRPr="0060474A">
        <w:t xml:space="preserve">The offence types in diversion cases varied by offender demographics and case characteristics: </w:t>
      </w:r>
    </w:p>
    <w:p w14:paraId="48FF1404" w14:textId="77777777" w:rsidR="00417C86" w:rsidRPr="0060474A" w:rsidRDefault="00417C86" w:rsidP="00D74421">
      <w:pPr>
        <w:pStyle w:val="Bullets"/>
      </w:pPr>
      <w:r w:rsidRPr="0060474A">
        <w:rPr>
          <w:b/>
          <w:bCs/>
        </w:rPr>
        <w:t>Gender</w:t>
      </w:r>
      <w:r w:rsidRPr="0060474A">
        <w:t>: unlawful assault was the most common offence in both men’s and women’s diversion cases (14.2% and 13.8% respectively). However, the offence of shop-theft was four times more prevalent in women’s diversion cases (13.6%) than in men’s (3.7%), whereas criminal damage was more common in men’s diversion cases (8.1% compared to 5.0% of women’s diversion cases).</w:t>
      </w:r>
    </w:p>
    <w:p w14:paraId="7CAFBB43" w14:textId="77777777" w:rsidR="00417C86" w:rsidRPr="0060474A" w:rsidRDefault="00417C86" w:rsidP="00D74421">
      <w:pPr>
        <w:pStyle w:val="Bullets"/>
      </w:pPr>
      <w:r w:rsidRPr="0060474A">
        <w:rPr>
          <w:b/>
          <w:bCs/>
        </w:rPr>
        <w:t>Age</w:t>
      </w:r>
      <w:r w:rsidRPr="0060474A">
        <w:t xml:space="preserve">: in diversion cases for offenders aged 18 to 19, the most common offence was careless driving (15.5%), followed by criminal damage (9.3%) and unlawful assault (7.4%). The offence profile for younger people receiving diversion plans was therefore notably different from the offence profile for older people, for whom unlawful assault was the most common offence in diversion cases. For instance, for people aged 65 and over, the most common offences in diversion cases were unlawful assault (14.6%) and careless driving (9.4%), and for people aged 20 to 64, the most common offences were unlawful assault (14.9%), criminal damage (7.1%) and shop-theft (6.9%) with careless driving being the fourth most common offence (6.8%). </w:t>
      </w:r>
    </w:p>
    <w:p w14:paraId="7CAFE30F" w14:textId="77777777" w:rsidR="00417C86" w:rsidRPr="0060474A" w:rsidRDefault="00417C86" w:rsidP="00D74421">
      <w:pPr>
        <w:pStyle w:val="Bullets"/>
      </w:pPr>
      <w:r w:rsidRPr="0060474A">
        <w:rPr>
          <w:b/>
          <w:bCs/>
        </w:rPr>
        <w:t>Family violence</w:t>
      </w:r>
      <w:r w:rsidRPr="0060474A">
        <w:t xml:space="preserve">: noting that a family violence indicator was only available from July 2015 onwards (31,076 diversion cases), unlawful assault was still the most common offence in diversion cases both with and without a family violence flag, but at vastly </w:t>
      </w:r>
      <w:r w:rsidRPr="0060474A">
        <w:lastRenderedPageBreak/>
        <w:t>different rates (36.1% of diversion cases with a family violence flag, and 10.6% of diversion cases without a family violence flag). Unsurprisingly, breaching a family violence intervention order or safety notice, including breaches intended to cause harm or fear, and persistent breaches, represented another one-quarter of diversion cases with a family violence flag (25.4%), whereas the next most common offences were shop-theft (9.0%) and careless driving (8.7%) in diversion cases without a family violence flag.</w:t>
      </w:r>
    </w:p>
    <w:p w14:paraId="02A6C20B" w14:textId="77777777" w:rsidR="00417C86" w:rsidRPr="0060474A" w:rsidRDefault="00417C86" w:rsidP="00417C86">
      <w:pPr>
        <w:pStyle w:val="Heading2"/>
      </w:pPr>
      <w:r w:rsidRPr="0060474A">
        <w:t>Conditions of diversion plans</w:t>
      </w:r>
    </w:p>
    <w:p w14:paraId="526EE2C2" w14:textId="77777777" w:rsidR="00417C86" w:rsidRPr="0060474A" w:rsidRDefault="00417C86" w:rsidP="00D74421">
      <w:r w:rsidRPr="0060474A">
        <w:t>Most diversion plans had three or fewer conditions (85.8%), with a median of two conditions per diversion plan (Figure 8).</w:t>
      </w:r>
      <w:r w:rsidRPr="0060474A">
        <w:rPr>
          <w:rStyle w:val="Superscript"/>
        </w:rPr>
        <w:footnoteReference w:id="38"/>
      </w:r>
      <w:r w:rsidRPr="0060474A">
        <w:t xml:space="preserve"> There were 13 cases involving 10 or more conditions, the most being 17 conditions (in two cases). The defendants in these two cases both had 13 separate compensation conditions, two letters of apology or gratitude, one donation condition and one good behaviour condition. </w:t>
      </w:r>
    </w:p>
    <w:p w14:paraId="02FE0041" w14:textId="77777777" w:rsidR="00417C86" w:rsidRPr="0060474A" w:rsidRDefault="00417C86" w:rsidP="00187BBF">
      <w:pPr>
        <w:pStyle w:val="Caption"/>
      </w:pPr>
      <w:r w:rsidRPr="0060474A">
        <w:t>Figure 8: Number of conditions in diversion plans (46,612 cases)</w:t>
      </w:r>
    </w:p>
    <w:tbl>
      <w:tblPr>
        <w:tblStyle w:val="Table"/>
        <w:tblW w:w="5000" w:type="pct"/>
        <w:tblLook w:val="04A0" w:firstRow="1" w:lastRow="0" w:firstColumn="1" w:lastColumn="0" w:noHBand="0" w:noVBand="1"/>
      </w:tblPr>
      <w:tblGrid>
        <w:gridCol w:w="4508"/>
        <w:gridCol w:w="4508"/>
      </w:tblGrid>
      <w:tr w:rsidR="001F1589" w:rsidRPr="0060474A" w14:paraId="5A2856A6" w14:textId="77777777" w:rsidTr="005A75E9">
        <w:trPr>
          <w:trHeight w:val="290"/>
          <w:tblHeader/>
        </w:trPr>
        <w:tc>
          <w:tcPr>
            <w:tcW w:w="2500" w:type="pct"/>
            <w:noWrap/>
            <w:hideMark/>
          </w:tcPr>
          <w:p w14:paraId="066D147F" w14:textId="472C08D5" w:rsidR="001F1589" w:rsidRPr="0060474A" w:rsidRDefault="001F1589" w:rsidP="00C71FEC">
            <w:pPr>
              <w:pStyle w:val="TableHeading"/>
            </w:pPr>
            <w:r w:rsidRPr="0060474A">
              <w:t>Number</w:t>
            </w:r>
          </w:p>
        </w:tc>
        <w:tc>
          <w:tcPr>
            <w:tcW w:w="2500" w:type="pct"/>
            <w:noWrap/>
            <w:hideMark/>
          </w:tcPr>
          <w:p w14:paraId="2CA1E704" w14:textId="77777777" w:rsidR="001F1589" w:rsidRPr="0060474A" w:rsidRDefault="001F1589" w:rsidP="00C71FEC">
            <w:pPr>
              <w:pStyle w:val="TableHeading"/>
            </w:pPr>
            <w:r w:rsidRPr="0060474A">
              <w:t>Percentage</w:t>
            </w:r>
          </w:p>
        </w:tc>
      </w:tr>
      <w:tr w:rsidR="001F1589" w:rsidRPr="0060474A" w14:paraId="4C03A74A" w14:textId="77777777" w:rsidTr="005A75E9">
        <w:trPr>
          <w:trHeight w:val="290"/>
        </w:trPr>
        <w:tc>
          <w:tcPr>
            <w:tcW w:w="2500" w:type="pct"/>
            <w:noWrap/>
            <w:hideMark/>
          </w:tcPr>
          <w:p w14:paraId="5891021C" w14:textId="77777777" w:rsidR="001F1589" w:rsidRPr="0060474A" w:rsidRDefault="001F1589" w:rsidP="00C71FEC">
            <w:pPr>
              <w:pStyle w:val="TableBody"/>
            </w:pPr>
            <w:r w:rsidRPr="0060474A">
              <w:t>1 condition</w:t>
            </w:r>
          </w:p>
        </w:tc>
        <w:tc>
          <w:tcPr>
            <w:tcW w:w="2500" w:type="pct"/>
            <w:noWrap/>
            <w:hideMark/>
          </w:tcPr>
          <w:p w14:paraId="0E0AB663" w14:textId="77777777" w:rsidR="001F1589" w:rsidRPr="0060474A" w:rsidRDefault="001F1589" w:rsidP="00C71FEC">
            <w:pPr>
              <w:pStyle w:val="TableBody"/>
            </w:pPr>
            <w:r w:rsidRPr="0060474A">
              <w:t>22.0%</w:t>
            </w:r>
          </w:p>
        </w:tc>
      </w:tr>
      <w:tr w:rsidR="001F1589" w:rsidRPr="0060474A" w14:paraId="590CCA5D" w14:textId="77777777" w:rsidTr="005A75E9">
        <w:trPr>
          <w:trHeight w:val="290"/>
        </w:trPr>
        <w:tc>
          <w:tcPr>
            <w:tcW w:w="2500" w:type="pct"/>
            <w:noWrap/>
            <w:hideMark/>
          </w:tcPr>
          <w:p w14:paraId="4335ABFB" w14:textId="77777777" w:rsidR="001F1589" w:rsidRPr="0060474A" w:rsidRDefault="001F1589" w:rsidP="00C71FEC">
            <w:pPr>
              <w:pStyle w:val="TableBody"/>
            </w:pPr>
            <w:r w:rsidRPr="0060474A">
              <w:t>2 conditions</w:t>
            </w:r>
          </w:p>
        </w:tc>
        <w:tc>
          <w:tcPr>
            <w:tcW w:w="2500" w:type="pct"/>
            <w:noWrap/>
            <w:hideMark/>
          </w:tcPr>
          <w:p w14:paraId="749A2866" w14:textId="77777777" w:rsidR="001F1589" w:rsidRPr="0060474A" w:rsidRDefault="001F1589" w:rsidP="00C71FEC">
            <w:pPr>
              <w:pStyle w:val="TableBody"/>
            </w:pPr>
            <w:r w:rsidRPr="0060474A">
              <w:t>36.4%</w:t>
            </w:r>
          </w:p>
        </w:tc>
      </w:tr>
      <w:tr w:rsidR="001F1589" w:rsidRPr="0060474A" w14:paraId="16BB9DD7" w14:textId="77777777" w:rsidTr="005A75E9">
        <w:trPr>
          <w:trHeight w:val="290"/>
        </w:trPr>
        <w:tc>
          <w:tcPr>
            <w:tcW w:w="2500" w:type="pct"/>
            <w:noWrap/>
            <w:hideMark/>
          </w:tcPr>
          <w:p w14:paraId="5ABC2E9F" w14:textId="77777777" w:rsidR="001F1589" w:rsidRPr="0060474A" w:rsidRDefault="001F1589" w:rsidP="00C71FEC">
            <w:pPr>
              <w:pStyle w:val="TableBody"/>
            </w:pPr>
            <w:r w:rsidRPr="0060474A">
              <w:t>3 conditions</w:t>
            </w:r>
          </w:p>
        </w:tc>
        <w:tc>
          <w:tcPr>
            <w:tcW w:w="2500" w:type="pct"/>
            <w:noWrap/>
            <w:hideMark/>
          </w:tcPr>
          <w:p w14:paraId="67287920" w14:textId="77777777" w:rsidR="001F1589" w:rsidRPr="0060474A" w:rsidRDefault="001F1589" w:rsidP="00C71FEC">
            <w:pPr>
              <w:pStyle w:val="TableBody"/>
            </w:pPr>
            <w:r w:rsidRPr="0060474A">
              <w:t>27.4%</w:t>
            </w:r>
          </w:p>
        </w:tc>
      </w:tr>
      <w:tr w:rsidR="001F1589" w:rsidRPr="0060474A" w14:paraId="00854D64" w14:textId="77777777" w:rsidTr="005A75E9">
        <w:trPr>
          <w:trHeight w:val="290"/>
        </w:trPr>
        <w:tc>
          <w:tcPr>
            <w:tcW w:w="2500" w:type="pct"/>
            <w:noWrap/>
            <w:hideMark/>
          </w:tcPr>
          <w:p w14:paraId="36A30178" w14:textId="77777777" w:rsidR="001F1589" w:rsidRPr="0060474A" w:rsidRDefault="001F1589" w:rsidP="00C71FEC">
            <w:pPr>
              <w:pStyle w:val="TableBody"/>
            </w:pPr>
            <w:r w:rsidRPr="0060474A">
              <w:t>4 conditions</w:t>
            </w:r>
          </w:p>
        </w:tc>
        <w:tc>
          <w:tcPr>
            <w:tcW w:w="2500" w:type="pct"/>
            <w:noWrap/>
            <w:hideMark/>
          </w:tcPr>
          <w:p w14:paraId="05D2BC0F" w14:textId="77777777" w:rsidR="001F1589" w:rsidRPr="0060474A" w:rsidRDefault="001F1589" w:rsidP="00C71FEC">
            <w:pPr>
              <w:pStyle w:val="TableBody"/>
            </w:pPr>
            <w:r w:rsidRPr="0060474A">
              <w:t>11.0%</w:t>
            </w:r>
          </w:p>
        </w:tc>
      </w:tr>
      <w:tr w:rsidR="001F1589" w:rsidRPr="0060474A" w14:paraId="3689A397" w14:textId="77777777" w:rsidTr="005A75E9">
        <w:trPr>
          <w:trHeight w:val="290"/>
        </w:trPr>
        <w:tc>
          <w:tcPr>
            <w:tcW w:w="2500" w:type="pct"/>
            <w:noWrap/>
            <w:hideMark/>
          </w:tcPr>
          <w:p w14:paraId="14F6A2D0" w14:textId="77777777" w:rsidR="001F1589" w:rsidRPr="0060474A" w:rsidRDefault="001F1589" w:rsidP="00C71FEC">
            <w:pPr>
              <w:pStyle w:val="TableBody"/>
            </w:pPr>
            <w:r w:rsidRPr="0060474A">
              <w:t>5 or more conditions</w:t>
            </w:r>
          </w:p>
        </w:tc>
        <w:tc>
          <w:tcPr>
            <w:tcW w:w="2500" w:type="pct"/>
            <w:noWrap/>
            <w:hideMark/>
          </w:tcPr>
          <w:p w14:paraId="67D020DD" w14:textId="77777777" w:rsidR="001F1589" w:rsidRPr="0060474A" w:rsidRDefault="001F1589" w:rsidP="00C71FEC">
            <w:pPr>
              <w:pStyle w:val="TableBody"/>
            </w:pPr>
            <w:r w:rsidRPr="0060474A">
              <w:t>3.2%</w:t>
            </w:r>
          </w:p>
        </w:tc>
      </w:tr>
    </w:tbl>
    <w:p w14:paraId="248B46A1" w14:textId="77777777" w:rsidR="00417C86" w:rsidRPr="0060474A" w:rsidRDefault="00417C86" w:rsidP="00D74421">
      <w:r w:rsidRPr="0060474A">
        <w:t xml:space="preserve">As shown in Figure 9, the three most common conditions of diversion plans were to be of good behaviour (68.0%), to make a donation to either </w:t>
      </w:r>
      <w:r w:rsidRPr="0060474A">
        <w:lastRenderedPageBreak/>
        <w:t>the Court Fund or a particular charity (63.6%),</w:t>
      </w:r>
      <w:r w:rsidRPr="0060474A">
        <w:rPr>
          <w:rStyle w:val="Superscript"/>
        </w:rPr>
        <w:footnoteReference w:id="39"/>
      </w:r>
      <w:r w:rsidRPr="0060474A">
        <w:t xml:space="preserve"> and to write a letter of apology to the victim or a letter of gratitude to the informant (47.1%).</w:t>
      </w:r>
    </w:p>
    <w:p w14:paraId="0E215633" w14:textId="77777777" w:rsidR="00417C86" w:rsidRPr="0060474A" w:rsidRDefault="00417C86" w:rsidP="00187BBF">
      <w:pPr>
        <w:pStyle w:val="Caption"/>
      </w:pPr>
      <w:r w:rsidRPr="0060474A">
        <w:t>Figure 9: Conditions of diversion plans (46,671 cases)</w:t>
      </w:r>
    </w:p>
    <w:tbl>
      <w:tblPr>
        <w:tblStyle w:val="Table"/>
        <w:tblW w:w="5000" w:type="pct"/>
        <w:tblLook w:val="04A0" w:firstRow="1" w:lastRow="0" w:firstColumn="1" w:lastColumn="0" w:noHBand="0" w:noVBand="1"/>
      </w:tblPr>
      <w:tblGrid>
        <w:gridCol w:w="4508"/>
        <w:gridCol w:w="4508"/>
      </w:tblGrid>
      <w:tr w:rsidR="00203108" w:rsidRPr="0060474A" w14:paraId="1FA29F76" w14:textId="77777777" w:rsidTr="00331822">
        <w:trPr>
          <w:trHeight w:val="290"/>
          <w:tblHeader/>
        </w:trPr>
        <w:tc>
          <w:tcPr>
            <w:tcW w:w="2500" w:type="pct"/>
            <w:noWrap/>
            <w:hideMark/>
          </w:tcPr>
          <w:p w14:paraId="740BDB35" w14:textId="264DF039" w:rsidR="00203108" w:rsidRPr="0060474A" w:rsidRDefault="00203108" w:rsidP="006202AF">
            <w:pPr>
              <w:pStyle w:val="TableHeading"/>
            </w:pPr>
            <w:r w:rsidRPr="0060474A">
              <w:t>Condition</w:t>
            </w:r>
          </w:p>
        </w:tc>
        <w:tc>
          <w:tcPr>
            <w:tcW w:w="2500" w:type="pct"/>
            <w:noWrap/>
            <w:hideMark/>
          </w:tcPr>
          <w:p w14:paraId="4C52CD81" w14:textId="77777777" w:rsidR="00203108" w:rsidRPr="0060474A" w:rsidRDefault="00203108" w:rsidP="006202AF">
            <w:pPr>
              <w:pStyle w:val="TableHeading"/>
            </w:pPr>
            <w:r w:rsidRPr="0060474A">
              <w:t>Percentage</w:t>
            </w:r>
          </w:p>
        </w:tc>
      </w:tr>
      <w:tr w:rsidR="00203108" w:rsidRPr="0060474A" w14:paraId="327F5EDE" w14:textId="77777777" w:rsidTr="006202AF">
        <w:trPr>
          <w:trHeight w:val="290"/>
        </w:trPr>
        <w:tc>
          <w:tcPr>
            <w:tcW w:w="2500" w:type="pct"/>
            <w:noWrap/>
            <w:hideMark/>
          </w:tcPr>
          <w:p w14:paraId="03649D3C" w14:textId="77777777" w:rsidR="00203108" w:rsidRPr="0060474A" w:rsidRDefault="00203108" w:rsidP="00203108">
            <w:pPr>
              <w:pStyle w:val="TableBody"/>
            </w:pPr>
            <w:r w:rsidRPr="0060474A">
              <w:t>Good behaviour</w:t>
            </w:r>
          </w:p>
        </w:tc>
        <w:tc>
          <w:tcPr>
            <w:tcW w:w="2500" w:type="pct"/>
            <w:noWrap/>
            <w:hideMark/>
          </w:tcPr>
          <w:p w14:paraId="114C2DA2" w14:textId="77777777" w:rsidR="00203108" w:rsidRPr="0060474A" w:rsidRDefault="00203108" w:rsidP="00203108">
            <w:pPr>
              <w:pStyle w:val="TableBody"/>
            </w:pPr>
            <w:r w:rsidRPr="0060474A">
              <w:t>68.0%</w:t>
            </w:r>
          </w:p>
        </w:tc>
      </w:tr>
      <w:tr w:rsidR="00203108" w:rsidRPr="0060474A" w14:paraId="6A83491E" w14:textId="77777777" w:rsidTr="006202AF">
        <w:trPr>
          <w:trHeight w:val="290"/>
        </w:trPr>
        <w:tc>
          <w:tcPr>
            <w:tcW w:w="2500" w:type="pct"/>
            <w:noWrap/>
            <w:hideMark/>
          </w:tcPr>
          <w:p w14:paraId="2259B0FE" w14:textId="77777777" w:rsidR="00203108" w:rsidRPr="0060474A" w:rsidRDefault="00203108" w:rsidP="00203108">
            <w:pPr>
              <w:pStyle w:val="TableBody"/>
            </w:pPr>
            <w:r w:rsidRPr="0060474A">
              <w:t>Donation</w:t>
            </w:r>
          </w:p>
        </w:tc>
        <w:tc>
          <w:tcPr>
            <w:tcW w:w="2500" w:type="pct"/>
            <w:noWrap/>
            <w:hideMark/>
          </w:tcPr>
          <w:p w14:paraId="0E86F575" w14:textId="77777777" w:rsidR="00203108" w:rsidRPr="0060474A" w:rsidRDefault="00203108" w:rsidP="00203108">
            <w:pPr>
              <w:pStyle w:val="TableBody"/>
            </w:pPr>
            <w:r w:rsidRPr="0060474A">
              <w:t>63.6%</w:t>
            </w:r>
          </w:p>
        </w:tc>
      </w:tr>
      <w:tr w:rsidR="00203108" w:rsidRPr="0060474A" w14:paraId="29145188" w14:textId="77777777" w:rsidTr="006202AF">
        <w:trPr>
          <w:trHeight w:val="290"/>
        </w:trPr>
        <w:tc>
          <w:tcPr>
            <w:tcW w:w="2500" w:type="pct"/>
            <w:noWrap/>
            <w:hideMark/>
          </w:tcPr>
          <w:p w14:paraId="09B8BF3D" w14:textId="734B4C47" w:rsidR="00203108" w:rsidRPr="0060474A" w:rsidRDefault="00203108" w:rsidP="00203108">
            <w:pPr>
              <w:pStyle w:val="TableBody"/>
            </w:pPr>
            <w:r w:rsidRPr="0060474A">
              <w:t>Letter of apology</w:t>
            </w:r>
            <w:r w:rsidR="008E4225" w:rsidRPr="0060474A">
              <w:t xml:space="preserve"> or </w:t>
            </w:r>
            <w:r w:rsidRPr="0060474A">
              <w:t>gratitude</w:t>
            </w:r>
          </w:p>
        </w:tc>
        <w:tc>
          <w:tcPr>
            <w:tcW w:w="2500" w:type="pct"/>
            <w:noWrap/>
            <w:hideMark/>
          </w:tcPr>
          <w:p w14:paraId="46F1108A" w14:textId="77777777" w:rsidR="00203108" w:rsidRPr="0060474A" w:rsidRDefault="00203108" w:rsidP="00203108">
            <w:pPr>
              <w:pStyle w:val="TableBody"/>
            </w:pPr>
            <w:r w:rsidRPr="0060474A">
              <w:t>47.1%</w:t>
            </w:r>
          </w:p>
        </w:tc>
      </w:tr>
      <w:tr w:rsidR="00203108" w:rsidRPr="0060474A" w14:paraId="7B6BFD8E" w14:textId="77777777" w:rsidTr="006202AF">
        <w:trPr>
          <w:trHeight w:val="290"/>
        </w:trPr>
        <w:tc>
          <w:tcPr>
            <w:tcW w:w="2500" w:type="pct"/>
            <w:noWrap/>
            <w:hideMark/>
          </w:tcPr>
          <w:p w14:paraId="0FDFE1C9" w14:textId="77777777" w:rsidR="00203108" w:rsidRPr="0060474A" w:rsidRDefault="00203108" w:rsidP="00203108">
            <w:pPr>
              <w:pStyle w:val="TableBody"/>
            </w:pPr>
            <w:r w:rsidRPr="0060474A">
              <w:t>Compensation</w:t>
            </w:r>
          </w:p>
        </w:tc>
        <w:tc>
          <w:tcPr>
            <w:tcW w:w="2500" w:type="pct"/>
            <w:noWrap/>
            <w:hideMark/>
          </w:tcPr>
          <w:p w14:paraId="25FD2472" w14:textId="77777777" w:rsidR="00203108" w:rsidRPr="0060474A" w:rsidRDefault="00203108" w:rsidP="00203108">
            <w:pPr>
              <w:pStyle w:val="TableBody"/>
            </w:pPr>
            <w:r w:rsidRPr="0060474A">
              <w:t>12.8%</w:t>
            </w:r>
          </w:p>
        </w:tc>
      </w:tr>
      <w:tr w:rsidR="00203108" w:rsidRPr="0060474A" w14:paraId="39ED0A41" w14:textId="77777777" w:rsidTr="006202AF">
        <w:trPr>
          <w:trHeight w:val="290"/>
        </w:trPr>
        <w:tc>
          <w:tcPr>
            <w:tcW w:w="2500" w:type="pct"/>
            <w:noWrap/>
            <w:hideMark/>
          </w:tcPr>
          <w:p w14:paraId="71A1A85E" w14:textId="77777777" w:rsidR="00203108" w:rsidRPr="0060474A" w:rsidRDefault="00203108" w:rsidP="00203108">
            <w:pPr>
              <w:pStyle w:val="TableBody"/>
            </w:pPr>
            <w:r w:rsidRPr="0060474A">
              <w:t>Anger management course</w:t>
            </w:r>
          </w:p>
        </w:tc>
        <w:tc>
          <w:tcPr>
            <w:tcW w:w="2500" w:type="pct"/>
            <w:noWrap/>
            <w:hideMark/>
          </w:tcPr>
          <w:p w14:paraId="2A5FD7F8" w14:textId="77777777" w:rsidR="00203108" w:rsidRPr="0060474A" w:rsidRDefault="00203108" w:rsidP="00203108">
            <w:pPr>
              <w:pStyle w:val="TableBody"/>
            </w:pPr>
            <w:r w:rsidRPr="0060474A">
              <w:t>3.5%</w:t>
            </w:r>
          </w:p>
        </w:tc>
      </w:tr>
      <w:tr w:rsidR="00203108" w:rsidRPr="0060474A" w14:paraId="5C342088" w14:textId="77777777" w:rsidTr="006202AF">
        <w:trPr>
          <w:trHeight w:val="290"/>
        </w:trPr>
        <w:tc>
          <w:tcPr>
            <w:tcW w:w="2500" w:type="pct"/>
            <w:noWrap/>
            <w:hideMark/>
          </w:tcPr>
          <w:p w14:paraId="3C3F1FB4" w14:textId="77777777" w:rsidR="00203108" w:rsidRPr="0060474A" w:rsidRDefault="00203108" w:rsidP="00203108">
            <w:pPr>
              <w:pStyle w:val="TableBody"/>
            </w:pPr>
            <w:r w:rsidRPr="0060474A">
              <w:t>Drug awareness course</w:t>
            </w:r>
          </w:p>
        </w:tc>
        <w:tc>
          <w:tcPr>
            <w:tcW w:w="2500" w:type="pct"/>
            <w:noWrap/>
            <w:hideMark/>
          </w:tcPr>
          <w:p w14:paraId="1889093D" w14:textId="77777777" w:rsidR="00203108" w:rsidRPr="0060474A" w:rsidRDefault="00203108" w:rsidP="00203108">
            <w:pPr>
              <w:pStyle w:val="TableBody"/>
            </w:pPr>
            <w:r w:rsidRPr="0060474A">
              <w:t>2.8%</w:t>
            </w:r>
          </w:p>
        </w:tc>
      </w:tr>
      <w:tr w:rsidR="00203108" w:rsidRPr="0060474A" w14:paraId="0783FC6D" w14:textId="77777777" w:rsidTr="006202AF">
        <w:trPr>
          <w:trHeight w:val="290"/>
        </w:trPr>
        <w:tc>
          <w:tcPr>
            <w:tcW w:w="2500" w:type="pct"/>
            <w:noWrap/>
            <w:hideMark/>
          </w:tcPr>
          <w:p w14:paraId="26CDE22C" w14:textId="77777777" w:rsidR="00203108" w:rsidRPr="0060474A" w:rsidRDefault="00203108" w:rsidP="00203108">
            <w:pPr>
              <w:pStyle w:val="TableBody"/>
            </w:pPr>
            <w:r w:rsidRPr="0060474A">
              <w:t>Defensive drivers course</w:t>
            </w:r>
          </w:p>
        </w:tc>
        <w:tc>
          <w:tcPr>
            <w:tcW w:w="2500" w:type="pct"/>
            <w:noWrap/>
            <w:hideMark/>
          </w:tcPr>
          <w:p w14:paraId="2ABBF3C8" w14:textId="77777777" w:rsidR="00203108" w:rsidRPr="0060474A" w:rsidRDefault="00203108" w:rsidP="00203108">
            <w:pPr>
              <w:pStyle w:val="TableBody"/>
            </w:pPr>
            <w:r w:rsidRPr="0060474A">
              <w:t>2.5%</w:t>
            </w:r>
          </w:p>
        </w:tc>
      </w:tr>
      <w:tr w:rsidR="00203108" w:rsidRPr="0060474A" w14:paraId="3762EEA5" w14:textId="77777777" w:rsidTr="006202AF">
        <w:trPr>
          <w:trHeight w:val="290"/>
        </w:trPr>
        <w:tc>
          <w:tcPr>
            <w:tcW w:w="2500" w:type="pct"/>
            <w:noWrap/>
            <w:hideMark/>
          </w:tcPr>
          <w:p w14:paraId="2167D703" w14:textId="77777777" w:rsidR="00203108" w:rsidRPr="0060474A" w:rsidRDefault="00203108" w:rsidP="00203108">
            <w:pPr>
              <w:pStyle w:val="TableBody"/>
            </w:pPr>
            <w:r w:rsidRPr="0060474A">
              <w:t>Road trauma awareness course</w:t>
            </w:r>
          </w:p>
        </w:tc>
        <w:tc>
          <w:tcPr>
            <w:tcW w:w="2500" w:type="pct"/>
            <w:noWrap/>
            <w:hideMark/>
          </w:tcPr>
          <w:p w14:paraId="15033708" w14:textId="77777777" w:rsidR="00203108" w:rsidRPr="0060474A" w:rsidRDefault="00203108" w:rsidP="00203108">
            <w:pPr>
              <w:pStyle w:val="TableBody"/>
            </w:pPr>
            <w:r w:rsidRPr="0060474A">
              <w:t>1.9%</w:t>
            </w:r>
          </w:p>
        </w:tc>
      </w:tr>
      <w:tr w:rsidR="00203108" w:rsidRPr="0060474A" w14:paraId="42B21546" w14:textId="77777777" w:rsidTr="006202AF">
        <w:trPr>
          <w:trHeight w:val="290"/>
        </w:trPr>
        <w:tc>
          <w:tcPr>
            <w:tcW w:w="2500" w:type="pct"/>
            <w:noWrap/>
            <w:hideMark/>
          </w:tcPr>
          <w:p w14:paraId="23AA1378" w14:textId="77777777" w:rsidR="00203108" w:rsidRPr="0060474A" w:rsidRDefault="00203108" w:rsidP="00203108">
            <w:pPr>
              <w:pStyle w:val="TableBody"/>
            </w:pPr>
            <w:r w:rsidRPr="0060474A">
              <w:t>Volunteer work</w:t>
            </w:r>
          </w:p>
        </w:tc>
        <w:tc>
          <w:tcPr>
            <w:tcW w:w="2500" w:type="pct"/>
            <w:noWrap/>
            <w:hideMark/>
          </w:tcPr>
          <w:p w14:paraId="317077D6" w14:textId="77777777" w:rsidR="00203108" w:rsidRPr="0060474A" w:rsidRDefault="00203108" w:rsidP="00203108">
            <w:pPr>
              <w:pStyle w:val="TableBody"/>
            </w:pPr>
            <w:r w:rsidRPr="0060474A">
              <w:t>0.3%</w:t>
            </w:r>
          </w:p>
        </w:tc>
      </w:tr>
      <w:tr w:rsidR="00203108" w:rsidRPr="0060474A" w14:paraId="303D3C34" w14:textId="77777777" w:rsidTr="006202AF">
        <w:trPr>
          <w:trHeight w:val="290"/>
        </w:trPr>
        <w:tc>
          <w:tcPr>
            <w:tcW w:w="2500" w:type="pct"/>
            <w:noWrap/>
            <w:hideMark/>
          </w:tcPr>
          <w:p w14:paraId="6AD24C1E" w14:textId="054CF6C5" w:rsidR="00203108" w:rsidRPr="0060474A" w:rsidRDefault="00203108" w:rsidP="00203108">
            <w:pPr>
              <w:pStyle w:val="TableBody"/>
            </w:pPr>
            <w:r w:rsidRPr="0060474A">
              <w:t>Other condition</w:t>
            </w:r>
            <w:r w:rsidR="003550B0" w:rsidRPr="0060474A">
              <w:t>(s)</w:t>
            </w:r>
          </w:p>
        </w:tc>
        <w:tc>
          <w:tcPr>
            <w:tcW w:w="2500" w:type="pct"/>
            <w:noWrap/>
            <w:hideMark/>
          </w:tcPr>
          <w:p w14:paraId="3C1C9998" w14:textId="77777777" w:rsidR="00203108" w:rsidRPr="0060474A" w:rsidRDefault="00203108" w:rsidP="00203108">
            <w:pPr>
              <w:pStyle w:val="TableBody"/>
            </w:pPr>
            <w:r w:rsidRPr="0060474A">
              <w:t>17.8%</w:t>
            </w:r>
          </w:p>
        </w:tc>
      </w:tr>
    </w:tbl>
    <w:p w14:paraId="54316149" w14:textId="77777777" w:rsidR="00417C86" w:rsidRPr="0060474A" w:rsidRDefault="00417C86" w:rsidP="00D74421">
      <w:r w:rsidRPr="0060474A">
        <w:t>The values of the donations were specified for 28,982 of the 29,660 diversion plans with a known donation condition. Across the 10-year period, there was a total of $9,004,439.23 in donations ordered across those 28,982 diversion plans. That is an average of $311 per donation, ranging from $10 (in 7 cases) to $66,838 (in 1 case). The latter donation was a significant outlier given the next highest donation was $26,795 (1 case) – the defendant was a corporation in both cases. For natural persons, the largest donation was $10,000 (1 case). The median donation for the 28,892 cases was $250.</w:t>
      </w:r>
    </w:p>
    <w:p w14:paraId="056E142D" w14:textId="77777777" w:rsidR="00417C86" w:rsidRPr="0060474A" w:rsidRDefault="00417C86" w:rsidP="00D74421">
      <w:r w:rsidRPr="0060474A">
        <w:t xml:space="preserve">Compensation amounts were recorded for 5,941 of 5,984 diversion plans with a known compensation condition. In total, compensation conditions amounted to $5,623,013.21. Compensation amounts ranged from $0.01 (in 2 cases) to $35,920.93 (in 1 case), with a median of $450. </w:t>
      </w:r>
    </w:p>
    <w:p w14:paraId="61216463" w14:textId="2B99B937" w:rsidR="002C2F1A" w:rsidRPr="0060474A" w:rsidRDefault="002C2F1A" w:rsidP="0045464D">
      <w:pPr>
        <w:pStyle w:val="IntenseQuote"/>
      </w:pPr>
      <w:r w:rsidRPr="0060474A">
        <w:lastRenderedPageBreak/>
        <w:t>In 10 years, there was a total of</w:t>
      </w:r>
      <w:r w:rsidR="00141DEF" w:rsidRPr="0060474A">
        <w:t xml:space="preserve"> </w:t>
      </w:r>
      <w:r w:rsidRPr="0060474A">
        <w:t>$9,004,439.23 in donations (in 28,982 diversion plans)</w:t>
      </w:r>
      <w:r w:rsidR="00141DEF" w:rsidRPr="0060474A">
        <w:t xml:space="preserve"> and </w:t>
      </w:r>
      <w:r w:rsidRPr="0060474A">
        <w:t>$5,623,013.21 in compensation (in 5,941 diversion plans)</w:t>
      </w:r>
    </w:p>
    <w:p w14:paraId="6B08AFFA" w14:textId="2E43264F" w:rsidR="00417C86" w:rsidRPr="0060474A" w:rsidRDefault="00417C86" w:rsidP="00417C86">
      <w:pPr>
        <w:pStyle w:val="Heading2"/>
      </w:pPr>
      <w:r w:rsidRPr="0060474A">
        <w:t>Durations of diversion plans</w:t>
      </w:r>
    </w:p>
    <w:p w14:paraId="4753FB69" w14:textId="77777777" w:rsidR="00417C86" w:rsidRPr="0060474A" w:rsidRDefault="00417C86" w:rsidP="00D74421">
      <w:r w:rsidRPr="0060474A">
        <w:t>The duration of diversion plans was determined by calculating the number of days between a diversion hearing (in the 50,988 cases that received a diversion plan) and the ‘return’ or ‘adjourned to’ date.</w:t>
      </w:r>
      <w:r w:rsidRPr="0060474A">
        <w:rPr>
          <w:rStyle w:val="Superscript"/>
        </w:rPr>
        <w:footnoteReference w:id="40"/>
      </w:r>
      <w:r w:rsidRPr="0060474A">
        <w:t xml:space="preserve"> The clear majority of diversion plans were intended to run for 6 months or less (86.3%), with the most common durations being 3 months (28.3%) and 6 months (26.3%) (Figure 10).</w:t>
      </w:r>
      <w:r w:rsidRPr="0060474A">
        <w:rPr>
          <w:rStyle w:val="Superscript"/>
        </w:rPr>
        <w:footnoteReference w:id="41"/>
      </w:r>
      <w:r w:rsidRPr="0060474A">
        <w:t xml:space="preserve"> A significant number of diversion plans (4,491) also ran for 12 months.</w:t>
      </w:r>
      <w:r w:rsidRPr="0060474A">
        <w:rPr>
          <w:rStyle w:val="Superscript"/>
        </w:rPr>
        <w:footnoteReference w:id="42"/>
      </w:r>
      <w:r w:rsidRPr="0060474A">
        <w:t xml:space="preserve"> The shortest diversion plan was one day, in 123 cases (potentially suggesting a condition that could be fulfilled almost immediately, such as making a charitable donation), and the median duration was 4 months.</w:t>
      </w:r>
    </w:p>
    <w:p w14:paraId="7BE0D311" w14:textId="77777777" w:rsidR="00417C86" w:rsidRPr="0060474A" w:rsidRDefault="00417C86" w:rsidP="00187BBF">
      <w:pPr>
        <w:pStyle w:val="Caption"/>
      </w:pPr>
      <w:r w:rsidRPr="0060474A">
        <w:t>Figure 10: Duration of diversion plans (50,978 cases)</w:t>
      </w:r>
    </w:p>
    <w:tbl>
      <w:tblPr>
        <w:tblStyle w:val="Table"/>
        <w:tblW w:w="5000" w:type="pct"/>
        <w:tblLook w:val="04A0" w:firstRow="1" w:lastRow="0" w:firstColumn="1" w:lastColumn="0" w:noHBand="0" w:noVBand="1"/>
      </w:tblPr>
      <w:tblGrid>
        <w:gridCol w:w="4508"/>
        <w:gridCol w:w="4508"/>
      </w:tblGrid>
      <w:tr w:rsidR="006C11AB" w:rsidRPr="0060474A" w14:paraId="24A77918" w14:textId="77777777" w:rsidTr="006C11AB">
        <w:trPr>
          <w:trHeight w:val="290"/>
          <w:tblHeader/>
        </w:trPr>
        <w:tc>
          <w:tcPr>
            <w:tcW w:w="2500" w:type="pct"/>
            <w:noWrap/>
            <w:hideMark/>
          </w:tcPr>
          <w:p w14:paraId="69A4888F" w14:textId="6FB8B607" w:rsidR="006C11AB" w:rsidRPr="0060474A" w:rsidRDefault="006C11AB" w:rsidP="00FA27B5">
            <w:pPr>
              <w:pStyle w:val="TableHeading"/>
            </w:pPr>
            <w:r w:rsidRPr="0060474A">
              <w:t>Duration</w:t>
            </w:r>
          </w:p>
        </w:tc>
        <w:tc>
          <w:tcPr>
            <w:tcW w:w="2500" w:type="pct"/>
            <w:noWrap/>
            <w:hideMark/>
          </w:tcPr>
          <w:p w14:paraId="7188B57D" w14:textId="77777777" w:rsidR="006C11AB" w:rsidRPr="0060474A" w:rsidRDefault="006C11AB" w:rsidP="00FA27B5">
            <w:pPr>
              <w:pStyle w:val="TableHeading"/>
            </w:pPr>
            <w:r w:rsidRPr="0060474A">
              <w:t>Percentage</w:t>
            </w:r>
          </w:p>
        </w:tc>
      </w:tr>
      <w:tr w:rsidR="006C11AB" w:rsidRPr="0060474A" w14:paraId="52CCAB88" w14:textId="77777777" w:rsidTr="006C11AB">
        <w:trPr>
          <w:trHeight w:val="290"/>
        </w:trPr>
        <w:tc>
          <w:tcPr>
            <w:tcW w:w="2500" w:type="pct"/>
            <w:noWrap/>
            <w:hideMark/>
          </w:tcPr>
          <w:p w14:paraId="47DD4AC9" w14:textId="77777777" w:rsidR="006C11AB" w:rsidRPr="0060474A" w:rsidRDefault="006C11AB" w:rsidP="00B42A9C">
            <w:pPr>
              <w:pStyle w:val="TableBody"/>
            </w:pPr>
            <w:r w:rsidRPr="0060474A">
              <w:t>1 month or less</w:t>
            </w:r>
          </w:p>
        </w:tc>
        <w:tc>
          <w:tcPr>
            <w:tcW w:w="2500" w:type="pct"/>
            <w:noWrap/>
            <w:hideMark/>
          </w:tcPr>
          <w:p w14:paraId="5D319923" w14:textId="77777777" w:rsidR="006C11AB" w:rsidRPr="0060474A" w:rsidRDefault="006C11AB" w:rsidP="00B42A9C">
            <w:pPr>
              <w:pStyle w:val="TableBody"/>
            </w:pPr>
            <w:r w:rsidRPr="0060474A">
              <w:t>9.6%</w:t>
            </w:r>
          </w:p>
        </w:tc>
      </w:tr>
      <w:tr w:rsidR="006C11AB" w:rsidRPr="0060474A" w14:paraId="290B6AAB" w14:textId="77777777" w:rsidTr="006C11AB">
        <w:trPr>
          <w:trHeight w:val="290"/>
        </w:trPr>
        <w:tc>
          <w:tcPr>
            <w:tcW w:w="2500" w:type="pct"/>
            <w:noWrap/>
            <w:hideMark/>
          </w:tcPr>
          <w:p w14:paraId="10DD55C1" w14:textId="77777777" w:rsidR="006C11AB" w:rsidRPr="0060474A" w:rsidRDefault="006C11AB" w:rsidP="00B42A9C">
            <w:pPr>
              <w:pStyle w:val="TableBody"/>
            </w:pPr>
            <w:r w:rsidRPr="0060474A">
              <w:t>2 months</w:t>
            </w:r>
          </w:p>
        </w:tc>
        <w:tc>
          <w:tcPr>
            <w:tcW w:w="2500" w:type="pct"/>
            <w:noWrap/>
            <w:hideMark/>
          </w:tcPr>
          <w:p w14:paraId="36C119E6" w14:textId="77777777" w:rsidR="006C11AB" w:rsidRPr="0060474A" w:rsidRDefault="006C11AB" w:rsidP="00B42A9C">
            <w:pPr>
              <w:pStyle w:val="TableBody"/>
            </w:pPr>
            <w:r w:rsidRPr="0060474A">
              <w:t>8.6%</w:t>
            </w:r>
          </w:p>
        </w:tc>
      </w:tr>
      <w:tr w:rsidR="006C11AB" w:rsidRPr="0060474A" w14:paraId="29C57E30" w14:textId="77777777" w:rsidTr="006C11AB">
        <w:trPr>
          <w:trHeight w:val="290"/>
        </w:trPr>
        <w:tc>
          <w:tcPr>
            <w:tcW w:w="2500" w:type="pct"/>
            <w:noWrap/>
            <w:hideMark/>
          </w:tcPr>
          <w:p w14:paraId="3607DAFE" w14:textId="77777777" w:rsidR="006C11AB" w:rsidRPr="0060474A" w:rsidRDefault="006C11AB" w:rsidP="00B42A9C">
            <w:pPr>
              <w:pStyle w:val="TableBody"/>
            </w:pPr>
            <w:r w:rsidRPr="0060474A">
              <w:t>3 months</w:t>
            </w:r>
          </w:p>
        </w:tc>
        <w:tc>
          <w:tcPr>
            <w:tcW w:w="2500" w:type="pct"/>
            <w:noWrap/>
            <w:hideMark/>
          </w:tcPr>
          <w:p w14:paraId="68A1FF21" w14:textId="77777777" w:rsidR="006C11AB" w:rsidRPr="0060474A" w:rsidRDefault="006C11AB" w:rsidP="00B42A9C">
            <w:pPr>
              <w:pStyle w:val="TableBody"/>
            </w:pPr>
            <w:r w:rsidRPr="0060474A">
              <w:t>28.3%</w:t>
            </w:r>
          </w:p>
        </w:tc>
      </w:tr>
      <w:tr w:rsidR="006C11AB" w:rsidRPr="0060474A" w14:paraId="1D678C6C" w14:textId="77777777" w:rsidTr="006C11AB">
        <w:trPr>
          <w:trHeight w:val="290"/>
        </w:trPr>
        <w:tc>
          <w:tcPr>
            <w:tcW w:w="2500" w:type="pct"/>
            <w:noWrap/>
            <w:hideMark/>
          </w:tcPr>
          <w:p w14:paraId="1886D22E" w14:textId="77777777" w:rsidR="006C11AB" w:rsidRPr="0060474A" w:rsidRDefault="006C11AB" w:rsidP="00B42A9C">
            <w:pPr>
              <w:pStyle w:val="TableBody"/>
            </w:pPr>
            <w:r w:rsidRPr="0060474A">
              <w:lastRenderedPageBreak/>
              <w:t>4 months</w:t>
            </w:r>
          </w:p>
        </w:tc>
        <w:tc>
          <w:tcPr>
            <w:tcW w:w="2500" w:type="pct"/>
            <w:noWrap/>
            <w:hideMark/>
          </w:tcPr>
          <w:p w14:paraId="52763F4F" w14:textId="77777777" w:rsidR="006C11AB" w:rsidRPr="0060474A" w:rsidRDefault="006C11AB" w:rsidP="00B42A9C">
            <w:pPr>
              <w:pStyle w:val="TableBody"/>
            </w:pPr>
            <w:r w:rsidRPr="0060474A">
              <w:t>9.3%</w:t>
            </w:r>
          </w:p>
        </w:tc>
      </w:tr>
      <w:tr w:rsidR="006C11AB" w:rsidRPr="0060474A" w14:paraId="7ED05C4E" w14:textId="77777777" w:rsidTr="006C11AB">
        <w:trPr>
          <w:trHeight w:val="290"/>
        </w:trPr>
        <w:tc>
          <w:tcPr>
            <w:tcW w:w="2500" w:type="pct"/>
            <w:noWrap/>
            <w:hideMark/>
          </w:tcPr>
          <w:p w14:paraId="2882D318" w14:textId="77777777" w:rsidR="006C11AB" w:rsidRPr="0060474A" w:rsidRDefault="006C11AB" w:rsidP="00B42A9C">
            <w:pPr>
              <w:pStyle w:val="TableBody"/>
            </w:pPr>
            <w:r w:rsidRPr="0060474A">
              <w:t>5 months</w:t>
            </w:r>
          </w:p>
        </w:tc>
        <w:tc>
          <w:tcPr>
            <w:tcW w:w="2500" w:type="pct"/>
            <w:noWrap/>
            <w:hideMark/>
          </w:tcPr>
          <w:p w14:paraId="2DE32A09" w14:textId="77777777" w:rsidR="006C11AB" w:rsidRPr="0060474A" w:rsidRDefault="006C11AB" w:rsidP="00B42A9C">
            <w:pPr>
              <w:pStyle w:val="TableBody"/>
            </w:pPr>
            <w:r w:rsidRPr="0060474A">
              <w:t>4.3%</w:t>
            </w:r>
          </w:p>
        </w:tc>
      </w:tr>
      <w:tr w:rsidR="006C11AB" w:rsidRPr="0060474A" w14:paraId="35722150" w14:textId="77777777" w:rsidTr="006C11AB">
        <w:trPr>
          <w:trHeight w:val="290"/>
        </w:trPr>
        <w:tc>
          <w:tcPr>
            <w:tcW w:w="2500" w:type="pct"/>
            <w:noWrap/>
            <w:hideMark/>
          </w:tcPr>
          <w:p w14:paraId="1A720FA7" w14:textId="77777777" w:rsidR="006C11AB" w:rsidRPr="0060474A" w:rsidRDefault="006C11AB" w:rsidP="00B42A9C">
            <w:pPr>
              <w:pStyle w:val="TableBody"/>
            </w:pPr>
            <w:r w:rsidRPr="0060474A">
              <w:t>6 months</w:t>
            </w:r>
          </w:p>
        </w:tc>
        <w:tc>
          <w:tcPr>
            <w:tcW w:w="2500" w:type="pct"/>
            <w:noWrap/>
            <w:hideMark/>
          </w:tcPr>
          <w:p w14:paraId="3E2891E7" w14:textId="77777777" w:rsidR="006C11AB" w:rsidRPr="0060474A" w:rsidRDefault="006C11AB" w:rsidP="00B42A9C">
            <w:pPr>
              <w:pStyle w:val="TableBody"/>
            </w:pPr>
            <w:r w:rsidRPr="0060474A">
              <w:t>26.3%</w:t>
            </w:r>
          </w:p>
        </w:tc>
      </w:tr>
      <w:tr w:rsidR="006C11AB" w:rsidRPr="0060474A" w14:paraId="27AA8C0E" w14:textId="77777777" w:rsidTr="006C11AB">
        <w:trPr>
          <w:trHeight w:val="290"/>
        </w:trPr>
        <w:tc>
          <w:tcPr>
            <w:tcW w:w="2500" w:type="pct"/>
            <w:noWrap/>
            <w:hideMark/>
          </w:tcPr>
          <w:p w14:paraId="7674BE18" w14:textId="77777777" w:rsidR="006C11AB" w:rsidRPr="0060474A" w:rsidRDefault="006C11AB" w:rsidP="00B42A9C">
            <w:pPr>
              <w:pStyle w:val="TableBody"/>
            </w:pPr>
            <w:r w:rsidRPr="0060474A">
              <w:t>7 months</w:t>
            </w:r>
          </w:p>
        </w:tc>
        <w:tc>
          <w:tcPr>
            <w:tcW w:w="2500" w:type="pct"/>
            <w:noWrap/>
            <w:hideMark/>
          </w:tcPr>
          <w:p w14:paraId="5A4F1A23" w14:textId="77777777" w:rsidR="006C11AB" w:rsidRPr="0060474A" w:rsidRDefault="006C11AB" w:rsidP="00B42A9C">
            <w:pPr>
              <w:pStyle w:val="TableBody"/>
            </w:pPr>
            <w:r w:rsidRPr="0060474A">
              <w:t>1.7%</w:t>
            </w:r>
          </w:p>
        </w:tc>
      </w:tr>
      <w:tr w:rsidR="006C11AB" w:rsidRPr="0060474A" w14:paraId="0D9F6203" w14:textId="77777777" w:rsidTr="006C11AB">
        <w:trPr>
          <w:trHeight w:val="290"/>
        </w:trPr>
        <w:tc>
          <w:tcPr>
            <w:tcW w:w="2500" w:type="pct"/>
            <w:noWrap/>
            <w:hideMark/>
          </w:tcPr>
          <w:p w14:paraId="54CBB8AC" w14:textId="77777777" w:rsidR="006C11AB" w:rsidRPr="0060474A" w:rsidRDefault="006C11AB" w:rsidP="00B42A9C">
            <w:pPr>
              <w:pStyle w:val="TableBody"/>
            </w:pPr>
            <w:r w:rsidRPr="0060474A">
              <w:t>8 months</w:t>
            </w:r>
          </w:p>
        </w:tc>
        <w:tc>
          <w:tcPr>
            <w:tcW w:w="2500" w:type="pct"/>
            <w:noWrap/>
            <w:hideMark/>
          </w:tcPr>
          <w:p w14:paraId="75C1246D" w14:textId="77777777" w:rsidR="006C11AB" w:rsidRPr="0060474A" w:rsidRDefault="006C11AB" w:rsidP="00B42A9C">
            <w:pPr>
              <w:pStyle w:val="TableBody"/>
            </w:pPr>
            <w:r w:rsidRPr="0060474A">
              <w:t>0.8%</w:t>
            </w:r>
          </w:p>
        </w:tc>
      </w:tr>
      <w:tr w:rsidR="006C11AB" w:rsidRPr="0060474A" w14:paraId="0D1FFBE4" w14:textId="77777777" w:rsidTr="006C11AB">
        <w:trPr>
          <w:trHeight w:val="290"/>
        </w:trPr>
        <w:tc>
          <w:tcPr>
            <w:tcW w:w="2500" w:type="pct"/>
            <w:noWrap/>
            <w:hideMark/>
          </w:tcPr>
          <w:p w14:paraId="367FBCAC" w14:textId="77777777" w:rsidR="006C11AB" w:rsidRPr="0060474A" w:rsidRDefault="006C11AB" w:rsidP="00B42A9C">
            <w:pPr>
              <w:pStyle w:val="TableBody"/>
            </w:pPr>
            <w:r w:rsidRPr="0060474A">
              <w:t>9 months</w:t>
            </w:r>
          </w:p>
        </w:tc>
        <w:tc>
          <w:tcPr>
            <w:tcW w:w="2500" w:type="pct"/>
            <w:noWrap/>
            <w:hideMark/>
          </w:tcPr>
          <w:p w14:paraId="0C2F4969" w14:textId="77777777" w:rsidR="006C11AB" w:rsidRPr="0060474A" w:rsidRDefault="006C11AB" w:rsidP="00B42A9C">
            <w:pPr>
              <w:pStyle w:val="TableBody"/>
            </w:pPr>
            <w:r w:rsidRPr="0060474A">
              <w:t>1.5%</w:t>
            </w:r>
          </w:p>
        </w:tc>
      </w:tr>
      <w:tr w:rsidR="006C11AB" w:rsidRPr="0060474A" w14:paraId="0128984E" w14:textId="77777777" w:rsidTr="006C11AB">
        <w:trPr>
          <w:trHeight w:val="290"/>
        </w:trPr>
        <w:tc>
          <w:tcPr>
            <w:tcW w:w="2500" w:type="pct"/>
            <w:noWrap/>
            <w:hideMark/>
          </w:tcPr>
          <w:p w14:paraId="1F0F1CE4" w14:textId="77777777" w:rsidR="006C11AB" w:rsidRPr="0060474A" w:rsidRDefault="006C11AB" w:rsidP="00B42A9C">
            <w:pPr>
              <w:pStyle w:val="TableBody"/>
            </w:pPr>
            <w:r w:rsidRPr="0060474A">
              <w:t>10 months</w:t>
            </w:r>
          </w:p>
        </w:tc>
        <w:tc>
          <w:tcPr>
            <w:tcW w:w="2500" w:type="pct"/>
            <w:noWrap/>
            <w:hideMark/>
          </w:tcPr>
          <w:p w14:paraId="61E09E5F" w14:textId="77777777" w:rsidR="006C11AB" w:rsidRPr="0060474A" w:rsidRDefault="006C11AB" w:rsidP="00B42A9C">
            <w:pPr>
              <w:pStyle w:val="TableBody"/>
            </w:pPr>
            <w:r w:rsidRPr="0060474A">
              <w:t>0.4%</w:t>
            </w:r>
          </w:p>
        </w:tc>
      </w:tr>
      <w:tr w:rsidR="006C11AB" w:rsidRPr="0060474A" w14:paraId="2EBD12FF" w14:textId="77777777" w:rsidTr="006C11AB">
        <w:trPr>
          <w:trHeight w:val="290"/>
        </w:trPr>
        <w:tc>
          <w:tcPr>
            <w:tcW w:w="2500" w:type="pct"/>
            <w:noWrap/>
            <w:hideMark/>
          </w:tcPr>
          <w:p w14:paraId="0D678A22" w14:textId="77777777" w:rsidR="006C11AB" w:rsidRPr="0060474A" w:rsidRDefault="006C11AB" w:rsidP="00B42A9C">
            <w:pPr>
              <w:pStyle w:val="TableBody"/>
            </w:pPr>
            <w:r w:rsidRPr="0060474A">
              <w:t>11 months</w:t>
            </w:r>
          </w:p>
        </w:tc>
        <w:tc>
          <w:tcPr>
            <w:tcW w:w="2500" w:type="pct"/>
            <w:noWrap/>
            <w:hideMark/>
          </w:tcPr>
          <w:p w14:paraId="017CE07F" w14:textId="77777777" w:rsidR="006C11AB" w:rsidRPr="0060474A" w:rsidRDefault="006C11AB" w:rsidP="00B42A9C">
            <w:pPr>
              <w:pStyle w:val="TableBody"/>
            </w:pPr>
            <w:r w:rsidRPr="0060474A">
              <w:t>0.4%</w:t>
            </w:r>
          </w:p>
        </w:tc>
      </w:tr>
      <w:tr w:rsidR="006C11AB" w:rsidRPr="0060474A" w14:paraId="7DEBC3B1" w14:textId="77777777" w:rsidTr="006C11AB">
        <w:trPr>
          <w:trHeight w:val="290"/>
        </w:trPr>
        <w:tc>
          <w:tcPr>
            <w:tcW w:w="2500" w:type="pct"/>
            <w:noWrap/>
            <w:hideMark/>
          </w:tcPr>
          <w:p w14:paraId="268E9695" w14:textId="77777777" w:rsidR="006C11AB" w:rsidRPr="0060474A" w:rsidRDefault="006C11AB" w:rsidP="00B42A9C">
            <w:pPr>
              <w:pStyle w:val="TableBody"/>
            </w:pPr>
            <w:r w:rsidRPr="0060474A">
              <w:t>12 months</w:t>
            </w:r>
          </w:p>
        </w:tc>
        <w:tc>
          <w:tcPr>
            <w:tcW w:w="2500" w:type="pct"/>
            <w:noWrap/>
            <w:hideMark/>
          </w:tcPr>
          <w:p w14:paraId="2249A280" w14:textId="77777777" w:rsidR="006C11AB" w:rsidRPr="0060474A" w:rsidRDefault="006C11AB" w:rsidP="00B42A9C">
            <w:pPr>
              <w:pStyle w:val="TableBody"/>
            </w:pPr>
            <w:r w:rsidRPr="0060474A">
              <w:t>8.8%</w:t>
            </w:r>
          </w:p>
        </w:tc>
      </w:tr>
      <w:tr w:rsidR="006C11AB" w:rsidRPr="0060474A" w14:paraId="4BA76CB2" w14:textId="77777777" w:rsidTr="006C11AB">
        <w:trPr>
          <w:trHeight w:val="290"/>
        </w:trPr>
        <w:tc>
          <w:tcPr>
            <w:tcW w:w="2500" w:type="pct"/>
            <w:noWrap/>
            <w:hideMark/>
          </w:tcPr>
          <w:p w14:paraId="58BF4A2C" w14:textId="77777777" w:rsidR="006C11AB" w:rsidRPr="0060474A" w:rsidRDefault="006C11AB" w:rsidP="00B42A9C">
            <w:pPr>
              <w:pStyle w:val="TableBody"/>
            </w:pPr>
            <w:r w:rsidRPr="0060474A">
              <w:t>More than 12 months</w:t>
            </w:r>
          </w:p>
        </w:tc>
        <w:tc>
          <w:tcPr>
            <w:tcW w:w="2500" w:type="pct"/>
            <w:noWrap/>
            <w:hideMark/>
          </w:tcPr>
          <w:p w14:paraId="71685C3C" w14:textId="77777777" w:rsidR="006C11AB" w:rsidRPr="0060474A" w:rsidRDefault="006C11AB" w:rsidP="00B42A9C">
            <w:pPr>
              <w:pStyle w:val="TableBody"/>
            </w:pPr>
            <w:r w:rsidRPr="0060474A">
              <w:t>0.1%</w:t>
            </w:r>
          </w:p>
        </w:tc>
      </w:tr>
    </w:tbl>
    <w:p w14:paraId="6A770653" w14:textId="77777777" w:rsidR="00417C86" w:rsidRPr="0060474A" w:rsidRDefault="00417C86" w:rsidP="00417C86">
      <w:pPr>
        <w:pStyle w:val="Heading2"/>
      </w:pPr>
      <w:r w:rsidRPr="0060474A">
        <w:t>Trends in the characteristics of diversion cases</w:t>
      </w:r>
    </w:p>
    <w:p w14:paraId="733A9A75" w14:textId="77777777" w:rsidR="00417C86" w:rsidRPr="0060474A" w:rsidRDefault="00417C86" w:rsidP="004F2FCB">
      <w:r w:rsidRPr="0060474A">
        <w:t>The last 10 years has seen some notable changes in the characteristics of people receiving diversion plans, as well as the characteristics of their cases:</w:t>
      </w:r>
    </w:p>
    <w:p w14:paraId="2A446175" w14:textId="77777777" w:rsidR="00417C86" w:rsidRPr="0060474A" w:rsidRDefault="00417C86" w:rsidP="00D74421">
      <w:pPr>
        <w:pStyle w:val="Bullets"/>
      </w:pPr>
      <w:r w:rsidRPr="0060474A">
        <w:rPr>
          <w:b/>
          <w:bCs/>
        </w:rPr>
        <w:t>Gender</w:t>
      </w:r>
      <w:r w:rsidRPr="0060474A">
        <w:t xml:space="preserve">: there has been a slight increase in the proportion of women receiving diversion plans, from 29.8% of diversion cases to 33.2% (Figure 11). </w:t>
      </w:r>
    </w:p>
    <w:p w14:paraId="1C5B8F29" w14:textId="77777777" w:rsidR="00417C86" w:rsidRPr="0060474A" w:rsidRDefault="00417C86" w:rsidP="00187BBF">
      <w:pPr>
        <w:pStyle w:val="Caption"/>
      </w:pPr>
      <w:r w:rsidRPr="0060474A">
        <w:t>Figure 11: Trends in the percentage of diversion cases (50,920 cases), by gender</w:t>
      </w:r>
    </w:p>
    <w:tbl>
      <w:tblPr>
        <w:tblStyle w:val="Table"/>
        <w:tblW w:w="5000" w:type="pct"/>
        <w:tblLook w:val="04A0" w:firstRow="1" w:lastRow="0" w:firstColumn="1" w:lastColumn="0" w:noHBand="0" w:noVBand="1"/>
      </w:tblPr>
      <w:tblGrid>
        <w:gridCol w:w="3005"/>
        <w:gridCol w:w="3005"/>
        <w:gridCol w:w="3006"/>
      </w:tblGrid>
      <w:tr w:rsidR="000B4661" w:rsidRPr="0060474A" w14:paraId="0DCFF0AF" w14:textId="77777777" w:rsidTr="00924F55">
        <w:trPr>
          <w:trHeight w:val="290"/>
        </w:trPr>
        <w:tc>
          <w:tcPr>
            <w:tcW w:w="1666" w:type="pct"/>
            <w:noWrap/>
            <w:hideMark/>
          </w:tcPr>
          <w:p w14:paraId="138995AD" w14:textId="5F82AB42" w:rsidR="000B4661" w:rsidRPr="0060474A" w:rsidRDefault="00743505" w:rsidP="00994104">
            <w:pPr>
              <w:pStyle w:val="TableHeading"/>
            </w:pPr>
            <w:r w:rsidRPr="0060474A">
              <w:t>Year</w:t>
            </w:r>
          </w:p>
        </w:tc>
        <w:tc>
          <w:tcPr>
            <w:tcW w:w="1666" w:type="pct"/>
            <w:noWrap/>
            <w:hideMark/>
          </w:tcPr>
          <w:p w14:paraId="203FBB68" w14:textId="77777777" w:rsidR="000B4661" w:rsidRPr="0060474A" w:rsidRDefault="000B4661" w:rsidP="00994104">
            <w:pPr>
              <w:pStyle w:val="TableHeading"/>
            </w:pPr>
            <w:r w:rsidRPr="0060474A">
              <w:t>Male</w:t>
            </w:r>
          </w:p>
        </w:tc>
        <w:tc>
          <w:tcPr>
            <w:tcW w:w="1667" w:type="pct"/>
            <w:noWrap/>
            <w:hideMark/>
          </w:tcPr>
          <w:p w14:paraId="4805490A" w14:textId="77777777" w:rsidR="000B4661" w:rsidRPr="0060474A" w:rsidRDefault="000B4661" w:rsidP="00994104">
            <w:pPr>
              <w:pStyle w:val="TableHeading"/>
            </w:pPr>
            <w:r w:rsidRPr="0060474A">
              <w:t>Female</w:t>
            </w:r>
          </w:p>
        </w:tc>
      </w:tr>
      <w:tr w:rsidR="000B4661" w:rsidRPr="0060474A" w14:paraId="37D80D26" w14:textId="77777777" w:rsidTr="00924F55">
        <w:trPr>
          <w:trHeight w:val="290"/>
        </w:trPr>
        <w:tc>
          <w:tcPr>
            <w:tcW w:w="1666" w:type="pct"/>
            <w:noWrap/>
            <w:hideMark/>
          </w:tcPr>
          <w:p w14:paraId="7D511A33" w14:textId="77777777" w:rsidR="000B4661" w:rsidRPr="0060474A" w:rsidRDefault="000B4661" w:rsidP="00311E29">
            <w:pPr>
              <w:pStyle w:val="TableBody"/>
            </w:pPr>
            <w:r w:rsidRPr="0060474A">
              <w:t>2011-12</w:t>
            </w:r>
          </w:p>
        </w:tc>
        <w:tc>
          <w:tcPr>
            <w:tcW w:w="1666" w:type="pct"/>
            <w:noWrap/>
            <w:hideMark/>
          </w:tcPr>
          <w:p w14:paraId="2B67124F" w14:textId="77777777" w:rsidR="000B4661" w:rsidRPr="0060474A" w:rsidRDefault="000B4661" w:rsidP="00311E29">
            <w:pPr>
              <w:pStyle w:val="TableBody"/>
            </w:pPr>
            <w:r w:rsidRPr="0060474A">
              <w:t>70.2%</w:t>
            </w:r>
          </w:p>
        </w:tc>
        <w:tc>
          <w:tcPr>
            <w:tcW w:w="1667" w:type="pct"/>
            <w:noWrap/>
            <w:hideMark/>
          </w:tcPr>
          <w:p w14:paraId="2C363D3D" w14:textId="77777777" w:rsidR="000B4661" w:rsidRPr="0060474A" w:rsidRDefault="000B4661" w:rsidP="00311E29">
            <w:pPr>
              <w:pStyle w:val="TableBody"/>
            </w:pPr>
            <w:r w:rsidRPr="0060474A">
              <w:t>29.8%</w:t>
            </w:r>
          </w:p>
        </w:tc>
      </w:tr>
      <w:tr w:rsidR="000B4661" w:rsidRPr="0060474A" w14:paraId="20BAE766" w14:textId="77777777" w:rsidTr="00924F55">
        <w:trPr>
          <w:trHeight w:val="290"/>
        </w:trPr>
        <w:tc>
          <w:tcPr>
            <w:tcW w:w="1666" w:type="pct"/>
            <w:noWrap/>
            <w:hideMark/>
          </w:tcPr>
          <w:p w14:paraId="767D4949" w14:textId="77777777" w:rsidR="000B4661" w:rsidRPr="0060474A" w:rsidRDefault="000B4661" w:rsidP="00311E29">
            <w:pPr>
              <w:pStyle w:val="TableBody"/>
            </w:pPr>
            <w:r w:rsidRPr="0060474A">
              <w:t>2012-13</w:t>
            </w:r>
          </w:p>
        </w:tc>
        <w:tc>
          <w:tcPr>
            <w:tcW w:w="1666" w:type="pct"/>
            <w:noWrap/>
            <w:hideMark/>
          </w:tcPr>
          <w:p w14:paraId="3F717798" w14:textId="77777777" w:rsidR="000B4661" w:rsidRPr="0060474A" w:rsidRDefault="000B4661" w:rsidP="00311E29">
            <w:pPr>
              <w:pStyle w:val="TableBody"/>
            </w:pPr>
            <w:r w:rsidRPr="0060474A">
              <w:t>69.0%</w:t>
            </w:r>
          </w:p>
        </w:tc>
        <w:tc>
          <w:tcPr>
            <w:tcW w:w="1667" w:type="pct"/>
            <w:noWrap/>
            <w:hideMark/>
          </w:tcPr>
          <w:p w14:paraId="7F05E8A4" w14:textId="77777777" w:rsidR="000B4661" w:rsidRPr="0060474A" w:rsidRDefault="000B4661" w:rsidP="00311E29">
            <w:pPr>
              <w:pStyle w:val="TableBody"/>
            </w:pPr>
            <w:r w:rsidRPr="0060474A">
              <w:t>31.0%</w:t>
            </w:r>
          </w:p>
        </w:tc>
      </w:tr>
      <w:tr w:rsidR="000B4661" w:rsidRPr="0060474A" w14:paraId="2E4A3B95" w14:textId="77777777" w:rsidTr="00924F55">
        <w:trPr>
          <w:trHeight w:val="290"/>
        </w:trPr>
        <w:tc>
          <w:tcPr>
            <w:tcW w:w="1666" w:type="pct"/>
            <w:noWrap/>
            <w:hideMark/>
          </w:tcPr>
          <w:p w14:paraId="3D4BE56F" w14:textId="77777777" w:rsidR="000B4661" w:rsidRPr="0060474A" w:rsidRDefault="000B4661" w:rsidP="00311E29">
            <w:pPr>
              <w:pStyle w:val="TableBody"/>
            </w:pPr>
            <w:r w:rsidRPr="0060474A">
              <w:t>2013-14</w:t>
            </w:r>
          </w:p>
        </w:tc>
        <w:tc>
          <w:tcPr>
            <w:tcW w:w="1666" w:type="pct"/>
            <w:noWrap/>
            <w:hideMark/>
          </w:tcPr>
          <w:p w14:paraId="23ADA1B4" w14:textId="77777777" w:rsidR="000B4661" w:rsidRPr="0060474A" w:rsidRDefault="000B4661" w:rsidP="00311E29">
            <w:pPr>
              <w:pStyle w:val="TableBody"/>
            </w:pPr>
            <w:r w:rsidRPr="0060474A">
              <w:t>68.4%</w:t>
            </w:r>
          </w:p>
        </w:tc>
        <w:tc>
          <w:tcPr>
            <w:tcW w:w="1667" w:type="pct"/>
            <w:noWrap/>
            <w:hideMark/>
          </w:tcPr>
          <w:p w14:paraId="572129B7" w14:textId="77777777" w:rsidR="000B4661" w:rsidRPr="0060474A" w:rsidRDefault="000B4661" w:rsidP="00311E29">
            <w:pPr>
              <w:pStyle w:val="TableBody"/>
            </w:pPr>
            <w:r w:rsidRPr="0060474A">
              <w:t>31.6%</w:t>
            </w:r>
          </w:p>
        </w:tc>
      </w:tr>
      <w:tr w:rsidR="000B4661" w:rsidRPr="0060474A" w14:paraId="23EBF975" w14:textId="77777777" w:rsidTr="00924F55">
        <w:trPr>
          <w:trHeight w:val="290"/>
        </w:trPr>
        <w:tc>
          <w:tcPr>
            <w:tcW w:w="1666" w:type="pct"/>
            <w:noWrap/>
            <w:hideMark/>
          </w:tcPr>
          <w:p w14:paraId="70DC7E65" w14:textId="77777777" w:rsidR="000B4661" w:rsidRPr="0060474A" w:rsidRDefault="000B4661" w:rsidP="00311E29">
            <w:pPr>
              <w:pStyle w:val="TableBody"/>
            </w:pPr>
            <w:r w:rsidRPr="0060474A">
              <w:t>2014-15</w:t>
            </w:r>
          </w:p>
        </w:tc>
        <w:tc>
          <w:tcPr>
            <w:tcW w:w="1666" w:type="pct"/>
            <w:noWrap/>
            <w:hideMark/>
          </w:tcPr>
          <w:p w14:paraId="55E9DC88" w14:textId="77777777" w:rsidR="000B4661" w:rsidRPr="0060474A" w:rsidRDefault="000B4661" w:rsidP="00311E29">
            <w:pPr>
              <w:pStyle w:val="TableBody"/>
            </w:pPr>
            <w:r w:rsidRPr="0060474A">
              <w:t>69.1%</w:t>
            </w:r>
          </w:p>
        </w:tc>
        <w:tc>
          <w:tcPr>
            <w:tcW w:w="1667" w:type="pct"/>
            <w:noWrap/>
            <w:hideMark/>
          </w:tcPr>
          <w:p w14:paraId="07BE205B" w14:textId="77777777" w:rsidR="000B4661" w:rsidRPr="0060474A" w:rsidRDefault="000B4661" w:rsidP="00311E29">
            <w:pPr>
              <w:pStyle w:val="TableBody"/>
            </w:pPr>
            <w:r w:rsidRPr="0060474A">
              <w:t>30.9%</w:t>
            </w:r>
          </w:p>
        </w:tc>
      </w:tr>
      <w:tr w:rsidR="000B4661" w:rsidRPr="0060474A" w14:paraId="544A82EF" w14:textId="77777777" w:rsidTr="00924F55">
        <w:trPr>
          <w:trHeight w:val="290"/>
        </w:trPr>
        <w:tc>
          <w:tcPr>
            <w:tcW w:w="1666" w:type="pct"/>
            <w:noWrap/>
            <w:hideMark/>
          </w:tcPr>
          <w:p w14:paraId="2ECDD266" w14:textId="77777777" w:rsidR="000B4661" w:rsidRPr="0060474A" w:rsidRDefault="000B4661" w:rsidP="00311E29">
            <w:pPr>
              <w:pStyle w:val="TableBody"/>
            </w:pPr>
            <w:r w:rsidRPr="0060474A">
              <w:t>2015-16</w:t>
            </w:r>
          </w:p>
        </w:tc>
        <w:tc>
          <w:tcPr>
            <w:tcW w:w="1666" w:type="pct"/>
            <w:noWrap/>
            <w:hideMark/>
          </w:tcPr>
          <w:p w14:paraId="290D652E" w14:textId="77777777" w:rsidR="000B4661" w:rsidRPr="0060474A" w:rsidRDefault="000B4661" w:rsidP="00311E29">
            <w:pPr>
              <w:pStyle w:val="TableBody"/>
            </w:pPr>
            <w:r w:rsidRPr="0060474A">
              <w:t>66.2%</w:t>
            </w:r>
          </w:p>
        </w:tc>
        <w:tc>
          <w:tcPr>
            <w:tcW w:w="1667" w:type="pct"/>
            <w:noWrap/>
            <w:hideMark/>
          </w:tcPr>
          <w:p w14:paraId="01EF4C30" w14:textId="77777777" w:rsidR="000B4661" w:rsidRPr="0060474A" w:rsidRDefault="000B4661" w:rsidP="00311E29">
            <w:pPr>
              <w:pStyle w:val="TableBody"/>
            </w:pPr>
            <w:r w:rsidRPr="0060474A">
              <w:t>33.8%</w:t>
            </w:r>
          </w:p>
        </w:tc>
      </w:tr>
      <w:tr w:rsidR="000B4661" w:rsidRPr="0060474A" w14:paraId="5EAD6722" w14:textId="77777777" w:rsidTr="00924F55">
        <w:trPr>
          <w:trHeight w:val="290"/>
        </w:trPr>
        <w:tc>
          <w:tcPr>
            <w:tcW w:w="1666" w:type="pct"/>
            <w:noWrap/>
            <w:hideMark/>
          </w:tcPr>
          <w:p w14:paraId="498DFF31" w14:textId="77777777" w:rsidR="000B4661" w:rsidRPr="0060474A" w:rsidRDefault="000B4661" w:rsidP="00311E29">
            <w:pPr>
              <w:pStyle w:val="TableBody"/>
            </w:pPr>
            <w:r w:rsidRPr="0060474A">
              <w:t>2016-17</w:t>
            </w:r>
          </w:p>
        </w:tc>
        <w:tc>
          <w:tcPr>
            <w:tcW w:w="1666" w:type="pct"/>
            <w:noWrap/>
            <w:hideMark/>
          </w:tcPr>
          <w:p w14:paraId="6783C8A6" w14:textId="77777777" w:rsidR="000B4661" w:rsidRPr="0060474A" w:rsidRDefault="000B4661" w:rsidP="00311E29">
            <w:pPr>
              <w:pStyle w:val="TableBody"/>
            </w:pPr>
            <w:r w:rsidRPr="0060474A">
              <w:t>65.5%</w:t>
            </w:r>
          </w:p>
        </w:tc>
        <w:tc>
          <w:tcPr>
            <w:tcW w:w="1667" w:type="pct"/>
            <w:noWrap/>
            <w:hideMark/>
          </w:tcPr>
          <w:p w14:paraId="45B57DF1" w14:textId="77777777" w:rsidR="000B4661" w:rsidRPr="0060474A" w:rsidRDefault="000B4661" w:rsidP="00311E29">
            <w:pPr>
              <w:pStyle w:val="TableBody"/>
            </w:pPr>
            <w:r w:rsidRPr="0060474A">
              <w:t>34.5%</w:t>
            </w:r>
          </w:p>
        </w:tc>
      </w:tr>
      <w:tr w:rsidR="000B4661" w:rsidRPr="0060474A" w14:paraId="20B3F38D" w14:textId="77777777" w:rsidTr="00924F55">
        <w:trPr>
          <w:trHeight w:val="290"/>
        </w:trPr>
        <w:tc>
          <w:tcPr>
            <w:tcW w:w="1666" w:type="pct"/>
            <w:noWrap/>
            <w:hideMark/>
          </w:tcPr>
          <w:p w14:paraId="3D5A625C" w14:textId="77777777" w:rsidR="000B4661" w:rsidRPr="0060474A" w:rsidRDefault="000B4661" w:rsidP="00311E29">
            <w:pPr>
              <w:pStyle w:val="TableBody"/>
            </w:pPr>
            <w:r w:rsidRPr="0060474A">
              <w:t>2017-18</w:t>
            </w:r>
          </w:p>
        </w:tc>
        <w:tc>
          <w:tcPr>
            <w:tcW w:w="1666" w:type="pct"/>
            <w:noWrap/>
            <w:hideMark/>
          </w:tcPr>
          <w:p w14:paraId="4F7C498C" w14:textId="77777777" w:rsidR="000B4661" w:rsidRPr="0060474A" w:rsidRDefault="000B4661" w:rsidP="00311E29">
            <w:pPr>
              <w:pStyle w:val="TableBody"/>
            </w:pPr>
            <w:r w:rsidRPr="0060474A">
              <w:t>66.8%</w:t>
            </w:r>
          </w:p>
        </w:tc>
        <w:tc>
          <w:tcPr>
            <w:tcW w:w="1667" w:type="pct"/>
            <w:noWrap/>
            <w:hideMark/>
          </w:tcPr>
          <w:p w14:paraId="6E1E6FCD" w14:textId="77777777" w:rsidR="000B4661" w:rsidRPr="0060474A" w:rsidRDefault="000B4661" w:rsidP="00311E29">
            <w:pPr>
              <w:pStyle w:val="TableBody"/>
            </w:pPr>
            <w:r w:rsidRPr="0060474A">
              <w:t>33.2%</w:t>
            </w:r>
          </w:p>
        </w:tc>
      </w:tr>
      <w:tr w:rsidR="000B4661" w:rsidRPr="0060474A" w14:paraId="7521DD52" w14:textId="77777777" w:rsidTr="00924F55">
        <w:trPr>
          <w:trHeight w:val="290"/>
        </w:trPr>
        <w:tc>
          <w:tcPr>
            <w:tcW w:w="1666" w:type="pct"/>
            <w:noWrap/>
            <w:hideMark/>
          </w:tcPr>
          <w:p w14:paraId="3293273D" w14:textId="77777777" w:rsidR="000B4661" w:rsidRPr="0060474A" w:rsidRDefault="000B4661" w:rsidP="00311E29">
            <w:pPr>
              <w:pStyle w:val="TableBody"/>
            </w:pPr>
            <w:r w:rsidRPr="0060474A">
              <w:t>2018-19</w:t>
            </w:r>
          </w:p>
        </w:tc>
        <w:tc>
          <w:tcPr>
            <w:tcW w:w="1666" w:type="pct"/>
            <w:noWrap/>
            <w:hideMark/>
          </w:tcPr>
          <w:p w14:paraId="52551FC8" w14:textId="77777777" w:rsidR="000B4661" w:rsidRPr="0060474A" w:rsidRDefault="000B4661" w:rsidP="00311E29">
            <w:pPr>
              <w:pStyle w:val="TableBody"/>
            </w:pPr>
            <w:r w:rsidRPr="0060474A">
              <w:t>66.2%</w:t>
            </w:r>
          </w:p>
        </w:tc>
        <w:tc>
          <w:tcPr>
            <w:tcW w:w="1667" w:type="pct"/>
            <w:noWrap/>
            <w:hideMark/>
          </w:tcPr>
          <w:p w14:paraId="26B12695" w14:textId="77777777" w:rsidR="000B4661" w:rsidRPr="0060474A" w:rsidRDefault="000B4661" w:rsidP="00311E29">
            <w:pPr>
              <w:pStyle w:val="TableBody"/>
            </w:pPr>
            <w:r w:rsidRPr="0060474A">
              <w:t>33.8%</w:t>
            </w:r>
          </w:p>
        </w:tc>
      </w:tr>
      <w:tr w:rsidR="000B4661" w:rsidRPr="0060474A" w14:paraId="7FC22022" w14:textId="77777777" w:rsidTr="00924F55">
        <w:trPr>
          <w:trHeight w:val="290"/>
        </w:trPr>
        <w:tc>
          <w:tcPr>
            <w:tcW w:w="1666" w:type="pct"/>
            <w:noWrap/>
            <w:hideMark/>
          </w:tcPr>
          <w:p w14:paraId="2F347FA9" w14:textId="77777777" w:rsidR="000B4661" w:rsidRPr="0060474A" w:rsidRDefault="000B4661" w:rsidP="00311E29">
            <w:pPr>
              <w:pStyle w:val="TableBody"/>
            </w:pPr>
            <w:r w:rsidRPr="0060474A">
              <w:t>2019-20</w:t>
            </w:r>
          </w:p>
        </w:tc>
        <w:tc>
          <w:tcPr>
            <w:tcW w:w="1666" w:type="pct"/>
            <w:noWrap/>
            <w:hideMark/>
          </w:tcPr>
          <w:p w14:paraId="0C124D64" w14:textId="77777777" w:rsidR="000B4661" w:rsidRPr="0060474A" w:rsidRDefault="000B4661" w:rsidP="00311E29">
            <w:pPr>
              <w:pStyle w:val="TableBody"/>
            </w:pPr>
            <w:r w:rsidRPr="0060474A">
              <w:t>65.4%</w:t>
            </w:r>
          </w:p>
        </w:tc>
        <w:tc>
          <w:tcPr>
            <w:tcW w:w="1667" w:type="pct"/>
            <w:noWrap/>
            <w:hideMark/>
          </w:tcPr>
          <w:p w14:paraId="352FA462" w14:textId="77777777" w:rsidR="000B4661" w:rsidRPr="0060474A" w:rsidRDefault="000B4661" w:rsidP="00311E29">
            <w:pPr>
              <w:pStyle w:val="TableBody"/>
            </w:pPr>
            <w:r w:rsidRPr="0060474A">
              <w:t>34.6%</w:t>
            </w:r>
          </w:p>
        </w:tc>
      </w:tr>
      <w:tr w:rsidR="000B4661" w:rsidRPr="0060474A" w14:paraId="5171EC04" w14:textId="77777777" w:rsidTr="00924F55">
        <w:trPr>
          <w:trHeight w:val="290"/>
        </w:trPr>
        <w:tc>
          <w:tcPr>
            <w:tcW w:w="1666" w:type="pct"/>
            <w:noWrap/>
            <w:hideMark/>
          </w:tcPr>
          <w:p w14:paraId="5557C511" w14:textId="77777777" w:rsidR="000B4661" w:rsidRPr="0060474A" w:rsidRDefault="000B4661" w:rsidP="00311E29">
            <w:pPr>
              <w:pStyle w:val="TableBody"/>
            </w:pPr>
            <w:r w:rsidRPr="0060474A">
              <w:t>2020-21</w:t>
            </w:r>
          </w:p>
        </w:tc>
        <w:tc>
          <w:tcPr>
            <w:tcW w:w="1666" w:type="pct"/>
            <w:noWrap/>
            <w:hideMark/>
          </w:tcPr>
          <w:p w14:paraId="232FFBD0" w14:textId="77777777" w:rsidR="000B4661" w:rsidRPr="0060474A" w:rsidRDefault="000B4661" w:rsidP="00311E29">
            <w:pPr>
              <w:pStyle w:val="TableBody"/>
            </w:pPr>
            <w:r w:rsidRPr="0060474A">
              <w:t>66.8%</w:t>
            </w:r>
          </w:p>
        </w:tc>
        <w:tc>
          <w:tcPr>
            <w:tcW w:w="1667" w:type="pct"/>
            <w:noWrap/>
            <w:hideMark/>
          </w:tcPr>
          <w:p w14:paraId="02DC1DDA" w14:textId="77777777" w:rsidR="000B4661" w:rsidRPr="0060474A" w:rsidRDefault="000B4661" w:rsidP="00311E29">
            <w:pPr>
              <w:pStyle w:val="TableBody"/>
            </w:pPr>
            <w:r w:rsidRPr="0060474A">
              <w:t>33.2%</w:t>
            </w:r>
          </w:p>
        </w:tc>
      </w:tr>
    </w:tbl>
    <w:p w14:paraId="4DA74895" w14:textId="77777777" w:rsidR="00417C86" w:rsidRPr="0060474A" w:rsidRDefault="00417C86" w:rsidP="00C06EDB">
      <w:pPr>
        <w:pStyle w:val="Bullets"/>
        <w:spacing w:before="240"/>
      </w:pPr>
      <w:r w:rsidRPr="0060474A">
        <w:rPr>
          <w:b/>
          <w:bCs/>
        </w:rPr>
        <w:t>Age</w:t>
      </w:r>
      <w:r w:rsidRPr="0060474A">
        <w:t xml:space="preserve">: the diversion population seems to have gotten older (Figure 12). People aged 18 to 19 and people aged 20 to 24 were the two age groups that decreased as a proportion of diversion cases by 2020–21 (together decreasing from 42.2% of diversion cases to 28.7%). In contrast, the proportion of every other age group </w:t>
      </w:r>
      <w:r w:rsidRPr="0060474A">
        <w:lastRenderedPageBreak/>
        <w:t>increased, with the proportion of people aged 65 and over doubling from 3.2% of diversion cases to 6.5%.</w:t>
      </w:r>
    </w:p>
    <w:p w14:paraId="25986C99" w14:textId="77777777" w:rsidR="00417C86" w:rsidRPr="0060474A" w:rsidRDefault="00417C86" w:rsidP="00187BBF">
      <w:pPr>
        <w:pStyle w:val="Caption"/>
      </w:pPr>
      <w:r w:rsidRPr="0060474A">
        <w:t>Figure 12: Trends in the percentage of diversion cases (50,630 cases), by age</w:t>
      </w:r>
    </w:p>
    <w:tbl>
      <w:tblPr>
        <w:tblStyle w:val="Table"/>
        <w:tblW w:w="5000" w:type="pct"/>
        <w:tblLayout w:type="fixed"/>
        <w:tblLook w:val="04A0" w:firstRow="1" w:lastRow="0" w:firstColumn="1" w:lastColumn="0" w:noHBand="0" w:noVBand="1"/>
      </w:tblPr>
      <w:tblGrid>
        <w:gridCol w:w="1127"/>
        <w:gridCol w:w="1127"/>
        <w:gridCol w:w="1127"/>
        <w:gridCol w:w="1127"/>
        <w:gridCol w:w="1127"/>
        <w:gridCol w:w="1127"/>
        <w:gridCol w:w="1127"/>
        <w:gridCol w:w="1127"/>
      </w:tblGrid>
      <w:tr w:rsidR="0006046B" w:rsidRPr="0060474A" w14:paraId="5328C742" w14:textId="77777777" w:rsidTr="009152EE">
        <w:trPr>
          <w:trHeight w:val="290"/>
        </w:trPr>
        <w:tc>
          <w:tcPr>
            <w:tcW w:w="625" w:type="pct"/>
            <w:noWrap/>
            <w:hideMark/>
          </w:tcPr>
          <w:p w14:paraId="30A6C849" w14:textId="3068A38A" w:rsidR="0006046B" w:rsidRPr="0060474A" w:rsidRDefault="009E46AD" w:rsidP="00C942B1">
            <w:pPr>
              <w:pStyle w:val="TableHeading"/>
            </w:pPr>
            <w:r w:rsidRPr="0060474A">
              <w:t>Year</w:t>
            </w:r>
          </w:p>
        </w:tc>
        <w:tc>
          <w:tcPr>
            <w:tcW w:w="625" w:type="pct"/>
            <w:noWrap/>
            <w:hideMark/>
          </w:tcPr>
          <w:p w14:paraId="095E6B3E" w14:textId="77777777" w:rsidR="0006046B" w:rsidRPr="0060474A" w:rsidRDefault="0006046B" w:rsidP="00C942B1">
            <w:pPr>
              <w:pStyle w:val="TableHeading"/>
            </w:pPr>
            <w:r w:rsidRPr="0060474A">
              <w:t>18 to 19</w:t>
            </w:r>
          </w:p>
        </w:tc>
        <w:tc>
          <w:tcPr>
            <w:tcW w:w="625" w:type="pct"/>
            <w:noWrap/>
            <w:hideMark/>
          </w:tcPr>
          <w:p w14:paraId="0644F162" w14:textId="77777777" w:rsidR="0006046B" w:rsidRPr="0060474A" w:rsidRDefault="0006046B" w:rsidP="00C942B1">
            <w:pPr>
              <w:pStyle w:val="TableHeading"/>
            </w:pPr>
            <w:r w:rsidRPr="0060474A">
              <w:t>20 to 24</w:t>
            </w:r>
          </w:p>
        </w:tc>
        <w:tc>
          <w:tcPr>
            <w:tcW w:w="625" w:type="pct"/>
            <w:noWrap/>
            <w:hideMark/>
          </w:tcPr>
          <w:p w14:paraId="1DECF77F" w14:textId="77777777" w:rsidR="0006046B" w:rsidRPr="0060474A" w:rsidRDefault="0006046B" w:rsidP="00C942B1">
            <w:pPr>
              <w:pStyle w:val="TableHeading"/>
            </w:pPr>
            <w:r w:rsidRPr="0060474A">
              <w:t>25 to 34</w:t>
            </w:r>
          </w:p>
        </w:tc>
        <w:tc>
          <w:tcPr>
            <w:tcW w:w="625" w:type="pct"/>
            <w:noWrap/>
            <w:hideMark/>
          </w:tcPr>
          <w:p w14:paraId="26DF9423" w14:textId="77777777" w:rsidR="0006046B" w:rsidRPr="0060474A" w:rsidRDefault="0006046B" w:rsidP="00C942B1">
            <w:pPr>
              <w:pStyle w:val="TableHeading"/>
            </w:pPr>
            <w:r w:rsidRPr="0060474A">
              <w:t>35 to 44</w:t>
            </w:r>
          </w:p>
        </w:tc>
        <w:tc>
          <w:tcPr>
            <w:tcW w:w="625" w:type="pct"/>
            <w:noWrap/>
            <w:hideMark/>
          </w:tcPr>
          <w:p w14:paraId="6A42C3C0" w14:textId="77777777" w:rsidR="0006046B" w:rsidRPr="0060474A" w:rsidRDefault="0006046B" w:rsidP="00C942B1">
            <w:pPr>
              <w:pStyle w:val="TableHeading"/>
            </w:pPr>
            <w:r w:rsidRPr="0060474A">
              <w:t>45 to 54</w:t>
            </w:r>
          </w:p>
        </w:tc>
        <w:tc>
          <w:tcPr>
            <w:tcW w:w="625" w:type="pct"/>
            <w:noWrap/>
            <w:hideMark/>
          </w:tcPr>
          <w:p w14:paraId="1E5C9011" w14:textId="77777777" w:rsidR="0006046B" w:rsidRPr="0060474A" w:rsidRDefault="0006046B" w:rsidP="00C942B1">
            <w:pPr>
              <w:pStyle w:val="TableHeading"/>
            </w:pPr>
            <w:r w:rsidRPr="0060474A">
              <w:t>55 to 64</w:t>
            </w:r>
          </w:p>
        </w:tc>
        <w:tc>
          <w:tcPr>
            <w:tcW w:w="625" w:type="pct"/>
            <w:noWrap/>
            <w:hideMark/>
          </w:tcPr>
          <w:p w14:paraId="600FA48E" w14:textId="19BBF3ED" w:rsidR="0006046B" w:rsidRPr="0060474A" w:rsidRDefault="0006046B" w:rsidP="00C942B1">
            <w:pPr>
              <w:pStyle w:val="TableHeading"/>
            </w:pPr>
            <w:r w:rsidRPr="0060474A">
              <w:t xml:space="preserve">65 </w:t>
            </w:r>
            <w:r w:rsidR="006F5D55" w:rsidRPr="0060474A">
              <w:t>and</w:t>
            </w:r>
            <w:r w:rsidRPr="0060474A">
              <w:t xml:space="preserve"> over</w:t>
            </w:r>
          </w:p>
        </w:tc>
      </w:tr>
      <w:tr w:rsidR="0006046B" w:rsidRPr="0060474A" w14:paraId="741F936A" w14:textId="77777777" w:rsidTr="009152EE">
        <w:trPr>
          <w:trHeight w:val="290"/>
        </w:trPr>
        <w:tc>
          <w:tcPr>
            <w:tcW w:w="625" w:type="pct"/>
            <w:noWrap/>
            <w:hideMark/>
          </w:tcPr>
          <w:p w14:paraId="5E71097D" w14:textId="77777777" w:rsidR="0006046B" w:rsidRPr="0060474A" w:rsidRDefault="0006046B" w:rsidP="009E46AD">
            <w:pPr>
              <w:pStyle w:val="TableBody"/>
            </w:pPr>
            <w:r w:rsidRPr="0060474A">
              <w:t>2011-12</w:t>
            </w:r>
          </w:p>
        </w:tc>
        <w:tc>
          <w:tcPr>
            <w:tcW w:w="625" w:type="pct"/>
            <w:noWrap/>
            <w:hideMark/>
          </w:tcPr>
          <w:p w14:paraId="3185EA6F" w14:textId="77777777" w:rsidR="0006046B" w:rsidRPr="0060474A" w:rsidRDefault="0006046B" w:rsidP="009E46AD">
            <w:pPr>
              <w:pStyle w:val="TableBody"/>
            </w:pPr>
            <w:r w:rsidRPr="0060474A">
              <w:t>15.7%</w:t>
            </w:r>
          </w:p>
        </w:tc>
        <w:tc>
          <w:tcPr>
            <w:tcW w:w="625" w:type="pct"/>
            <w:noWrap/>
            <w:hideMark/>
          </w:tcPr>
          <w:p w14:paraId="797F7EFC" w14:textId="77777777" w:rsidR="0006046B" w:rsidRPr="0060474A" w:rsidRDefault="0006046B" w:rsidP="009E46AD">
            <w:pPr>
              <w:pStyle w:val="TableBody"/>
            </w:pPr>
            <w:r w:rsidRPr="0060474A">
              <w:t>26.5%</w:t>
            </w:r>
          </w:p>
        </w:tc>
        <w:tc>
          <w:tcPr>
            <w:tcW w:w="625" w:type="pct"/>
            <w:noWrap/>
            <w:hideMark/>
          </w:tcPr>
          <w:p w14:paraId="2B378182" w14:textId="77777777" w:rsidR="0006046B" w:rsidRPr="0060474A" w:rsidRDefault="0006046B" w:rsidP="009E46AD">
            <w:pPr>
              <w:pStyle w:val="TableBody"/>
            </w:pPr>
            <w:r w:rsidRPr="0060474A">
              <w:t>23.1%</w:t>
            </w:r>
          </w:p>
        </w:tc>
        <w:tc>
          <w:tcPr>
            <w:tcW w:w="625" w:type="pct"/>
            <w:noWrap/>
            <w:hideMark/>
          </w:tcPr>
          <w:p w14:paraId="0B702ABA" w14:textId="77777777" w:rsidR="0006046B" w:rsidRPr="0060474A" w:rsidRDefault="0006046B" w:rsidP="009E46AD">
            <w:pPr>
              <w:pStyle w:val="TableBody"/>
            </w:pPr>
            <w:r w:rsidRPr="0060474A">
              <w:t>15.3%</w:t>
            </w:r>
          </w:p>
        </w:tc>
        <w:tc>
          <w:tcPr>
            <w:tcW w:w="625" w:type="pct"/>
            <w:noWrap/>
            <w:hideMark/>
          </w:tcPr>
          <w:p w14:paraId="6923D485" w14:textId="77777777" w:rsidR="0006046B" w:rsidRPr="0060474A" w:rsidRDefault="0006046B" w:rsidP="009E46AD">
            <w:pPr>
              <w:pStyle w:val="TableBody"/>
            </w:pPr>
            <w:r w:rsidRPr="0060474A">
              <w:t>10.6%</w:t>
            </w:r>
          </w:p>
        </w:tc>
        <w:tc>
          <w:tcPr>
            <w:tcW w:w="625" w:type="pct"/>
            <w:noWrap/>
            <w:hideMark/>
          </w:tcPr>
          <w:p w14:paraId="1E9CDFF0" w14:textId="77777777" w:rsidR="0006046B" w:rsidRPr="0060474A" w:rsidRDefault="0006046B" w:rsidP="009E46AD">
            <w:pPr>
              <w:pStyle w:val="TableBody"/>
            </w:pPr>
            <w:r w:rsidRPr="0060474A">
              <w:t>5.7%</w:t>
            </w:r>
          </w:p>
        </w:tc>
        <w:tc>
          <w:tcPr>
            <w:tcW w:w="625" w:type="pct"/>
            <w:noWrap/>
            <w:hideMark/>
          </w:tcPr>
          <w:p w14:paraId="0347CA11" w14:textId="77777777" w:rsidR="0006046B" w:rsidRPr="0060474A" w:rsidRDefault="0006046B" w:rsidP="009E46AD">
            <w:pPr>
              <w:pStyle w:val="TableBody"/>
            </w:pPr>
            <w:r w:rsidRPr="0060474A">
              <w:t>3.2%</w:t>
            </w:r>
          </w:p>
        </w:tc>
      </w:tr>
      <w:tr w:rsidR="0006046B" w:rsidRPr="0060474A" w14:paraId="42092419" w14:textId="77777777" w:rsidTr="009152EE">
        <w:trPr>
          <w:trHeight w:val="290"/>
        </w:trPr>
        <w:tc>
          <w:tcPr>
            <w:tcW w:w="625" w:type="pct"/>
            <w:noWrap/>
            <w:hideMark/>
          </w:tcPr>
          <w:p w14:paraId="7A672DE9" w14:textId="77777777" w:rsidR="0006046B" w:rsidRPr="0060474A" w:rsidRDefault="0006046B" w:rsidP="009E46AD">
            <w:pPr>
              <w:pStyle w:val="TableBody"/>
            </w:pPr>
            <w:r w:rsidRPr="0060474A">
              <w:t>2012-13</w:t>
            </w:r>
          </w:p>
        </w:tc>
        <w:tc>
          <w:tcPr>
            <w:tcW w:w="625" w:type="pct"/>
            <w:noWrap/>
            <w:hideMark/>
          </w:tcPr>
          <w:p w14:paraId="635943D8" w14:textId="77777777" w:rsidR="0006046B" w:rsidRPr="0060474A" w:rsidRDefault="0006046B" w:rsidP="009E46AD">
            <w:pPr>
              <w:pStyle w:val="TableBody"/>
            </w:pPr>
            <w:r w:rsidRPr="0060474A">
              <w:t>12.9%</w:t>
            </w:r>
          </w:p>
        </w:tc>
        <w:tc>
          <w:tcPr>
            <w:tcW w:w="625" w:type="pct"/>
            <w:noWrap/>
            <w:hideMark/>
          </w:tcPr>
          <w:p w14:paraId="728CAD93" w14:textId="77777777" w:rsidR="0006046B" w:rsidRPr="0060474A" w:rsidRDefault="0006046B" w:rsidP="009E46AD">
            <w:pPr>
              <w:pStyle w:val="TableBody"/>
            </w:pPr>
            <w:r w:rsidRPr="0060474A">
              <w:t>26.9%</w:t>
            </w:r>
          </w:p>
        </w:tc>
        <w:tc>
          <w:tcPr>
            <w:tcW w:w="625" w:type="pct"/>
            <w:noWrap/>
            <w:hideMark/>
          </w:tcPr>
          <w:p w14:paraId="19EBE720" w14:textId="77777777" w:rsidR="0006046B" w:rsidRPr="0060474A" w:rsidRDefault="0006046B" w:rsidP="009E46AD">
            <w:pPr>
              <w:pStyle w:val="TableBody"/>
            </w:pPr>
            <w:r w:rsidRPr="0060474A">
              <w:t>23.1%</w:t>
            </w:r>
          </w:p>
        </w:tc>
        <w:tc>
          <w:tcPr>
            <w:tcW w:w="625" w:type="pct"/>
            <w:noWrap/>
            <w:hideMark/>
          </w:tcPr>
          <w:p w14:paraId="0A0E80E2" w14:textId="77777777" w:rsidR="0006046B" w:rsidRPr="0060474A" w:rsidRDefault="0006046B" w:rsidP="009E46AD">
            <w:pPr>
              <w:pStyle w:val="TableBody"/>
            </w:pPr>
            <w:r w:rsidRPr="0060474A">
              <w:t>16.7%</w:t>
            </w:r>
          </w:p>
        </w:tc>
        <w:tc>
          <w:tcPr>
            <w:tcW w:w="625" w:type="pct"/>
            <w:noWrap/>
            <w:hideMark/>
          </w:tcPr>
          <w:p w14:paraId="697311CD" w14:textId="77777777" w:rsidR="0006046B" w:rsidRPr="0060474A" w:rsidRDefault="0006046B" w:rsidP="009E46AD">
            <w:pPr>
              <w:pStyle w:val="TableBody"/>
            </w:pPr>
            <w:r w:rsidRPr="0060474A">
              <w:t>11.2%</w:t>
            </w:r>
          </w:p>
        </w:tc>
        <w:tc>
          <w:tcPr>
            <w:tcW w:w="625" w:type="pct"/>
            <w:noWrap/>
            <w:hideMark/>
          </w:tcPr>
          <w:p w14:paraId="7E7ECC0C" w14:textId="77777777" w:rsidR="0006046B" w:rsidRPr="0060474A" w:rsidRDefault="0006046B" w:rsidP="009E46AD">
            <w:pPr>
              <w:pStyle w:val="TableBody"/>
            </w:pPr>
            <w:r w:rsidRPr="0060474A">
              <w:t>5.7%</w:t>
            </w:r>
          </w:p>
        </w:tc>
        <w:tc>
          <w:tcPr>
            <w:tcW w:w="625" w:type="pct"/>
            <w:noWrap/>
            <w:hideMark/>
          </w:tcPr>
          <w:p w14:paraId="6166DBBF" w14:textId="77777777" w:rsidR="0006046B" w:rsidRPr="0060474A" w:rsidRDefault="0006046B" w:rsidP="009E46AD">
            <w:pPr>
              <w:pStyle w:val="TableBody"/>
            </w:pPr>
            <w:r w:rsidRPr="0060474A">
              <w:t>3.5%</w:t>
            </w:r>
          </w:p>
        </w:tc>
      </w:tr>
      <w:tr w:rsidR="0006046B" w:rsidRPr="0060474A" w14:paraId="4FE1AA01" w14:textId="77777777" w:rsidTr="009152EE">
        <w:trPr>
          <w:trHeight w:val="290"/>
        </w:trPr>
        <w:tc>
          <w:tcPr>
            <w:tcW w:w="625" w:type="pct"/>
            <w:noWrap/>
            <w:hideMark/>
          </w:tcPr>
          <w:p w14:paraId="73BABAA1" w14:textId="77777777" w:rsidR="0006046B" w:rsidRPr="0060474A" w:rsidRDefault="0006046B" w:rsidP="009E46AD">
            <w:pPr>
              <w:pStyle w:val="TableBody"/>
            </w:pPr>
            <w:r w:rsidRPr="0060474A">
              <w:t>2013-14</w:t>
            </w:r>
          </w:p>
        </w:tc>
        <w:tc>
          <w:tcPr>
            <w:tcW w:w="625" w:type="pct"/>
            <w:noWrap/>
            <w:hideMark/>
          </w:tcPr>
          <w:p w14:paraId="5D96B3BD" w14:textId="77777777" w:rsidR="0006046B" w:rsidRPr="0060474A" w:rsidRDefault="0006046B" w:rsidP="009E46AD">
            <w:pPr>
              <w:pStyle w:val="TableBody"/>
            </w:pPr>
            <w:r w:rsidRPr="0060474A">
              <w:t>11.3%</w:t>
            </w:r>
          </w:p>
        </w:tc>
        <w:tc>
          <w:tcPr>
            <w:tcW w:w="625" w:type="pct"/>
            <w:noWrap/>
            <w:hideMark/>
          </w:tcPr>
          <w:p w14:paraId="797A403C" w14:textId="77777777" w:rsidR="0006046B" w:rsidRPr="0060474A" w:rsidRDefault="0006046B" w:rsidP="009E46AD">
            <w:pPr>
              <w:pStyle w:val="TableBody"/>
            </w:pPr>
            <w:r w:rsidRPr="0060474A">
              <w:t>25.1%</w:t>
            </w:r>
          </w:p>
        </w:tc>
        <w:tc>
          <w:tcPr>
            <w:tcW w:w="625" w:type="pct"/>
            <w:noWrap/>
            <w:hideMark/>
          </w:tcPr>
          <w:p w14:paraId="61FF312F" w14:textId="77777777" w:rsidR="0006046B" w:rsidRPr="0060474A" w:rsidRDefault="0006046B" w:rsidP="009E46AD">
            <w:pPr>
              <w:pStyle w:val="TableBody"/>
            </w:pPr>
            <w:r w:rsidRPr="0060474A">
              <w:t>21.9%</w:t>
            </w:r>
          </w:p>
        </w:tc>
        <w:tc>
          <w:tcPr>
            <w:tcW w:w="625" w:type="pct"/>
            <w:noWrap/>
            <w:hideMark/>
          </w:tcPr>
          <w:p w14:paraId="160ECDCA" w14:textId="77777777" w:rsidR="0006046B" w:rsidRPr="0060474A" w:rsidRDefault="0006046B" w:rsidP="009E46AD">
            <w:pPr>
              <w:pStyle w:val="TableBody"/>
            </w:pPr>
            <w:r w:rsidRPr="0060474A">
              <w:t>17.3%</w:t>
            </w:r>
          </w:p>
        </w:tc>
        <w:tc>
          <w:tcPr>
            <w:tcW w:w="625" w:type="pct"/>
            <w:noWrap/>
            <w:hideMark/>
          </w:tcPr>
          <w:p w14:paraId="50F97F92" w14:textId="77777777" w:rsidR="0006046B" w:rsidRPr="0060474A" w:rsidRDefault="0006046B" w:rsidP="009E46AD">
            <w:pPr>
              <w:pStyle w:val="TableBody"/>
            </w:pPr>
            <w:r w:rsidRPr="0060474A">
              <w:t>13.1%</w:t>
            </w:r>
          </w:p>
        </w:tc>
        <w:tc>
          <w:tcPr>
            <w:tcW w:w="625" w:type="pct"/>
            <w:noWrap/>
            <w:hideMark/>
          </w:tcPr>
          <w:p w14:paraId="0E9FDEEE" w14:textId="77777777" w:rsidR="0006046B" w:rsidRPr="0060474A" w:rsidRDefault="0006046B" w:rsidP="009E46AD">
            <w:pPr>
              <w:pStyle w:val="TableBody"/>
            </w:pPr>
            <w:r w:rsidRPr="0060474A">
              <w:t>7.2%</w:t>
            </w:r>
          </w:p>
        </w:tc>
        <w:tc>
          <w:tcPr>
            <w:tcW w:w="625" w:type="pct"/>
            <w:noWrap/>
            <w:hideMark/>
          </w:tcPr>
          <w:p w14:paraId="2638109A" w14:textId="77777777" w:rsidR="0006046B" w:rsidRPr="0060474A" w:rsidRDefault="0006046B" w:rsidP="009E46AD">
            <w:pPr>
              <w:pStyle w:val="TableBody"/>
            </w:pPr>
            <w:r w:rsidRPr="0060474A">
              <w:t>4.1%</w:t>
            </w:r>
          </w:p>
        </w:tc>
      </w:tr>
      <w:tr w:rsidR="0006046B" w:rsidRPr="0060474A" w14:paraId="6B05E433" w14:textId="77777777" w:rsidTr="009152EE">
        <w:trPr>
          <w:trHeight w:val="290"/>
        </w:trPr>
        <w:tc>
          <w:tcPr>
            <w:tcW w:w="625" w:type="pct"/>
            <w:noWrap/>
            <w:hideMark/>
          </w:tcPr>
          <w:p w14:paraId="1F43BBD6" w14:textId="77777777" w:rsidR="0006046B" w:rsidRPr="0060474A" w:rsidRDefault="0006046B" w:rsidP="009E46AD">
            <w:pPr>
              <w:pStyle w:val="TableBody"/>
            </w:pPr>
            <w:r w:rsidRPr="0060474A">
              <w:t>2014-15</w:t>
            </w:r>
          </w:p>
        </w:tc>
        <w:tc>
          <w:tcPr>
            <w:tcW w:w="625" w:type="pct"/>
            <w:noWrap/>
            <w:hideMark/>
          </w:tcPr>
          <w:p w14:paraId="0489C18F" w14:textId="77777777" w:rsidR="0006046B" w:rsidRPr="0060474A" w:rsidRDefault="0006046B" w:rsidP="009E46AD">
            <w:pPr>
              <w:pStyle w:val="TableBody"/>
            </w:pPr>
            <w:r w:rsidRPr="0060474A">
              <w:t>11.0%</w:t>
            </w:r>
          </w:p>
        </w:tc>
        <w:tc>
          <w:tcPr>
            <w:tcW w:w="625" w:type="pct"/>
            <w:noWrap/>
            <w:hideMark/>
          </w:tcPr>
          <w:p w14:paraId="33D342FF" w14:textId="77777777" w:rsidR="0006046B" w:rsidRPr="0060474A" w:rsidRDefault="0006046B" w:rsidP="009E46AD">
            <w:pPr>
              <w:pStyle w:val="TableBody"/>
            </w:pPr>
            <w:r w:rsidRPr="0060474A">
              <w:t>24.6%</w:t>
            </w:r>
          </w:p>
        </w:tc>
        <w:tc>
          <w:tcPr>
            <w:tcW w:w="625" w:type="pct"/>
            <w:noWrap/>
            <w:hideMark/>
          </w:tcPr>
          <w:p w14:paraId="4ABE0561" w14:textId="77777777" w:rsidR="0006046B" w:rsidRPr="0060474A" w:rsidRDefault="0006046B" w:rsidP="009E46AD">
            <w:pPr>
              <w:pStyle w:val="TableBody"/>
            </w:pPr>
            <w:r w:rsidRPr="0060474A">
              <w:t>23.4%</w:t>
            </w:r>
          </w:p>
        </w:tc>
        <w:tc>
          <w:tcPr>
            <w:tcW w:w="625" w:type="pct"/>
            <w:noWrap/>
            <w:hideMark/>
          </w:tcPr>
          <w:p w14:paraId="76E144C9" w14:textId="77777777" w:rsidR="0006046B" w:rsidRPr="0060474A" w:rsidRDefault="0006046B" w:rsidP="009E46AD">
            <w:pPr>
              <w:pStyle w:val="TableBody"/>
            </w:pPr>
            <w:r w:rsidRPr="0060474A">
              <w:t>16.7%</w:t>
            </w:r>
          </w:p>
        </w:tc>
        <w:tc>
          <w:tcPr>
            <w:tcW w:w="625" w:type="pct"/>
            <w:noWrap/>
            <w:hideMark/>
          </w:tcPr>
          <w:p w14:paraId="3B18B819" w14:textId="77777777" w:rsidR="0006046B" w:rsidRPr="0060474A" w:rsidRDefault="0006046B" w:rsidP="009E46AD">
            <w:pPr>
              <w:pStyle w:val="TableBody"/>
            </w:pPr>
            <w:r w:rsidRPr="0060474A">
              <w:t>13.1%</w:t>
            </w:r>
          </w:p>
        </w:tc>
        <w:tc>
          <w:tcPr>
            <w:tcW w:w="625" w:type="pct"/>
            <w:noWrap/>
            <w:hideMark/>
          </w:tcPr>
          <w:p w14:paraId="3E5B7245" w14:textId="77777777" w:rsidR="0006046B" w:rsidRPr="0060474A" w:rsidRDefault="0006046B" w:rsidP="009E46AD">
            <w:pPr>
              <w:pStyle w:val="TableBody"/>
            </w:pPr>
            <w:r w:rsidRPr="0060474A">
              <w:t>7.1%</w:t>
            </w:r>
          </w:p>
        </w:tc>
        <w:tc>
          <w:tcPr>
            <w:tcW w:w="625" w:type="pct"/>
            <w:noWrap/>
            <w:hideMark/>
          </w:tcPr>
          <w:p w14:paraId="553B9D14" w14:textId="77777777" w:rsidR="0006046B" w:rsidRPr="0060474A" w:rsidRDefault="0006046B" w:rsidP="009E46AD">
            <w:pPr>
              <w:pStyle w:val="TableBody"/>
            </w:pPr>
            <w:r w:rsidRPr="0060474A">
              <w:t>4.2%</w:t>
            </w:r>
          </w:p>
        </w:tc>
      </w:tr>
      <w:tr w:rsidR="0006046B" w:rsidRPr="0060474A" w14:paraId="44212F14" w14:textId="77777777" w:rsidTr="009152EE">
        <w:trPr>
          <w:trHeight w:val="290"/>
        </w:trPr>
        <w:tc>
          <w:tcPr>
            <w:tcW w:w="625" w:type="pct"/>
            <w:noWrap/>
            <w:hideMark/>
          </w:tcPr>
          <w:p w14:paraId="5C1073DC" w14:textId="77777777" w:rsidR="0006046B" w:rsidRPr="0060474A" w:rsidRDefault="0006046B" w:rsidP="009E46AD">
            <w:pPr>
              <w:pStyle w:val="TableBody"/>
            </w:pPr>
            <w:r w:rsidRPr="0060474A">
              <w:t>2015-16</w:t>
            </w:r>
          </w:p>
        </w:tc>
        <w:tc>
          <w:tcPr>
            <w:tcW w:w="625" w:type="pct"/>
            <w:noWrap/>
            <w:hideMark/>
          </w:tcPr>
          <w:p w14:paraId="7E399828" w14:textId="77777777" w:rsidR="0006046B" w:rsidRPr="0060474A" w:rsidRDefault="0006046B" w:rsidP="009E46AD">
            <w:pPr>
              <w:pStyle w:val="TableBody"/>
            </w:pPr>
            <w:r w:rsidRPr="0060474A">
              <w:t>10.7%</w:t>
            </w:r>
          </w:p>
        </w:tc>
        <w:tc>
          <w:tcPr>
            <w:tcW w:w="625" w:type="pct"/>
            <w:noWrap/>
            <w:hideMark/>
          </w:tcPr>
          <w:p w14:paraId="028F438D" w14:textId="77777777" w:rsidR="0006046B" w:rsidRPr="0060474A" w:rsidRDefault="0006046B" w:rsidP="009E46AD">
            <w:pPr>
              <w:pStyle w:val="TableBody"/>
            </w:pPr>
            <w:r w:rsidRPr="0060474A">
              <w:t>23.8%</w:t>
            </w:r>
          </w:p>
        </w:tc>
        <w:tc>
          <w:tcPr>
            <w:tcW w:w="625" w:type="pct"/>
            <w:noWrap/>
            <w:hideMark/>
          </w:tcPr>
          <w:p w14:paraId="4D1F2601" w14:textId="77777777" w:rsidR="0006046B" w:rsidRPr="0060474A" w:rsidRDefault="0006046B" w:rsidP="009E46AD">
            <w:pPr>
              <w:pStyle w:val="TableBody"/>
            </w:pPr>
            <w:r w:rsidRPr="0060474A">
              <w:t>23.1%</w:t>
            </w:r>
          </w:p>
        </w:tc>
        <w:tc>
          <w:tcPr>
            <w:tcW w:w="625" w:type="pct"/>
            <w:noWrap/>
            <w:hideMark/>
          </w:tcPr>
          <w:p w14:paraId="3F01CD88" w14:textId="77777777" w:rsidR="0006046B" w:rsidRPr="0060474A" w:rsidRDefault="0006046B" w:rsidP="009E46AD">
            <w:pPr>
              <w:pStyle w:val="TableBody"/>
            </w:pPr>
            <w:r w:rsidRPr="0060474A">
              <w:t>17.4%</w:t>
            </w:r>
          </w:p>
        </w:tc>
        <w:tc>
          <w:tcPr>
            <w:tcW w:w="625" w:type="pct"/>
            <w:noWrap/>
            <w:hideMark/>
          </w:tcPr>
          <w:p w14:paraId="4336AABB" w14:textId="77777777" w:rsidR="0006046B" w:rsidRPr="0060474A" w:rsidRDefault="0006046B" w:rsidP="009E46AD">
            <w:pPr>
              <w:pStyle w:val="TableBody"/>
            </w:pPr>
            <w:r w:rsidRPr="0060474A">
              <w:t>12.7%</w:t>
            </w:r>
          </w:p>
        </w:tc>
        <w:tc>
          <w:tcPr>
            <w:tcW w:w="625" w:type="pct"/>
            <w:noWrap/>
            <w:hideMark/>
          </w:tcPr>
          <w:p w14:paraId="234096FC" w14:textId="77777777" w:rsidR="0006046B" w:rsidRPr="0060474A" w:rsidRDefault="0006046B" w:rsidP="009E46AD">
            <w:pPr>
              <w:pStyle w:val="TableBody"/>
            </w:pPr>
            <w:r w:rsidRPr="0060474A">
              <w:t>7.0%</w:t>
            </w:r>
          </w:p>
        </w:tc>
        <w:tc>
          <w:tcPr>
            <w:tcW w:w="625" w:type="pct"/>
            <w:noWrap/>
            <w:hideMark/>
          </w:tcPr>
          <w:p w14:paraId="7FED0D39" w14:textId="77777777" w:rsidR="0006046B" w:rsidRPr="0060474A" w:rsidRDefault="0006046B" w:rsidP="009E46AD">
            <w:pPr>
              <w:pStyle w:val="TableBody"/>
            </w:pPr>
            <w:r w:rsidRPr="0060474A">
              <w:t>5.3%</w:t>
            </w:r>
          </w:p>
        </w:tc>
      </w:tr>
      <w:tr w:rsidR="0006046B" w:rsidRPr="0060474A" w14:paraId="15218F07" w14:textId="77777777" w:rsidTr="009152EE">
        <w:trPr>
          <w:trHeight w:val="290"/>
        </w:trPr>
        <w:tc>
          <w:tcPr>
            <w:tcW w:w="625" w:type="pct"/>
            <w:noWrap/>
            <w:hideMark/>
          </w:tcPr>
          <w:p w14:paraId="4817F758" w14:textId="77777777" w:rsidR="0006046B" w:rsidRPr="0060474A" w:rsidRDefault="0006046B" w:rsidP="009E46AD">
            <w:pPr>
              <w:pStyle w:val="TableBody"/>
            </w:pPr>
            <w:r w:rsidRPr="0060474A">
              <w:t>2016-17</w:t>
            </w:r>
          </w:p>
        </w:tc>
        <w:tc>
          <w:tcPr>
            <w:tcW w:w="625" w:type="pct"/>
            <w:noWrap/>
            <w:hideMark/>
          </w:tcPr>
          <w:p w14:paraId="5A78C615" w14:textId="77777777" w:rsidR="0006046B" w:rsidRPr="0060474A" w:rsidRDefault="0006046B" w:rsidP="009E46AD">
            <w:pPr>
              <w:pStyle w:val="TableBody"/>
            </w:pPr>
            <w:r w:rsidRPr="0060474A">
              <w:t>9.4%</w:t>
            </w:r>
          </w:p>
        </w:tc>
        <w:tc>
          <w:tcPr>
            <w:tcW w:w="625" w:type="pct"/>
            <w:noWrap/>
            <w:hideMark/>
          </w:tcPr>
          <w:p w14:paraId="6653E8AC" w14:textId="77777777" w:rsidR="0006046B" w:rsidRPr="0060474A" w:rsidRDefault="0006046B" w:rsidP="009E46AD">
            <w:pPr>
              <w:pStyle w:val="TableBody"/>
            </w:pPr>
            <w:r w:rsidRPr="0060474A">
              <w:t>23.6%</w:t>
            </w:r>
          </w:p>
        </w:tc>
        <w:tc>
          <w:tcPr>
            <w:tcW w:w="625" w:type="pct"/>
            <w:noWrap/>
            <w:hideMark/>
          </w:tcPr>
          <w:p w14:paraId="3C11EE8B" w14:textId="77777777" w:rsidR="0006046B" w:rsidRPr="0060474A" w:rsidRDefault="0006046B" w:rsidP="009E46AD">
            <w:pPr>
              <w:pStyle w:val="TableBody"/>
            </w:pPr>
            <w:r w:rsidRPr="0060474A">
              <w:t>24.7%</w:t>
            </w:r>
          </w:p>
        </w:tc>
        <w:tc>
          <w:tcPr>
            <w:tcW w:w="625" w:type="pct"/>
            <w:noWrap/>
            <w:hideMark/>
          </w:tcPr>
          <w:p w14:paraId="16F91F18" w14:textId="77777777" w:rsidR="0006046B" w:rsidRPr="0060474A" w:rsidRDefault="0006046B" w:rsidP="009E46AD">
            <w:pPr>
              <w:pStyle w:val="TableBody"/>
            </w:pPr>
            <w:r w:rsidRPr="0060474A">
              <w:t>17.1%</w:t>
            </w:r>
          </w:p>
        </w:tc>
        <w:tc>
          <w:tcPr>
            <w:tcW w:w="625" w:type="pct"/>
            <w:noWrap/>
            <w:hideMark/>
          </w:tcPr>
          <w:p w14:paraId="6E2A91F7" w14:textId="77777777" w:rsidR="0006046B" w:rsidRPr="0060474A" w:rsidRDefault="0006046B" w:rsidP="009E46AD">
            <w:pPr>
              <w:pStyle w:val="TableBody"/>
            </w:pPr>
            <w:r w:rsidRPr="0060474A">
              <w:t>13.4%</w:t>
            </w:r>
          </w:p>
        </w:tc>
        <w:tc>
          <w:tcPr>
            <w:tcW w:w="625" w:type="pct"/>
            <w:noWrap/>
            <w:hideMark/>
          </w:tcPr>
          <w:p w14:paraId="722E9E0C" w14:textId="77777777" w:rsidR="0006046B" w:rsidRPr="0060474A" w:rsidRDefault="0006046B" w:rsidP="009E46AD">
            <w:pPr>
              <w:pStyle w:val="TableBody"/>
            </w:pPr>
            <w:r w:rsidRPr="0060474A">
              <w:t>7.3%</w:t>
            </w:r>
          </w:p>
        </w:tc>
        <w:tc>
          <w:tcPr>
            <w:tcW w:w="625" w:type="pct"/>
            <w:noWrap/>
            <w:hideMark/>
          </w:tcPr>
          <w:p w14:paraId="0172332A" w14:textId="77777777" w:rsidR="0006046B" w:rsidRPr="0060474A" w:rsidRDefault="0006046B" w:rsidP="009E46AD">
            <w:pPr>
              <w:pStyle w:val="TableBody"/>
            </w:pPr>
            <w:r w:rsidRPr="0060474A">
              <w:t>4.4%</w:t>
            </w:r>
          </w:p>
        </w:tc>
      </w:tr>
      <w:tr w:rsidR="0006046B" w:rsidRPr="0060474A" w14:paraId="2CDFDC33" w14:textId="77777777" w:rsidTr="009152EE">
        <w:trPr>
          <w:trHeight w:val="290"/>
        </w:trPr>
        <w:tc>
          <w:tcPr>
            <w:tcW w:w="625" w:type="pct"/>
            <w:noWrap/>
            <w:hideMark/>
          </w:tcPr>
          <w:p w14:paraId="4378BEEF" w14:textId="77777777" w:rsidR="0006046B" w:rsidRPr="0060474A" w:rsidRDefault="0006046B" w:rsidP="009E46AD">
            <w:pPr>
              <w:pStyle w:val="TableBody"/>
            </w:pPr>
            <w:r w:rsidRPr="0060474A">
              <w:t>2017-18</w:t>
            </w:r>
          </w:p>
        </w:tc>
        <w:tc>
          <w:tcPr>
            <w:tcW w:w="625" w:type="pct"/>
            <w:noWrap/>
            <w:hideMark/>
          </w:tcPr>
          <w:p w14:paraId="0A41AF6E" w14:textId="77777777" w:rsidR="0006046B" w:rsidRPr="0060474A" w:rsidRDefault="0006046B" w:rsidP="009E46AD">
            <w:pPr>
              <w:pStyle w:val="TableBody"/>
            </w:pPr>
            <w:r w:rsidRPr="0060474A">
              <w:t>9.9%</w:t>
            </w:r>
          </w:p>
        </w:tc>
        <w:tc>
          <w:tcPr>
            <w:tcW w:w="625" w:type="pct"/>
            <w:noWrap/>
            <w:hideMark/>
          </w:tcPr>
          <w:p w14:paraId="14F3CD9B" w14:textId="77777777" w:rsidR="0006046B" w:rsidRPr="0060474A" w:rsidRDefault="0006046B" w:rsidP="009E46AD">
            <w:pPr>
              <w:pStyle w:val="TableBody"/>
            </w:pPr>
            <w:r w:rsidRPr="0060474A">
              <w:t>22.4%</w:t>
            </w:r>
          </w:p>
        </w:tc>
        <w:tc>
          <w:tcPr>
            <w:tcW w:w="625" w:type="pct"/>
            <w:noWrap/>
            <w:hideMark/>
          </w:tcPr>
          <w:p w14:paraId="68236116" w14:textId="77777777" w:rsidR="0006046B" w:rsidRPr="0060474A" w:rsidRDefault="0006046B" w:rsidP="009E46AD">
            <w:pPr>
              <w:pStyle w:val="TableBody"/>
            </w:pPr>
            <w:r w:rsidRPr="0060474A">
              <w:t>25.4%</w:t>
            </w:r>
          </w:p>
        </w:tc>
        <w:tc>
          <w:tcPr>
            <w:tcW w:w="625" w:type="pct"/>
            <w:noWrap/>
            <w:hideMark/>
          </w:tcPr>
          <w:p w14:paraId="30508885" w14:textId="77777777" w:rsidR="0006046B" w:rsidRPr="0060474A" w:rsidRDefault="0006046B" w:rsidP="009E46AD">
            <w:pPr>
              <w:pStyle w:val="TableBody"/>
            </w:pPr>
            <w:r w:rsidRPr="0060474A">
              <w:t>17.0%</w:t>
            </w:r>
          </w:p>
        </w:tc>
        <w:tc>
          <w:tcPr>
            <w:tcW w:w="625" w:type="pct"/>
            <w:noWrap/>
            <w:hideMark/>
          </w:tcPr>
          <w:p w14:paraId="1C923601" w14:textId="77777777" w:rsidR="0006046B" w:rsidRPr="0060474A" w:rsidRDefault="0006046B" w:rsidP="009E46AD">
            <w:pPr>
              <w:pStyle w:val="TableBody"/>
            </w:pPr>
            <w:r w:rsidRPr="0060474A">
              <w:t>13.0%</w:t>
            </w:r>
          </w:p>
        </w:tc>
        <w:tc>
          <w:tcPr>
            <w:tcW w:w="625" w:type="pct"/>
            <w:noWrap/>
            <w:hideMark/>
          </w:tcPr>
          <w:p w14:paraId="302E761E" w14:textId="77777777" w:rsidR="0006046B" w:rsidRPr="0060474A" w:rsidRDefault="0006046B" w:rsidP="009E46AD">
            <w:pPr>
              <w:pStyle w:val="TableBody"/>
            </w:pPr>
            <w:r w:rsidRPr="0060474A">
              <w:t>7.5%</w:t>
            </w:r>
          </w:p>
        </w:tc>
        <w:tc>
          <w:tcPr>
            <w:tcW w:w="625" w:type="pct"/>
            <w:noWrap/>
            <w:hideMark/>
          </w:tcPr>
          <w:p w14:paraId="017627C2" w14:textId="77777777" w:rsidR="0006046B" w:rsidRPr="0060474A" w:rsidRDefault="0006046B" w:rsidP="009E46AD">
            <w:pPr>
              <w:pStyle w:val="TableBody"/>
            </w:pPr>
            <w:r w:rsidRPr="0060474A">
              <w:t>4.8%</w:t>
            </w:r>
          </w:p>
        </w:tc>
      </w:tr>
      <w:tr w:rsidR="0006046B" w:rsidRPr="0060474A" w14:paraId="074BA795" w14:textId="77777777" w:rsidTr="009152EE">
        <w:trPr>
          <w:trHeight w:val="290"/>
        </w:trPr>
        <w:tc>
          <w:tcPr>
            <w:tcW w:w="625" w:type="pct"/>
            <w:noWrap/>
            <w:hideMark/>
          </w:tcPr>
          <w:p w14:paraId="230F5624" w14:textId="77777777" w:rsidR="0006046B" w:rsidRPr="0060474A" w:rsidRDefault="0006046B" w:rsidP="009E46AD">
            <w:pPr>
              <w:pStyle w:val="TableBody"/>
            </w:pPr>
            <w:r w:rsidRPr="0060474A">
              <w:t>2018-19</w:t>
            </w:r>
          </w:p>
        </w:tc>
        <w:tc>
          <w:tcPr>
            <w:tcW w:w="625" w:type="pct"/>
            <w:noWrap/>
            <w:hideMark/>
          </w:tcPr>
          <w:p w14:paraId="1E68583E" w14:textId="77777777" w:rsidR="0006046B" w:rsidRPr="0060474A" w:rsidRDefault="0006046B" w:rsidP="009E46AD">
            <w:pPr>
              <w:pStyle w:val="TableBody"/>
            </w:pPr>
            <w:r w:rsidRPr="0060474A">
              <w:t>9.9%</w:t>
            </w:r>
          </w:p>
        </w:tc>
        <w:tc>
          <w:tcPr>
            <w:tcW w:w="625" w:type="pct"/>
            <w:noWrap/>
            <w:hideMark/>
          </w:tcPr>
          <w:p w14:paraId="240E045A" w14:textId="77777777" w:rsidR="0006046B" w:rsidRPr="0060474A" w:rsidRDefault="0006046B" w:rsidP="009E46AD">
            <w:pPr>
              <w:pStyle w:val="TableBody"/>
            </w:pPr>
            <w:r w:rsidRPr="0060474A">
              <w:t>21.7%</w:t>
            </w:r>
          </w:p>
        </w:tc>
        <w:tc>
          <w:tcPr>
            <w:tcW w:w="625" w:type="pct"/>
            <w:noWrap/>
            <w:hideMark/>
          </w:tcPr>
          <w:p w14:paraId="48C9A6E8" w14:textId="77777777" w:rsidR="0006046B" w:rsidRPr="0060474A" w:rsidRDefault="0006046B" w:rsidP="009E46AD">
            <w:pPr>
              <w:pStyle w:val="TableBody"/>
            </w:pPr>
            <w:r w:rsidRPr="0060474A">
              <w:t>25.4%</w:t>
            </w:r>
          </w:p>
        </w:tc>
        <w:tc>
          <w:tcPr>
            <w:tcW w:w="625" w:type="pct"/>
            <w:noWrap/>
            <w:hideMark/>
          </w:tcPr>
          <w:p w14:paraId="7B14E8EF" w14:textId="77777777" w:rsidR="0006046B" w:rsidRPr="0060474A" w:rsidRDefault="0006046B" w:rsidP="009E46AD">
            <w:pPr>
              <w:pStyle w:val="TableBody"/>
            </w:pPr>
            <w:r w:rsidRPr="0060474A">
              <w:t>17.0%</w:t>
            </w:r>
          </w:p>
        </w:tc>
        <w:tc>
          <w:tcPr>
            <w:tcW w:w="625" w:type="pct"/>
            <w:noWrap/>
            <w:hideMark/>
          </w:tcPr>
          <w:p w14:paraId="6C390877" w14:textId="77777777" w:rsidR="0006046B" w:rsidRPr="0060474A" w:rsidRDefault="0006046B" w:rsidP="009E46AD">
            <w:pPr>
              <w:pStyle w:val="TableBody"/>
            </w:pPr>
            <w:r w:rsidRPr="0060474A">
              <w:t>13.6%</w:t>
            </w:r>
          </w:p>
        </w:tc>
        <w:tc>
          <w:tcPr>
            <w:tcW w:w="625" w:type="pct"/>
            <w:noWrap/>
            <w:hideMark/>
          </w:tcPr>
          <w:p w14:paraId="6306AFF2" w14:textId="77777777" w:rsidR="0006046B" w:rsidRPr="0060474A" w:rsidRDefault="0006046B" w:rsidP="009E46AD">
            <w:pPr>
              <w:pStyle w:val="TableBody"/>
            </w:pPr>
            <w:r w:rsidRPr="0060474A">
              <w:t>7.0%</w:t>
            </w:r>
          </w:p>
        </w:tc>
        <w:tc>
          <w:tcPr>
            <w:tcW w:w="625" w:type="pct"/>
            <w:noWrap/>
            <w:hideMark/>
          </w:tcPr>
          <w:p w14:paraId="1298B45A" w14:textId="77777777" w:rsidR="0006046B" w:rsidRPr="0060474A" w:rsidRDefault="0006046B" w:rsidP="009E46AD">
            <w:pPr>
              <w:pStyle w:val="TableBody"/>
            </w:pPr>
            <w:r w:rsidRPr="0060474A">
              <w:t>5.3%</w:t>
            </w:r>
          </w:p>
        </w:tc>
      </w:tr>
      <w:tr w:rsidR="0006046B" w:rsidRPr="0060474A" w14:paraId="338FFD7F" w14:textId="77777777" w:rsidTr="009152EE">
        <w:trPr>
          <w:trHeight w:val="290"/>
        </w:trPr>
        <w:tc>
          <w:tcPr>
            <w:tcW w:w="625" w:type="pct"/>
            <w:noWrap/>
            <w:hideMark/>
          </w:tcPr>
          <w:p w14:paraId="7C68AC28" w14:textId="77777777" w:rsidR="0006046B" w:rsidRPr="0060474A" w:rsidRDefault="0006046B" w:rsidP="009E46AD">
            <w:pPr>
              <w:pStyle w:val="TableBody"/>
            </w:pPr>
            <w:r w:rsidRPr="0060474A">
              <w:t>2019-20</w:t>
            </w:r>
          </w:p>
        </w:tc>
        <w:tc>
          <w:tcPr>
            <w:tcW w:w="625" w:type="pct"/>
            <w:noWrap/>
            <w:hideMark/>
          </w:tcPr>
          <w:p w14:paraId="56A1811A" w14:textId="77777777" w:rsidR="0006046B" w:rsidRPr="0060474A" w:rsidRDefault="0006046B" w:rsidP="009E46AD">
            <w:pPr>
              <w:pStyle w:val="TableBody"/>
            </w:pPr>
            <w:r w:rsidRPr="0060474A">
              <w:t>10.2%</w:t>
            </w:r>
          </w:p>
        </w:tc>
        <w:tc>
          <w:tcPr>
            <w:tcW w:w="625" w:type="pct"/>
            <w:noWrap/>
            <w:hideMark/>
          </w:tcPr>
          <w:p w14:paraId="0CE2A4FB" w14:textId="77777777" w:rsidR="0006046B" w:rsidRPr="0060474A" w:rsidRDefault="0006046B" w:rsidP="009E46AD">
            <w:pPr>
              <w:pStyle w:val="TableBody"/>
            </w:pPr>
            <w:r w:rsidRPr="0060474A">
              <w:t>21.8%</w:t>
            </w:r>
          </w:p>
        </w:tc>
        <w:tc>
          <w:tcPr>
            <w:tcW w:w="625" w:type="pct"/>
            <w:noWrap/>
            <w:hideMark/>
          </w:tcPr>
          <w:p w14:paraId="6DDFDF30" w14:textId="77777777" w:rsidR="0006046B" w:rsidRPr="0060474A" w:rsidRDefault="0006046B" w:rsidP="009E46AD">
            <w:pPr>
              <w:pStyle w:val="TableBody"/>
            </w:pPr>
            <w:r w:rsidRPr="0060474A">
              <w:t>25.4%</w:t>
            </w:r>
          </w:p>
        </w:tc>
        <w:tc>
          <w:tcPr>
            <w:tcW w:w="625" w:type="pct"/>
            <w:noWrap/>
            <w:hideMark/>
          </w:tcPr>
          <w:p w14:paraId="40822282" w14:textId="77777777" w:rsidR="0006046B" w:rsidRPr="0060474A" w:rsidRDefault="0006046B" w:rsidP="009E46AD">
            <w:pPr>
              <w:pStyle w:val="TableBody"/>
            </w:pPr>
            <w:r w:rsidRPr="0060474A">
              <w:t>17.4%</w:t>
            </w:r>
          </w:p>
        </w:tc>
        <w:tc>
          <w:tcPr>
            <w:tcW w:w="625" w:type="pct"/>
            <w:noWrap/>
            <w:hideMark/>
          </w:tcPr>
          <w:p w14:paraId="5B72A89F" w14:textId="77777777" w:rsidR="0006046B" w:rsidRPr="0060474A" w:rsidRDefault="0006046B" w:rsidP="009E46AD">
            <w:pPr>
              <w:pStyle w:val="TableBody"/>
            </w:pPr>
            <w:r w:rsidRPr="0060474A">
              <w:t>12.7%</w:t>
            </w:r>
          </w:p>
        </w:tc>
        <w:tc>
          <w:tcPr>
            <w:tcW w:w="625" w:type="pct"/>
            <w:noWrap/>
            <w:hideMark/>
          </w:tcPr>
          <w:p w14:paraId="58BBBBF8" w14:textId="77777777" w:rsidR="0006046B" w:rsidRPr="0060474A" w:rsidRDefault="0006046B" w:rsidP="009E46AD">
            <w:pPr>
              <w:pStyle w:val="TableBody"/>
            </w:pPr>
            <w:r w:rsidRPr="0060474A">
              <w:t>7.6%</w:t>
            </w:r>
          </w:p>
        </w:tc>
        <w:tc>
          <w:tcPr>
            <w:tcW w:w="625" w:type="pct"/>
            <w:noWrap/>
            <w:hideMark/>
          </w:tcPr>
          <w:p w14:paraId="3526FBA0" w14:textId="77777777" w:rsidR="0006046B" w:rsidRPr="0060474A" w:rsidRDefault="0006046B" w:rsidP="009E46AD">
            <w:pPr>
              <w:pStyle w:val="TableBody"/>
            </w:pPr>
            <w:r w:rsidRPr="0060474A">
              <w:t>4.9%</w:t>
            </w:r>
          </w:p>
        </w:tc>
      </w:tr>
      <w:tr w:rsidR="0006046B" w:rsidRPr="0060474A" w14:paraId="663382F7" w14:textId="77777777" w:rsidTr="009152EE">
        <w:trPr>
          <w:trHeight w:val="290"/>
        </w:trPr>
        <w:tc>
          <w:tcPr>
            <w:tcW w:w="625" w:type="pct"/>
            <w:noWrap/>
            <w:hideMark/>
          </w:tcPr>
          <w:p w14:paraId="35FCB8D8" w14:textId="77777777" w:rsidR="0006046B" w:rsidRPr="0060474A" w:rsidRDefault="0006046B" w:rsidP="009E46AD">
            <w:pPr>
              <w:pStyle w:val="TableBody"/>
            </w:pPr>
            <w:r w:rsidRPr="0060474A">
              <w:t>2020-21</w:t>
            </w:r>
          </w:p>
        </w:tc>
        <w:tc>
          <w:tcPr>
            <w:tcW w:w="625" w:type="pct"/>
            <w:noWrap/>
            <w:hideMark/>
          </w:tcPr>
          <w:p w14:paraId="3B4C09CA" w14:textId="77777777" w:rsidR="0006046B" w:rsidRPr="0060474A" w:rsidRDefault="0006046B" w:rsidP="009E46AD">
            <w:pPr>
              <w:pStyle w:val="TableBody"/>
            </w:pPr>
            <w:r w:rsidRPr="0060474A">
              <w:t>6.8%</w:t>
            </w:r>
          </w:p>
        </w:tc>
        <w:tc>
          <w:tcPr>
            <w:tcW w:w="625" w:type="pct"/>
            <w:noWrap/>
            <w:hideMark/>
          </w:tcPr>
          <w:p w14:paraId="6F20639F" w14:textId="77777777" w:rsidR="0006046B" w:rsidRPr="0060474A" w:rsidRDefault="0006046B" w:rsidP="009E46AD">
            <w:pPr>
              <w:pStyle w:val="TableBody"/>
            </w:pPr>
            <w:r w:rsidRPr="0060474A">
              <w:t>21.9%</w:t>
            </w:r>
          </w:p>
        </w:tc>
        <w:tc>
          <w:tcPr>
            <w:tcW w:w="625" w:type="pct"/>
            <w:noWrap/>
            <w:hideMark/>
          </w:tcPr>
          <w:p w14:paraId="489AB16A" w14:textId="77777777" w:rsidR="0006046B" w:rsidRPr="0060474A" w:rsidRDefault="0006046B" w:rsidP="009E46AD">
            <w:pPr>
              <w:pStyle w:val="TableBody"/>
            </w:pPr>
            <w:r w:rsidRPr="0060474A">
              <w:t>24.5%</w:t>
            </w:r>
          </w:p>
        </w:tc>
        <w:tc>
          <w:tcPr>
            <w:tcW w:w="625" w:type="pct"/>
            <w:noWrap/>
            <w:hideMark/>
          </w:tcPr>
          <w:p w14:paraId="719503A6" w14:textId="77777777" w:rsidR="0006046B" w:rsidRPr="0060474A" w:rsidRDefault="0006046B" w:rsidP="009E46AD">
            <w:pPr>
              <w:pStyle w:val="TableBody"/>
            </w:pPr>
            <w:r w:rsidRPr="0060474A">
              <w:t>18.2%</w:t>
            </w:r>
          </w:p>
        </w:tc>
        <w:tc>
          <w:tcPr>
            <w:tcW w:w="625" w:type="pct"/>
            <w:noWrap/>
            <w:hideMark/>
          </w:tcPr>
          <w:p w14:paraId="7CB9F6D4" w14:textId="77777777" w:rsidR="0006046B" w:rsidRPr="0060474A" w:rsidRDefault="0006046B" w:rsidP="009E46AD">
            <w:pPr>
              <w:pStyle w:val="TableBody"/>
            </w:pPr>
            <w:r w:rsidRPr="0060474A">
              <w:t>13.4%</w:t>
            </w:r>
          </w:p>
        </w:tc>
        <w:tc>
          <w:tcPr>
            <w:tcW w:w="625" w:type="pct"/>
            <w:noWrap/>
            <w:hideMark/>
          </w:tcPr>
          <w:p w14:paraId="053F2937" w14:textId="77777777" w:rsidR="0006046B" w:rsidRPr="0060474A" w:rsidRDefault="0006046B" w:rsidP="009E46AD">
            <w:pPr>
              <w:pStyle w:val="TableBody"/>
            </w:pPr>
            <w:r w:rsidRPr="0060474A">
              <w:t>8.6%</w:t>
            </w:r>
          </w:p>
        </w:tc>
        <w:tc>
          <w:tcPr>
            <w:tcW w:w="625" w:type="pct"/>
            <w:noWrap/>
            <w:hideMark/>
          </w:tcPr>
          <w:p w14:paraId="631CE2BE" w14:textId="77777777" w:rsidR="0006046B" w:rsidRPr="0060474A" w:rsidRDefault="0006046B" w:rsidP="009E46AD">
            <w:pPr>
              <w:pStyle w:val="TableBody"/>
            </w:pPr>
            <w:r w:rsidRPr="0060474A">
              <w:t>6.5%</w:t>
            </w:r>
          </w:p>
        </w:tc>
      </w:tr>
    </w:tbl>
    <w:p w14:paraId="65010F92" w14:textId="77777777" w:rsidR="00417C86" w:rsidRPr="0060474A" w:rsidRDefault="00417C86" w:rsidP="00D03462">
      <w:pPr>
        <w:pStyle w:val="Bullets"/>
        <w:spacing w:before="240"/>
      </w:pPr>
      <w:r w:rsidRPr="0060474A">
        <w:rPr>
          <w:b/>
          <w:bCs/>
        </w:rPr>
        <w:t>Family violence indicator</w:t>
      </w:r>
      <w:r w:rsidRPr="0060474A">
        <w:t>: the proportion of diversion cases with a family violence indicator has been relatively stable since 2015–16 (Figure 13), with family violence cases fluctuating between 14.6% (in 2018–19) and 20.6% (in 2016–17).</w:t>
      </w:r>
    </w:p>
    <w:p w14:paraId="74BF46AD" w14:textId="77777777" w:rsidR="00417C86" w:rsidRPr="0060474A" w:rsidRDefault="00417C86" w:rsidP="00187BBF">
      <w:pPr>
        <w:pStyle w:val="Caption"/>
      </w:pPr>
      <w:r w:rsidRPr="0060474A">
        <w:t>Figure 13: Trends in the percentage of diversion cases (31,076 cases), by family violence indicator</w:t>
      </w:r>
    </w:p>
    <w:tbl>
      <w:tblPr>
        <w:tblStyle w:val="Table"/>
        <w:tblW w:w="5000" w:type="pct"/>
        <w:tblLook w:val="04A0" w:firstRow="1" w:lastRow="0" w:firstColumn="1" w:lastColumn="0" w:noHBand="0" w:noVBand="1"/>
      </w:tblPr>
      <w:tblGrid>
        <w:gridCol w:w="1442"/>
        <w:gridCol w:w="3576"/>
        <w:gridCol w:w="3998"/>
      </w:tblGrid>
      <w:tr w:rsidR="001A1F0E" w:rsidRPr="0060474A" w14:paraId="5AC9C2CB" w14:textId="77777777" w:rsidTr="003B3B33">
        <w:trPr>
          <w:trHeight w:val="290"/>
          <w:tblHeader/>
        </w:trPr>
        <w:tc>
          <w:tcPr>
            <w:tcW w:w="800" w:type="pct"/>
            <w:noWrap/>
            <w:hideMark/>
          </w:tcPr>
          <w:p w14:paraId="2D38FBD8" w14:textId="77777777" w:rsidR="001A1F0E" w:rsidRPr="0060474A" w:rsidRDefault="001A1F0E" w:rsidP="008B1C5E">
            <w:pPr>
              <w:pStyle w:val="TableHeading"/>
            </w:pPr>
            <w:r w:rsidRPr="0060474A">
              <w:t>Year</w:t>
            </w:r>
          </w:p>
        </w:tc>
        <w:tc>
          <w:tcPr>
            <w:tcW w:w="1983" w:type="pct"/>
            <w:noWrap/>
            <w:hideMark/>
          </w:tcPr>
          <w:p w14:paraId="7E225014" w14:textId="77777777" w:rsidR="001A1F0E" w:rsidRPr="0060474A" w:rsidRDefault="001A1F0E" w:rsidP="008B1C5E">
            <w:pPr>
              <w:pStyle w:val="TableHeading"/>
            </w:pPr>
            <w:r w:rsidRPr="0060474A">
              <w:t>Family violence indicator</w:t>
            </w:r>
          </w:p>
        </w:tc>
        <w:tc>
          <w:tcPr>
            <w:tcW w:w="2217" w:type="pct"/>
            <w:noWrap/>
            <w:hideMark/>
          </w:tcPr>
          <w:p w14:paraId="0566FB77" w14:textId="77777777" w:rsidR="001A1F0E" w:rsidRPr="0060474A" w:rsidRDefault="001A1F0E" w:rsidP="008B1C5E">
            <w:pPr>
              <w:pStyle w:val="TableHeading"/>
            </w:pPr>
            <w:r w:rsidRPr="0060474A">
              <w:t>No family violence indicator</w:t>
            </w:r>
          </w:p>
        </w:tc>
      </w:tr>
      <w:tr w:rsidR="001A1F0E" w:rsidRPr="0060474A" w14:paraId="06099F15" w14:textId="77777777" w:rsidTr="003B3B33">
        <w:trPr>
          <w:trHeight w:val="290"/>
        </w:trPr>
        <w:tc>
          <w:tcPr>
            <w:tcW w:w="800" w:type="pct"/>
            <w:noWrap/>
            <w:hideMark/>
          </w:tcPr>
          <w:p w14:paraId="0942D94A" w14:textId="77777777" w:rsidR="001A1F0E" w:rsidRPr="0060474A" w:rsidRDefault="001A1F0E" w:rsidP="008B1C5E">
            <w:pPr>
              <w:pStyle w:val="TableBody"/>
            </w:pPr>
            <w:r w:rsidRPr="0060474A">
              <w:t>2015-16</w:t>
            </w:r>
          </w:p>
        </w:tc>
        <w:tc>
          <w:tcPr>
            <w:tcW w:w="1983" w:type="pct"/>
            <w:noWrap/>
            <w:hideMark/>
          </w:tcPr>
          <w:p w14:paraId="6496A2CE" w14:textId="77777777" w:rsidR="001A1F0E" w:rsidRPr="0060474A" w:rsidRDefault="001A1F0E" w:rsidP="008B1C5E">
            <w:pPr>
              <w:pStyle w:val="TableBody"/>
            </w:pPr>
            <w:r w:rsidRPr="0060474A">
              <w:t>15.2%</w:t>
            </w:r>
          </w:p>
        </w:tc>
        <w:tc>
          <w:tcPr>
            <w:tcW w:w="2217" w:type="pct"/>
            <w:noWrap/>
            <w:hideMark/>
          </w:tcPr>
          <w:p w14:paraId="01F09826" w14:textId="77777777" w:rsidR="001A1F0E" w:rsidRPr="0060474A" w:rsidRDefault="001A1F0E" w:rsidP="008B1C5E">
            <w:pPr>
              <w:pStyle w:val="TableBody"/>
            </w:pPr>
            <w:r w:rsidRPr="0060474A">
              <w:t>84.8%</w:t>
            </w:r>
          </w:p>
        </w:tc>
      </w:tr>
      <w:tr w:rsidR="001A1F0E" w:rsidRPr="0060474A" w14:paraId="4930FA95" w14:textId="77777777" w:rsidTr="003B3B33">
        <w:trPr>
          <w:trHeight w:val="290"/>
        </w:trPr>
        <w:tc>
          <w:tcPr>
            <w:tcW w:w="800" w:type="pct"/>
            <w:noWrap/>
            <w:hideMark/>
          </w:tcPr>
          <w:p w14:paraId="3A28A1BA" w14:textId="77777777" w:rsidR="001A1F0E" w:rsidRPr="0060474A" w:rsidRDefault="001A1F0E" w:rsidP="008B1C5E">
            <w:pPr>
              <w:pStyle w:val="TableBody"/>
            </w:pPr>
            <w:r w:rsidRPr="0060474A">
              <w:t>2016-17</w:t>
            </w:r>
          </w:p>
        </w:tc>
        <w:tc>
          <w:tcPr>
            <w:tcW w:w="1983" w:type="pct"/>
            <w:noWrap/>
            <w:hideMark/>
          </w:tcPr>
          <w:p w14:paraId="43D136C6" w14:textId="77777777" w:rsidR="001A1F0E" w:rsidRPr="0060474A" w:rsidRDefault="001A1F0E" w:rsidP="008B1C5E">
            <w:pPr>
              <w:pStyle w:val="TableBody"/>
            </w:pPr>
            <w:r w:rsidRPr="0060474A">
              <w:t>20.6%</w:t>
            </w:r>
          </w:p>
        </w:tc>
        <w:tc>
          <w:tcPr>
            <w:tcW w:w="2217" w:type="pct"/>
            <w:noWrap/>
            <w:hideMark/>
          </w:tcPr>
          <w:p w14:paraId="4C2F2F28" w14:textId="77777777" w:rsidR="001A1F0E" w:rsidRPr="0060474A" w:rsidRDefault="001A1F0E" w:rsidP="008B1C5E">
            <w:pPr>
              <w:pStyle w:val="TableBody"/>
            </w:pPr>
            <w:r w:rsidRPr="0060474A">
              <w:t>79.4%</w:t>
            </w:r>
          </w:p>
        </w:tc>
      </w:tr>
      <w:tr w:rsidR="001A1F0E" w:rsidRPr="0060474A" w14:paraId="54E27829" w14:textId="77777777" w:rsidTr="003B3B33">
        <w:trPr>
          <w:trHeight w:val="290"/>
        </w:trPr>
        <w:tc>
          <w:tcPr>
            <w:tcW w:w="800" w:type="pct"/>
            <w:noWrap/>
            <w:hideMark/>
          </w:tcPr>
          <w:p w14:paraId="7709F2ED" w14:textId="77777777" w:rsidR="001A1F0E" w:rsidRPr="0060474A" w:rsidRDefault="001A1F0E" w:rsidP="008B1C5E">
            <w:pPr>
              <w:pStyle w:val="TableBody"/>
            </w:pPr>
            <w:r w:rsidRPr="0060474A">
              <w:t>2017-18</w:t>
            </w:r>
          </w:p>
        </w:tc>
        <w:tc>
          <w:tcPr>
            <w:tcW w:w="1983" w:type="pct"/>
            <w:noWrap/>
            <w:hideMark/>
          </w:tcPr>
          <w:p w14:paraId="53B97544" w14:textId="77777777" w:rsidR="001A1F0E" w:rsidRPr="0060474A" w:rsidRDefault="001A1F0E" w:rsidP="008B1C5E">
            <w:pPr>
              <w:pStyle w:val="TableBody"/>
            </w:pPr>
            <w:r w:rsidRPr="0060474A">
              <w:t>18.6%</w:t>
            </w:r>
          </w:p>
        </w:tc>
        <w:tc>
          <w:tcPr>
            <w:tcW w:w="2217" w:type="pct"/>
            <w:noWrap/>
            <w:hideMark/>
          </w:tcPr>
          <w:p w14:paraId="0CD4A59F" w14:textId="77777777" w:rsidR="001A1F0E" w:rsidRPr="0060474A" w:rsidRDefault="001A1F0E" w:rsidP="008B1C5E">
            <w:pPr>
              <w:pStyle w:val="TableBody"/>
            </w:pPr>
            <w:r w:rsidRPr="0060474A">
              <w:t>81.4%</w:t>
            </w:r>
          </w:p>
        </w:tc>
      </w:tr>
      <w:tr w:rsidR="001A1F0E" w:rsidRPr="0060474A" w14:paraId="63182C21" w14:textId="77777777" w:rsidTr="003B3B33">
        <w:trPr>
          <w:trHeight w:val="290"/>
        </w:trPr>
        <w:tc>
          <w:tcPr>
            <w:tcW w:w="800" w:type="pct"/>
            <w:noWrap/>
            <w:hideMark/>
          </w:tcPr>
          <w:p w14:paraId="0F28ADF7" w14:textId="77777777" w:rsidR="001A1F0E" w:rsidRPr="0060474A" w:rsidRDefault="001A1F0E" w:rsidP="008B1C5E">
            <w:pPr>
              <w:pStyle w:val="TableBody"/>
            </w:pPr>
            <w:r w:rsidRPr="0060474A">
              <w:t>2018-19</w:t>
            </w:r>
          </w:p>
        </w:tc>
        <w:tc>
          <w:tcPr>
            <w:tcW w:w="1983" w:type="pct"/>
            <w:noWrap/>
            <w:hideMark/>
          </w:tcPr>
          <w:p w14:paraId="26A693E1" w14:textId="77777777" w:rsidR="001A1F0E" w:rsidRPr="0060474A" w:rsidRDefault="001A1F0E" w:rsidP="008B1C5E">
            <w:pPr>
              <w:pStyle w:val="TableBody"/>
            </w:pPr>
            <w:r w:rsidRPr="0060474A">
              <w:t>14.6%</w:t>
            </w:r>
          </w:p>
        </w:tc>
        <w:tc>
          <w:tcPr>
            <w:tcW w:w="2217" w:type="pct"/>
            <w:noWrap/>
            <w:hideMark/>
          </w:tcPr>
          <w:p w14:paraId="5F83EC96" w14:textId="77777777" w:rsidR="001A1F0E" w:rsidRPr="0060474A" w:rsidRDefault="001A1F0E" w:rsidP="008B1C5E">
            <w:pPr>
              <w:pStyle w:val="TableBody"/>
            </w:pPr>
            <w:r w:rsidRPr="0060474A">
              <w:t>85.4%</w:t>
            </w:r>
          </w:p>
        </w:tc>
      </w:tr>
      <w:tr w:rsidR="001A1F0E" w:rsidRPr="0060474A" w14:paraId="7DC3F4FC" w14:textId="77777777" w:rsidTr="003B3B33">
        <w:trPr>
          <w:trHeight w:val="290"/>
        </w:trPr>
        <w:tc>
          <w:tcPr>
            <w:tcW w:w="800" w:type="pct"/>
            <w:noWrap/>
            <w:hideMark/>
          </w:tcPr>
          <w:p w14:paraId="3161CE92" w14:textId="77777777" w:rsidR="001A1F0E" w:rsidRPr="0060474A" w:rsidRDefault="001A1F0E" w:rsidP="008B1C5E">
            <w:pPr>
              <w:pStyle w:val="TableBody"/>
            </w:pPr>
            <w:r w:rsidRPr="0060474A">
              <w:t>2019-20</w:t>
            </w:r>
          </w:p>
        </w:tc>
        <w:tc>
          <w:tcPr>
            <w:tcW w:w="1983" w:type="pct"/>
            <w:noWrap/>
            <w:hideMark/>
          </w:tcPr>
          <w:p w14:paraId="103E960D" w14:textId="77777777" w:rsidR="001A1F0E" w:rsidRPr="0060474A" w:rsidRDefault="001A1F0E" w:rsidP="008B1C5E">
            <w:pPr>
              <w:pStyle w:val="TableBody"/>
            </w:pPr>
            <w:r w:rsidRPr="0060474A">
              <w:t>17.8%</w:t>
            </w:r>
          </w:p>
        </w:tc>
        <w:tc>
          <w:tcPr>
            <w:tcW w:w="2217" w:type="pct"/>
            <w:noWrap/>
            <w:hideMark/>
          </w:tcPr>
          <w:p w14:paraId="4C0F307C" w14:textId="77777777" w:rsidR="001A1F0E" w:rsidRPr="0060474A" w:rsidRDefault="001A1F0E" w:rsidP="008B1C5E">
            <w:pPr>
              <w:pStyle w:val="TableBody"/>
            </w:pPr>
            <w:r w:rsidRPr="0060474A">
              <w:t>82.2%</w:t>
            </w:r>
          </w:p>
        </w:tc>
      </w:tr>
      <w:tr w:rsidR="001A1F0E" w:rsidRPr="0060474A" w14:paraId="436932C4" w14:textId="77777777" w:rsidTr="003B3B33">
        <w:trPr>
          <w:trHeight w:val="290"/>
        </w:trPr>
        <w:tc>
          <w:tcPr>
            <w:tcW w:w="800" w:type="pct"/>
            <w:noWrap/>
            <w:hideMark/>
          </w:tcPr>
          <w:p w14:paraId="619A75FC" w14:textId="77777777" w:rsidR="001A1F0E" w:rsidRPr="0060474A" w:rsidRDefault="001A1F0E" w:rsidP="008B1C5E">
            <w:pPr>
              <w:pStyle w:val="TableBody"/>
            </w:pPr>
            <w:r w:rsidRPr="0060474A">
              <w:t>2020-21</w:t>
            </w:r>
          </w:p>
        </w:tc>
        <w:tc>
          <w:tcPr>
            <w:tcW w:w="1983" w:type="pct"/>
            <w:noWrap/>
            <w:hideMark/>
          </w:tcPr>
          <w:p w14:paraId="7DAD29EC" w14:textId="77777777" w:rsidR="001A1F0E" w:rsidRPr="0060474A" w:rsidRDefault="001A1F0E" w:rsidP="008B1C5E">
            <w:pPr>
              <w:pStyle w:val="TableBody"/>
            </w:pPr>
            <w:r w:rsidRPr="0060474A">
              <w:t>17.2%</w:t>
            </w:r>
          </w:p>
        </w:tc>
        <w:tc>
          <w:tcPr>
            <w:tcW w:w="2217" w:type="pct"/>
            <w:noWrap/>
            <w:hideMark/>
          </w:tcPr>
          <w:p w14:paraId="772E39B8" w14:textId="77777777" w:rsidR="001A1F0E" w:rsidRPr="0060474A" w:rsidRDefault="001A1F0E" w:rsidP="008B1C5E">
            <w:pPr>
              <w:pStyle w:val="TableBody"/>
            </w:pPr>
            <w:r w:rsidRPr="0060474A">
              <w:t>82.8%</w:t>
            </w:r>
          </w:p>
        </w:tc>
      </w:tr>
    </w:tbl>
    <w:p w14:paraId="59B8996B" w14:textId="77777777" w:rsidR="00417C86" w:rsidRPr="0060474A" w:rsidRDefault="00417C86" w:rsidP="00186185">
      <w:pPr>
        <w:pStyle w:val="Bullets"/>
        <w:spacing w:before="240"/>
      </w:pPr>
      <w:r w:rsidRPr="0060474A">
        <w:rPr>
          <w:b/>
          <w:bCs/>
        </w:rPr>
        <w:t>Offence types</w:t>
      </w:r>
      <w:r w:rsidRPr="0060474A">
        <w:t>: the most notable changes in offence types were a decrease in the proportion of diversion cases involving property offences (from 37.6% of diversion cases to 28.3%), and an increase in drug-related offences (from 5.6% of diversion cases to 9.4%) (Figure 14). There has also been an increase in traffic offences since 2014–15 (from 11.6% of diversion cases to 15.7%), although this increase is still lower than the peak in 2011–12 (19.1%).</w:t>
      </w:r>
    </w:p>
    <w:p w14:paraId="19E27BFC" w14:textId="77777777" w:rsidR="00417C86" w:rsidRPr="0060474A" w:rsidRDefault="00417C86" w:rsidP="00187BBF">
      <w:pPr>
        <w:pStyle w:val="Caption"/>
      </w:pPr>
      <w:r w:rsidRPr="0060474A">
        <w:lastRenderedPageBreak/>
        <w:t>Figure 14: Trends in the percentage of diversion cases (50,988 cases), by offence type</w:t>
      </w:r>
    </w:p>
    <w:tbl>
      <w:tblPr>
        <w:tblStyle w:val="Table"/>
        <w:tblW w:w="5000" w:type="pct"/>
        <w:tblLayout w:type="fixed"/>
        <w:tblLook w:val="04A0" w:firstRow="1" w:lastRow="0" w:firstColumn="1" w:lastColumn="0" w:noHBand="0" w:noVBand="1"/>
      </w:tblPr>
      <w:tblGrid>
        <w:gridCol w:w="1502"/>
        <w:gridCol w:w="1504"/>
        <w:gridCol w:w="1504"/>
        <w:gridCol w:w="1502"/>
        <w:gridCol w:w="1504"/>
        <w:gridCol w:w="1500"/>
      </w:tblGrid>
      <w:tr w:rsidR="005A68FD" w:rsidRPr="0060474A" w14:paraId="24BAB0C4" w14:textId="77777777" w:rsidTr="003E29FD">
        <w:trPr>
          <w:trHeight w:val="290"/>
          <w:tblHeader/>
        </w:trPr>
        <w:tc>
          <w:tcPr>
            <w:tcW w:w="833" w:type="pct"/>
            <w:noWrap/>
            <w:hideMark/>
          </w:tcPr>
          <w:p w14:paraId="3CDDB7A9" w14:textId="77777777" w:rsidR="005A68FD" w:rsidRPr="0060474A" w:rsidRDefault="005A68FD" w:rsidP="000027A4">
            <w:pPr>
              <w:pStyle w:val="TableHeading"/>
            </w:pPr>
            <w:r w:rsidRPr="0060474A">
              <w:t>Year</w:t>
            </w:r>
          </w:p>
        </w:tc>
        <w:tc>
          <w:tcPr>
            <w:tcW w:w="834" w:type="pct"/>
            <w:noWrap/>
            <w:hideMark/>
          </w:tcPr>
          <w:p w14:paraId="20DB9C2C" w14:textId="77777777" w:rsidR="005A68FD" w:rsidRPr="0060474A" w:rsidRDefault="005A68FD" w:rsidP="000027A4">
            <w:pPr>
              <w:pStyle w:val="TableHeading"/>
            </w:pPr>
            <w:r w:rsidRPr="0060474A">
              <w:t>Offences against the person</w:t>
            </w:r>
          </w:p>
        </w:tc>
        <w:tc>
          <w:tcPr>
            <w:tcW w:w="834" w:type="pct"/>
            <w:noWrap/>
            <w:hideMark/>
          </w:tcPr>
          <w:p w14:paraId="24030C4B" w14:textId="77777777" w:rsidR="005A68FD" w:rsidRPr="0060474A" w:rsidRDefault="005A68FD" w:rsidP="000027A4">
            <w:pPr>
              <w:pStyle w:val="TableHeading"/>
            </w:pPr>
            <w:r w:rsidRPr="0060474A">
              <w:t>Property offences</w:t>
            </w:r>
          </w:p>
        </w:tc>
        <w:tc>
          <w:tcPr>
            <w:tcW w:w="833" w:type="pct"/>
            <w:noWrap/>
            <w:hideMark/>
          </w:tcPr>
          <w:p w14:paraId="23FB5797" w14:textId="17761651" w:rsidR="005A68FD" w:rsidRPr="0060474A" w:rsidRDefault="005A68FD" w:rsidP="000027A4">
            <w:pPr>
              <w:pStyle w:val="TableHeading"/>
            </w:pPr>
            <w:r w:rsidRPr="0060474A">
              <w:t>Traffic offences</w:t>
            </w:r>
          </w:p>
        </w:tc>
        <w:tc>
          <w:tcPr>
            <w:tcW w:w="834" w:type="pct"/>
            <w:noWrap/>
            <w:hideMark/>
          </w:tcPr>
          <w:p w14:paraId="7C5BF420" w14:textId="77777777" w:rsidR="005A68FD" w:rsidRPr="0060474A" w:rsidRDefault="005A68FD" w:rsidP="000027A4">
            <w:pPr>
              <w:pStyle w:val="TableHeading"/>
            </w:pPr>
            <w:r w:rsidRPr="0060474A">
              <w:t>Drug-related offences</w:t>
            </w:r>
          </w:p>
        </w:tc>
        <w:tc>
          <w:tcPr>
            <w:tcW w:w="834" w:type="pct"/>
            <w:noWrap/>
            <w:hideMark/>
          </w:tcPr>
          <w:p w14:paraId="6EB15945" w14:textId="4B52CF7E" w:rsidR="005A68FD" w:rsidRPr="0060474A" w:rsidRDefault="005A68FD" w:rsidP="000027A4">
            <w:pPr>
              <w:pStyle w:val="TableHeading"/>
            </w:pPr>
            <w:r w:rsidRPr="0060474A">
              <w:t>Other</w:t>
            </w:r>
          </w:p>
        </w:tc>
      </w:tr>
      <w:tr w:rsidR="005A68FD" w:rsidRPr="0060474A" w14:paraId="3AADC17A" w14:textId="77777777" w:rsidTr="009152EE">
        <w:trPr>
          <w:trHeight w:val="290"/>
        </w:trPr>
        <w:tc>
          <w:tcPr>
            <w:tcW w:w="833" w:type="pct"/>
            <w:noWrap/>
            <w:hideMark/>
          </w:tcPr>
          <w:p w14:paraId="291C1D0E" w14:textId="77777777" w:rsidR="005A68FD" w:rsidRPr="0060474A" w:rsidRDefault="005A68FD" w:rsidP="007334FB">
            <w:pPr>
              <w:pStyle w:val="TableBody"/>
            </w:pPr>
            <w:r w:rsidRPr="0060474A">
              <w:t>2011-12</w:t>
            </w:r>
          </w:p>
        </w:tc>
        <w:tc>
          <w:tcPr>
            <w:tcW w:w="834" w:type="pct"/>
            <w:noWrap/>
            <w:hideMark/>
          </w:tcPr>
          <w:p w14:paraId="3693715C" w14:textId="77777777" w:rsidR="005A68FD" w:rsidRPr="0060474A" w:rsidRDefault="005A68FD" w:rsidP="00BC2E77">
            <w:pPr>
              <w:pStyle w:val="TableBody"/>
            </w:pPr>
            <w:r w:rsidRPr="0060474A">
              <w:t>20.8%</w:t>
            </w:r>
          </w:p>
        </w:tc>
        <w:tc>
          <w:tcPr>
            <w:tcW w:w="834" w:type="pct"/>
            <w:noWrap/>
            <w:hideMark/>
          </w:tcPr>
          <w:p w14:paraId="5170B701" w14:textId="77777777" w:rsidR="005A68FD" w:rsidRPr="0060474A" w:rsidRDefault="005A68FD" w:rsidP="00BC2E77">
            <w:pPr>
              <w:pStyle w:val="TableBody"/>
            </w:pPr>
            <w:r w:rsidRPr="0060474A">
              <w:t>37.6%</w:t>
            </w:r>
          </w:p>
        </w:tc>
        <w:tc>
          <w:tcPr>
            <w:tcW w:w="833" w:type="pct"/>
            <w:noWrap/>
            <w:hideMark/>
          </w:tcPr>
          <w:p w14:paraId="6C29805F" w14:textId="77777777" w:rsidR="005A68FD" w:rsidRPr="0060474A" w:rsidRDefault="005A68FD" w:rsidP="00BC2E77">
            <w:pPr>
              <w:pStyle w:val="TableBody"/>
            </w:pPr>
            <w:r w:rsidRPr="0060474A">
              <w:t>19.1%</w:t>
            </w:r>
          </w:p>
        </w:tc>
        <w:tc>
          <w:tcPr>
            <w:tcW w:w="834" w:type="pct"/>
            <w:noWrap/>
            <w:hideMark/>
          </w:tcPr>
          <w:p w14:paraId="0F2EA2A4" w14:textId="77777777" w:rsidR="005A68FD" w:rsidRPr="0060474A" w:rsidRDefault="005A68FD" w:rsidP="00BC2E77">
            <w:pPr>
              <w:pStyle w:val="TableBody"/>
            </w:pPr>
            <w:r w:rsidRPr="0060474A">
              <w:t>5.6%</w:t>
            </w:r>
          </w:p>
        </w:tc>
        <w:tc>
          <w:tcPr>
            <w:tcW w:w="834" w:type="pct"/>
            <w:noWrap/>
            <w:hideMark/>
          </w:tcPr>
          <w:p w14:paraId="0B22373C" w14:textId="77777777" w:rsidR="005A68FD" w:rsidRPr="0060474A" w:rsidRDefault="005A68FD" w:rsidP="00BC2E77">
            <w:pPr>
              <w:pStyle w:val="TableBody"/>
            </w:pPr>
            <w:r w:rsidRPr="0060474A">
              <w:t>16.9%</w:t>
            </w:r>
          </w:p>
        </w:tc>
      </w:tr>
      <w:tr w:rsidR="005A68FD" w:rsidRPr="0060474A" w14:paraId="18FF2255" w14:textId="77777777" w:rsidTr="009152EE">
        <w:trPr>
          <w:trHeight w:val="290"/>
        </w:trPr>
        <w:tc>
          <w:tcPr>
            <w:tcW w:w="833" w:type="pct"/>
            <w:noWrap/>
            <w:hideMark/>
          </w:tcPr>
          <w:p w14:paraId="36E44681" w14:textId="77777777" w:rsidR="005A68FD" w:rsidRPr="0060474A" w:rsidRDefault="005A68FD" w:rsidP="007334FB">
            <w:pPr>
              <w:pStyle w:val="TableBody"/>
            </w:pPr>
            <w:r w:rsidRPr="0060474A">
              <w:t>2012-13</w:t>
            </w:r>
          </w:p>
        </w:tc>
        <w:tc>
          <w:tcPr>
            <w:tcW w:w="834" w:type="pct"/>
            <w:noWrap/>
            <w:hideMark/>
          </w:tcPr>
          <w:p w14:paraId="6E718CE4" w14:textId="77777777" w:rsidR="005A68FD" w:rsidRPr="0060474A" w:rsidRDefault="005A68FD" w:rsidP="00BC2E77">
            <w:pPr>
              <w:pStyle w:val="TableBody"/>
            </w:pPr>
            <w:r w:rsidRPr="0060474A">
              <w:t>24.7%</w:t>
            </w:r>
          </w:p>
        </w:tc>
        <w:tc>
          <w:tcPr>
            <w:tcW w:w="834" w:type="pct"/>
            <w:noWrap/>
            <w:hideMark/>
          </w:tcPr>
          <w:p w14:paraId="1536F25A" w14:textId="77777777" w:rsidR="005A68FD" w:rsidRPr="0060474A" w:rsidRDefault="005A68FD" w:rsidP="00BC2E77">
            <w:pPr>
              <w:pStyle w:val="TableBody"/>
            </w:pPr>
            <w:r w:rsidRPr="0060474A">
              <w:t>34.3%</w:t>
            </w:r>
          </w:p>
        </w:tc>
        <w:tc>
          <w:tcPr>
            <w:tcW w:w="833" w:type="pct"/>
            <w:noWrap/>
            <w:hideMark/>
          </w:tcPr>
          <w:p w14:paraId="77FC3358" w14:textId="77777777" w:rsidR="005A68FD" w:rsidRPr="0060474A" w:rsidRDefault="005A68FD" w:rsidP="00BC2E77">
            <w:pPr>
              <w:pStyle w:val="TableBody"/>
            </w:pPr>
            <w:r w:rsidRPr="0060474A">
              <w:t>14.2%</w:t>
            </w:r>
          </w:p>
        </w:tc>
        <w:tc>
          <w:tcPr>
            <w:tcW w:w="834" w:type="pct"/>
            <w:noWrap/>
            <w:hideMark/>
          </w:tcPr>
          <w:p w14:paraId="214AB034" w14:textId="77777777" w:rsidR="005A68FD" w:rsidRPr="0060474A" w:rsidRDefault="005A68FD" w:rsidP="00BC2E77">
            <w:pPr>
              <w:pStyle w:val="TableBody"/>
            </w:pPr>
            <w:r w:rsidRPr="0060474A">
              <w:t>6.7%</w:t>
            </w:r>
          </w:p>
        </w:tc>
        <w:tc>
          <w:tcPr>
            <w:tcW w:w="834" w:type="pct"/>
            <w:noWrap/>
            <w:hideMark/>
          </w:tcPr>
          <w:p w14:paraId="495690D5" w14:textId="77777777" w:rsidR="005A68FD" w:rsidRPr="0060474A" w:rsidRDefault="005A68FD" w:rsidP="00BC2E77">
            <w:pPr>
              <w:pStyle w:val="TableBody"/>
            </w:pPr>
            <w:r w:rsidRPr="0060474A">
              <w:t>20.1%</w:t>
            </w:r>
          </w:p>
        </w:tc>
      </w:tr>
      <w:tr w:rsidR="005A68FD" w:rsidRPr="0060474A" w14:paraId="5EAD3C79" w14:textId="77777777" w:rsidTr="009152EE">
        <w:trPr>
          <w:trHeight w:val="290"/>
        </w:trPr>
        <w:tc>
          <w:tcPr>
            <w:tcW w:w="833" w:type="pct"/>
            <w:noWrap/>
            <w:hideMark/>
          </w:tcPr>
          <w:p w14:paraId="0ED4E063" w14:textId="77777777" w:rsidR="005A68FD" w:rsidRPr="0060474A" w:rsidRDefault="005A68FD" w:rsidP="007334FB">
            <w:pPr>
              <w:pStyle w:val="TableBody"/>
            </w:pPr>
            <w:r w:rsidRPr="0060474A">
              <w:t>2013-14</w:t>
            </w:r>
          </w:p>
        </w:tc>
        <w:tc>
          <w:tcPr>
            <w:tcW w:w="834" w:type="pct"/>
            <w:noWrap/>
            <w:hideMark/>
          </w:tcPr>
          <w:p w14:paraId="17B0F0B6" w14:textId="77777777" w:rsidR="005A68FD" w:rsidRPr="0060474A" w:rsidRDefault="005A68FD" w:rsidP="00BC2E77">
            <w:pPr>
              <w:pStyle w:val="TableBody"/>
            </w:pPr>
            <w:r w:rsidRPr="0060474A">
              <w:t>26.4%</w:t>
            </w:r>
          </w:p>
        </w:tc>
        <w:tc>
          <w:tcPr>
            <w:tcW w:w="834" w:type="pct"/>
            <w:noWrap/>
            <w:hideMark/>
          </w:tcPr>
          <w:p w14:paraId="7A0F392D" w14:textId="77777777" w:rsidR="005A68FD" w:rsidRPr="0060474A" w:rsidRDefault="005A68FD" w:rsidP="00BC2E77">
            <w:pPr>
              <w:pStyle w:val="TableBody"/>
            </w:pPr>
            <w:r w:rsidRPr="0060474A">
              <w:t>33.9%</w:t>
            </w:r>
          </w:p>
        </w:tc>
        <w:tc>
          <w:tcPr>
            <w:tcW w:w="833" w:type="pct"/>
            <w:noWrap/>
            <w:hideMark/>
          </w:tcPr>
          <w:p w14:paraId="351162FE" w14:textId="77777777" w:rsidR="005A68FD" w:rsidRPr="0060474A" w:rsidRDefault="005A68FD" w:rsidP="00BC2E77">
            <w:pPr>
              <w:pStyle w:val="TableBody"/>
            </w:pPr>
            <w:r w:rsidRPr="0060474A">
              <w:t>12.2%</w:t>
            </w:r>
          </w:p>
        </w:tc>
        <w:tc>
          <w:tcPr>
            <w:tcW w:w="834" w:type="pct"/>
            <w:noWrap/>
            <w:hideMark/>
          </w:tcPr>
          <w:p w14:paraId="770F769F" w14:textId="77777777" w:rsidR="005A68FD" w:rsidRPr="0060474A" w:rsidRDefault="005A68FD" w:rsidP="00BC2E77">
            <w:pPr>
              <w:pStyle w:val="TableBody"/>
            </w:pPr>
            <w:r w:rsidRPr="0060474A">
              <w:t>5.9%</w:t>
            </w:r>
          </w:p>
        </w:tc>
        <w:tc>
          <w:tcPr>
            <w:tcW w:w="834" w:type="pct"/>
            <w:noWrap/>
            <w:hideMark/>
          </w:tcPr>
          <w:p w14:paraId="2746B57D" w14:textId="77777777" w:rsidR="005A68FD" w:rsidRPr="0060474A" w:rsidRDefault="005A68FD" w:rsidP="00BC2E77">
            <w:pPr>
              <w:pStyle w:val="TableBody"/>
            </w:pPr>
            <w:r w:rsidRPr="0060474A">
              <w:t>21.6%</w:t>
            </w:r>
          </w:p>
        </w:tc>
      </w:tr>
      <w:tr w:rsidR="005A68FD" w:rsidRPr="0060474A" w14:paraId="1EB5A31C" w14:textId="77777777" w:rsidTr="009152EE">
        <w:trPr>
          <w:trHeight w:val="290"/>
        </w:trPr>
        <w:tc>
          <w:tcPr>
            <w:tcW w:w="833" w:type="pct"/>
            <w:noWrap/>
            <w:hideMark/>
          </w:tcPr>
          <w:p w14:paraId="36F5D369" w14:textId="77777777" w:rsidR="005A68FD" w:rsidRPr="0060474A" w:rsidRDefault="005A68FD" w:rsidP="007334FB">
            <w:pPr>
              <w:pStyle w:val="TableBody"/>
            </w:pPr>
            <w:r w:rsidRPr="0060474A">
              <w:t>2014-15</w:t>
            </w:r>
          </w:p>
        </w:tc>
        <w:tc>
          <w:tcPr>
            <w:tcW w:w="834" w:type="pct"/>
            <w:noWrap/>
            <w:hideMark/>
          </w:tcPr>
          <w:p w14:paraId="0FBC3ABD" w14:textId="77777777" w:rsidR="005A68FD" w:rsidRPr="0060474A" w:rsidRDefault="005A68FD" w:rsidP="00BC2E77">
            <w:pPr>
              <w:pStyle w:val="TableBody"/>
            </w:pPr>
            <w:r w:rsidRPr="0060474A">
              <w:t>24.4%</w:t>
            </w:r>
          </w:p>
        </w:tc>
        <w:tc>
          <w:tcPr>
            <w:tcW w:w="834" w:type="pct"/>
            <w:noWrap/>
            <w:hideMark/>
          </w:tcPr>
          <w:p w14:paraId="43262519" w14:textId="77777777" w:rsidR="005A68FD" w:rsidRPr="0060474A" w:rsidRDefault="005A68FD" w:rsidP="00BC2E77">
            <w:pPr>
              <w:pStyle w:val="TableBody"/>
            </w:pPr>
            <w:r w:rsidRPr="0060474A">
              <w:t>33.5%</w:t>
            </w:r>
          </w:p>
        </w:tc>
        <w:tc>
          <w:tcPr>
            <w:tcW w:w="833" w:type="pct"/>
            <w:noWrap/>
            <w:hideMark/>
          </w:tcPr>
          <w:p w14:paraId="296A1204" w14:textId="77777777" w:rsidR="005A68FD" w:rsidRPr="0060474A" w:rsidRDefault="005A68FD" w:rsidP="00BC2E77">
            <w:pPr>
              <w:pStyle w:val="TableBody"/>
            </w:pPr>
            <w:r w:rsidRPr="0060474A">
              <w:t>11.6%</w:t>
            </w:r>
          </w:p>
        </w:tc>
        <w:tc>
          <w:tcPr>
            <w:tcW w:w="834" w:type="pct"/>
            <w:noWrap/>
            <w:hideMark/>
          </w:tcPr>
          <w:p w14:paraId="6541E670" w14:textId="77777777" w:rsidR="005A68FD" w:rsidRPr="0060474A" w:rsidRDefault="005A68FD" w:rsidP="00BC2E77">
            <w:pPr>
              <w:pStyle w:val="TableBody"/>
            </w:pPr>
            <w:r w:rsidRPr="0060474A">
              <w:t>8.5%</w:t>
            </w:r>
          </w:p>
        </w:tc>
        <w:tc>
          <w:tcPr>
            <w:tcW w:w="834" w:type="pct"/>
            <w:noWrap/>
            <w:hideMark/>
          </w:tcPr>
          <w:p w14:paraId="2C323F5D" w14:textId="77777777" w:rsidR="005A68FD" w:rsidRPr="0060474A" w:rsidRDefault="005A68FD" w:rsidP="00BC2E77">
            <w:pPr>
              <w:pStyle w:val="TableBody"/>
            </w:pPr>
            <w:r w:rsidRPr="0060474A">
              <w:t>22.0%</w:t>
            </w:r>
          </w:p>
        </w:tc>
      </w:tr>
      <w:tr w:rsidR="005A68FD" w:rsidRPr="0060474A" w14:paraId="2255ED4D" w14:textId="77777777" w:rsidTr="009152EE">
        <w:trPr>
          <w:trHeight w:val="290"/>
        </w:trPr>
        <w:tc>
          <w:tcPr>
            <w:tcW w:w="833" w:type="pct"/>
            <w:noWrap/>
            <w:hideMark/>
          </w:tcPr>
          <w:p w14:paraId="393F3839" w14:textId="77777777" w:rsidR="005A68FD" w:rsidRPr="0060474A" w:rsidRDefault="005A68FD" w:rsidP="007334FB">
            <w:pPr>
              <w:pStyle w:val="TableBody"/>
            </w:pPr>
            <w:r w:rsidRPr="0060474A">
              <w:t>2015-16</w:t>
            </w:r>
          </w:p>
        </w:tc>
        <w:tc>
          <w:tcPr>
            <w:tcW w:w="834" w:type="pct"/>
            <w:noWrap/>
            <w:hideMark/>
          </w:tcPr>
          <w:p w14:paraId="495CAE62" w14:textId="77777777" w:rsidR="005A68FD" w:rsidRPr="0060474A" w:rsidRDefault="005A68FD" w:rsidP="00BC2E77">
            <w:pPr>
              <w:pStyle w:val="TableBody"/>
            </w:pPr>
            <w:r w:rsidRPr="0060474A">
              <w:t>24.6%</w:t>
            </w:r>
          </w:p>
        </w:tc>
        <w:tc>
          <w:tcPr>
            <w:tcW w:w="834" w:type="pct"/>
            <w:noWrap/>
            <w:hideMark/>
          </w:tcPr>
          <w:p w14:paraId="039AD0FA" w14:textId="77777777" w:rsidR="005A68FD" w:rsidRPr="0060474A" w:rsidRDefault="005A68FD" w:rsidP="00BC2E77">
            <w:pPr>
              <w:pStyle w:val="TableBody"/>
            </w:pPr>
            <w:r w:rsidRPr="0060474A">
              <w:t>33.3%</w:t>
            </w:r>
          </w:p>
        </w:tc>
        <w:tc>
          <w:tcPr>
            <w:tcW w:w="833" w:type="pct"/>
            <w:noWrap/>
            <w:hideMark/>
          </w:tcPr>
          <w:p w14:paraId="654FC575" w14:textId="77777777" w:rsidR="005A68FD" w:rsidRPr="0060474A" w:rsidRDefault="005A68FD" w:rsidP="00BC2E77">
            <w:pPr>
              <w:pStyle w:val="TableBody"/>
            </w:pPr>
            <w:r w:rsidRPr="0060474A">
              <w:t>12.2%</w:t>
            </w:r>
          </w:p>
        </w:tc>
        <w:tc>
          <w:tcPr>
            <w:tcW w:w="834" w:type="pct"/>
            <w:noWrap/>
            <w:hideMark/>
          </w:tcPr>
          <w:p w14:paraId="40571403" w14:textId="77777777" w:rsidR="005A68FD" w:rsidRPr="0060474A" w:rsidRDefault="005A68FD" w:rsidP="00BC2E77">
            <w:pPr>
              <w:pStyle w:val="TableBody"/>
            </w:pPr>
            <w:r w:rsidRPr="0060474A">
              <w:t>7.2%</w:t>
            </w:r>
          </w:p>
        </w:tc>
        <w:tc>
          <w:tcPr>
            <w:tcW w:w="834" w:type="pct"/>
            <w:noWrap/>
            <w:hideMark/>
          </w:tcPr>
          <w:p w14:paraId="67A79041" w14:textId="77777777" w:rsidR="005A68FD" w:rsidRPr="0060474A" w:rsidRDefault="005A68FD" w:rsidP="00BC2E77">
            <w:pPr>
              <w:pStyle w:val="TableBody"/>
            </w:pPr>
            <w:r w:rsidRPr="0060474A">
              <w:t>22.6%</w:t>
            </w:r>
          </w:p>
        </w:tc>
      </w:tr>
      <w:tr w:rsidR="005A68FD" w:rsidRPr="0060474A" w14:paraId="5A2FA5EC" w14:textId="77777777" w:rsidTr="009152EE">
        <w:trPr>
          <w:trHeight w:val="290"/>
        </w:trPr>
        <w:tc>
          <w:tcPr>
            <w:tcW w:w="833" w:type="pct"/>
            <w:noWrap/>
            <w:hideMark/>
          </w:tcPr>
          <w:p w14:paraId="557D54B9" w14:textId="77777777" w:rsidR="005A68FD" w:rsidRPr="0060474A" w:rsidRDefault="005A68FD" w:rsidP="007334FB">
            <w:pPr>
              <w:pStyle w:val="TableBody"/>
            </w:pPr>
            <w:r w:rsidRPr="0060474A">
              <w:t>2016-17</w:t>
            </w:r>
          </w:p>
        </w:tc>
        <w:tc>
          <w:tcPr>
            <w:tcW w:w="834" w:type="pct"/>
            <w:noWrap/>
            <w:hideMark/>
          </w:tcPr>
          <w:p w14:paraId="44282E6C" w14:textId="77777777" w:rsidR="005A68FD" w:rsidRPr="0060474A" w:rsidRDefault="005A68FD" w:rsidP="00BC2E77">
            <w:pPr>
              <w:pStyle w:val="TableBody"/>
            </w:pPr>
            <w:r w:rsidRPr="0060474A">
              <w:t>27.4%</w:t>
            </w:r>
          </w:p>
        </w:tc>
        <w:tc>
          <w:tcPr>
            <w:tcW w:w="834" w:type="pct"/>
            <w:noWrap/>
            <w:hideMark/>
          </w:tcPr>
          <w:p w14:paraId="5489D0AE" w14:textId="77777777" w:rsidR="005A68FD" w:rsidRPr="0060474A" w:rsidRDefault="005A68FD" w:rsidP="00BC2E77">
            <w:pPr>
              <w:pStyle w:val="TableBody"/>
            </w:pPr>
            <w:r w:rsidRPr="0060474A">
              <w:t>32.3%</w:t>
            </w:r>
          </w:p>
        </w:tc>
        <w:tc>
          <w:tcPr>
            <w:tcW w:w="833" w:type="pct"/>
            <w:noWrap/>
            <w:hideMark/>
          </w:tcPr>
          <w:p w14:paraId="46178F2F" w14:textId="77777777" w:rsidR="005A68FD" w:rsidRPr="0060474A" w:rsidRDefault="005A68FD" w:rsidP="00BC2E77">
            <w:pPr>
              <w:pStyle w:val="TableBody"/>
            </w:pPr>
            <w:r w:rsidRPr="0060474A">
              <w:t>12.4%</w:t>
            </w:r>
          </w:p>
        </w:tc>
        <w:tc>
          <w:tcPr>
            <w:tcW w:w="834" w:type="pct"/>
            <w:noWrap/>
            <w:hideMark/>
          </w:tcPr>
          <w:p w14:paraId="10DCCE1A" w14:textId="77777777" w:rsidR="005A68FD" w:rsidRPr="0060474A" w:rsidRDefault="005A68FD" w:rsidP="00BC2E77">
            <w:pPr>
              <w:pStyle w:val="TableBody"/>
            </w:pPr>
            <w:r w:rsidRPr="0060474A">
              <w:t>7.3%</w:t>
            </w:r>
          </w:p>
        </w:tc>
        <w:tc>
          <w:tcPr>
            <w:tcW w:w="834" w:type="pct"/>
            <w:noWrap/>
            <w:hideMark/>
          </w:tcPr>
          <w:p w14:paraId="01DB6EA0" w14:textId="77777777" w:rsidR="005A68FD" w:rsidRPr="0060474A" w:rsidRDefault="005A68FD" w:rsidP="00BC2E77">
            <w:pPr>
              <w:pStyle w:val="TableBody"/>
            </w:pPr>
            <w:r w:rsidRPr="0060474A">
              <w:t>20.7%</w:t>
            </w:r>
          </w:p>
        </w:tc>
      </w:tr>
      <w:tr w:rsidR="005A68FD" w:rsidRPr="0060474A" w14:paraId="5A7E234D" w14:textId="77777777" w:rsidTr="009152EE">
        <w:trPr>
          <w:trHeight w:val="290"/>
        </w:trPr>
        <w:tc>
          <w:tcPr>
            <w:tcW w:w="833" w:type="pct"/>
            <w:noWrap/>
            <w:hideMark/>
          </w:tcPr>
          <w:p w14:paraId="70FD389C" w14:textId="77777777" w:rsidR="005A68FD" w:rsidRPr="0060474A" w:rsidRDefault="005A68FD" w:rsidP="007334FB">
            <w:pPr>
              <w:pStyle w:val="TableBody"/>
            </w:pPr>
            <w:r w:rsidRPr="0060474A">
              <w:t>2017-18</w:t>
            </w:r>
          </w:p>
        </w:tc>
        <w:tc>
          <w:tcPr>
            <w:tcW w:w="834" w:type="pct"/>
            <w:noWrap/>
            <w:hideMark/>
          </w:tcPr>
          <w:p w14:paraId="3D719C67" w14:textId="77777777" w:rsidR="005A68FD" w:rsidRPr="0060474A" w:rsidRDefault="005A68FD" w:rsidP="00BC2E77">
            <w:pPr>
              <w:pStyle w:val="TableBody"/>
            </w:pPr>
            <w:r w:rsidRPr="0060474A">
              <w:t>26.1%</w:t>
            </w:r>
          </w:p>
        </w:tc>
        <w:tc>
          <w:tcPr>
            <w:tcW w:w="834" w:type="pct"/>
            <w:noWrap/>
            <w:hideMark/>
          </w:tcPr>
          <w:p w14:paraId="4A89EC44" w14:textId="77777777" w:rsidR="005A68FD" w:rsidRPr="0060474A" w:rsidRDefault="005A68FD" w:rsidP="00BC2E77">
            <w:pPr>
              <w:pStyle w:val="TableBody"/>
            </w:pPr>
            <w:r w:rsidRPr="0060474A">
              <w:t>32.7%</w:t>
            </w:r>
          </w:p>
        </w:tc>
        <w:tc>
          <w:tcPr>
            <w:tcW w:w="833" w:type="pct"/>
            <w:noWrap/>
            <w:hideMark/>
          </w:tcPr>
          <w:p w14:paraId="2839C62B" w14:textId="77777777" w:rsidR="005A68FD" w:rsidRPr="0060474A" w:rsidRDefault="005A68FD" w:rsidP="00BC2E77">
            <w:pPr>
              <w:pStyle w:val="TableBody"/>
            </w:pPr>
            <w:r w:rsidRPr="0060474A">
              <w:t>12.7%</w:t>
            </w:r>
          </w:p>
        </w:tc>
        <w:tc>
          <w:tcPr>
            <w:tcW w:w="834" w:type="pct"/>
            <w:noWrap/>
            <w:hideMark/>
          </w:tcPr>
          <w:p w14:paraId="4B7434D0" w14:textId="77777777" w:rsidR="005A68FD" w:rsidRPr="0060474A" w:rsidRDefault="005A68FD" w:rsidP="00BC2E77">
            <w:pPr>
              <w:pStyle w:val="TableBody"/>
            </w:pPr>
            <w:r w:rsidRPr="0060474A">
              <w:t>7.4%</w:t>
            </w:r>
          </w:p>
        </w:tc>
        <w:tc>
          <w:tcPr>
            <w:tcW w:w="834" w:type="pct"/>
            <w:noWrap/>
            <w:hideMark/>
          </w:tcPr>
          <w:p w14:paraId="441AFD8F" w14:textId="77777777" w:rsidR="005A68FD" w:rsidRPr="0060474A" w:rsidRDefault="005A68FD" w:rsidP="00BC2E77">
            <w:pPr>
              <w:pStyle w:val="TableBody"/>
            </w:pPr>
            <w:r w:rsidRPr="0060474A">
              <w:t>21.1%</w:t>
            </w:r>
          </w:p>
        </w:tc>
      </w:tr>
      <w:tr w:rsidR="005A68FD" w:rsidRPr="0060474A" w14:paraId="2F52EDD2" w14:textId="77777777" w:rsidTr="009152EE">
        <w:trPr>
          <w:trHeight w:val="290"/>
        </w:trPr>
        <w:tc>
          <w:tcPr>
            <w:tcW w:w="833" w:type="pct"/>
            <w:noWrap/>
            <w:hideMark/>
          </w:tcPr>
          <w:p w14:paraId="341D1E56" w14:textId="77777777" w:rsidR="005A68FD" w:rsidRPr="0060474A" w:rsidRDefault="005A68FD" w:rsidP="007334FB">
            <w:pPr>
              <w:pStyle w:val="TableBody"/>
            </w:pPr>
            <w:r w:rsidRPr="0060474A">
              <w:t>2018-19</w:t>
            </w:r>
          </w:p>
        </w:tc>
        <w:tc>
          <w:tcPr>
            <w:tcW w:w="834" w:type="pct"/>
            <w:noWrap/>
            <w:hideMark/>
          </w:tcPr>
          <w:p w14:paraId="5C218928" w14:textId="77777777" w:rsidR="005A68FD" w:rsidRPr="0060474A" w:rsidRDefault="005A68FD" w:rsidP="00BC2E77">
            <w:pPr>
              <w:pStyle w:val="TableBody"/>
            </w:pPr>
            <w:r w:rsidRPr="0060474A">
              <w:t>22.9%</w:t>
            </w:r>
          </w:p>
        </w:tc>
        <w:tc>
          <w:tcPr>
            <w:tcW w:w="834" w:type="pct"/>
            <w:noWrap/>
            <w:hideMark/>
          </w:tcPr>
          <w:p w14:paraId="0D979B0D" w14:textId="77777777" w:rsidR="005A68FD" w:rsidRPr="0060474A" w:rsidRDefault="005A68FD" w:rsidP="00BC2E77">
            <w:pPr>
              <w:pStyle w:val="TableBody"/>
            </w:pPr>
            <w:r w:rsidRPr="0060474A">
              <w:t>32.3%</w:t>
            </w:r>
          </w:p>
        </w:tc>
        <w:tc>
          <w:tcPr>
            <w:tcW w:w="833" w:type="pct"/>
            <w:noWrap/>
            <w:hideMark/>
          </w:tcPr>
          <w:p w14:paraId="0C23FB32" w14:textId="77777777" w:rsidR="005A68FD" w:rsidRPr="0060474A" w:rsidRDefault="005A68FD" w:rsidP="00BC2E77">
            <w:pPr>
              <w:pStyle w:val="TableBody"/>
            </w:pPr>
            <w:r w:rsidRPr="0060474A">
              <w:t>14.5%</w:t>
            </w:r>
          </w:p>
        </w:tc>
        <w:tc>
          <w:tcPr>
            <w:tcW w:w="834" w:type="pct"/>
            <w:noWrap/>
            <w:hideMark/>
          </w:tcPr>
          <w:p w14:paraId="5B686CDA" w14:textId="77777777" w:rsidR="005A68FD" w:rsidRPr="0060474A" w:rsidRDefault="005A68FD" w:rsidP="00BC2E77">
            <w:pPr>
              <w:pStyle w:val="TableBody"/>
            </w:pPr>
            <w:r w:rsidRPr="0060474A">
              <w:t>8.1%</w:t>
            </w:r>
          </w:p>
        </w:tc>
        <w:tc>
          <w:tcPr>
            <w:tcW w:w="834" w:type="pct"/>
            <w:noWrap/>
            <w:hideMark/>
          </w:tcPr>
          <w:p w14:paraId="5024D02B" w14:textId="77777777" w:rsidR="005A68FD" w:rsidRPr="0060474A" w:rsidRDefault="005A68FD" w:rsidP="00BC2E77">
            <w:pPr>
              <w:pStyle w:val="TableBody"/>
            </w:pPr>
            <w:r w:rsidRPr="0060474A">
              <w:t>22.3%</w:t>
            </w:r>
          </w:p>
        </w:tc>
      </w:tr>
      <w:tr w:rsidR="005A68FD" w:rsidRPr="0060474A" w14:paraId="44761665" w14:textId="77777777" w:rsidTr="009152EE">
        <w:trPr>
          <w:trHeight w:val="290"/>
        </w:trPr>
        <w:tc>
          <w:tcPr>
            <w:tcW w:w="833" w:type="pct"/>
            <w:noWrap/>
            <w:hideMark/>
          </w:tcPr>
          <w:p w14:paraId="1B7A4FDB" w14:textId="77777777" w:rsidR="005A68FD" w:rsidRPr="0060474A" w:rsidRDefault="005A68FD" w:rsidP="007334FB">
            <w:pPr>
              <w:pStyle w:val="TableBody"/>
            </w:pPr>
            <w:r w:rsidRPr="0060474A">
              <w:t>2019-20</w:t>
            </w:r>
          </w:p>
        </w:tc>
        <w:tc>
          <w:tcPr>
            <w:tcW w:w="834" w:type="pct"/>
            <w:noWrap/>
            <w:hideMark/>
          </w:tcPr>
          <w:p w14:paraId="3E5651BC" w14:textId="77777777" w:rsidR="005A68FD" w:rsidRPr="0060474A" w:rsidRDefault="005A68FD" w:rsidP="00BC2E77">
            <w:pPr>
              <w:pStyle w:val="TableBody"/>
            </w:pPr>
            <w:r w:rsidRPr="0060474A">
              <w:t>23.5%</w:t>
            </w:r>
          </w:p>
        </w:tc>
        <w:tc>
          <w:tcPr>
            <w:tcW w:w="834" w:type="pct"/>
            <w:noWrap/>
            <w:hideMark/>
          </w:tcPr>
          <w:p w14:paraId="108A7696" w14:textId="77777777" w:rsidR="005A68FD" w:rsidRPr="0060474A" w:rsidRDefault="005A68FD" w:rsidP="00BC2E77">
            <w:pPr>
              <w:pStyle w:val="TableBody"/>
            </w:pPr>
            <w:r w:rsidRPr="0060474A">
              <w:t>30.4%</w:t>
            </w:r>
          </w:p>
        </w:tc>
        <w:tc>
          <w:tcPr>
            <w:tcW w:w="833" w:type="pct"/>
            <w:noWrap/>
            <w:hideMark/>
          </w:tcPr>
          <w:p w14:paraId="2AF41170" w14:textId="77777777" w:rsidR="005A68FD" w:rsidRPr="0060474A" w:rsidRDefault="005A68FD" w:rsidP="00BC2E77">
            <w:pPr>
              <w:pStyle w:val="TableBody"/>
            </w:pPr>
            <w:r w:rsidRPr="0060474A">
              <w:t>14.9%</w:t>
            </w:r>
          </w:p>
        </w:tc>
        <w:tc>
          <w:tcPr>
            <w:tcW w:w="834" w:type="pct"/>
            <w:noWrap/>
            <w:hideMark/>
          </w:tcPr>
          <w:p w14:paraId="704DD152" w14:textId="77777777" w:rsidR="005A68FD" w:rsidRPr="0060474A" w:rsidRDefault="005A68FD" w:rsidP="00BC2E77">
            <w:pPr>
              <w:pStyle w:val="TableBody"/>
            </w:pPr>
            <w:r w:rsidRPr="0060474A">
              <w:t>7.9%</w:t>
            </w:r>
          </w:p>
        </w:tc>
        <w:tc>
          <w:tcPr>
            <w:tcW w:w="834" w:type="pct"/>
            <w:noWrap/>
            <w:hideMark/>
          </w:tcPr>
          <w:p w14:paraId="74643C9C" w14:textId="77777777" w:rsidR="005A68FD" w:rsidRPr="0060474A" w:rsidRDefault="005A68FD" w:rsidP="00BC2E77">
            <w:pPr>
              <w:pStyle w:val="TableBody"/>
            </w:pPr>
            <w:r w:rsidRPr="0060474A">
              <w:t>23.4%</w:t>
            </w:r>
          </w:p>
        </w:tc>
      </w:tr>
      <w:tr w:rsidR="005A68FD" w:rsidRPr="0060474A" w14:paraId="4365A66F" w14:textId="77777777" w:rsidTr="009152EE">
        <w:trPr>
          <w:trHeight w:val="290"/>
        </w:trPr>
        <w:tc>
          <w:tcPr>
            <w:tcW w:w="833" w:type="pct"/>
            <w:noWrap/>
            <w:hideMark/>
          </w:tcPr>
          <w:p w14:paraId="014605EC" w14:textId="77777777" w:rsidR="005A68FD" w:rsidRPr="0060474A" w:rsidRDefault="005A68FD" w:rsidP="007334FB">
            <w:pPr>
              <w:pStyle w:val="TableBody"/>
            </w:pPr>
            <w:r w:rsidRPr="0060474A">
              <w:t>2020-21</w:t>
            </w:r>
          </w:p>
        </w:tc>
        <w:tc>
          <w:tcPr>
            <w:tcW w:w="834" w:type="pct"/>
            <w:noWrap/>
            <w:hideMark/>
          </w:tcPr>
          <w:p w14:paraId="765DF16B" w14:textId="77777777" w:rsidR="005A68FD" w:rsidRPr="0060474A" w:rsidRDefault="005A68FD" w:rsidP="00BC2E77">
            <w:pPr>
              <w:pStyle w:val="TableBody"/>
            </w:pPr>
            <w:r w:rsidRPr="0060474A">
              <w:t>24.2%</w:t>
            </w:r>
          </w:p>
        </w:tc>
        <w:tc>
          <w:tcPr>
            <w:tcW w:w="834" w:type="pct"/>
            <w:noWrap/>
            <w:hideMark/>
          </w:tcPr>
          <w:p w14:paraId="0D03890A" w14:textId="77777777" w:rsidR="005A68FD" w:rsidRPr="0060474A" w:rsidRDefault="005A68FD" w:rsidP="00BC2E77">
            <w:pPr>
              <w:pStyle w:val="TableBody"/>
            </w:pPr>
            <w:r w:rsidRPr="0060474A">
              <w:t>28.3%</w:t>
            </w:r>
          </w:p>
        </w:tc>
        <w:tc>
          <w:tcPr>
            <w:tcW w:w="833" w:type="pct"/>
            <w:noWrap/>
            <w:hideMark/>
          </w:tcPr>
          <w:p w14:paraId="5BAD0AB0" w14:textId="77777777" w:rsidR="005A68FD" w:rsidRPr="0060474A" w:rsidRDefault="005A68FD" w:rsidP="00BC2E77">
            <w:pPr>
              <w:pStyle w:val="TableBody"/>
            </w:pPr>
            <w:r w:rsidRPr="0060474A">
              <w:t>15.7%</w:t>
            </w:r>
          </w:p>
        </w:tc>
        <w:tc>
          <w:tcPr>
            <w:tcW w:w="834" w:type="pct"/>
            <w:noWrap/>
            <w:hideMark/>
          </w:tcPr>
          <w:p w14:paraId="187FFBC6" w14:textId="77777777" w:rsidR="005A68FD" w:rsidRPr="0060474A" w:rsidRDefault="005A68FD" w:rsidP="00BC2E77">
            <w:pPr>
              <w:pStyle w:val="TableBody"/>
            </w:pPr>
            <w:r w:rsidRPr="0060474A">
              <w:t>9.4%</w:t>
            </w:r>
          </w:p>
        </w:tc>
        <w:tc>
          <w:tcPr>
            <w:tcW w:w="834" w:type="pct"/>
            <w:noWrap/>
            <w:hideMark/>
          </w:tcPr>
          <w:p w14:paraId="00EA9BBF" w14:textId="77777777" w:rsidR="005A68FD" w:rsidRPr="0060474A" w:rsidRDefault="005A68FD" w:rsidP="00BC2E77">
            <w:pPr>
              <w:pStyle w:val="TableBody"/>
            </w:pPr>
            <w:r w:rsidRPr="0060474A">
              <w:t>22.4%</w:t>
            </w:r>
          </w:p>
        </w:tc>
      </w:tr>
    </w:tbl>
    <w:p w14:paraId="477D7C8A" w14:textId="77777777" w:rsidR="00417C86" w:rsidRPr="0060474A" w:rsidRDefault="00417C86" w:rsidP="008E2ED2">
      <w:pPr>
        <w:pStyle w:val="Bullets"/>
        <w:spacing w:before="240"/>
      </w:pPr>
      <w:r w:rsidRPr="0060474A">
        <w:rPr>
          <w:b/>
          <w:bCs/>
        </w:rPr>
        <w:t>Successful completion</w:t>
      </w:r>
      <w:r w:rsidRPr="0060474A">
        <w:t xml:space="preserve">: the rate of successful completion of diversion plans was quite stable, ranging from 91.8% of diversion cases to 95.3% (Figure 15). The lowest and highest completion rates were both in the two most recent years examined. </w:t>
      </w:r>
    </w:p>
    <w:p w14:paraId="341F9DB7" w14:textId="77777777" w:rsidR="00417C86" w:rsidRPr="0060474A" w:rsidRDefault="00417C86" w:rsidP="00187BBF">
      <w:pPr>
        <w:pStyle w:val="Caption"/>
      </w:pPr>
      <w:r w:rsidRPr="0060474A">
        <w:t>Figure 15: Trends in successful completion of diversion plans (46,671 cases)</w:t>
      </w:r>
    </w:p>
    <w:tbl>
      <w:tblPr>
        <w:tblStyle w:val="Table"/>
        <w:tblW w:w="5000" w:type="pct"/>
        <w:tblLook w:val="04A0" w:firstRow="1" w:lastRow="0" w:firstColumn="1" w:lastColumn="0" w:noHBand="0" w:noVBand="1"/>
      </w:tblPr>
      <w:tblGrid>
        <w:gridCol w:w="3920"/>
        <w:gridCol w:w="5096"/>
      </w:tblGrid>
      <w:tr w:rsidR="00367E9E" w:rsidRPr="0060474A" w14:paraId="397A13B2" w14:textId="77777777" w:rsidTr="00126A88">
        <w:trPr>
          <w:trHeight w:val="290"/>
          <w:tblHeader/>
        </w:trPr>
        <w:tc>
          <w:tcPr>
            <w:tcW w:w="2174" w:type="pct"/>
            <w:noWrap/>
            <w:hideMark/>
          </w:tcPr>
          <w:p w14:paraId="77CCBE54" w14:textId="5C11CDB4" w:rsidR="00367E9E" w:rsidRPr="0060474A" w:rsidRDefault="00C020B3" w:rsidP="00C020B3">
            <w:pPr>
              <w:pStyle w:val="TableHeading"/>
            </w:pPr>
            <w:r w:rsidRPr="0060474A">
              <w:t>Year</w:t>
            </w:r>
          </w:p>
        </w:tc>
        <w:tc>
          <w:tcPr>
            <w:tcW w:w="2826" w:type="pct"/>
            <w:noWrap/>
            <w:hideMark/>
          </w:tcPr>
          <w:p w14:paraId="04AE9AEC" w14:textId="7085AFF8" w:rsidR="00367E9E" w:rsidRPr="0060474A" w:rsidRDefault="00F57B0E" w:rsidP="00C020B3">
            <w:pPr>
              <w:pStyle w:val="TableHeading"/>
            </w:pPr>
            <w:r w:rsidRPr="0060474A">
              <w:t>Percentage completed</w:t>
            </w:r>
          </w:p>
        </w:tc>
      </w:tr>
      <w:tr w:rsidR="00367E9E" w:rsidRPr="0060474A" w14:paraId="4B286843" w14:textId="77777777" w:rsidTr="007808D4">
        <w:trPr>
          <w:trHeight w:val="290"/>
        </w:trPr>
        <w:tc>
          <w:tcPr>
            <w:tcW w:w="2174" w:type="pct"/>
            <w:noWrap/>
            <w:hideMark/>
          </w:tcPr>
          <w:p w14:paraId="1B5263D7" w14:textId="77777777" w:rsidR="00367E9E" w:rsidRPr="0060474A" w:rsidRDefault="00367E9E" w:rsidP="00A810F1">
            <w:pPr>
              <w:pStyle w:val="TableBody"/>
            </w:pPr>
            <w:r w:rsidRPr="0060474A">
              <w:t>2011-12</w:t>
            </w:r>
          </w:p>
        </w:tc>
        <w:tc>
          <w:tcPr>
            <w:tcW w:w="2826" w:type="pct"/>
            <w:noWrap/>
            <w:hideMark/>
          </w:tcPr>
          <w:p w14:paraId="42CCF038" w14:textId="77777777" w:rsidR="00367E9E" w:rsidRPr="0060474A" w:rsidRDefault="00367E9E" w:rsidP="00A810F1">
            <w:pPr>
              <w:pStyle w:val="TableBody"/>
            </w:pPr>
            <w:r w:rsidRPr="0060474A">
              <w:t>94.2%</w:t>
            </w:r>
          </w:p>
        </w:tc>
      </w:tr>
      <w:tr w:rsidR="00367E9E" w:rsidRPr="0060474A" w14:paraId="643C5A7F" w14:textId="77777777" w:rsidTr="007808D4">
        <w:trPr>
          <w:trHeight w:val="290"/>
        </w:trPr>
        <w:tc>
          <w:tcPr>
            <w:tcW w:w="2174" w:type="pct"/>
            <w:noWrap/>
            <w:hideMark/>
          </w:tcPr>
          <w:p w14:paraId="6834BCF6" w14:textId="77777777" w:rsidR="00367E9E" w:rsidRPr="0060474A" w:rsidRDefault="00367E9E" w:rsidP="00A810F1">
            <w:pPr>
              <w:pStyle w:val="TableBody"/>
            </w:pPr>
            <w:r w:rsidRPr="0060474A">
              <w:t>2012-13</w:t>
            </w:r>
          </w:p>
        </w:tc>
        <w:tc>
          <w:tcPr>
            <w:tcW w:w="2826" w:type="pct"/>
            <w:noWrap/>
            <w:hideMark/>
          </w:tcPr>
          <w:p w14:paraId="4A42156A" w14:textId="77777777" w:rsidR="00367E9E" w:rsidRPr="0060474A" w:rsidRDefault="00367E9E" w:rsidP="00A810F1">
            <w:pPr>
              <w:pStyle w:val="TableBody"/>
            </w:pPr>
            <w:r w:rsidRPr="0060474A">
              <w:t>94.1%</w:t>
            </w:r>
          </w:p>
        </w:tc>
      </w:tr>
      <w:tr w:rsidR="00367E9E" w:rsidRPr="0060474A" w14:paraId="134FAEB6" w14:textId="77777777" w:rsidTr="007808D4">
        <w:trPr>
          <w:trHeight w:val="290"/>
        </w:trPr>
        <w:tc>
          <w:tcPr>
            <w:tcW w:w="2174" w:type="pct"/>
            <w:noWrap/>
            <w:hideMark/>
          </w:tcPr>
          <w:p w14:paraId="7A68B5EA" w14:textId="77777777" w:rsidR="00367E9E" w:rsidRPr="0060474A" w:rsidRDefault="00367E9E" w:rsidP="00A810F1">
            <w:pPr>
              <w:pStyle w:val="TableBody"/>
            </w:pPr>
            <w:r w:rsidRPr="0060474A">
              <w:t>2013-14</w:t>
            </w:r>
          </w:p>
        </w:tc>
        <w:tc>
          <w:tcPr>
            <w:tcW w:w="2826" w:type="pct"/>
            <w:noWrap/>
            <w:hideMark/>
          </w:tcPr>
          <w:p w14:paraId="1E17D4E9" w14:textId="77777777" w:rsidR="00367E9E" w:rsidRPr="0060474A" w:rsidRDefault="00367E9E" w:rsidP="00A810F1">
            <w:pPr>
              <w:pStyle w:val="TableBody"/>
            </w:pPr>
            <w:r w:rsidRPr="0060474A">
              <w:t>93.9%</w:t>
            </w:r>
          </w:p>
        </w:tc>
      </w:tr>
      <w:tr w:rsidR="00367E9E" w:rsidRPr="0060474A" w14:paraId="2B054059" w14:textId="77777777" w:rsidTr="007808D4">
        <w:trPr>
          <w:trHeight w:val="290"/>
        </w:trPr>
        <w:tc>
          <w:tcPr>
            <w:tcW w:w="2174" w:type="pct"/>
            <w:noWrap/>
            <w:hideMark/>
          </w:tcPr>
          <w:p w14:paraId="72EE3B34" w14:textId="77777777" w:rsidR="00367E9E" w:rsidRPr="0060474A" w:rsidRDefault="00367E9E" w:rsidP="00A810F1">
            <w:pPr>
              <w:pStyle w:val="TableBody"/>
            </w:pPr>
            <w:r w:rsidRPr="0060474A">
              <w:t>2014-15</w:t>
            </w:r>
          </w:p>
        </w:tc>
        <w:tc>
          <w:tcPr>
            <w:tcW w:w="2826" w:type="pct"/>
            <w:noWrap/>
            <w:hideMark/>
          </w:tcPr>
          <w:p w14:paraId="386237D9" w14:textId="77777777" w:rsidR="00367E9E" w:rsidRPr="0060474A" w:rsidRDefault="00367E9E" w:rsidP="00A810F1">
            <w:pPr>
              <w:pStyle w:val="TableBody"/>
            </w:pPr>
            <w:r w:rsidRPr="0060474A">
              <w:t>93.1%</w:t>
            </w:r>
          </w:p>
        </w:tc>
      </w:tr>
      <w:tr w:rsidR="00367E9E" w:rsidRPr="0060474A" w14:paraId="7958776C" w14:textId="77777777" w:rsidTr="007808D4">
        <w:trPr>
          <w:trHeight w:val="290"/>
        </w:trPr>
        <w:tc>
          <w:tcPr>
            <w:tcW w:w="2174" w:type="pct"/>
            <w:noWrap/>
            <w:hideMark/>
          </w:tcPr>
          <w:p w14:paraId="038258DF" w14:textId="77777777" w:rsidR="00367E9E" w:rsidRPr="0060474A" w:rsidRDefault="00367E9E" w:rsidP="00A810F1">
            <w:pPr>
              <w:pStyle w:val="TableBody"/>
            </w:pPr>
            <w:r w:rsidRPr="0060474A">
              <w:t>2015-16</w:t>
            </w:r>
          </w:p>
        </w:tc>
        <w:tc>
          <w:tcPr>
            <w:tcW w:w="2826" w:type="pct"/>
            <w:noWrap/>
            <w:hideMark/>
          </w:tcPr>
          <w:p w14:paraId="3A9821E1" w14:textId="77777777" w:rsidR="00367E9E" w:rsidRPr="0060474A" w:rsidRDefault="00367E9E" w:rsidP="00A810F1">
            <w:pPr>
              <w:pStyle w:val="TableBody"/>
            </w:pPr>
            <w:r w:rsidRPr="0060474A">
              <w:t>92.8%</w:t>
            </w:r>
          </w:p>
        </w:tc>
      </w:tr>
      <w:tr w:rsidR="00367E9E" w:rsidRPr="0060474A" w14:paraId="5D2DB5B5" w14:textId="77777777" w:rsidTr="007808D4">
        <w:trPr>
          <w:trHeight w:val="290"/>
        </w:trPr>
        <w:tc>
          <w:tcPr>
            <w:tcW w:w="2174" w:type="pct"/>
            <w:noWrap/>
            <w:hideMark/>
          </w:tcPr>
          <w:p w14:paraId="51EA5D66" w14:textId="77777777" w:rsidR="00367E9E" w:rsidRPr="0060474A" w:rsidRDefault="00367E9E" w:rsidP="00A810F1">
            <w:pPr>
              <w:pStyle w:val="TableBody"/>
            </w:pPr>
            <w:r w:rsidRPr="0060474A">
              <w:t>2016-17</w:t>
            </w:r>
          </w:p>
        </w:tc>
        <w:tc>
          <w:tcPr>
            <w:tcW w:w="2826" w:type="pct"/>
            <w:noWrap/>
            <w:hideMark/>
          </w:tcPr>
          <w:p w14:paraId="270DF2F0" w14:textId="77777777" w:rsidR="00367E9E" w:rsidRPr="0060474A" w:rsidRDefault="00367E9E" w:rsidP="00A810F1">
            <w:pPr>
              <w:pStyle w:val="TableBody"/>
            </w:pPr>
            <w:r w:rsidRPr="0060474A">
              <w:t>93.0%</w:t>
            </w:r>
          </w:p>
        </w:tc>
      </w:tr>
      <w:tr w:rsidR="00367E9E" w:rsidRPr="0060474A" w14:paraId="72CA1C56" w14:textId="77777777" w:rsidTr="007808D4">
        <w:trPr>
          <w:trHeight w:val="290"/>
        </w:trPr>
        <w:tc>
          <w:tcPr>
            <w:tcW w:w="2174" w:type="pct"/>
            <w:noWrap/>
            <w:hideMark/>
          </w:tcPr>
          <w:p w14:paraId="3DA0B666" w14:textId="77777777" w:rsidR="00367E9E" w:rsidRPr="0060474A" w:rsidRDefault="00367E9E" w:rsidP="00A810F1">
            <w:pPr>
              <w:pStyle w:val="TableBody"/>
            </w:pPr>
            <w:r w:rsidRPr="0060474A">
              <w:t>2017-18</w:t>
            </w:r>
          </w:p>
        </w:tc>
        <w:tc>
          <w:tcPr>
            <w:tcW w:w="2826" w:type="pct"/>
            <w:noWrap/>
            <w:hideMark/>
          </w:tcPr>
          <w:p w14:paraId="59823222" w14:textId="77777777" w:rsidR="00367E9E" w:rsidRPr="0060474A" w:rsidRDefault="00367E9E" w:rsidP="00A810F1">
            <w:pPr>
              <w:pStyle w:val="TableBody"/>
            </w:pPr>
            <w:r w:rsidRPr="0060474A">
              <w:t>93.2%</w:t>
            </w:r>
          </w:p>
        </w:tc>
      </w:tr>
      <w:tr w:rsidR="00367E9E" w:rsidRPr="0060474A" w14:paraId="0921B0F7" w14:textId="77777777" w:rsidTr="007808D4">
        <w:trPr>
          <w:trHeight w:val="290"/>
        </w:trPr>
        <w:tc>
          <w:tcPr>
            <w:tcW w:w="2174" w:type="pct"/>
            <w:noWrap/>
            <w:hideMark/>
          </w:tcPr>
          <w:p w14:paraId="4EAE1537" w14:textId="77777777" w:rsidR="00367E9E" w:rsidRPr="0060474A" w:rsidRDefault="00367E9E" w:rsidP="00A810F1">
            <w:pPr>
              <w:pStyle w:val="TableBody"/>
            </w:pPr>
            <w:r w:rsidRPr="0060474A">
              <w:t>2018-19</w:t>
            </w:r>
          </w:p>
        </w:tc>
        <w:tc>
          <w:tcPr>
            <w:tcW w:w="2826" w:type="pct"/>
            <w:noWrap/>
            <w:hideMark/>
          </w:tcPr>
          <w:p w14:paraId="0770B022" w14:textId="77777777" w:rsidR="00367E9E" w:rsidRPr="0060474A" w:rsidRDefault="00367E9E" w:rsidP="00A810F1">
            <w:pPr>
              <w:pStyle w:val="TableBody"/>
            </w:pPr>
            <w:r w:rsidRPr="0060474A">
              <w:t>92.3%</w:t>
            </w:r>
          </w:p>
        </w:tc>
      </w:tr>
      <w:tr w:rsidR="00367E9E" w:rsidRPr="0060474A" w14:paraId="40161957" w14:textId="77777777" w:rsidTr="007808D4">
        <w:trPr>
          <w:trHeight w:val="290"/>
        </w:trPr>
        <w:tc>
          <w:tcPr>
            <w:tcW w:w="2174" w:type="pct"/>
            <w:noWrap/>
            <w:hideMark/>
          </w:tcPr>
          <w:p w14:paraId="6C8EB870" w14:textId="77777777" w:rsidR="00367E9E" w:rsidRPr="0060474A" w:rsidRDefault="00367E9E" w:rsidP="00A810F1">
            <w:pPr>
              <w:pStyle w:val="TableBody"/>
            </w:pPr>
            <w:r w:rsidRPr="0060474A">
              <w:t>2019-20</w:t>
            </w:r>
          </w:p>
        </w:tc>
        <w:tc>
          <w:tcPr>
            <w:tcW w:w="2826" w:type="pct"/>
            <w:noWrap/>
            <w:hideMark/>
          </w:tcPr>
          <w:p w14:paraId="3A46902E" w14:textId="77777777" w:rsidR="00367E9E" w:rsidRPr="0060474A" w:rsidRDefault="00367E9E" w:rsidP="00A810F1">
            <w:pPr>
              <w:pStyle w:val="TableBody"/>
            </w:pPr>
            <w:r w:rsidRPr="0060474A">
              <w:t>91.8%</w:t>
            </w:r>
          </w:p>
        </w:tc>
      </w:tr>
      <w:tr w:rsidR="00367E9E" w:rsidRPr="0060474A" w14:paraId="471DC98D" w14:textId="77777777" w:rsidTr="007808D4">
        <w:trPr>
          <w:trHeight w:val="290"/>
        </w:trPr>
        <w:tc>
          <w:tcPr>
            <w:tcW w:w="2174" w:type="pct"/>
            <w:noWrap/>
            <w:hideMark/>
          </w:tcPr>
          <w:p w14:paraId="2AD6F646" w14:textId="77777777" w:rsidR="00367E9E" w:rsidRPr="0060474A" w:rsidRDefault="00367E9E" w:rsidP="00A810F1">
            <w:pPr>
              <w:pStyle w:val="TableBody"/>
            </w:pPr>
            <w:r w:rsidRPr="0060474A">
              <w:t>2020-21</w:t>
            </w:r>
          </w:p>
        </w:tc>
        <w:tc>
          <w:tcPr>
            <w:tcW w:w="2826" w:type="pct"/>
            <w:noWrap/>
            <w:hideMark/>
          </w:tcPr>
          <w:p w14:paraId="13B2A2D7" w14:textId="77777777" w:rsidR="00367E9E" w:rsidRPr="0060474A" w:rsidRDefault="00367E9E" w:rsidP="00A810F1">
            <w:pPr>
              <w:pStyle w:val="TableBody"/>
            </w:pPr>
            <w:r w:rsidRPr="0060474A">
              <w:t>95.3%</w:t>
            </w:r>
          </w:p>
        </w:tc>
      </w:tr>
    </w:tbl>
    <w:p w14:paraId="5667562A" w14:textId="77777777" w:rsidR="00417C86" w:rsidRPr="0060474A" w:rsidRDefault="00417C86" w:rsidP="00126A88">
      <w:pPr>
        <w:pStyle w:val="Bullets"/>
        <w:spacing w:before="240"/>
      </w:pPr>
      <w:r w:rsidRPr="0060474A">
        <w:rPr>
          <w:b/>
          <w:bCs/>
        </w:rPr>
        <w:t>Duration</w:t>
      </w:r>
      <w:r w:rsidRPr="0060474A">
        <w:t xml:space="preserve">: there was a noticeable increase in the average (mean) duration of diversion plans, from 3.6 months in 2011–12 to 5.4 months in 2020–21 (Figure 16). </w:t>
      </w:r>
    </w:p>
    <w:p w14:paraId="556161D2" w14:textId="77777777" w:rsidR="00417C86" w:rsidRPr="0060474A" w:rsidRDefault="00417C86" w:rsidP="00187BBF">
      <w:pPr>
        <w:pStyle w:val="Caption"/>
      </w:pPr>
      <w:r w:rsidRPr="0060474A">
        <w:t>Figure 16: Trends in average duration (months) of diversion plans (50,978 cases)</w:t>
      </w:r>
    </w:p>
    <w:tbl>
      <w:tblPr>
        <w:tblStyle w:val="Table"/>
        <w:tblW w:w="5000" w:type="pct"/>
        <w:tblLook w:val="04A0" w:firstRow="1" w:lastRow="0" w:firstColumn="1" w:lastColumn="0" w:noHBand="0" w:noVBand="1"/>
      </w:tblPr>
      <w:tblGrid>
        <w:gridCol w:w="2431"/>
        <w:gridCol w:w="6585"/>
      </w:tblGrid>
      <w:tr w:rsidR="00296BCA" w:rsidRPr="0060474A" w14:paraId="129AF407" w14:textId="77777777" w:rsidTr="00126A88">
        <w:trPr>
          <w:trHeight w:val="290"/>
          <w:tblHeader/>
        </w:trPr>
        <w:tc>
          <w:tcPr>
            <w:tcW w:w="1348" w:type="pct"/>
            <w:noWrap/>
            <w:hideMark/>
          </w:tcPr>
          <w:p w14:paraId="07F209CD" w14:textId="77777777" w:rsidR="00296BCA" w:rsidRPr="0060474A" w:rsidRDefault="00296BCA" w:rsidP="000027A4">
            <w:pPr>
              <w:pStyle w:val="TableHeading"/>
            </w:pPr>
            <w:r w:rsidRPr="0060474A">
              <w:t>Year</w:t>
            </w:r>
          </w:p>
        </w:tc>
        <w:tc>
          <w:tcPr>
            <w:tcW w:w="3652" w:type="pct"/>
            <w:noWrap/>
            <w:hideMark/>
          </w:tcPr>
          <w:p w14:paraId="6B6EBECF" w14:textId="77777777" w:rsidR="00296BCA" w:rsidRPr="0060474A" w:rsidRDefault="00296BCA" w:rsidP="000027A4">
            <w:pPr>
              <w:pStyle w:val="TableHeading"/>
            </w:pPr>
            <w:r w:rsidRPr="0060474A">
              <w:t>Average duration (months)</w:t>
            </w:r>
          </w:p>
        </w:tc>
      </w:tr>
      <w:tr w:rsidR="00296BCA" w:rsidRPr="0060474A" w14:paraId="7746973D" w14:textId="77777777" w:rsidTr="00126A88">
        <w:trPr>
          <w:trHeight w:val="290"/>
        </w:trPr>
        <w:tc>
          <w:tcPr>
            <w:tcW w:w="1348" w:type="pct"/>
            <w:noWrap/>
            <w:hideMark/>
          </w:tcPr>
          <w:p w14:paraId="5D906883" w14:textId="77777777" w:rsidR="00296BCA" w:rsidRPr="0060474A" w:rsidRDefault="00296BCA" w:rsidP="00126A88">
            <w:pPr>
              <w:pStyle w:val="TableBody"/>
            </w:pPr>
            <w:r w:rsidRPr="0060474A">
              <w:t>2011-12</w:t>
            </w:r>
          </w:p>
        </w:tc>
        <w:tc>
          <w:tcPr>
            <w:tcW w:w="3652" w:type="pct"/>
            <w:noWrap/>
            <w:hideMark/>
          </w:tcPr>
          <w:p w14:paraId="08065DBC" w14:textId="77777777" w:rsidR="00296BCA" w:rsidRPr="0060474A" w:rsidRDefault="00296BCA" w:rsidP="00BC2E77">
            <w:pPr>
              <w:pStyle w:val="TableBody"/>
            </w:pPr>
            <w:r w:rsidRPr="0060474A">
              <w:t>3.6</w:t>
            </w:r>
          </w:p>
        </w:tc>
      </w:tr>
      <w:tr w:rsidR="00296BCA" w:rsidRPr="0060474A" w14:paraId="3DD9E805" w14:textId="77777777" w:rsidTr="00126A88">
        <w:trPr>
          <w:trHeight w:val="290"/>
        </w:trPr>
        <w:tc>
          <w:tcPr>
            <w:tcW w:w="1348" w:type="pct"/>
            <w:noWrap/>
            <w:hideMark/>
          </w:tcPr>
          <w:p w14:paraId="6A24E3DD" w14:textId="77777777" w:rsidR="00296BCA" w:rsidRPr="0060474A" w:rsidRDefault="00296BCA" w:rsidP="00126A88">
            <w:pPr>
              <w:pStyle w:val="TableBody"/>
            </w:pPr>
            <w:r w:rsidRPr="0060474A">
              <w:t>2012-13</w:t>
            </w:r>
          </w:p>
        </w:tc>
        <w:tc>
          <w:tcPr>
            <w:tcW w:w="3652" w:type="pct"/>
            <w:noWrap/>
            <w:hideMark/>
          </w:tcPr>
          <w:p w14:paraId="244673EC" w14:textId="77777777" w:rsidR="00296BCA" w:rsidRPr="0060474A" w:rsidRDefault="00296BCA" w:rsidP="00BC2E77">
            <w:pPr>
              <w:pStyle w:val="TableBody"/>
            </w:pPr>
            <w:r w:rsidRPr="0060474A">
              <w:t>3.6</w:t>
            </w:r>
          </w:p>
        </w:tc>
      </w:tr>
      <w:tr w:rsidR="00296BCA" w:rsidRPr="0060474A" w14:paraId="30C0BF71" w14:textId="77777777" w:rsidTr="00126A88">
        <w:trPr>
          <w:trHeight w:val="290"/>
        </w:trPr>
        <w:tc>
          <w:tcPr>
            <w:tcW w:w="1348" w:type="pct"/>
            <w:noWrap/>
            <w:hideMark/>
          </w:tcPr>
          <w:p w14:paraId="6BA6E600" w14:textId="77777777" w:rsidR="00296BCA" w:rsidRPr="0060474A" w:rsidRDefault="00296BCA" w:rsidP="00126A88">
            <w:pPr>
              <w:pStyle w:val="TableBody"/>
            </w:pPr>
            <w:r w:rsidRPr="0060474A">
              <w:t>2013-14</w:t>
            </w:r>
          </w:p>
        </w:tc>
        <w:tc>
          <w:tcPr>
            <w:tcW w:w="3652" w:type="pct"/>
            <w:noWrap/>
            <w:hideMark/>
          </w:tcPr>
          <w:p w14:paraId="7CD27433" w14:textId="77777777" w:rsidR="00296BCA" w:rsidRPr="0060474A" w:rsidRDefault="00296BCA" w:rsidP="00BC2E77">
            <w:pPr>
              <w:pStyle w:val="TableBody"/>
            </w:pPr>
            <w:r w:rsidRPr="0060474A">
              <w:t>3.9</w:t>
            </w:r>
          </w:p>
        </w:tc>
      </w:tr>
      <w:tr w:rsidR="00296BCA" w:rsidRPr="0060474A" w14:paraId="7233D026" w14:textId="77777777" w:rsidTr="00126A88">
        <w:trPr>
          <w:trHeight w:val="290"/>
        </w:trPr>
        <w:tc>
          <w:tcPr>
            <w:tcW w:w="1348" w:type="pct"/>
            <w:noWrap/>
            <w:hideMark/>
          </w:tcPr>
          <w:p w14:paraId="6D7D0FB7" w14:textId="77777777" w:rsidR="00296BCA" w:rsidRPr="0060474A" w:rsidRDefault="00296BCA" w:rsidP="00126A88">
            <w:pPr>
              <w:pStyle w:val="TableBody"/>
            </w:pPr>
            <w:r w:rsidRPr="0060474A">
              <w:t>2014-15</w:t>
            </w:r>
          </w:p>
        </w:tc>
        <w:tc>
          <w:tcPr>
            <w:tcW w:w="3652" w:type="pct"/>
            <w:noWrap/>
            <w:hideMark/>
          </w:tcPr>
          <w:p w14:paraId="71D0CC20" w14:textId="77777777" w:rsidR="00296BCA" w:rsidRPr="0060474A" w:rsidRDefault="00296BCA" w:rsidP="00BC2E77">
            <w:pPr>
              <w:pStyle w:val="TableBody"/>
            </w:pPr>
            <w:r w:rsidRPr="0060474A">
              <w:t>4.6</w:t>
            </w:r>
          </w:p>
        </w:tc>
      </w:tr>
      <w:tr w:rsidR="00296BCA" w:rsidRPr="0060474A" w14:paraId="7E20AC6D" w14:textId="77777777" w:rsidTr="00126A88">
        <w:trPr>
          <w:trHeight w:val="290"/>
        </w:trPr>
        <w:tc>
          <w:tcPr>
            <w:tcW w:w="1348" w:type="pct"/>
            <w:noWrap/>
            <w:hideMark/>
          </w:tcPr>
          <w:p w14:paraId="48C52AA1" w14:textId="77777777" w:rsidR="00296BCA" w:rsidRPr="0060474A" w:rsidRDefault="00296BCA" w:rsidP="00126A88">
            <w:pPr>
              <w:pStyle w:val="TableBody"/>
            </w:pPr>
            <w:r w:rsidRPr="0060474A">
              <w:lastRenderedPageBreak/>
              <w:t>2015-16</w:t>
            </w:r>
          </w:p>
        </w:tc>
        <w:tc>
          <w:tcPr>
            <w:tcW w:w="3652" w:type="pct"/>
            <w:noWrap/>
            <w:hideMark/>
          </w:tcPr>
          <w:p w14:paraId="4F0140D3" w14:textId="77777777" w:rsidR="00296BCA" w:rsidRPr="0060474A" w:rsidRDefault="00296BCA" w:rsidP="00BC2E77">
            <w:pPr>
              <w:pStyle w:val="TableBody"/>
            </w:pPr>
            <w:r w:rsidRPr="0060474A">
              <w:t>4.9</w:t>
            </w:r>
          </w:p>
        </w:tc>
      </w:tr>
      <w:tr w:rsidR="00296BCA" w:rsidRPr="0060474A" w14:paraId="41D1B549" w14:textId="77777777" w:rsidTr="00126A88">
        <w:trPr>
          <w:trHeight w:val="290"/>
        </w:trPr>
        <w:tc>
          <w:tcPr>
            <w:tcW w:w="1348" w:type="pct"/>
            <w:noWrap/>
            <w:hideMark/>
          </w:tcPr>
          <w:p w14:paraId="4683C044" w14:textId="77777777" w:rsidR="00296BCA" w:rsidRPr="0060474A" w:rsidRDefault="00296BCA" w:rsidP="00126A88">
            <w:pPr>
              <w:pStyle w:val="TableBody"/>
            </w:pPr>
            <w:r w:rsidRPr="0060474A">
              <w:t>2016-17</w:t>
            </w:r>
          </w:p>
        </w:tc>
        <w:tc>
          <w:tcPr>
            <w:tcW w:w="3652" w:type="pct"/>
            <w:noWrap/>
            <w:hideMark/>
          </w:tcPr>
          <w:p w14:paraId="4773D57B" w14:textId="77777777" w:rsidR="00296BCA" w:rsidRPr="0060474A" w:rsidRDefault="00296BCA" w:rsidP="00BC2E77">
            <w:pPr>
              <w:pStyle w:val="TableBody"/>
            </w:pPr>
            <w:r w:rsidRPr="0060474A">
              <w:t>5.1</w:t>
            </w:r>
          </w:p>
        </w:tc>
      </w:tr>
      <w:tr w:rsidR="00296BCA" w:rsidRPr="0060474A" w14:paraId="72F56B0D" w14:textId="77777777" w:rsidTr="00126A88">
        <w:trPr>
          <w:trHeight w:val="290"/>
        </w:trPr>
        <w:tc>
          <w:tcPr>
            <w:tcW w:w="1348" w:type="pct"/>
            <w:noWrap/>
            <w:hideMark/>
          </w:tcPr>
          <w:p w14:paraId="2524970D" w14:textId="77777777" w:rsidR="00296BCA" w:rsidRPr="0060474A" w:rsidRDefault="00296BCA" w:rsidP="00126A88">
            <w:pPr>
              <w:pStyle w:val="TableBody"/>
            </w:pPr>
            <w:r w:rsidRPr="0060474A">
              <w:t>2017-18</w:t>
            </w:r>
          </w:p>
        </w:tc>
        <w:tc>
          <w:tcPr>
            <w:tcW w:w="3652" w:type="pct"/>
            <w:noWrap/>
            <w:hideMark/>
          </w:tcPr>
          <w:p w14:paraId="07C385EC" w14:textId="77777777" w:rsidR="00296BCA" w:rsidRPr="0060474A" w:rsidRDefault="00296BCA" w:rsidP="00BC2E77">
            <w:pPr>
              <w:pStyle w:val="TableBody"/>
            </w:pPr>
            <w:r w:rsidRPr="0060474A">
              <w:t>5.4</w:t>
            </w:r>
          </w:p>
        </w:tc>
      </w:tr>
      <w:tr w:rsidR="00296BCA" w:rsidRPr="0060474A" w14:paraId="49614E95" w14:textId="77777777" w:rsidTr="00126A88">
        <w:trPr>
          <w:trHeight w:val="290"/>
        </w:trPr>
        <w:tc>
          <w:tcPr>
            <w:tcW w:w="1348" w:type="pct"/>
            <w:noWrap/>
            <w:hideMark/>
          </w:tcPr>
          <w:p w14:paraId="4C18B407" w14:textId="77777777" w:rsidR="00296BCA" w:rsidRPr="0060474A" w:rsidRDefault="00296BCA" w:rsidP="00126A88">
            <w:pPr>
              <w:pStyle w:val="TableBody"/>
            </w:pPr>
            <w:r w:rsidRPr="0060474A">
              <w:t>2018-19</w:t>
            </w:r>
          </w:p>
        </w:tc>
        <w:tc>
          <w:tcPr>
            <w:tcW w:w="3652" w:type="pct"/>
            <w:noWrap/>
            <w:hideMark/>
          </w:tcPr>
          <w:p w14:paraId="6ABF565E" w14:textId="77777777" w:rsidR="00296BCA" w:rsidRPr="0060474A" w:rsidRDefault="00296BCA" w:rsidP="00BC2E77">
            <w:pPr>
              <w:pStyle w:val="TableBody"/>
            </w:pPr>
            <w:r w:rsidRPr="0060474A">
              <w:t>5.3</w:t>
            </w:r>
          </w:p>
        </w:tc>
      </w:tr>
      <w:tr w:rsidR="00296BCA" w:rsidRPr="0060474A" w14:paraId="0F3411C0" w14:textId="77777777" w:rsidTr="00126A88">
        <w:trPr>
          <w:trHeight w:val="290"/>
        </w:trPr>
        <w:tc>
          <w:tcPr>
            <w:tcW w:w="1348" w:type="pct"/>
            <w:noWrap/>
            <w:hideMark/>
          </w:tcPr>
          <w:p w14:paraId="35107C54" w14:textId="77777777" w:rsidR="00296BCA" w:rsidRPr="0060474A" w:rsidRDefault="00296BCA" w:rsidP="00126A88">
            <w:pPr>
              <w:pStyle w:val="TableBody"/>
            </w:pPr>
            <w:r w:rsidRPr="0060474A">
              <w:t>2019-20</w:t>
            </w:r>
          </w:p>
        </w:tc>
        <w:tc>
          <w:tcPr>
            <w:tcW w:w="3652" w:type="pct"/>
            <w:noWrap/>
            <w:hideMark/>
          </w:tcPr>
          <w:p w14:paraId="547E5FF5" w14:textId="77777777" w:rsidR="00296BCA" w:rsidRPr="0060474A" w:rsidRDefault="00296BCA" w:rsidP="00BC2E77">
            <w:pPr>
              <w:pStyle w:val="TableBody"/>
            </w:pPr>
            <w:r w:rsidRPr="0060474A">
              <w:t>5.4</w:t>
            </w:r>
          </w:p>
        </w:tc>
      </w:tr>
      <w:tr w:rsidR="00296BCA" w:rsidRPr="0060474A" w14:paraId="70619924" w14:textId="77777777" w:rsidTr="00126A88">
        <w:trPr>
          <w:trHeight w:val="290"/>
        </w:trPr>
        <w:tc>
          <w:tcPr>
            <w:tcW w:w="1348" w:type="pct"/>
            <w:noWrap/>
            <w:hideMark/>
          </w:tcPr>
          <w:p w14:paraId="5B999AC3" w14:textId="77777777" w:rsidR="00296BCA" w:rsidRPr="0060474A" w:rsidRDefault="00296BCA" w:rsidP="00126A88">
            <w:pPr>
              <w:pStyle w:val="TableBody"/>
            </w:pPr>
            <w:r w:rsidRPr="0060474A">
              <w:t>2020-21</w:t>
            </w:r>
          </w:p>
        </w:tc>
        <w:tc>
          <w:tcPr>
            <w:tcW w:w="3652" w:type="pct"/>
            <w:noWrap/>
            <w:hideMark/>
          </w:tcPr>
          <w:p w14:paraId="2ED30488" w14:textId="77777777" w:rsidR="00296BCA" w:rsidRPr="0060474A" w:rsidRDefault="00296BCA" w:rsidP="00BC2E77">
            <w:pPr>
              <w:pStyle w:val="TableBody"/>
            </w:pPr>
            <w:r w:rsidRPr="0060474A">
              <w:t>5.4</w:t>
            </w:r>
          </w:p>
        </w:tc>
      </w:tr>
    </w:tbl>
    <w:p w14:paraId="5F6EC85C" w14:textId="77777777" w:rsidR="00417C86" w:rsidRPr="0060474A" w:rsidRDefault="00417C86" w:rsidP="00157A3F">
      <w:pPr>
        <w:pStyle w:val="Bullets"/>
        <w:spacing w:before="240"/>
      </w:pPr>
      <w:r w:rsidRPr="0060474A">
        <w:rPr>
          <w:b/>
          <w:bCs/>
        </w:rPr>
        <w:t>Conditions</w:t>
      </w:r>
      <w:r w:rsidRPr="0060474A">
        <w:t>: Figure 17 presents the proportion of diversion plans with each of the four most common conditions each year. During the 10-year period, there was a decline in the rate of compensation conditions (15.7% to 9.3%) and donation conditions (69.6% to 59.4%). The proportion of diversion plans requiring a letter of apology (to the victim) or gratitude (to the informant) dropped significantly, from 64.6% in 2011–12 to 40.0% in 2015–16, and it has been relatively stable since then. And the proportion of diversion plans requiring the person to be of good behaviour has doubled over time, from 44.8% to 87.2%.</w:t>
      </w:r>
    </w:p>
    <w:p w14:paraId="38095FA4" w14:textId="77777777" w:rsidR="00417C86" w:rsidRPr="0060474A" w:rsidRDefault="00417C86" w:rsidP="00187BBF">
      <w:pPr>
        <w:pStyle w:val="Caption"/>
      </w:pPr>
      <w:r w:rsidRPr="0060474A">
        <w:t>Figure 17: Trends in the types of conditions in diversion plans (46,671 cases)</w:t>
      </w:r>
    </w:p>
    <w:tbl>
      <w:tblPr>
        <w:tblStyle w:val="Table"/>
        <w:tblW w:w="9083" w:type="dxa"/>
        <w:tblLayout w:type="fixed"/>
        <w:tblLook w:val="04A0" w:firstRow="1" w:lastRow="0" w:firstColumn="1" w:lastColumn="0" w:noHBand="0" w:noVBand="1"/>
      </w:tblPr>
      <w:tblGrid>
        <w:gridCol w:w="1803"/>
        <w:gridCol w:w="1803"/>
        <w:gridCol w:w="1803"/>
        <w:gridCol w:w="1803"/>
        <w:gridCol w:w="1871"/>
      </w:tblGrid>
      <w:tr w:rsidR="00DA2C61" w:rsidRPr="0060474A" w14:paraId="3506F4ED" w14:textId="77777777" w:rsidTr="002E7C4A">
        <w:trPr>
          <w:trHeight w:val="290"/>
          <w:tblHeader/>
        </w:trPr>
        <w:tc>
          <w:tcPr>
            <w:tcW w:w="1803" w:type="dxa"/>
            <w:noWrap/>
            <w:hideMark/>
          </w:tcPr>
          <w:p w14:paraId="24D87A7B" w14:textId="73EE1440" w:rsidR="00DA2C61" w:rsidRPr="0060474A" w:rsidRDefault="008B071C" w:rsidP="007E7AF4">
            <w:pPr>
              <w:pStyle w:val="TableHeading"/>
            </w:pPr>
            <w:r w:rsidRPr="0060474A">
              <w:t>Year</w:t>
            </w:r>
          </w:p>
        </w:tc>
        <w:tc>
          <w:tcPr>
            <w:tcW w:w="1803" w:type="dxa"/>
            <w:noWrap/>
            <w:hideMark/>
          </w:tcPr>
          <w:p w14:paraId="1FDF7D74" w14:textId="6A5F0E5D" w:rsidR="00DA2C61" w:rsidRPr="0060474A" w:rsidRDefault="00DA2C61" w:rsidP="000027A4">
            <w:pPr>
              <w:pStyle w:val="TableHeading"/>
            </w:pPr>
            <w:r w:rsidRPr="0060474A">
              <w:t>Letter of apology</w:t>
            </w:r>
            <w:r w:rsidR="00B17F13" w:rsidRPr="0060474A">
              <w:t xml:space="preserve"> or </w:t>
            </w:r>
            <w:r w:rsidRPr="0060474A">
              <w:t>gratitude</w:t>
            </w:r>
          </w:p>
        </w:tc>
        <w:tc>
          <w:tcPr>
            <w:tcW w:w="1803" w:type="dxa"/>
            <w:noWrap/>
            <w:hideMark/>
          </w:tcPr>
          <w:p w14:paraId="5BDC8A87" w14:textId="77777777" w:rsidR="00DA2C61" w:rsidRPr="0060474A" w:rsidRDefault="00DA2C61" w:rsidP="000027A4">
            <w:pPr>
              <w:pStyle w:val="TableHeading"/>
            </w:pPr>
            <w:r w:rsidRPr="0060474A">
              <w:t>Donation</w:t>
            </w:r>
          </w:p>
        </w:tc>
        <w:tc>
          <w:tcPr>
            <w:tcW w:w="1803" w:type="dxa"/>
            <w:noWrap/>
            <w:hideMark/>
          </w:tcPr>
          <w:p w14:paraId="36BB5082" w14:textId="77777777" w:rsidR="00DA2C61" w:rsidRPr="0060474A" w:rsidRDefault="00DA2C61" w:rsidP="000027A4">
            <w:pPr>
              <w:pStyle w:val="TableHeading"/>
            </w:pPr>
            <w:r w:rsidRPr="0060474A">
              <w:t>Good behaviour</w:t>
            </w:r>
          </w:p>
        </w:tc>
        <w:tc>
          <w:tcPr>
            <w:tcW w:w="1871" w:type="dxa"/>
            <w:noWrap/>
            <w:hideMark/>
          </w:tcPr>
          <w:p w14:paraId="4B0C618B" w14:textId="77777777" w:rsidR="00DA2C61" w:rsidRPr="0060474A" w:rsidRDefault="00DA2C61" w:rsidP="000027A4">
            <w:pPr>
              <w:pStyle w:val="TableHeading"/>
            </w:pPr>
            <w:r w:rsidRPr="0060474A">
              <w:t>Compensation</w:t>
            </w:r>
          </w:p>
        </w:tc>
      </w:tr>
      <w:tr w:rsidR="00DA2C61" w:rsidRPr="0060474A" w14:paraId="4EC6D749" w14:textId="77777777" w:rsidTr="002E7C4A">
        <w:trPr>
          <w:trHeight w:val="290"/>
        </w:trPr>
        <w:tc>
          <w:tcPr>
            <w:tcW w:w="1803" w:type="dxa"/>
            <w:noWrap/>
            <w:hideMark/>
          </w:tcPr>
          <w:p w14:paraId="66EF035C" w14:textId="77777777" w:rsidR="00DA2C61" w:rsidRPr="0060474A" w:rsidRDefault="00DA2C61" w:rsidP="007E7AF4">
            <w:pPr>
              <w:pStyle w:val="TableBody"/>
            </w:pPr>
            <w:r w:rsidRPr="0060474A">
              <w:t>2011-12</w:t>
            </w:r>
          </w:p>
        </w:tc>
        <w:tc>
          <w:tcPr>
            <w:tcW w:w="1803" w:type="dxa"/>
            <w:noWrap/>
            <w:hideMark/>
          </w:tcPr>
          <w:p w14:paraId="7A60C366" w14:textId="77777777" w:rsidR="00DA2C61" w:rsidRPr="0060474A" w:rsidRDefault="00DA2C61" w:rsidP="007E7AF4">
            <w:pPr>
              <w:pStyle w:val="TableBody"/>
            </w:pPr>
            <w:r w:rsidRPr="0060474A">
              <w:t>64.6%</w:t>
            </w:r>
          </w:p>
        </w:tc>
        <w:tc>
          <w:tcPr>
            <w:tcW w:w="1803" w:type="dxa"/>
            <w:noWrap/>
            <w:hideMark/>
          </w:tcPr>
          <w:p w14:paraId="6D351E3B" w14:textId="77777777" w:rsidR="00DA2C61" w:rsidRPr="0060474A" w:rsidRDefault="00DA2C61" w:rsidP="007E7AF4">
            <w:pPr>
              <w:pStyle w:val="TableBody"/>
            </w:pPr>
            <w:r w:rsidRPr="0060474A">
              <w:t>69.6%</w:t>
            </w:r>
          </w:p>
        </w:tc>
        <w:tc>
          <w:tcPr>
            <w:tcW w:w="1803" w:type="dxa"/>
            <w:noWrap/>
            <w:hideMark/>
          </w:tcPr>
          <w:p w14:paraId="29D5B924" w14:textId="77777777" w:rsidR="00DA2C61" w:rsidRPr="0060474A" w:rsidRDefault="00DA2C61" w:rsidP="007E7AF4">
            <w:pPr>
              <w:pStyle w:val="TableBody"/>
            </w:pPr>
            <w:r w:rsidRPr="0060474A">
              <w:t>44.8%</w:t>
            </w:r>
          </w:p>
        </w:tc>
        <w:tc>
          <w:tcPr>
            <w:tcW w:w="1871" w:type="dxa"/>
            <w:noWrap/>
            <w:hideMark/>
          </w:tcPr>
          <w:p w14:paraId="072C6FBA" w14:textId="77777777" w:rsidR="00DA2C61" w:rsidRPr="0060474A" w:rsidRDefault="00DA2C61" w:rsidP="007E7AF4">
            <w:pPr>
              <w:pStyle w:val="TableBody"/>
            </w:pPr>
            <w:r w:rsidRPr="0060474A">
              <w:t>15.7%</w:t>
            </w:r>
          </w:p>
        </w:tc>
      </w:tr>
      <w:tr w:rsidR="00DA2C61" w:rsidRPr="0060474A" w14:paraId="556D60FD" w14:textId="77777777" w:rsidTr="002E7C4A">
        <w:trPr>
          <w:trHeight w:val="290"/>
        </w:trPr>
        <w:tc>
          <w:tcPr>
            <w:tcW w:w="1803" w:type="dxa"/>
            <w:noWrap/>
            <w:hideMark/>
          </w:tcPr>
          <w:p w14:paraId="3D3DE582" w14:textId="77777777" w:rsidR="00DA2C61" w:rsidRPr="0060474A" w:rsidRDefault="00DA2C61" w:rsidP="007E7AF4">
            <w:pPr>
              <w:pStyle w:val="TableBody"/>
            </w:pPr>
            <w:r w:rsidRPr="0060474A">
              <w:t>2012-13</w:t>
            </w:r>
          </w:p>
        </w:tc>
        <w:tc>
          <w:tcPr>
            <w:tcW w:w="1803" w:type="dxa"/>
            <w:noWrap/>
            <w:hideMark/>
          </w:tcPr>
          <w:p w14:paraId="0A9A8BD7" w14:textId="77777777" w:rsidR="00DA2C61" w:rsidRPr="0060474A" w:rsidRDefault="00DA2C61" w:rsidP="007E7AF4">
            <w:pPr>
              <w:pStyle w:val="TableBody"/>
            </w:pPr>
            <w:r w:rsidRPr="0060474A">
              <w:t>62.5%</w:t>
            </w:r>
          </w:p>
        </w:tc>
        <w:tc>
          <w:tcPr>
            <w:tcW w:w="1803" w:type="dxa"/>
            <w:noWrap/>
            <w:hideMark/>
          </w:tcPr>
          <w:p w14:paraId="65F361E3" w14:textId="77777777" w:rsidR="00DA2C61" w:rsidRPr="0060474A" w:rsidRDefault="00DA2C61" w:rsidP="007E7AF4">
            <w:pPr>
              <w:pStyle w:val="TableBody"/>
            </w:pPr>
            <w:r w:rsidRPr="0060474A">
              <w:t>66.0%</w:t>
            </w:r>
          </w:p>
        </w:tc>
        <w:tc>
          <w:tcPr>
            <w:tcW w:w="1803" w:type="dxa"/>
            <w:noWrap/>
            <w:hideMark/>
          </w:tcPr>
          <w:p w14:paraId="44FF36CD" w14:textId="77777777" w:rsidR="00DA2C61" w:rsidRPr="0060474A" w:rsidRDefault="00DA2C61" w:rsidP="007E7AF4">
            <w:pPr>
              <w:pStyle w:val="TableBody"/>
            </w:pPr>
            <w:r w:rsidRPr="0060474A">
              <w:t>47.8%</w:t>
            </w:r>
          </w:p>
        </w:tc>
        <w:tc>
          <w:tcPr>
            <w:tcW w:w="1871" w:type="dxa"/>
            <w:noWrap/>
            <w:hideMark/>
          </w:tcPr>
          <w:p w14:paraId="0DE6418C" w14:textId="77777777" w:rsidR="00DA2C61" w:rsidRPr="0060474A" w:rsidRDefault="00DA2C61" w:rsidP="007E7AF4">
            <w:pPr>
              <w:pStyle w:val="TableBody"/>
            </w:pPr>
            <w:r w:rsidRPr="0060474A">
              <w:t>14.7%</w:t>
            </w:r>
          </w:p>
        </w:tc>
      </w:tr>
      <w:tr w:rsidR="00DA2C61" w:rsidRPr="0060474A" w14:paraId="5D169A2C" w14:textId="77777777" w:rsidTr="002E7C4A">
        <w:trPr>
          <w:trHeight w:val="290"/>
        </w:trPr>
        <w:tc>
          <w:tcPr>
            <w:tcW w:w="1803" w:type="dxa"/>
            <w:noWrap/>
            <w:hideMark/>
          </w:tcPr>
          <w:p w14:paraId="602EAE8A" w14:textId="77777777" w:rsidR="00DA2C61" w:rsidRPr="0060474A" w:rsidRDefault="00DA2C61" w:rsidP="007E7AF4">
            <w:pPr>
              <w:pStyle w:val="TableBody"/>
            </w:pPr>
            <w:r w:rsidRPr="0060474A">
              <w:t>2013-14</w:t>
            </w:r>
          </w:p>
        </w:tc>
        <w:tc>
          <w:tcPr>
            <w:tcW w:w="1803" w:type="dxa"/>
            <w:noWrap/>
            <w:hideMark/>
          </w:tcPr>
          <w:p w14:paraId="79EABBCC" w14:textId="77777777" w:rsidR="00DA2C61" w:rsidRPr="0060474A" w:rsidRDefault="00DA2C61" w:rsidP="007E7AF4">
            <w:pPr>
              <w:pStyle w:val="TableBody"/>
            </w:pPr>
            <w:r w:rsidRPr="0060474A">
              <w:t>60.6%</w:t>
            </w:r>
          </w:p>
        </w:tc>
        <w:tc>
          <w:tcPr>
            <w:tcW w:w="1803" w:type="dxa"/>
            <w:noWrap/>
            <w:hideMark/>
          </w:tcPr>
          <w:p w14:paraId="3D336EE1" w14:textId="77777777" w:rsidR="00DA2C61" w:rsidRPr="0060474A" w:rsidRDefault="00DA2C61" w:rsidP="007E7AF4">
            <w:pPr>
              <w:pStyle w:val="TableBody"/>
            </w:pPr>
            <w:r w:rsidRPr="0060474A">
              <w:t>67.6%</w:t>
            </w:r>
          </w:p>
        </w:tc>
        <w:tc>
          <w:tcPr>
            <w:tcW w:w="1803" w:type="dxa"/>
            <w:noWrap/>
            <w:hideMark/>
          </w:tcPr>
          <w:p w14:paraId="79318B9F" w14:textId="77777777" w:rsidR="00DA2C61" w:rsidRPr="0060474A" w:rsidRDefault="00DA2C61" w:rsidP="007E7AF4">
            <w:pPr>
              <w:pStyle w:val="TableBody"/>
            </w:pPr>
            <w:r w:rsidRPr="0060474A">
              <w:t>56.4%</w:t>
            </w:r>
          </w:p>
        </w:tc>
        <w:tc>
          <w:tcPr>
            <w:tcW w:w="1871" w:type="dxa"/>
            <w:noWrap/>
            <w:hideMark/>
          </w:tcPr>
          <w:p w14:paraId="7CC64373" w14:textId="77777777" w:rsidR="00DA2C61" w:rsidRPr="0060474A" w:rsidRDefault="00DA2C61" w:rsidP="007E7AF4">
            <w:pPr>
              <w:pStyle w:val="TableBody"/>
            </w:pPr>
            <w:r w:rsidRPr="0060474A">
              <w:t>13.8%</w:t>
            </w:r>
          </w:p>
        </w:tc>
      </w:tr>
      <w:tr w:rsidR="00DA2C61" w:rsidRPr="0060474A" w14:paraId="6E7B1CC9" w14:textId="77777777" w:rsidTr="002E7C4A">
        <w:trPr>
          <w:trHeight w:val="290"/>
        </w:trPr>
        <w:tc>
          <w:tcPr>
            <w:tcW w:w="1803" w:type="dxa"/>
            <w:noWrap/>
            <w:hideMark/>
          </w:tcPr>
          <w:p w14:paraId="47256C84" w14:textId="77777777" w:rsidR="00DA2C61" w:rsidRPr="0060474A" w:rsidRDefault="00DA2C61" w:rsidP="007E7AF4">
            <w:pPr>
              <w:pStyle w:val="TableBody"/>
            </w:pPr>
            <w:r w:rsidRPr="0060474A">
              <w:t>2014-15</w:t>
            </w:r>
          </w:p>
        </w:tc>
        <w:tc>
          <w:tcPr>
            <w:tcW w:w="1803" w:type="dxa"/>
            <w:noWrap/>
            <w:hideMark/>
          </w:tcPr>
          <w:p w14:paraId="01C0D854" w14:textId="77777777" w:rsidR="00DA2C61" w:rsidRPr="0060474A" w:rsidRDefault="00DA2C61" w:rsidP="007E7AF4">
            <w:pPr>
              <w:pStyle w:val="TableBody"/>
            </w:pPr>
            <w:r w:rsidRPr="0060474A">
              <w:t>50.9%</w:t>
            </w:r>
          </w:p>
        </w:tc>
        <w:tc>
          <w:tcPr>
            <w:tcW w:w="1803" w:type="dxa"/>
            <w:noWrap/>
            <w:hideMark/>
          </w:tcPr>
          <w:p w14:paraId="5E37AFDB" w14:textId="77777777" w:rsidR="00DA2C61" w:rsidRPr="0060474A" w:rsidRDefault="00DA2C61" w:rsidP="007E7AF4">
            <w:pPr>
              <w:pStyle w:val="TableBody"/>
            </w:pPr>
            <w:r w:rsidRPr="0060474A">
              <w:t>63.8%</w:t>
            </w:r>
          </w:p>
        </w:tc>
        <w:tc>
          <w:tcPr>
            <w:tcW w:w="1803" w:type="dxa"/>
            <w:noWrap/>
            <w:hideMark/>
          </w:tcPr>
          <w:p w14:paraId="19625E3F" w14:textId="77777777" w:rsidR="00DA2C61" w:rsidRPr="0060474A" w:rsidRDefault="00DA2C61" w:rsidP="007E7AF4">
            <w:pPr>
              <w:pStyle w:val="TableBody"/>
            </w:pPr>
            <w:r w:rsidRPr="0060474A">
              <w:t>66.6%</w:t>
            </w:r>
          </w:p>
        </w:tc>
        <w:tc>
          <w:tcPr>
            <w:tcW w:w="1871" w:type="dxa"/>
            <w:noWrap/>
            <w:hideMark/>
          </w:tcPr>
          <w:p w14:paraId="6DC660C3" w14:textId="77777777" w:rsidR="00DA2C61" w:rsidRPr="0060474A" w:rsidRDefault="00DA2C61" w:rsidP="007E7AF4">
            <w:pPr>
              <w:pStyle w:val="TableBody"/>
            </w:pPr>
            <w:r w:rsidRPr="0060474A">
              <w:t>13.8%</w:t>
            </w:r>
          </w:p>
        </w:tc>
      </w:tr>
      <w:tr w:rsidR="00DA2C61" w:rsidRPr="0060474A" w14:paraId="19FD0C52" w14:textId="77777777" w:rsidTr="002E7C4A">
        <w:trPr>
          <w:trHeight w:val="290"/>
        </w:trPr>
        <w:tc>
          <w:tcPr>
            <w:tcW w:w="1803" w:type="dxa"/>
            <w:noWrap/>
            <w:hideMark/>
          </w:tcPr>
          <w:p w14:paraId="040C4648" w14:textId="77777777" w:rsidR="00DA2C61" w:rsidRPr="0060474A" w:rsidRDefault="00DA2C61" w:rsidP="007E7AF4">
            <w:pPr>
              <w:pStyle w:val="TableBody"/>
            </w:pPr>
            <w:r w:rsidRPr="0060474A">
              <w:t>2015-16</w:t>
            </w:r>
          </w:p>
        </w:tc>
        <w:tc>
          <w:tcPr>
            <w:tcW w:w="1803" w:type="dxa"/>
            <w:noWrap/>
            <w:hideMark/>
          </w:tcPr>
          <w:p w14:paraId="65F0E3FD" w14:textId="77777777" w:rsidR="00DA2C61" w:rsidRPr="0060474A" w:rsidRDefault="00DA2C61" w:rsidP="007E7AF4">
            <w:pPr>
              <w:pStyle w:val="TableBody"/>
            </w:pPr>
            <w:r w:rsidRPr="0060474A">
              <w:t>40.0%</w:t>
            </w:r>
          </w:p>
        </w:tc>
        <w:tc>
          <w:tcPr>
            <w:tcW w:w="1803" w:type="dxa"/>
            <w:noWrap/>
            <w:hideMark/>
          </w:tcPr>
          <w:p w14:paraId="656744B6" w14:textId="77777777" w:rsidR="00DA2C61" w:rsidRPr="0060474A" w:rsidRDefault="00DA2C61" w:rsidP="007E7AF4">
            <w:pPr>
              <w:pStyle w:val="TableBody"/>
            </w:pPr>
            <w:r w:rsidRPr="0060474A">
              <w:t>63.4%</w:t>
            </w:r>
          </w:p>
        </w:tc>
        <w:tc>
          <w:tcPr>
            <w:tcW w:w="1803" w:type="dxa"/>
            <w:noWrap/>
            <w:hideMark/>
          </w:tcPr>
          <w:p w14:paraId="45C3F839" w14:textId="77777777" w:rsidR="00DA2C61" w:rsidRPr="0060474A" w:rsidRDefault="00DA2C61" w:rsidP="007E7AF4">
            <w:pPr>
              <w:pStyle w:val="TableBody"/>
            </w:pPr>
            <w:r w:rsidRPr="0060474A">
              <w:t>64.7%</w:t>
            </w:r>
          </w:p>
        </w:tc>
        <w:tc>
          <w:tcPr>
            <w:tcW w:w="1871" w:type="dxa"/>
            <w:noWrap/>
            <w:hideMark/>
          </w:tcPr>
          <w:p w14:paraId="0A167116" w14:textId="77777777" w:rsidR="00DA2C61" w:rsidRPr="0060474A" w:rsidRDefault="00DA2C61" w:rsidP="007E7AF4">
            <w:pPr>
              <w:pStyle w:val="TableBody"/>
            </w:pPr>
            <w:r w:rsidRPr="0060474A">
              <w:t>11.7%</w:t>
            </w:r>
          </w:p>
        </w:tc>
      </w:tr>
      <w:tr w:rsidR="00DA2C61" w:rsidRPr="0060474A" w14:paraId="73D93FA7" w14:textId="77777777" w:rsidTr="002E7C4A">
        <w:trPr>
          <w:trHeight w:val="290"/>
        </w:trPr>
        <w:tc>
          <w:tcPr>
            <w:tcW w:w="1803" w:type="dxa"/>
            <w:noWrap/>
            <w:hideMark/>
          </w:tcPr>
          <w:p w14:paraId="1BCE6987" w14:textId="77777777" w:rsidR="00DA2C61" w:rsidRPr="0060474A" w:rsidRDefault="00DA2C61" w:rsidP="007E7AF4">
            <w:pPr>
              <w:pStyle w:val="TableBody"/>
            </w:pPr>
            <w:r w:rsidRPr="0060474A">
              <w:t>2016-17</w:t>
            </w:r>
          </w:p>
        </w:tc>
        <w:tc>
          <w:tcPr>
            <w:tcW w:w="1803" w:type="dxa"/>
            <w:noWrap/>
            <w:hideMark/>
          </w:tcPr>
          <w:p w14:paraId="58B31B4F" w14:textId="77777777" w:rsidR="00DA2C61" w:rsidRPr="0060474A" w:rsidRDefault="00DA2C61" w:rsidP="007E7AF4">
            <w:pPr>
              <w:pStyle w:val="TableBody"/>
            </w:pPr>
            <w:r w:rsidRPr="0060474A">
              <w:t>39.3%</w:t>
            </w:r>
          </w:p>
        </w:tc>
        <w:tc>
          <w:tcPr>
            <w:tcW w:w="1803" w:type="dxa"/>
            <w:noWrap/>
            <w:hideMark/>
          </w:tcPr>
          <w:p w14:paraId="6A2B9989" w14:textId="77777777" w:rsidR="00DA2C61" w:rsidRPr="0060474A" w:rsidRDefault="00DA2C61" w:rsidP="007E7AF4">
            <w:pPr>
              <w:pStyle w:val="TableBody"/>
            </w:pPr>
            <w:r w:rsidRPr="0060474A">
              <w:t>64.4%</w:t>
            </w:r>
          </w:p>
        </w:tc>
        <w:tc>
          <w:tcPr>
            <w:tcW w:w="1803" w:type="dxa"/>
            <w:noWrap/>
            <w:hideMark/>
          </w:tcPr>
          <w:p w14:paraId="25AE15EE" w14:textId="77777777" w:rsidR="00DA2C61" w:rsidRPr="0060474A" w:rsidRDefault="00DA2C61" w:rsidP="007E7AF4">
            <w:pPr>
              <w:pStyle w:val="TableBody"/>
            </w:pPr>
            <w:r w:rsidRPr="0060474A">
              <w:t>67.4%</w:t>
            </w:r>
          </w:p>
        </w:tc>
        <w:tc>
          <w:tcPr>
            <w:tcW w:w="1871" w:type="dxa"/>
            <w:noWrap/>
            <w:hideMark/>
          </w:tcPr>
          <w:p w14:paraId="228C1A4A" w14:textId="77777777" w:rsidR="00DA2C61" w:rsidRPr="0060474A" w:rsidRDefault="00DA2C61" w:rsidP="007E7AF4">
            <w:pPr>
              <w:pStyle w:val="TableBody"/>
            </w:pPr>
            <w:r w:rsidRPr="0060474A">
              <w:t>11.9%</w:t>
            </w:r>
          </w:p>
        </w:tc>
      </w:tr>
      <w:tr w:rsidR="00DA2C61" w:rsidRPr="0060474A" w14:paraId="4F48FCCD" w14:textId="77777777" w:rsidTr="002E7C4A">
        <w:trPr>
          <w:trHeight w:val="290"/>
        </w:trPr>
        <w:tc>
          <w:tcPr>
            <w:tcW w:w="1803" w:type="dxa"/>
            <w:noWrap/>
            <w:hideMark/>
          </w:tcPr>
          <w:p w14:paraId="706BE167" w14:textId="77777777" w:rsidR="00DA2C61" w:rsidRPr="0060474A" w:rsidRDefault="00DA2C61" w:rsidP="007E7AF4">
            <w:pPr>
              <w:pStyle w:val="TableBody"/>
            </w:pPr>
            <w:r w:rsidRPr="0060474A">
              <w:t>2017-18</w:t>
            </w:r>
          </w:p>
        </w:tc>
        <w:tc>
          <w:tcPr>
            <w:tcW w:w="1803" w:type="dxa"/>
            <w:noWrap/>
            <w:hideMark/>
          </w:tcPr>
          <w:p w14:paraId="75B31072" w14:textId="77777777" w:rsidR="00DA2C61" w:rsidRPr="0060474A" w:rsidRDefault="00DA2C61" w:rsidP="007E7AF4">
            <w:pPr>
              <w:pStyle w:val="TableBody"/>
            </w:pPr>
            <w:r w:rsidRPr="0060474A">
              <w:t>39.2%</w:t>
            </w:r>
          </w:p>
        </w:tc>
        <w:tc>
          <w:tcPr>
            <w:tcW w:w="1803" w:type="dxa"/>
            <w:noWrap/>
            <w:hideMark/>
          </w:tcPr>
          <w:p w14:paraId="718AD222" w14:textId="77777777" w:rsidR="00DA2C61" w:rsidRPr="0060474A" w:rsidRDefault="00DA2C61" w:rsidP="007E7AF4">
            <w:pPr>
              <w:pStyle w:val="TableBody"/>
            </w:pPr>
            <w:r w:rsidRPr="0060474A">
              <w:t>62.3%</w:t>
            </w:r>
          </w:p>
        </w:tc>
        <w:tc>
          <w:tcPr>
            <w:tcW w:w="1803" w:type="dxa"/>
            <w:noWrap/>
            <w:hideMark/>
          </w:tcPr>
          <w:p w14:paraId="75AC51C4" w14:textId="77777777" w:rsidR="00DA2C61" w:rsidRPr="0060474A" w:rsidRDefault="00DA2C61" w:rsidP="007E7AF4">
            <w:pPr>
              <w:pStyle w:val="TableBody"/>
            </w:pPr>
            <w:r w:rsidRPr="0060474A">
              <w:t>78.0%</w:t>
            </w:r>
          </w:p>
        </w:tc>
        <w:tc>
          <w:tcPr>
            <w:tcW w:w="1871" w:type="dxa"/>
            <w:noWrap/>
            <w:hideMark/>
          </w:tcPr>
          <w:p w14:paraId="6EC9D04D" w14:textId="77777777" w:rsidR="00DA2C61" w:rsidRPr="0060474A" w:rsidRDefault="00DA2C61" w:rsidP="007E7AF4">
            <w:pPr>
              <w:pStyle w:val="TableBody"/>
            </w:pPr>
            <w:r w:rsidRPr="0060474A">
              <w:t>12.8%</w:t>
            </w:r>
          </w:p>
        </w:tc>
      </w:tr>
      <w:tr w:rsidR="00DA2C61" w:rsidRPr="0060474A" w14:paraId="153C2D01" w14:textId="77777777" w:rsidTr="002E7C4A">
        <w:trPr>
          <w:trHeight w:val="290"/>
        </w:trPr>
        <w:tc>
          <w:tcPr>
            <w:tcW w:w="1803" w:type="dxa"/>
            <w:noWrap/>
            <w:hideMark/>
          </w:tcPr>
          <w:p w14:paraId="3E1734CA" w14:textId="77777777" w:rsidR="00DA2C61" w:rsidRPr="0060474A" w:rsidRDefault="00DA2C61" w:rsidP="007E7AF4">
            <w:pPr>
              <w:pStyle w:val="TableBody"/>
            </w:pPr>
            <w:r w:rsidRPr="0060474A">
              <w:t>2018-19</w:t>
            </w:r>
          </w:p>
        </w:tc>
        <w:tc>
          <w:tcPr>
            <w:tcW w:w="1803" w:type="dxa"/>
            <w:noWrap/>
            <w:hideMark/>
          </w:tcPr>
          <w:p w14:paraId="1B510DF0" w14:textId="77777777" w:rsidR="00DA2C61" w:rsidRPr="0060474A" w:rsidRDefault="00DA2C61" w:rsidP="007E7AF4">
            <w:pPr>
              <w:pStyle w:val="TableBody"/>
            </w:pPr>
            <w:r w:rsidRPr="0060474A">
              <w:t>39.7%</w:t>
            </w:r>
          </w:p>
        </w:tc>
        <w:tc>
          <w:tcPr>
            <w:tcW w:w="1803" w:type="dxa"/>
            <w:noWrap/>
            <w:hideMark/>
          </w:tcPr>
          <w:p w14:paraId="0F9080E3" w14:textId="77777777" w:rsidR="00DA2C61" w:rsidRPr="0060474A" w:rsidRDefault="00DA2C61" w:rsidP="007E7AF4">
            <w:pPr>
              <w:pStyle w:val="TableBody"/>
            </w:pPr>
            <w:r w:rsidRPr="0060474A">
              <w:t>60.2%</w:t>
            </w:r>
          </w:p>
        </w:tc>
        <w:tc>
          <w:tcPr>
            <w:tcW w:w="1803" w:type="dxa"/>
            <w:noWrap/>
            <w:hideMark/>
          </w:tcPr>
          <w:p w14:paraId="35AD4FFE" w14:textId="77777777" w:rsidR="00DA2C61" w:rsidRPr="0060474A" w:rsidRDefault="00DA2C61" w:rsidP="007E7AF4">
            <w:pPr>
              <w:pStyle w:val="TableBody"/>
            </w:pPr>
            <w:r w:rsidRPr="0060474A">
              <w:t>79.8%</w:t>
            </w:r>
          </w:p>
        </w:tc>
        <w:tc>
          <w:tcPr>
            <w:tcW w:w="1871" w:type="dxa"/>
            <w:noWrap/>
            <w:hideMark/>
          </w:tcPr>
          <w:p w14:paraId="54E2A0B5" w14:textId="77777777" w:rsidR="00DA2C61" w:rsidRPr="0060474A" w:rsidRDefault="00DA2C61" w:rsidP="007E7AF4">
            <w:pPr>
              <w:pStyle w:val="TableBody"/>
            </w:pPr>
            <w:r w:rsidRPr="0060474A">
              <w:t>12.9%</w:t>
            </w:r>
          </w:p>
        </w:tc>
      </w:tr>
      <w:tr w:rsidR="00DA2C61" w:rsidRPr="0060474A" w14:paraId="08E5E865" w14:textId="77777777" w:rsidTr="002E7C4A">
        <w:trPr>
          <w:trHeight w:val="290"/>
        </w:trPr>
        <w:tc>
          <w:tcPr>
            <w:tcW w:w="1803" w:type="dxa"/>
            <w:noWrap/>
            <w:hideMark/>
          </w:tcPr>
          <w:p w14:paraId="40972C65" w14:textId="77777777" w:rsidR="00DA2C61" w:rsidRPr="0060474A" w:rsidRDefault="00DA2C61" w:rsidP="007E7AF4">
            <w:pPr>
              <w:pStyle w:val="TableBody"/>
            </w:pPr>
            <w:r w:rsidRPr="0060474A">
              <w:t>2019-20</w:t>
            </w:r>
          </w:p>
        </w:tc>
        <w:tc>
          <w:tcPr>
            <w:tcW w:w="1803" w:type="dxa"/>
            <w:noWrap/>
            <w:hideMark/>
          </w:tcPr>
          <w:p w14:paraId="028EFEE7" w14:textId="77777777" w:rsidR="00DA2C61" w:rsidRPr="0060474A" w:rsidRDefault="00DA2C61" w:rsidP="007E7AF4">
            <w:pPr>
              <w:pStyle w:val="TableBody"/>
            </w:pPr>
            <w:r w:rsidRPr="0060474A">
              <w:t>38.0%</w:t>
            </w:r>
          </w:p>
        </w:tc>
        <w:tc>
          <w:tcPr>
            <w:tcW w:w="1803" w:type="dxa"/>
            <w:noWrap/>
            <w:hideMark/>
          </w:tcPr>
          <w:p w14:paraId="42D5A016" w14:textId="77777777" w:rsidR="00DA2C61" w:rsidRPr="0060474A" w:rsidRDefault="00DA2C61" w:rsidP="007E7AF4">
            <w:pPr>
              <w:pStyle w:val="TableBody"/>
            </w:pPr>
            <w:r w:rsidRPr="0060474A">
              <w:t>59.0%</w:t>
            </w:r>
          </w:p>
        </w:tc>
        <w:tc>
          <w:tcPr>
            <w:tcW w:w="1803" w:type="dxa"/>
            <w:noWrap/>
            <w:hideMark/>
          </w:tcPr>
          <w:p w14:paraId="186B405E" w14:textId="77777777" w:rsidR="00DA2C61" w:rsidRPr="0060474A" w:rsidRDefault="00DA2C61" w:rsidP="007E7AF4">
            <w:pPr>
              <w:pStyle w:val="TableBody"/>
            </w:pPr>
            <w:r w:rsidRPr="0060474A">
              <w:t>86.6%</w:t>
            </w:r>
          </w:p>
        </w:tc>
        <w:tc>
          <w:tcPr>
            <w:tcW w:w="1871" w:type="dxa"/>
            <w:noWrap/>
            <w:hideMark/>
          </w:tcPr>
          <w:p w14:paraId="65910E7E" w14:textId="77777777" w:rsidR="00DA2C61" w:rsidRPr="0060474A" w:rsidRDefault="00DA2C61" w:rsidP="007E7AF4">
            <w:pPr>
              <w:pStyle w:val="TableBody"/>
            </w:pPr>
            <w:r w:rsidRPr="0060474A">
              <w:t>11.1%</w:t>
            </w:r>
          </w:p>
        </w:tc>
      </w:tr>
      <w:tr w:rsidR="00DA2C61" w:rsidRPr="0060474A" w14:paraId="73158FCF" w14:textId="77777777" w:rsidTr="002E7C4A">
        <w:trPr>
          <w:trHeight w:val="290"/>
        </w:trPr>
        <w:tc>
          <w:tcPr>
            <w:tcW w:w="1803" w:type="dxa"/>
            <w:noWrap/>
            <w:hideMark/>
          </w:tcPr>
          <w:p w14:paraId="77111E64" w14:textId="77777777" w:rsidR="00DA2C61" w:rsidRPr="0060474A" w:rsidRDefault="00DA2C61" w:rsidP="007E7AF4">
            <w:pPr>
              <w:pStyle w:val="TableBody"/>
            </w:pPr>
            <w:r w:rsidRPr="0060474A">
              <w:t>2020-21</w:t>
            </w:r>
          </w:p>
        </w:tc>
        <w:tc>
          <w:tcPr>
            <w:tcW w:w="1803" w:type="dxa"/>
            <w:noWrap/>
            <w:hideMark/>
          </w:tcPr>
          <w:p w14:paraId="66C7C8E7" w14:textId="77777777" w:rsidR="00DA2C61" w:rsidRPr="0060474A" w:rsidRDefault="00DA2C61" w:rsidP="007E7AF4">
            <w:pPr>
              <w:pStyle w:val="TableBody"/>
            </w:pPr>
            <w:r w:rsidRPr="0060474A">
              <w:t>38.4%</w:t>
            </w:r>
          </w:p>
        </w:tc>
        <w:tc>
          <w:tcPr>
            <w:tcW w:w="1803" w:type="dxa"/>
            <w:noWrap/>
            <w:hideMark/>
          </w:tcPr>
          <w:p w14:paraId="19733963" w14:textId="77777777" w:rsidR="00DA2C61" w:rsidRPr="0060474A" w:rsidRDefault="00DA2C61" w:rsidP="007E7AF4">
            <w:pPr>
              <w:pStyle w:val="TableBody"/>
            </w:pPr>
            <w:r w:rsidRPr="0060474A">
              <w:t>59.4%</w:t>
            </w:r>
          </w:p>
        </w:tc>
        <w:tc>
          <w:tcPr>
            <w:tcW w:w="1803" w:type="dxa"/>
            <w:noWrap/>
            <w:hideMark/>
          </w:tcPr>
          <w:p w14:paraId="746D3AEB" w14:textId="77777777" w:rsidR="00DA2C61" w:rsidRPr="0060474A" w:rsidRDefault="00DA2C61" w:rsidP="007E7AF4">
            <w:pPr>
              <w:pStyle w:val="TableBody"/>
            </w:pPr>
            <w:r w:rsidRPr="0060474A">
              <w:t>87.2%</w:t>
            </w:r>
          </w:p>
        </w:tc>
        <w:tc>
          <w:tcPr>
            <w:tcW w:w="1871" w:type="dxa"/>
            <w:noWrap/>
            <w:hideMark/>
          </w:tcPr>
          <w:p w14:paraId="1D7A2CCE" w14:textId="77777777" w:rsidR="00DA2C61" w:rsidRPr="0060474A" w:rsidRDefault="00DA2C61" w:rsidP="007E7AF4">
            <w:pPr>
              <w:pStyle w:val="TableBody"/>
            </w:pPr>
            <w:r w:rsidRPr="0060474A">
              <w:t>9.3%</w:t>
            </w:r>
          </w:p>
        </w:tc>
      </w:tr>
    </w:tbl>
    <w:p w14:paraId="527E9DBD" w14:textId="77777777" w:rsidR="00417C86" w:rsidRPr="0060474A" w:rsidRDefault="00417C86" w:rsidP="00417C86">
      <w:pPr>
        <w:pStyle w:val="Heading1"/>
      </w:pPr>
      <w:bookmarkStart w:id="6" w:name="_Toc170138904"/>
      <w:r w:rsidRPr="0060474A">
        <w:lastRenderedPageBreak/>
        <w:t>3. The prevalence of diversion plans</w:t>
      </w:r>
      <w:bookmarkEnd w:id="6"/>
    </w:p>
    <w:p w14:paraId="5E76430F" w14:textId="77777777" w:rsidR="00417C86" w:rsidRPr="0060474A" w:rsidRDefault="00417C86" w:rsidP="00D74421">
      <w:r w:rsidRPr="0060474A">
        <w:t xml:space="preserve">In Chapter 2, we examined the characteristics of the 50,988 cases that resulted in a diversion plan in the 10 years to 2020–21. Those statistics tell us </w:t>
      </w:r>
      <w:r w:rsidRPr="0060474A">
        <w:rPr>
          <w:rStyle w:val="Italic"/>
          <w:iCs w:val="0"/>
        </w:rPr>
        <w:t xml:space="preserve">who </w:t>
      </w:r>
      <w:r w:rsidRPr="0060474A">
        <w:t xml:space="preserve">is receiving diversion plans, but not who is </w:t>
      </w:r>
      <w:r w:rsidRPr="0060474A">
        <w:rPr>
          <w:rStyle w:val="Italic"/>
          <w:iCs w:val="0"/>
        </w:rPr>
        <w:t xml:space="preserve">most likely </w:t>
      </w:r>
      <w:r w:rsidRPr="0060474A">
        <w:t>to receive diversion plans. To do that, we need to examine the prevalence of diversion plans in all cases involving certain offenders or offences. That is the focus of this chapter.</w:t>
      </w:r>
    </w:p>
    <w:p w14:paraId="79F789C3" w14:textId="77777777" w:rsidR="00417C86" w:rsidRPr="0060474A" w:rsidRDefault="00417C86" w:rsidP="00417C86">
      <w:pPr>
        <w:pStyle w:val="Heading2"/>
      </w:pPr>
      <w:r w:rsidRPr="0060474A">
        <w:t>Prevalence of diversion plans in all criminal proceedings</w:t>
      </w:r>
    </w:p>
    <w:p w14:paraId="286CEC96" w14:textId="77777777" w:rsidR="00417C86" w:rsidRPr="0060474A" w:rsidRDefault="00417C86" w:rsidP="00D74421">
      <w:r w:rsidRPr="0060474A">
        <w:t>A fine is by far the most common outcome in the Magistrates’ Court. Fines accounted for over half (54.8%) of all Magistrates’ Court outcomes in the 10 years to 30 June 2021 (this includes diversion plans, which are not a sentence but nevertheless represent an end to proceedings). Diversion plans were the fifth most common outcome in that period (5.8%), after fines (54.8%), adjourned undertakings (13.7%), community correction orders (8.7%) and imprisonment (7.9%). The prevalence of diversion plans as a proportion of all outcomes has, though, increased slightly, particularly since 2015, from 5.2% of all outcomes to 6.6% (Figure 18).</w:t>
      </w:r>
      <w:r w:rsidRPr="0060474A">
        <w:rPr>
          <w:rStyle w:val="Superscript"/>
        </w:rPr>
        <w:footnoteReference w:id="43"/>
      </w:r>
      <w:r w:rsidRPr="0060474A">
        <w:t xml:space="preserve"> This trend has been relatively consistent, and it does not seem to have been affected by COVID-19.</w:t>
      </w:r>
    </w:p>
    <w:p w14:paraId="75BCFBF3" w14:textId="77777777" w:rsidR="00417C86" w:rsidRPr="0060474A" w:rsidRDefault="00417C86" w:rsidP="00187BBF">
      <w:pPr>
        <w:pStyle w:val="Caption"/>
      </w:pPr>
      <w:r w:rsidRPr="0060474A">
        <w:t>Figure 18: Prevalence of diversion plans as an outcome in the Magistrates’ Court, 2011–12 to 2020–21</w:t>
      </w:r>
    </w:p>
    <w:tbl>
      <w:tblPr>
        <w:tblStyle w:val="Table"/>
        <w:tblW w:w="5000" w:type="pct"/>
        <w:tblLook w:val="04A0" w:firstRow="1" w:lastRow="0" w:firstColumn="1" w:lastColumn="0" w:noHBand="0" w:noVBand="1"/>
      </w:tblPr>
      <w:tblGrid>
        <w:gridCol w:w="3114"/>
        <w:gridCol w:w="5902"/>
      </w:tblGrid>
      <w:tr w:rsidR="00866B86" w:rsidRPr="0060474A" w14:paraId="2A784793" w14:textId="77777777" w:rsidTr="0025550D">
        <w:trPr>
          <w:trHeight w:val="290"/>
          <w:tblHeader/>
        </w:trPr>
        <w:tc>
          <w:tcPr>
            <w:tcW w:w="1727" w:type="pct"/>
            <w:noWrap/>
            <w:hideMark/>
          </w:tcPr>
          <w:p w14:paraId="767710DD" w14:textId="77777777" w:rsidR="00866B86" w:rsidRPr="0060474A" w:rsidRDefault="00866B86" w:rsidP="000027A4">
            <w:pPr>
              <w:pStyle w:val="TableHeading"/>
            </w:pPr>
            <w:r w:rsidRPr="0060474A">
              <w:t>Year</w:t>
            </w:r>
          </w:p>
        </w:tc>
        <w:tc>
          <w:tcPr>
            <w:tcW w:w="3273" w:type="pct"/>
            <w:noWrap/>
            <w:hideMark/>
          </w:tcPr>
          <w:p w14:paraId="50CED96F" w14:textId="77777777" w:rsidR="00866B86" w:rsidRPr="0060474A" w:rsidRDefault="00866B86" w:rsidP="000027A4">
            <w:pPr>
              <w:pStyle w:val="TableHeading"/>
            </w:pPr>
            <w:r w:rsidRPr="0060474A">
              <w:t>Percentage</w:t>
            </w:r>
          </w:p>
        </w:tc>
      </w:tr>
      <w:tr w:rsidR="00866B86" w:rsidRPr="0060474A" w14:paraId="61658777" w14:textId="77777777" w:rsidTr="0025550D">
        <w:trPr>
          <w:trHeight w:val="290"/>
        </w:trPr>
        <w:tc>
          <w:tcPr>
            <w:tcW w:w="1727" w:type="pct"/>
            <w:noWrap/>
            <w:hideMark/>
          </w:tcPr>
          <w:p w14:paraId="635E9A7B" w14:textId="77777777" w:rsidR="00866B86" w:rsidRPr="0060474A" w:rsidRDefault="00866B86" w:rsidP="0025550D">
            <w:pPr>
              <w:pStyle w:val="TableBody"/>
            </w:pPr>
            <w:r w:rsidRPr="0060474A">
              <w:t>2011-12</w:t>
            </w:r>
          </w:p>
        </w:tc>
        <w:tc>
          <w:tcPr>
            <w:tcW w:w="3273" w:type="pct"/>
            <w:noWrap/>
            <w:hideMark/>
          </w:tcPr>
          <w:p w14:paraId="3F5956D9" w14:textId="77777777" w:rsidR="00866B86" w:rsidRPr="0060474A" w:rsidRDefault="00866B86" w:rsidP="00BC2E77">
            <w:pPr>
              <w:pStyle w:val="TableBody"/>
            </w:pPr>
            <w:r w:rsidRPr="0060474A">
              <w:t>5.4%</w:t>
            </w:r>
          </w:p>
        </w:tc>
      </w:tr>
      <w:tr w:rsidR="00866B86" w:rsidRPr="0060474A" w14:paraId="2BF70194" w14:textId="77777777" w:rsidTr="0025550D">
        <w:trPr>
          <w:trHeight w:val="290"/>
        </w:trPr>
        <w:tc>
          <w:tcPr>
            <w:tcW w:w="1727" w:type="pct"/>
            <w:noWrap/>
            <w:hideMark/>
          </w:tcPr>
          <w:p w14:paraId="0F0AC8C2" w14:textId="77777777" w:rsidR="00866B86" w:rsidRPr="0060474A" w:rsidRDefault="00866B86" w:rsidP="0025550D">
            <w:pPr>
              <w:pStyle w:val="TableBody"/>
            </w:pPr>
            <w:r w:rsidRPr="0060474A">
              <w:t>2012-13</w:t>
            </w:r>
          </w:p>
        </w:tc>
        <w:tc>
          <w:tcPr>
            <w:tcW w:w="3273" w:type="pct"/>
            <w:noWrap/>
            <w:hideMark/>
          </w:tcPr>
          <w:p w14:paraId="2BC47CDD" w14:textId="77777777" w:rsidR="00866B86" w:rsidRPr="0060474A" w:rsidRDefault="00866B86" w:rsidP="00BC2E77">
            <w:pPr>
              <w:pStyle w:val="TableBody"/>
            </w:pPr>
            <w:r w:rsidRPr="0060474A">
              <w:t>5.8%</w:t>
            </w:r>
          </w:p>
        </w:tc>
      </w:tr>
      <w:tr w:rsidR="00866B86" w:rsidRPr="0060474A" w14:paraId="2376A955" w14:textId="77777777" w:rsidTr="0025550D">
        <w:trPr>
          <w:trHeight w:val="290"/>
        </w:trPr>
        <w:tc>
          <w:tcPr>
            <w:tcW w:w="1727" w:type="pct"/>
            <w:noWrap/>
            <w:hideMark/>
          </w:tcPr>
          <w:p w14:paraId="3E0455B2" w14:textId="77777777" w:rsidR="00866B86" w:rsidRPr="0060474A" w:rsidRDefault="00866B86" w:rsidP="0025550D">
            <w:pPr>
              <w:pStyle w:val="TableBody"/>
            </w:pPr>
            <w:r w:rsidRPr="0060474A">
              <w:t>2013-14</w:t>
            </w:r>
          </w:p>
        </w:tc>
        <w:tc>
          <w:tcPr>
            <w:tcW w:w="3273" w:type="pct"/>
            <w:noWrap/>
            <w:hideMark/>
          </w:tcPr>
          <w:p w14:paraId="475859B7" w14:textId="77777777" w:rsidR="00866B86" w:rsidRPr="0060474A" w:rsidRDefault="00866B86" w:rsidP="00BC2E77">
            <w:pPr>
              <w:pStyle w:val="TableBody"/>
            </w:pPr>
            <w:r w:rsidRPr="0060474A">
              <w:t>5.7%</w:t>
            </w:r>
          </w:p>
        </w:tc>
      </w:tr>
      <w:tr w:rsidR="00866B86" w:rsidRPr="0060474A" w14:paraId="762AEA1E" w14:textId="77777777" w:rsidTr="0025550D">
        <w:trPr>
          <w:trHeight w:val="290"/>
        </w:trPr>
        <w:tc>
          <w:tcPr>
            <w:tcW w:w="1727" w:type="pct"/>
            <w:noWrap/>
            <w:hideMark/>
          </w:tcPr>
          <w:p w14:paraId="1A4AF248" w14:textId="77777777" w:rsidR="00866B86" w:rsidRPr="0060474A" w:rsidRDefault="00866B86" w:rsidP="0025550D">
            <w:pPr>
              <w:pStyle w:val="TableBody"/>
            </w:pPr>
            <w:r w:rsidRPr="0060474A">
              <w:t>2014-15</w:t>
            </w:r>
          </w:p>
        </w:tc>
        <w:tc>
          <w:tcPr>
            <w:tcW w:w="3273" w:type="pct"/>
            <w:noWrap/>
            <w:hideMark/>
          </w:tcPr>
          <w:p w14:paraId="483D63CF" w14:textId="77777777" w:rsidR="00866B86" w:rsidRPr="0060474A" w:rsidRDefault="00866B86" w:rsidP="00BC2E77">
            <w:pPr>
              <w:pStyle w:val="TableBody"/>
            </w:pPr>
            <w:r w:rsidRPr="0060474A">
              <w:t>5.7%</w:t>
            </w:r>
          </w:p>
        </w:tc>
      </w:tr>
      <w:tr w:rsidR="00866B86" w:rsidRPr="0060474A" w14:paraId="7262EFE0" w14:textId="77777777" w:rsidTr="0025550D">
        <w:trPr>
          <w:trHeight w:val="290"/>
        </w:trPr>
        <w:tc>
          <w:tcPr>
            <w:tcW w:w="1727" w:type="pct"/>
            <w:noWrap/>
            <w:hideMark/>
          </w:tcPr>
          <w:p w14:paraId="67646CA5" w14:textId="77777777" w:rsidR="00866B86" w:rsidRPr="0060474A" w:rsidRDefault="00866B86" w:rsidP="0025550D">
            <w:pPr>
              <w:pStyle w:val="TableBody"/>
            </w:pPr>
            <w:r w:rsidRPr="0060474A">
              <w:t>2015-16</w:t>
            </w:r>
          </w:p>
        </w:tc>
        <w:tc>
          <w:tcPr>
            <w:tcW w:w="3273" w:type="pct"/>
            <w:noWrap/>
            <w:hideMark/>
          </w:tcPr>
          <w:p w14:paraId="12A8D793" w14:textId="77777777" w:rsidR="00866B86" w:rsidRPr="0060474A" w:rsidRDefault="00866B86" w:rsidP="00BC2E77">
            <w:pPr>
              <w:pStyle w:val="TableBody"/>
            </w:pPr>
            <w:r w:rsidRPr="0060474A">
              <w:t>5.2%</w:t>
            </w:r>
          </w:p>
        </w:tc>
      </w:tr>
      <w:tr w:rsidR="00866B86" w:rsidRPr="0060474A" w14:paraId="1619C73A" w14:textId="77777777" w:rsidTr="0025550D">
        <w:trPr>
          <w:trHeight w:val="290"/>
        </w:trPr>
        <w:tc>
          <w:tcPr>
            <w:tcW w:w="1727" w:type="pct"/>
            <w:noWrap/>
            <w:hideMark/>
          </w:tcPr>
          <w:p w14:paraId="58995D88" w14:textId="77777777" w:rsidR="00866B86" w:rsidRPr="0060474A" w:rsidRDefault="00866B86" w:rsidP="0025550D">
            <w:pPr>
              <w:pStyle w:val="TableBody"/>
            </w:pPr>
            <w:r w:rsidRPr="0060474A">
              <w:t>2016-17</w:t>
            </w:r>
          </w:p>
        </w:tc>
        <w:tc>
          <w:tcPr>
            <w:tcW w:w="3273" w:type="pct"/>
            <w:noWrap/>
            <w:hideMark/>
          </w:tcPr>
          <w:p w14:paraId="0EA61FAC" w14:textId="77777777" w:rsidR="00866B86" w:rsidRPr="0060474A" w:rsidRDefault="00866B86" w:rsidP="00BC2E77">
            <w:pPr>
              <w:pStyle w:val="TableBody"/>
            </w:pPr>
            <w:r w:rsidRPr="0060474A">
              <w:t>5.6%</w:t>
            </w:r>
          </w:p>
        </w:tc>
      </w:tr>
      <w:tr w:rsidR="00866B86" w:rsidRPr="0060474A" w14:paraId="6AE70855" w14:textId="77777777" w:rsidTr="0025550D">
        <w:trPr>
          <w:trHeight w:val="290"/>
        </w:trPr>
        <w:tc>
          <w:tcPr>
            <w:tcW w:w="1727" w:type="pct"/>
            <w:noWrap/>
            <w:hideMark/>
          </w:tcPr>
          <w:p w14:paraId="75FCC952" w14:textId="77777777" w:rsidR="00866B86" w:rsidRPr="0060474A" w:rsidRDefault="00866B86" w:rsidP="0025550D">
            <w:pPr>
              <w:pStyle w:val="TableBody"/>
            </w:pPr>
            <w:r w:rsidRPr="0060474A">
              <w:t>2017-18</w:t>
            </w:r>
          </w:p>
        </w:tc>
        <w:tc>
          <w:tcPr>
            <w:tcW w:w="3273" w:type="pct"/>
            <w:noWrap/>
            <w:hideMark/>
          </w:tcPr>
          <w:p w14:paraId="7DC4330A" w14:textId="77777777" w:rsidR="00866B86" w:rsidRPr="0060474A" w:rsidRDefault="00866B86" w:rsidP="00BC2E77">
            <w:pPr>
              <w:pStyle w:val="TableBody"/>
            </w:pPr>
            <w:r w:rsidRPr="0060474A">
              <w:t>5.9%</w:t>
            </w:r>
          </w:p>
        </w:tc>
      </w:tr>
      <w:tr w:rsidR="00866B86" w:rsidRPr="0060474A" w14:paraId="44A91B99" w14:textId="77777777" w:rsidTr="0025550D">
        <w:trPr>
          <w:trHeight w:val="290"/>
        </w:trPr>
        <w:tc>
          <w:tcPr>
            <w:tcW w:w="1727" w:type="pct"/>
            <w:noWrap/>
            <w:hideMark/>
          </w:tcPr>
          <w:p w14:paraId="3C378EE7" w14:textId="77777777" w:rsidR="00866B86" w:rsidRPr="0060474A" w:rsidRDefault="00866B86" w:rsidP="0025550D">
            <w:pPr>
              <w:pStyle w:val="TableBody"/>
            </w:pPr>
            <w:r w:rsidRPr="0060474A">
              <w:lastRenderedPageBreak/>
              <w:t>2018-19</w:t>
            </w:r>
          </w:p>
        </w:tc>
        <w:tc>
          <w:tcPr>
            <w:tcW w:w="3273" w:type="pct"/>
            <w:noWrap/>
            <w:hideMark/>
          </w:tcPr>
          <w:p w14:paraId="3A720EA8" w14:textId="77777777" w:rsidR="00866B86" w:rsidRPr="0060474A" w:rsidRDefault="00866B86" w:rsidP="00BC2E77">
            <w:pPr>
              <w:pStyle w:val="TableBody"/>
            </w:pPr>
            <w:r w:rsidRPr="0060474A">
              <w:t>6.4%</w:t>
            </w:r>
          </w:p>
        </w:tc>
      </w:tr>
      <w:tr w:rsidR="00866B86" w:rsidRPr="0060474A" w14:paraId="53C4B082" w14:textId="77777777" w:rsidTr="0025550D">
        <w:trPr>
          <w:trHeight w:val="290"/>
        </w:trPr>
        <w:tc>
          <w:tcPr>
            <w:tcW w:w="1727" w:type="pct"/>
            <w:noWrap/>
            <w:hideMark/>
          </w:tcPr>
          <w:p w14:paraId="26948AE2" w14:textId="77777777" w:rsidR="00866B86" w:rsidRPr="0060474A" w:rsidRDefault="00866B86" w:rsidP="0025550D">
            <w:pPr>
              <w:pStyle w:val="TableBody"/>
            </w:pPr>
            <w:r w:rsidRPr="0060474A">
              <w:t>2019-20</w:t>
            </w:r>
          </w:p>
        </w:tc>
        <w:tc>
          <w:tcPr>
            <w:tcW w:w="3273" w:type="pct"/>
            <w:noWrap/>
            <w:hideMark/>
          </w:tcPr>
          <w:p w14:paraId="2BA0D2D3" w14:textId="77777777" w:rsidR="00866B86" w:rsidRPr="0060474A" w:rsidRDefault="00866B86" w:rsidP="00BC2E77">
            <w:pPr>
              <w:pStyle w:val="TableBody"/>
            </w:pPr>
            <w:r w:rsidRPr="0060474A">
              <w:t>6.4%</w:t>
            </w:r>
          </w:p>
        </w:tc>
      </w:tr>
      <w:tr w:rsidR="00866B86" w:rsidRPr="0060474A" w14:paraId="4F464766" w14:textId="77777777" w:rsidTr="0025550D">
        <w:trPr>
          <w:trHeight w:val="290"/>
        </w:trPr>
        <w:tc>
          <w:tcPr>
            <w:tcW w:w="1727" w:type="pct"/>
            <w:noWrap/>
            <w:hideMark/>
          </w:tcPr>
          <w:p w14:paraId="3BB44C7C" w14:textId="77777777" w:rsidR="00866B86" w:rsidRPr="0060474A" w:rsidRDefault="00866B86" w:rsidP="0025550D">
            <w:pPr>
              <w:pStyle w:val="TableBody"/>
            </w:pPr>
            <w:r w:rsidRPr="0060474A">
              <w:t>2020-21</w:t>
            </w:r>
          </w:p>
        </w:tc>
        <w:tc>
          <w:tcPr>
            <w:tcW w:w="3273" w:type="pct"/>
            <w:noWrap/>
            <w:hideMark/>
          </w:tcPr>
          <w:p w14:paraId="0EE7020C" w14:textId="77777777" w:rsidR="00866B86" w:rsidRPr="0060474A" w:rsidRDefault="00866B86" w:rsidP="00BC2E77">
            <w:pPr>
              <w:pStyle w:val="TableBody"/>
            </w:pPr>
            <w:r w:rsidRPr="0060474A">
              <w:t>6.6%</w:t>
            </w:r>
          </w:p>
        </w:tc>
      </w:tr>
    </w:tbl>
    <w:p w14:paraId="09EF9E81" w14:textId="77777777" w:rsidR="00417C86" w:rsidRPr="0060474A" w:rsidRDefault="00417C86" w:rsidP="00CE1EB3">
      <w:pPr>
        <w:pStyle w:val="Heading2"/>
      </w:pPr>
      <w:r w:rsidRPr="0060474A">
        <w:t>Prevalence of diversion plans for men and women</w:t>
      </w:r>
    </w:p>
    <w:p w14:paraId="48A07DED" w14:textId="77777777" w:rsidR="00417C86" w:rsidRPr="0060474A" w:rsidRDefault="00417C86" w:rsidP="00D74421">
      <w:r w:rsidRPr="0060474A">
        <w:t>Diversion plans made up a higher proportion of outcomes for women (8.7%) than for men (5.2%) (Figure 19). This was consistent throughout the reference period (Figure 20), with the gap even widening in more recent years. The prevalence of diversion plans increased for both men and women in that time, but for men it increased by just 0.8%, whereas for women it increased by 2.2%. Indeed, in the two most recent years, the prevalence of diversion plans reached a point where one in 10 women received a diversion plan as their outcome in the Magistrates’ Court. This seems to be a return to the prevalence of diversion plans for women from earlier years: 11.0% in 2006–07</w:t>
      </w:r>
      <w:r w:rsidRPr="0060474A">
        <w:rPr>
          <w:rStyle w:val="Superscript"/>
        </w:rPr>
        <w:footnoteReference w:id="44"/>
      </w:r>
      <w:r w:rsidRPr="0060474A">
        <w:t xml:space="preserve"> and 9.5% in 2008–09.</w:t>
      </w:r>
      <w:r w:rsidRPr="0060474A">
        <w:rPr>
          <w:rStyle w:val="Superscript"/>
        </w:rPr>
        <w:footnoteReference w:id="45"/>
      </w:r>
    </w:p>
    <w:p w14:paraId="500BB660" w14:textId="77777777" w:rsidR="00417C86" w:rsidRPr="0060474A" w:rsidRDefault="00417C86" w:rsidP="00187BBF">
      <w:pPr>
        <w:pStyle w:val="Caption"/>
      </w:pPr>
      <w:r w:rsidRPr="0060474A">
        <w:t>Figure 19: Prevalence of diversion plans for men and women, 2011–12 to 2020–21</w:t>
      </w:r>
    </w:p>
    <w:tbl>
      <w:tblPr>
        <w:tblStyle w:val="Table"/>
        <w:tblW w:w="5000" w:type="pct"/>
        <w:tblLook w:val="04A0" w:firstRow="1" w:lastRow="0" w:firstColumn="1" w:lastColumn="0" w:noHBand="0" w:noVBand="1"/>
      </w:tblPr>
      <w:tblGrid>
        <w:gridCol w:w="4508"/>
        <w:gridCol w:w="4508"/>
      </w:tblGrid>
      <w:tr w:rsidR="00AD61A1" w:rsidRPr="0060474A" w14:paraId="29E2E132" w14:textId="77777777" w:rsidTr="007C4A85">
        <w:trPr>
          <w:trHeight w:val="290"/>
        </w:trPr>
        <w:tc>
          <w:tcPr>
            <w:tcW w:w="2500" w:type="pct"/>
            <w:noWrap/>
            <w:hideMark/>
          </w:tcPr>
          <w:p w14:paraId="39F170F6" w14:textId="69763188" w:rsidR="00AD61A1" w:rsidRPr="0060474A" w:rsidRDefault="00CE0553" w:rsidP="00CE0553">
            <w:pPr>
              <w:pStyle w:val="TableHeading"/>
            </w:pPr>
            <w:r w:rsidRPr="0060474A">
              <w:t>Gender</w:t>
            </w:r>
          </w:p>
        </w:tc>
        <w:tc>
          <w:tcPr>
            <w:tcW w:w="2500" w:type="pct"/>
            <w:noWrap/>
            <w:hideMark/>
          </w:tcPr>
          <w:p w14:paraId="7E875C0A" w14:textId="77777777" w:rsidR="00AD61A1" w:rsidRPr="0060474A" w:rsidRDefault="00AD61A1" w:rsidP="00CE0553">
            <w:pPr>
              <w:pStyle w:val="TableHeading"/>
            </w:pPr>
            <w:r w:rsidRPr="0060474A">
              <w:t>Percentage</w:t>
            </w:r>
          </w:p>
        </w:tc>
      </w:tr>
      <w:tr w:rsidR="00AD61A1" w:rsidRPr="0060474A" w14:paraId="732EF3E0" w14:textId="77777777" w:rsidTr="007C4A85">
        <w:trPr>
          <w:trHeight w:val="290"/>
        </w:trPr>
        <w:tc>
          <w:tcPr>
            <w:tcW w:w="2500" w:type="pct"/>
            <w:noWrap/>
            <w:hideMark/>
          </w:tcPr>
          <w:p w14:paraId="7FE614DA" w14:textId="77777777" w:rsidR="00AD61A1" w:rsidRPr="0060474A" w:rsidRDefault="00AD61A1" w:rsidP="00CE0553">
            <w:pPr>
              <w:pStyle w:val="TableBody"/>
            </w:pPr>
            <w:r w:rsidRPr="0060474A">
              <w:t>Male</w:t>
            </w:r>
          </w:p>
        </w:tc>
        <w:tc>
          <w:tcPr>
            <w:tcW w:w="2500" w:type="pct"/>
            <w:noWrap/>
            <w:hideMark/>
          </w:tcPr>
          <w:p w14:paraId="38BAD94B" w14:textId="77777777" w:rsidR="00AD61A1" w:rsidRPr="0060474A" w:rsidRDefault="00AD61A1" w:rsidP="00BC2E77">
            <w:pPr>
              <w:pStyle w:val="TableBody"/>
            </w:pPr>
            <w:r w:rsidRPr="0060474A">
              <w:t>5.2%</w:t>
            </w:r>
          </w:p>
        </w:tc>
      </w:tr>
      <w:tr w:rsidR="00AD61A1" w:rsidRPr="0060474A" w14:paraId="33B15CEF" w14:textId="77777777" w:rsidTr="007C4A85">
        <w:trPr>
          <w:trHeight w:val="290"/>
        </w:trPr>
        <w:tc>
          <w:tcPr>
            <w:tcW w:w="2500" w:type="pct"/>
            <w:noWrap/>
            <w:hideMark/>
          </w:tcPr>
          <w:p w14:paraId="6B4ECC36" w14:textId="77777777" w:rsidR="00AD61A1" w:rsidRPr="0060474A" w:rsidRDefault="00AD61A1" w:rsidP="00CE0553">
            <w:pPr>
              <w:pStyle w:val="TableBody"/>
            </w:pPr>
            <w:r w:rsidRPr="0060474A">
              <w:t>Female</w:t>
            </w:r>
          </w:p>
        </w:tc>
        <w:tc>
          <w:tcPr>
            <w:tcW w:w="2500" w:type="pct"/>
            <w:noWrap/>
            <w:hideMark/>
          </w:tcPr>
          <w:p w14:paraId="48FD2CED" w14:textId="77777777" w:rsidR="00AD61A1" w:rsidRPr="0060474A" w:rsidRDefault="00AD61A1" w:rsidP="00BC2E77">
            <w:pPr>
              <w:pStyle w:val="TableBody"/>
            </w:pPr>
            <w:r w:rsidRPr="0060474A">
              <w:t>8.7%</w:t>
            </w:r>
          </w:p>
        </w:tc>
      </w:tr>
    </w:tbl>
    <w:p w14:paraId="4B398579" w14:textId="77777777" w:rsidR="00417C86" w:rsidRPr="0060474A" w:rsidRDefault="00417C86" w:rsidP="00187BBF">
      <w:pPr>
        <w:pStyle w:val="Caption"/>
      </w:pPr>
      <w:r w:rsidRPr="0060474A">
        <w:t>Figure 20: Trends in the percentage of cases that received a diversion plan, by gender</w:t>
      </w:r>
    </w:p>
    <w:tbl>
      <w:tblPr>
        <w:tblStyle w:val="Table"/>
        <w:tblW w:w="5000" w:type="pct"/>
        <w:tblLook w:val="04A0" w:firstRow="1" w:lastRow="0" w:firstColumn="1" w:lastColumn="0" w:noHBand="0" w:noVBand="1"/>
      </w:tblPr>
      <w:tblGrid>
        <w:gridCol w:w="3005"/>
        <w:gridCol w:w="3005"/>
        <w:gridCol w:w="3006"/>
      </w:tblGrid>
      <w:tr w:rsidR="00CF1683" w:rsidRPr="0060474A" w14:paraId="263AD74D" w14:textId="77777777" w:rsidTr="00F7608E">
        <w:trPr>
          <w:trHeight w:val="290"/>
          <w:tblHeader/>
        </w:trPr>
        <w:tc>
          <w:tcPr>
            <w:tcW w:w="1666" w:type="pct"/>
            <w:noWrap/>
            <w:hideMark/>
          </w:tcPr>
          <w:p w14:paraId="6CECF5F2" w14:textId="28FF6A25" w:rsidR="00CF1683" w:rsidRPr="0060474A" w:rsidRDefault="0095116C" w:rsidP="0095116C">
            <w:pPr>
              <w:pStyle w:val="TableHeading"/>
            </w:pPr>
            <w:r w:rsidRPr="0060474A">
              <w:t>Year</w:t>
            </w:r>
          </w:p>
        </w:tc>
        <w:tc>
          <w:tcPr>
            <w:tcW w:w="1666" w:type="pct"/>
            <w:noWrap/>
            <w:hideMark/>
          </w:tcPr>
          <w:p w14:paraId="59A4451D" w14:textId="77777777" w:rsidR="00CF1683" w:rsidRPr="0060474A" w:rsidRDefault="00CF1683" w:rsidP="0095116C">
            <w:pPr>
              <w:pStyle w:val="TableHeading"/>
            </w:pPr>
            <w:r w:rsidRPr="0060474A">
              <w:t>Male</w:t>
            </w:r>
          </w:p>
        </w:tc>
        <w:tc>
          <w:tcPr>
            <w:tcW w:w="1667" w:type="pct"/>
            <w:noWrap/>
            <w:hideMark/>
          </w:tcPr>
          <w:p w14:paraId="0DFC61A6" w14:textId="77777777" w:rsidR="00CF1683" w:rsidRPr="0060474A" w:rsidRDefault="00CF1683" w:rsidP="0095116C">
            <w:pPr>
              <w:pStyle w:val="TableHeading"/>
            </w:pPr>
            <w:r w:rsidRPr="0060474A">
              <w:t>Female</w:t>
            </w:r>
          </w:p>
        </w:tc>
      </w:tr>
      <w:tr w:rsidR="00CF1683" w:rsidRPr="0060474A" w14:paraId="7E026B27" w14:textId="77777777" w:rsidTr="00D57F22">
        <w:trPr>
          <w:trHeight w:val="290"/>
        </w:trPr>
        <w:tc>
          <w:tcPr>
            <w:tcW w:w="1666" w:type="pct"/>
            <w:noWrap/>
            <w:hideMark/>
          </w:tcPr>
          <w:p w14:paraId="3A626F14" w14:textId="77777777" w:rsidR="00CF1683" w:rsidRPr="0060474A" w:rsidRDefault="00CF1683" w:rsidP="0095116C">
            <w:pPr>
              <w:pStyle w:val="TableBody"/>
            </w:pPr>
            <w:r w:rsidRPr="0060474A">
              <w:t>2011-12</w:t>
            </w:r>
          </w:p>
        </w:tc>
        <w:tc>
          <w:tcPr>
            <w:tcW w:w="1666" w:type="pct"/>
            <w:noWrap/>
            <w:hideMark/>
          </w:tcPr>
          <w:p w14:paraId="6D4C1E64" w14:textId="77777777" w:rsidR="00CF1683" w:rsidRPr="0060474A" w:rsidRDefault="00CF1683" w:rsidP="0095116C">
            <w:pPr>
              <w:pStyle w:val="TableBody"/>
            </w:pPr>
            <w:r w:rsidRPr="0060474A">
              <w:t>4.9%</w:t>
            </w:r>
          </w:p>
        </w:tc>
        <w:tc>
          <w:tcPr>
            <w:tcW w:w="1667" w:type="pct"/>
            <w:noWrap/>
            <w:hideMark/>
          </w:tcPr>
          <w:p w14:paraId="1C36D126" w14:textId="77777777" w:rsidR="00CF1683" w:rsidRPr="0060474A" w:rsidRDefault="00CF1683" w:rsidP="0095116C">
            <w:pPr>
              <w:pStyle w:val="TableBody"/>
            </w:pPr>
            <w:r w:rsidRPr="0060474A">
              <w:t>7.8%</w:t>
            </w:r>
          </w:p>
        </w:tc>
      </w:tr>
      <w:tr w:rsidR="00CF1683" w:rsidRPr="0060474A" w14:paraId="117895C5" w14:textId="77777777" w:rsidTr="00D57F22">
        <w:trPr>
          <w:trHeight w:val="290"/>
        </w:trPr>
        <w:tc>
          <w:tcPr>
            <w:tcW w:w="1666" w:type="pct"/>
            <w:noWrap/>
            <w:hideMark/>
          </w:tcPr>
          <w:p w14:paraId="3DD5BAE4" w14:textId="77777777" w:rsidR="00CF1683" w:rsidRPr="0060474A" w:rsidRDefault="00CF1683" w:rsidP="0095116C">
            <w:pPr>
              <w:pStyle w:val="TableBody"/>
            </w:pPr>
            <w:r w:rsidRPr="0060474A">
              <w:t>2012-13</w:t>
            </w:r>
          </w:p>
        </w:tc>
        <w:tc>
          <w:tcPr>
            <w:tcW w:w="1666" w:type="pct"/>
            <w:noWrap/>
            <w:hideMark/>
          </w:tcPr>
          <w:p w14:paraId="4B6FA341" w14:textId="77777777" w:rsidR="00CF1683" w:rsidRPr="0060474A" w:rsidRDefault="00CF1683" w:rsidP="0095116C">
            <w:pPr>
              <w:pStyle w:val="TableBody"/>
            </w:pPr>
            <w:r w:rsidRPr="0060474A">
              <w:t>5.2%</w:t>
            </w:r>
          </w:p>
        </w:tc>
        <w:tc>
          <w:tcPr>
            <w:tcW w:w="1667" w:type="pct"/>
            <w:noWrap/>
            <w:hideMark/>
          </w:tcPr>
          <w:p w14:paraId="14D6DA12" w14:textId="77777777" w:rsidR="00CF1683" w:rsidRPr="0060474A" w:rsidRDefault="00CF1683" w:rsidP="0095116C">
            <w:pPr>
              <w:pStyle w:val="TableBody"/>
            </w:pPr>
            <w:r w:rsidRPr="0060474A">
              <w:t>8.8%</w:t>
            </w:r>
          </w:p>
        </w:tc>
      </w:tr>
      <w:tr w:rsidR="00CF1683" w:rsidRPr="0060474A" w14:paraId="0498C8E6" w14:textId="77777777" w:rsidTr="00D57F22">
        <w:trPr>
          <w:trHeight w:val="290"/>
        </w:trPr>
        <w:tc>
          <w:tcPr>
            <w:tcW w:w="1666" w:type="pct"/>
            <w:noWrap/>
            <w:hideMark/>
          </w:tcPr>
          <w:p w14:paraId="5A166701" w14:textId="77777777" w:rsidR="00CF1683" w:rsidRPr="0060474A" w:rsidRDefault="00CF1683" w:rsidP="0095116C">
            <w:pPr>
              <w:pStyle w:val="TableBody"/>
            </w:pPr>
            <w:r w:rsidRPr="0060474A">
              <w:t>2013-14</w:t>
            </w:r>
          </w:p>
        </w:tc>
        <w:tc>
          <w:tcPr>
            <w:tcW w:w="1666" w:type="pct"/>
            <w:noWrap/>
            <w:hideMark/>
          </w:tcPr>
          <w:p w14:paraId="287A734C" w14:textId="77777777" w:rsidR="00CF1683" w:rsidRPr="0060474A" w:rsidRDefault="00CF1683" w:rsidP="0095116C">
            <w:pPr>
              <w:pStyle w:val="TableBody"/>
            </w:pPr>
            <w:r w:rsidRPr="0060474A">
              <w:t>5.1%</w:t>
            </w:r>
          </w:p>
        </w:tc>
        <w:tc>
          <w:tcPr>
            <w:tcW w:w="1667" w:type="pct"/>
            <w:noWrap/>
            <w:hideMark/>
          </w:tcPr>
          <w:p w14:paraId="7CA5ED98" w14:textId="77777777" w:rsidR="00CF1683" w:rsidRPr="0060474A" w:rsidRDefault="00CF1683" w:rsidP="0095116C">
            <w:pPr>
              <w:pStyle w:val="TableBody"/>
            </w:pPr>
            <w:r w:rsidRPr="0060474A">
              <w:t>8.4%</w:t>
            </w:r>
          </w:p>
        </w:tc>
      </w:tr>
      <w:tr w:rsidR="00CF1683" w:rsidRPr="0060474A" w14:paraId="28F32136" w14:textId="77777777" w:rsidTr="00D57F22">
        <w:trPr>
          <w:trHeight w:val="290"/>
        </w:trPr>
        <w:tc>
          <w:tcPr>
            <w:tcW w:w="1666" w:type="pct"/>
            <w:noWrap/>
            <w:hideMark/>
          </w:tcPr>
          <w:p w14:paraId="745FC996" w14:textId="77777777" w:rsidR="00CF1683" w:rsidRPr="0060474A" w:rsidRDefault="00CF1683" w:rsidP="0095116C">
            <w:pPr>
              <w:pStyle w:val="TableBody"/>
            </w:pPr>
            <w:r w:rsidRPr="0060474A">
              <w:t>2014-15</w:t>
            </w:r>
          </w:p>
        </w:tc>
        <w:tc>
          <w:tcPr>
            <w:tcW w:w="1666" w:type="pct"/>
            <w:noWrap/>
            <w:hideMark/>
          </w:tcPr>
          <w:p w14:paraId="19C57BE0" w14:textId="77777777" w:rsidR="00CF1683" w:rsidRPr="0060474A" w:rsidRDefault="00CF1683" w:rsidP="0095116C">
            <w:pPr>
              <w:pStyle w:val="TableBody"/>
            </w:pPr>
            <w:r w:rsidRPr="0060474A">
              <w:t>5.2%</w:t>
            </w:r>
          </w:p>
        </w:tc>
        <w:tc>
          <w:tcPr>
            <w:tcW w:w="1667" w:type="pct"/>
            <w:noWrap/>
            <w:hideMark/>
          </w:tcPr>
          <w:p w14:paraId="482E07EE" w14:textId="77777777" w:rsidR="00CF1683" w:rsidRPr="0060474A" w:rsidRDefault="00CF1683" w:rsidP="0095116C">
            <w:pPr>
              <w:pStyle w:val="TableBody"/>
            </w:pPr>
            <w:r w:rsidRPr="0060474A">
              <w:t>8.1%</w:t>
            </w:r>
          </w:p>
        </w:tc>
      </w:tr>
      <w:tr w:rsidR="00CF1683" w:rsidRPr="0060474A" w14:paraId="5234D8C0" w14:textId="77777777" w:rsidTr="00D57F22">
        <w:trPr>
          <w:trHeight w:val="290"/>
        </w:trPr>
        <w:tc>
          <w:tcPr>
            <w:tcW w:w="1666" w:type="pct"/>
            <w:noWrap/>
            <w:hideMark/>
          </w:tcPr>
          <w:p w14:paraId="124DCFBD" w14:textId="77777777" w:rsidR="00CF1683" w:rsidRPr="0060474A" w:rsidRDefault="00CF1683" w:rsidP="0095116C">
            <w:pPr>
              <w:pStyle w:val="TableBody"/>
            </w:pPr>
            <w:r w:rsidRPr="0060474A">
              <w:t>2015-16</w:t>
            </w:r>
          </w:p>
        </w:tc>
        <w:tc>
          <w:tcPr>
            <w:tcW w:w="1666" w:type="pct"/>
            <w:noWrap/>
            <w:hideMark/>
          </w:tcPr>
          <w:p w14:paraId="4E274533" w14:textId="77777777" w:rsidR="00CF1683" w:rsidRPr="0060474A" w:rsidRDefault="00CF1683" w:rsidP="0095116C">
            <w:pPr>
              <w:pStyle w:val="TableBody"/>
            </w:pPr>
            <w:r w:rsidRPr="0060474A">
              <w:t>4.6%</w:t>
            </w:r>
          </w:p>
        </w:tc>
        <w:tc>
          <w:tcPr>
            <w:tcW w:w="1667" w:type="pct"/>
            <w:noWrap/>
            <w:hideMark/>
          </w:tcPr>
          <w:p w14:paraId="53969090" w14:textId="77777777" w:rsidR="00CF1683" w:rsidRPr="0060474A" w:rsidRDefault="00CF1683" w:rsidP="0095116C">
            <w:pPr>
              <w:pStyle w:val="TableBody"/>
            </w:pPr>
            <w:r w:rsidRPr="0060474A">
              <w:t>7.8%</w:t>
            </w:r>
          </w:p>
        </w:tc>
      </w:tr>
      <w:tr w:rsidR="00CF1683" w:rsidRPr="0060474A" w14:paraId="274FE588" w14:textId="77777777" w:rsidTr="00D57F22">
        <w:trPr>
          <w:trHeight w:val="290"/>
        </w:trPr>
        <w:tc>
          <w:tcPr>
            <w:tcW w:w="1666" w:type="pct"/>
            <w:noWrap/>
            <w:hideMark/>
          </w:tcPr>
          <w:p w14:paraId="506C21EE" w14:textId="77777777" w:rsidR="00CF1683" w:rsidRPr="0060474A" w:rsidRDefault="00CF1683" w:rsidP="0095116C">
            <w:pPr>
              <w:pStyle w:val="TableBody"/>
            </w:pPr>
            <w:r w:rsidRPr="0060474A">
              <w:t>2016-17</w:t>
            </w:r>
          </w:p>
        </w:tc>
        <w:tc>
          <w:tcPr>
            <w:tcW w:w="1666" w:type="pct"/>
            <w:noWrap/>
            <w:hideMark/>
          </w:tcPr>
          <w:p w14:paraId="5F5E7BAE" w14:textId="77777777" w:rsidR="00CF1683" w:rsidRPr="0060474A" w:rsidRDefault="00CF1683" w:rsidP="0095116C">
            <w:pPr>
              <w:pStyle w:val="TableBody"/>
            </w:pPr>
            <w:r w:rsidRPr="0060474A">
              <w:t>4.8%</w:t>
            </w:r>
          </w:p>
        </w:tc>
        <w:tc>
          <w:tcPr>
            <w:tcW w:w="1667" w:type="pct"/>
            <w:noWrap/>
            <w:hideMark/>
          </w:tcPr>
          <w:p w14:paraId="46BBA258" w14:textId="77777777" w:rsidR="00CF1683" w:rsidRPr="0060474A" w:rsidRDefault="00CF1683" w:rsidP="0095116C">
            <w:pPr>
              <w:pStyle w:val="TableBody"/>
            </w:pPr>
            <w:r w:rsidRPr="0060474A">
              <w:t>8.3%</w:t>
            </w:r>
          </w:p>
        </w:tc>
      </w:tr>
      <w:tr w:rsidR="00CF1683" w:rsidRPr="0060474A" w14:paraId="3F08ED2E" w14:textId="77777777" w:rsidTr="00D57F22">
        <w:trPr>
          <w:trHeight w:val="290"/>
        </w:trPr>
        <w:tc>
          <w:tcPr>
            <w:tcW w:w="1666" w:type="pct"/>
            <w:noWrap/>
            <w:hideMark/>
          </w:tcPr>
          <w:p w14:paraId="3F256AE6" w14:textId="77777777" w:rsidR="00CF1683" w:rsidRPr="0060474A" w:rsidRDefault="00CF1683" w:rsidP="0095116C">
            <w:pPr>
              <w:pStyle w:val="TableBody"/>
            </w:pPr>
            <w:r w:rsidRPr="0060474A">
              <w:t>2017-18</w:t>
            </w:r>
          </w:p>
        </w:tc>
        <w:tc>
          <w:tcPr>
            <w:tcW w:w="1666" w:type="pct"/>
            <w:noWrap/>
            <w:hideMark/>
          </w:tcPr>
          <w:p w14:paraId="1982C0E4" w14:textId="77777777" w:rsidR="00CF1683" w:rsidRPr="0060474A" w:rsidRDefault="00CF1683" w:rsidP="0095116C">
            <w:pPr>
              <w:pStyle w:val="TableBody"/>
            </w:pPr>
            <w:r w:rsidRPr="0060474A">
              <w:t>5.3%</w:t>
            </w:r>
          </w:p>
        </w:tc>
        <w:tc>
          <w:tcPr>
            <w:tcW w:w="1667" w:type="pct"/>
            <w:noWrap/>
            <w:hideMark/>
          </w:tcPr>
          <w:p w14:paraId="482E9B4E" w14:textId="77777777" w:rsidR="00CF1683" w:rsidRPr="0060474A" w:rsidRDefault="00CF1683" w:rsidP="0095116C">
            <w:pPr>
              <w:pStyle w:val="TableBody"/>
            </w:pPr>
            <w:r w:rsidRPr="0060474A">
              <w:t>8.6%</w:t>
            </w:r>
          </w:p>
        </w:tc>
      </w:tr>
      <w:tr w:rsidR="00CF1683" w:rsidRPr="0060474A" w14:paraId="03CF56F6" w14:textId="77777777" w:rsidTr="00D57F22">
        <w:trPr>
          <w:trHeight w:val="290"/>
        </w:trPr>
        <w:tc>
          <w:tcPr>
            <w:tcW w:w="1666" w:type="pct"/>
            <w:noWrap/>
            <w:hideMark/>
          </w:tcPr>
          <w:p w14:paraId="547FE27D" w14:textId="77777777" w:rsidR="00CF1683" w:rsidRPr="0060474A" w:rsidRDefault="00CF1683" w:rsidP="0095116C">
            <w:pPr>
              <w:pStyle w:val="TableBody"/>
            </w:pPr>
            <w:r w:rsidRPr="0060474A">
              <w:t>2018-19</w:t>
            </w:r>
          </w:p>
        </w:tc>
        <w:tc>
          <w:tcPr>
            <w:tcW w:w="1666" w:type="pct"/>
            <w:noWrap/>
            <w:hideMark/>
          </w:tcPr>
          <w:p w14:paraId="4920BB03" w14:textId="77777777" w:rsidR="00CF1683" w:rsidRPr="0060474A" w:rsidRDefault="00CF1683" w:rsidP="0095116C">
            <w:pPr>
              <w:pStyle w:val="TableBody"/>
            </w:pPr>
            <w:r w:rsidRPr="0060474A">
              <w:t>5.6%</w:t>
            </w:r>
          </w:p>
        </w:tc>
        <w:tc>
          <w:tcPr>
            <w:tcW w:w="1667" w:type="pct"/>
            <w:noWrap/>
            <w:hideMark/>
          </w:tcPr>
          <w:p w14:paraId="07B3479F" w14:textId="77777777" w:rsidR="00CF1683" w:rsidRPr="0060474A" w:rsidRDefault="00CF1683" w:rsidP="0095116C">
            <w:pPr>
              <w:pStyle w:val="TableBody"/>
            </w:pPr>
            <w:r w:rsidRPr="0060474A">
              <w:t>9.5%</w:t>
            </w:r>
          </w:p>
        </w:tc>
      </w:tr>
      <w:tr w:rsidR="00CF1683" w:rsidRPr="0060474A" w14:paraId="6661FDBE" w14:textId="77777777" w:rsidTr="00D57F22">
        <w:trPr>
          <w:trHeight w:val="290"/>
        </w:trPr>
        <w:tc>
          <w:tcPr>
            <w:tcW w:w="1666" w:type="pct"/>
            <w:noWrap/>
            <w:hideMark/>
          </w:tcPr>
          <w:p w14:paraId="4447D7AF" w14:textId="77777777" w:rsidR="00CF1683" w:rsidRPr="0060474A" w:rsidRDefault="00CF1683" w:rsidP="0095116C">
            <w:pPr>
              <w:pStyle w:val="TableBody"/>
            </w:pPr>
            <w:r w:rsidRPr="0060474A">
              <w:t>2019-20</w:t>
            </w:r>
          </w:p>
        </w:tc>
        <w:tc>
          <w:tcPr>
            <w:tcW w:w="1666" w:type="pct"/>
            <w:noWrap/>
            <w:hideMark/>
          </w:tcPr>
          <w:p w14:paraId="132A36E2" w14:textId="77777777" w:rsidR="00CF1683" w:rsidRPr="0060474A" w:rsidRDefault="00CF1683" w:rsidP="0095116C">
            <w:pPr>
              <w:pStyle w:val="TableBody"/>
            </w:pPr>
            <w:r w:rsidRPr="0060474A">
              <w:t>5.4%</w:t>
            </w:r>
          </w:p>
        </w:tc>
        <w:tc>
          <w:tcPr>
            <w:tcW w:w="1667" w:type="pct"/>
            <w:noWrap/>
            <w:hideMark/>
          </w:tcPr>
          <w:p w14:paraId="55883B91" w14:textId="77777777" w:rsidR="00CF1683" w:rsidRPr="0060474A" w:rsidRDefault="00CF1683" w:rsidP="0095116C">
            <w:pPr>
              <w:pStyle w:val="TableBody"/>
            </w:pPr>
            <w:r w:rsidRPr="0060474A">
              <w:t>10.1%</w:t>
            </w:r>
          </w:p>
        </w:tc>
      </w:tr>
      <w:tr w:rsidR="00CF1683" w:rsidRPr="0060474A" w14:paraId="39E2820D" w14:textId="77777777" w:rsidTr="00D57F22">
        <w:trPr>
          <w:trHeight w:val="290"/>
        </w:trPr>
        <w:tc>
          <w:tcPr>
            <w:tcW w:w="1666" w:type="pct"/>
            <w:noWrap/>
            <w:hideMark/>
          </w:tcPr>
          <w:p w14:paraId="58505A95" w14:textId="77777777" w:rsidR="00CF1683" w:rsidRPr="0060474A" w:rsidRDefault="00CF1683" w:rsidP="0095116C">
            <w:pPr>
              <w:pStyle w:val="TableBody"/>
            </w:pPr>
            <w:r w:rsidRPr="0060474A">
              <w:t>2020-21</w:t>
            </w:r>
          </w:p>
        </w:tc>
        <w:tc>
          <w:tcPr>
            <w:tcW w:w="1666" w:type="pct"/>
            <w:noWrap/>
            <w:hideMark/>
          </w:tcPr>
          <w:p w14:paraId="1DAFE9F0" w14:textId="77777777" w:rsidR="00CF1683" w:rsidRPr="0060474A" w:rsidRDefault="00CF1683" w:rsidP="0095116C">
            <w:pPr>
              <w:pStyle w:val="TableBody"/>
            </w:pPr>
            <w:r w:rsidRPr="0060474A">
              <w:t>5.7%</w:t>
            </w:r>
          </w:p>
        </w:tc>
        <w:tc>
          <w:tcPr>
            <w:tcW w:w="1667" w:type="pct"/>
            <w:noWrap/>
            <w:hideMark/>
          </w:tcPr>
          <w:p w14:paraId="00AE4D92" w14:textId="77777777" w:rsidR="00CF1683" w:rsidRPr="0060474A" w:rsidRDefault="00CF1683" w:rsidP="0095116C">
            <w:pPr>
              <w:pStyle w:val="TableBody"/>
            </w:pPr>
            <w:r w:rsidRPr="0060474A">
              <w:t>10.0%</w:t>
            </w:r>
          </w:p>
        </w:tc>
      </w:tr>
    </w:tbl>
    <w:p w14:paraId="54225C16" w14:textId="77777777" w:rsidR="00417C86" w:rsidRPr="0060474A" w:rsidRDefault="00417C86" w:rsidP="00417C86">
      <w:pPr>
        <w:pStyle w:val="Heading2"/>
      </w:pPr>
      <w:r w:rsidRPr="0060474A">
        <w:lastRenderedPageBreak/>
        <w:t>Prevalence of diversion plans by age</w:t>
      </w:r>
    </w:p>
    <w:p w14:paraId="45339F05" w14:textId="490F19E3" w:rsidR="00417C86" w:rsidRPr="0060474A" w:rsidRDefault="00417C86" w:rsidP="00D74421">
      <w:r w:rsidRPr="0060474A">
        <w:t>Figure 21 shows the proportion of cases that received a diversion plan as an outcome in the Magistrates’ Court, according to the age group of the offender. People aged 18 to 19 had the highest likelihood of receiving a diversion plan as an outcome (16.8% of diversion cases) compared to other age groups, and that proportion has increased in recent years to 19.4% in 2020–21 (see Figure 22). This likely reflects the unique value of diversion plans for younger and first-time offenders, potentially preventing them becoming entrenched in the criminal justice system.</w:t>
      </w:r>
      <w:r w:rsidRPr="0060474A">
        <w:rPr>
          <w:rStyle w:val="Superscript"/>
        </w:rPr>
        <w:footnoteReference w:id="46"/>
      </w:r>
      <w:r w:rsidRPr="0060474A">
        <w:t xml:space="preserve"> People aged 65 and over were the next most likely age group to receive a diversion plan (10.8% of their cases). This could reflect some of the unique mitigating circumstances that this age group may have,</w:t>
      </w:r>
      <w:r w:rsidRPr="0060474A">
        <w:rPr>
          <w:rStyle w:val="Superscript"/>
        </w:rPr>
        <w:footnoteReference w:id="47"/>
      </w:r>
      <w:r w:rsidRPr="0060474A">
        <w:t xml:space="preserve"> such as having little to no criminal history for most of their lifetime, prior to the current offending. The proportion of people aged 65 and over receiving a diversion plan also increased during the reference period (from 8.6% to 13.1%) – indeed, the proportion receiving a diversion plan increased for all age groups.</w:t>
      </w:r>
      <w:r w:rsidRPr="0060474A">
        <w:rPr>
          <w:rStyle w:val="Superscript"/>
        </w:rPr>
        <w:footnoteReference w:id="48"/>
      </w:r>
    </w:p>
    <w:p w14:paraId="6868534A" w14:textId="77777777" w:rsidR="00417C86" w:rsidRPr="0060474A" w:rsidRDefault="00417C86" w:rsidP="00187BBF">
      <w:pPr>
        <w:pStyle w:val="Caption"/>
      </w:pPr>
      <w:r w:rsidRPr="0060474A">
        <w:t>Figure 21: Prevalence of diversion plans by age group, 2011–12 to 2020–21</w:t>
      </w:r>
    </w:p>
    <w:tbl>
      <w:tblPr>
        <w:tblStyle w:val="Table"/>
        <w:tblW w:w="5000" w:type="pct"/>
        <w:tblLook w:val="04A0" w:firstRow="1" w:lastRow="0" w:firstColumn="1" w:lastColumn="0" w:noHBand="0" w:noVBand="1"/>
      </w:tblPr>
      <w:tblGrid>
        <w:gridCol w:w="4508"/>
        <w:gridCol w:w="4508"/>
      </w:tblGrid>
      <w:tr w:rsidR="006A7E56" w:rsidRPr="0060474A" w14:paraId="7DB33607" w14:textId="77777777" w:rsidTr="00496BEE">
        <w:trPr>
          <w:trHeight w:val="290"/>
          <w:tblHeader/>
        </w:trPr>
        <w:tc>
          <w:tcPr>
            <w:tcW w:w="2500" w:type="pct"/>
            <w:noWrap/>
            <w:hideMark/>
          </w:tcPr>
          <w:p w14:paraId="2121A89A" w14:textId="173EBA67" w:rsidR="006A7E56" w:rsidRPr="0060474A" w:rsidRDefault="006A7E56" w:rsidP="000027A4">
            <w:pPr>
              <w:pStyle w:val="TableHeading"/>
            </w:pPr>
            <w:r w:rsidRPr="0060474A">
              <w:t>Age</w:t>
            </w:r>
          </w:p>
        </w:tc>
        <w:tc>
          <w:tcPr>
            <w:tcW w:w="2500" w:type="pct"/>
            <w:noWrap/>
            <w:hideMark/>
          </w:tcPr>
          <w:p w14:paraId="234DE0BB" w14:textId="7F9E5D37" w:rsidR="006A7E56" w:rsidRPr="0060474A" w:rsidRDefault="00906C49" w:rsidP="000027A4">
            <w:pPr>
              <w:pStyle w:val="TableHeading"/>
            </w:pPr>
            <w:r w:rsidRPr="0060474A">
              <w:t>Percentage</w:t>
            </w:r>
          </w:p>
        </w:tc>
      </w:tr>
      <w:tr w:rsidR="006A7E56" w:rsidRPr="0060474A" w14:paraId="7FF1701B" w14:textId="77777777" w:rsidTr="00496BEE">
        <w:trPr>
          <w:trHeight w:val="290"/>
        </w:trPr>
        <w:tc>
          <w:tcPr>
            <w:tcW w:w="2500" w:type="pct"/>
            <w:noWrap/>
            <w:hideMark/>
          </w:tcPr>
          <w:p w14:paraId="5F2CB16A" w14:textId="77777777" w:rsidR="006A7E56" w:rsidRPr="0060474A" w:rsidRDefault="006A7E56" w:rsidP="0061788E">
            <w:pPr>
              <w:pStyle w:val="TableBody"/>
            </w:pPr>
            <w:r w:rsidRPr="0060474A">
              <w:t>18 to 19</w:t>
            </w:r>
          </w:p>
        </w:tc>
        <w:tc>
          <w:tcPr>
            <w:tcW w:w="2500" w:type="pct"/>
            <w:noWrap/>
            <w:hideMark/>
          </w:tcPr>
          <w:p w14:paraId="509F078C" w14:textId="77777777" w:rsidR="006A7E56" w:rsidRPr="0060474A" w:rsidRDefault="006A7E56" w:rsidP="00BC2E77">
            <w:pPr>
              <w:pStyle w:val="TableBody"/>
            </w:pPr>
            <w:r w:rsidRPr="0060474A">
              <w:t>16.8%</w:t>
            </w:r>
          </w:p>
        </w:tc>
      </w:tr>
      <w:tr w:rsidR="006A7E56" w:rsidRPr="0060474A" w14:paraId="7F7C6E72" w14:textId="77777777" w:rsidTr="00496BEE">
        <w:trPr>
          <w:trHeight w:val="290"/>
        </w:trPr>
        <w:tc>
          <w:tcPr>
            <w:tcW w:w="2500" w:type="pct"/>
            <w:noWrap/>
            <w:hideMark/>
          </w:tcPr>
          <w:p w14:paraId="6C66AB60" w14:textId="77777777" w:rsidR="006A7E56" w:rsidRPr="0060474A" w:rsidRDefault="006A7E56" w:rsidP="0061788E">
            <w:pPr>
              <w:pStyle w:val="TableBody"/>
            </w:pPr>
            <w:r w:rsidRPr="0060474A">
              <w:t>20 to 24</w:t>
            </w:r>
          </w:p>
        </w:tc>
        <w:tc>
          <w:tcPr>
            <w:tcW w:w="2500" w:type="pct"/>
            <w:noWrap/>
            <w:hideMark/>
          </w:tcPr>
          <w:p w14:paraId="39C96D8C" w14:textId="77777777" w:rsidR="006A7E56" w:rsidRPr="0060474A" w:rsidRDefault="006A7E56" w:rsidP="00BC2E77">
            <w:pPr>
              <w:pStyle w:val="TableBody"/>
            </w:pPr>
            <w:r w:rsidRPr="0060474A">
              <w:t>9.2%</w:t>
            </w:r>
          </w:p>
        </w:tc>
      </w:tr>
      <w:tr w:rsidR="006A7E56" w:rsidRPr="0060474A" w14:paraId="78D35A1F" w14:textId="77777777" w:rsidTr="00496BEE">
        <w:trPr>
          <w:trHeight w:val="290"/>
        </w:trPr>
        <w:tc>
          <w:tcPr>
            <w:tcW w:w="2500" w:type="pct"/>
            <w:noWrap/>
            <w:hideMark/>
          </w:tcPr>
          <w:p w14:paraId="63A5FC67" w14:textId="77777777" w:rsidR="006A7E56" w:rsidRPr="0060474A" w:rsidRDefault="006A7E56" w:rsidP="0061788E">
            <w:pPr>
              <w:pStyle w:val="TableBody"/>
            </w:pPr>
            <w:r w:rsidRPr="0060474A">
              <w:t>25 to 34</w:t>
            </w:r>
          </w:p>
        </w:tc>
        <w:tc>
          <w:tcPr>
            <w:tcW w:w="2500" w:type="pct"/>
            <w:noWrap/>
            <w:hideMark/>
          </w:tcPr>
          <w:p w14:paraId="71D0F852" w14:textId="77777777" w:rsidR="006A7E56" w:rsidRPr="0060474A" w:rsidRDefault="006A7E56" w:rsidP="00BC2E77">
            <w:pPr>
              <w:pStyle w:val="TableBody"/>
            </w:pPr>
            <w:r w:rsidRPr="0060474A">
              <w:t>5.2%</w:t>
            </w:r>
          </w:p>
        </w:tc>
      </w:tr>
      <w:tr w:rsidR="006A7E56" w:rsidRPr="0060474A" w14:paraId="057963ED" w14:textId="77777777" w:rsidTr="00496BEE">
        <w:trPr>
          <w:trHeight w:val="290"/>
        </w:trPr>
        <w:tc>
          <w:tcPr>
            <w:tcW w:w="2500" w:type="pct"/>
            <w:noWrap/>
            <w:hideMark/>
          </w:tcPr>
          <w:p w14:paraId="5F354CAC" w14:textId="77777777" w:rsidR="006A7E56" w:rsidRPr="0060474A" w:rsidRDefault="006A7E56" w:rsidP="0061788E">
            <w:pPr>
              <w:pStyle w:val="TableBody"/>
            </w:pPr>
            <w:r w:rsidRPr="0060474A">
              <w:t>35 to 44</w:t>
            </w:r>
          </w:p>
        </w:tc>
        <w:tc>
          <w:tcPr>
            <w:tcW w:w="2500" w:type="pct"/>
            <w:noWrap/>
            <w:hideMark/>
          </w:tcPr>
          <w:p w14:paraId="1ACB549A" w14:textId="77777777" w:rsidR="006A7E56" w:rsidRPr="0060474A" w:rsidRDefault="006A7E56" w:rsidP="00BC2E77">
            <w:pPr>
              <w:pStyle w:val="TableBody"/>
            </w:pPr>
            <w:r w:rsidRPr="0060474A">
              <w:t>4.7%</w:t>
            </w:r>
          </w:p>
        </w:tc>
      </w:tr>
      <w:tr w:rsidR="006A7E56" w:rsidRPr="0060474A" w14:paraId="24F68704" w14:textId="77777777" w:rsidTr="00496BEE">
        <w:trPr>
          <w:trHeight w:val="290"/>
        </w:trPr>
        <w:tc>
          <w:tcPr>
            <w:tcW w:w="2500" w:type="pct"/>
            <w:noWrap/>
            <w:hideMark/>
          </w:tcPr>
          <w:p w14:paraId="1CFB359E" w14:textId="77777777" w:rsidR="006A7E56" w:rsidRPr="0060474A" w:rsidRDefault="006A7E56" w:rsidP="0061788E">
            <w:pPr>
              <w:pStyle w:val="TableBody"/>
            </w:pPr>
            <w:r w:rsidRPr="0060474A">
              <w:t>45 to 54</w:t>
            </w:r>
          </w:p>
        </w:tc>
        <w:tc>
          <w:tcPr>
            <w:tcW w:w="2500" w:type="pct"/>
            <w:noWrap/>
            <w:hideMark/>
          </w:tcPr>
          <w:p w14:paraId="6C44C2EA" w14:textId="77777777" w:rsidR="006A7E56" w:rsidRPr="0060474A" w:rsidRDefault="006A7E56" w:rsidP="00BC2E77">
            <w:pPr>
              <w:pStyle w:val="TableBody"/>
            </w:pPr>
            <w:r w:rsidRPr="0060474A">
              <w:t>5.8%</w:t>
            </w:r>
          </w:p>
        </w:tc>
      </w:tr>
      <w:tr w:rsidR="006A7E56" w:rsidRPr="0060474A" w14:paraId="26D70231" w14:textId="77777777" w:rsidTr="00496BEE">
        <w:trPr>
          <w:trHeight w:val="290"/>
        </w:trPr>
        <w:tc>
          <w:tcPr>
            <w:tcW w:w="2500" w:type="pct"/>
            <w:noWrap/>
            <w:hideMark/>
          </w:tcPr>
          <w:p w14:paraId="20A66F9C" w14:textId="77777777" w:rsidR="006A7E56" w:rsidRPr="0060474A" w:rsidRDefault="006A7E56" w:rsidP="0061788E">
            <w:pPr>
              <w:pStyle w:val="TableBody"/>
            </w:pPr>
            <w:r w:rsidRPr="0060474A">
              <w:lastRenderedPageBreak/>
              <w:t>55 to 64</w:t>
            </w:r>
          </w:p>
        </w:tc>
        <w:tc>
          <w:tcPr>
            <w:tcW w:w="2500" w:type="pct"/>
            <w:noWrap/>
            <w:hideMark/>
          </w:tcPr>
          <w:p w14:paraId="2C146E44" w14:textId="77777777" w:rsidR="006A7E56" w:rsidRPr="0060474A" w:rsidRDefault="006A7E56" w:rsidP="00BC2E77">
            <w:pPr>
              <w:pStyle w:val="TableBody"/>
            </w:pPr>
            <w:r w:rsidRPr="0060474A">
              <w:t>7.8%</w:t>
            </w:r>
          </w:p>
        </w:tc>
      </w:tr>
      <w:tr w:rsidR="006A7E56" w:rsidRPr="0060474A" w14:paraId="4FECBAC6" w14:textId="77777777" w:rsidTr="00496BEE">
        <w:trPr>
          <w:trHeight w:val="290"/>
        </w:trPr>
        <w:tc>
          <w:tcPr>
            <w:tcW w:w="2500" w:type="pct"/>
            <w:noWrap/>
            <w:hideMark/>
          </w:tcPr>
          <w:p w14:paraId="217BE353" w14:textId="495E51FB" w:rsidR="006A7E56" w:rsidRPr="0060474A" w:rsidRDefault="006A7E56" w:rsidP="0061788E">
            <w:pPr>
              <w:pStyle w:val="TableBody"/>
            </w:pPr>
            <w:r w:rsidRPr="0060474A">
              <w:t xml:space="preserve">65 </w:t>
            </w:r>
            <w:r w:rsidR="001A149D" w:rsidRPr="0060474A">
              <w:t>and</w:t>
            </w:r>
            <w:r w:rsidRPr="0060474A">
              <w:t xml:space="preserve"> over</w:t>
            </w:r>
          </w:p>
        </w:tc>
        <w:tc>
          <w:tcPr>
            <w:tcW w:w="2500" w:type="pct"/>
            <w:noWrap/>
            <w:hideMark/>
          </w:tcPr>
          <w:p w14:paraId="28CCB29B" w14:textId="77777777" w:rsidR="006A7E56" w:rsidRPr="0060474A" w:rsidRDefault="006A7E56" w:rsidP="00BC2E77">
            <w:pPr>
              <w:pStyle w:val="TableBody"/>
            </w:pPr>
            <w:r w:rsidRPr="0060474A">
              <w:t>10.8%</w:t>
            </w:r>
          </w:p>
        </w:tc>
      </w:tr>
    </w:tbl>
    <w:p w14:paraId="6D23A072" w14:textId="77777777" w:rsidR="00417C86" w:rsidRPr="0060474A" w:rsidRDefault="00417C86" w:rsidP="00187BBF">
      <w:pPr>
        <w:pStyle w:val="Caption"/>
      </w:pPr>
      <w:r w:rsidRPr="0060474A">
        <w:t>Figure 22: Trends in the percentage of cases that received a diversion plan, by age group</w:t>
      </w:r>
    </w:p>
    <w:tbl>
      <w:tblPr>
        <w:tblStyle w:val="Table"/>
        <w:tblW w:w="5000" w:type="pct"/>
        <w:tblLook w:val="04A0" w:firstRow="1" w:lastRow="0" w:firstColumn="1" w:lastColumn="0" w:noHBand="0" w:noVBand="1"/>
      </w:tblPr>
      <w:tblGrid>
        <w:gridCol w:w="1492"/>
        <w:gridCol w:w="1492"/>
        <w:gridCol w:w="1494"/>
        <w:gridCol w:w="1492"/>
        <w:gridCol w:w="1493"/>
        <w:gridCol w:w="1553"/>
      </w:tblGrid>
      <w:tr w:rsidR="00956FAC" w:rsidRPr="0060474A" w14:paraId="4FC08A91" w14:textId="77777777" w:rsidTr="00EC4136">
        <w:trPr>
          <w:trHeight w:val="290"/>
          <w:tblHeader/>
        </w:trPr>
        <w:tc>
          <w:tcPr>
            <w:tcW w:w="833" w:type="pct"/>
            <w:noWrap/>
            <w:hideMark/>
          </w:tcPr>
          <w:p w14:paraId="29405367" w14:textId="6B117529" w:rsidR="00956FAC" w:rsidRPr="0060474A" w:rsidRDefault="00692F2A" w:rsidP="00692F2A">
            <w:pPr>
              <w:pStyle w:val="TableHeading"/>
            </w:pPr>
            <w:r w:rsidRPr="0060474A">
              <w:t>Year</w:t>
            </w:r>
          </w:p>
        </w:tc>
        <w:tc>
          <w:tcPr>
            <w:tcW w:w="833" w:type="pct"/>
            <w:noWrap/>
            <w:hideMark/>
          </w:tcPr>
          <w:p w14:paraId="23CC5AFB" w14:textId="77777777" w:rsidR="00956FAC" w:rsidRPr="0060474A" w:rsidRDefault="00956FAC" w:rsidP="000027A4">
            <w:pPr>
              <w:pStyle w:val="TableHeading"/>
            </w:pPr>
            <w:r w:rsidRPr="0060474A">
              <w:t>18 to 19</w:t>
            </w:r>
          </w:p>
        </w:tc>
        <w:tc>
          <w:tcPr>
            <w:tcW w:w="834" w:type="pct"/>
            <w:noWrap/>
            <w:hideMark/>
          </w:tcPr>
          <w:p w14:paraId="71CB0A60" w14:textId="77777777" w:rsidR="00956FAC" w:rsidRPr="0060474A" w:rsidRDefault="00956FAC" w:rsidP="000027A4">
            <w:pPr>
              <w:pStyle w:val="TableHeading"/>
            </w:pPr>
            <w:r w:rsidRPr="0060474A">
              <w:t>20 to 24</w:t>
            </w:r>
          </w:p>
        </w:tc>
        <w:tc>
          <w:tcPr>
            <w:tcW w:w="833" w:type="pct"/>
            <w:noWrap/>
            <w:hideMark/>
          </w:tcPr>
          <w:p w14:paraId="1559F1C0" w14:textId="77777777" w:rsidR="00956FAC" w:rsidRPr="0060474A" w:rsidRDefault="00956FAC" w:rsidP="000027A4">
            <w:pPr>
              <w:pStyle w:val="TableHeading"/>
            </w:pPr>
            <w:r w:rsidRPr="0060474A">
              <w:t>25 to 44</w:t>
            </w:r>
          </w:p>
        </w:tc>
        <w:tc>
          <w:tcPr>
            <w:tcW w:w="833" w:type="pct"/>
            <w:noWrap/>
            <w:hideMark/>
          </w:tcPr>
          <w:p w14:paraId="369C0361" w14:textId="77777777" w:rsidR="00956FAC" w:rsidRPr="0060474A" w:rsidRDefault="00956FAC" w:rsidP="000027A4">
            <w:pPr>
              <w:pStyle w:val="TableHeading"/>
            </w:pPr>
            <w:r w:rsidRPr="0060474A">
              <w:t>45 to 64</w:t>
            </w:r>
          </w:p>
        </w:tc>
        <w:tc>
          <w:tcPr>
            <w:tcW w:w="834" w:type="pct"/>
            <w:noWrap/>
            <w:hideMark/>
          </w:tcPr>
          <w:p w14:paraId="1A3A75A9" w14:textId="27775F65" w:rsidR="00956FAC" w:rsidRPr="0060474A" w:rsidRDefault="00956FAC" w:rsidP="000027A4">
            <w:pPr>
              <w:pStyle w:val="TableHeading"/>
            </w:pPr>
            <w:r w:rsidRPr="0060474A">
              <w:t xml:space="preserve">65 </w:t>
            </w:r>
            <w:r w:rsidR="001C3A27" w:rsidRPr="0060474A">
              <w:t>and</w:t>
            </w:r>
            <w:r w:rsidRPr="0060474A">
              <w:t xml:space="preserve"> over</w:t>
            </w:r>
          </w:p>
        </w:tc>
      </w:tr>
      <w:tr w:rsidR="00956FAC" w:rsidRPr="0060474A" w14:paraId="036334AD" w14:textId="77777777" w:rsidTr="00196BDE">
        <w:trPr>
          <w:trHeight w:val="290"/>
        </w:trPr>
        <w:tc>
          <w:tcPr>
            <w:tcW w:w="833" w:type="pct"/>
            <w:noWrap/>
            <w:hideMark/>
          </w:tcPr>
          <w:p w14:paraId="2890C308" w14:textId="77777777" w:rsidR="00956FAC" w:rsidRPr="0060474A" w:rsidRDefault="00956FAC" w:rsidP="002F2A96">
            <w:pPr>
              <w:pStyle w:val="TableBody"/>
            </w:pPr>
            <w:r w:rsidRPr="0060474A">
              <w:t>2011-12</w:t>
            </w:r>
          </w:p>
        </w:tc>
        <w:tc>
          <w:tcPr>
            <w:tcW w:w="833" w:type="pct"/>
            <w:noWrap/>
            <w:hideMark/>
          </w:tcPr>
          <w:p w14:paraId="5496C207" w14:textId="77777777" w:rsidR="00956FAC" w:rsidRPr="0060474A" w:rsidRDefault="00956FAC" w:rsidP="00BC2E77">
            <w:pPr>
              <w:pStyle w:val="TableBody"/>
            </w:pPr>
            <w:r w:rsidRPr="0060474A">
              <w:t>16.0%</w:t>
            </w:r>
          </w:p>
        </w:tc>
        <w:tc>
          <w:tcPr>
            <w:tcW w:w="834" w:type="pct"/>
            <w:noWrap/>
            <w:hideMark/>
          </w:tcPr>
          <w:p w14:paraId="369E6242" w14:textId="77777777" w:rsidR="00956FAC" w:rsidRPr="0060474A" w:rsidRDefault="00956FAC" w:rsidP="00BC2E77">
            <w:pPr>
              <w:pStyle w:val="TableBody"/>
            </w:pPr>
            <w:r w:rsidRPr="0060474A">
              <w:t>8.2%</w:t>
            </w:r>
          </w:p>
        </w:tc>
        <w:tc>
          <w:tcPr>
            <w:tcW w:w="833" w:type="pct"/>
            <w:noWrap/>
            <w:hideMark/>
          </w:tcPr>
          <w:p w14:paraId="752C3E0A" w14:textId="77777777" w:rsidR="00956FAC" w:rsidRPr="0060474A" w:rsidRDefault="00956FAC" w:rsidP="00BC2E77">
            <w:pPr>
              <w:pStyle w:val="TableBody"/>
            </w:pPr>
            <w:r w:rsidRPr="0060474A">
              <w:t>4.6%</w:t>
            </w:r>
          </w:p>
        </w:tc>
        <w:tc>
          <w:tcPr>
            <w:tcW w:w="833" w:type="pct"/>
            <w:noWrap/>
            <w:hideMark/>
          </w:tcPr>
          <w:p w14:paraId="3D54EB16" w14:textId="77777777" w:rsidR="00956FAC" w:rsidRPr="0060474A" w:rsidRDefault="00956FAC" w:rsidP="00BC2E77">
            <w:pPr>
              <w:pStyle w:val="TableBody"/>
            </w:pPr>
            <w:r w:rsidRPr="0060474A">
              <w:t>5.4%</w:t>
            </w:r>
          </w:p>
        </w:tc>
        <w:tc>
          <w:tcPr>
            <w:tcW w:w="834" w:type="pct"/>
            <w:noWrap/>
            <w:hideMark/>
          </w:tcPr>
          <w:p w14:paraId="7DCB82BB" w14:textId="77777777" w:rsidR="00956FAC" w:rsidRPr="0060474A" w:rsidRDefault="00956FAC" w:rsidP="00BC2E77">
            <w:pPr>
              <w:pStyle w:val="TableBody"/>
            </w:pPr>
            <w:r w:rsidRPr="0060474A">
              <w:t>8.6%</w:t>
            </w:r>
          </w:p>
        </w:tc>
      </w:tr>
      <w:tr w:rsidR="00956FAC" w:rsidRPr="0060474A" w14:paraId="082A645B" w14:textId="77777777" w:rsidTr="00196BDE">
        <w:trPr>
          <w:trHeight w:val="290"/>
        </w:trPr>
        <w:tc>
          <w:tcPr>
            <w:tcW w:w="833" w:type="pct"/>
            <w:noWrap/>
            <w:hideMark/>
          </w:tcPr>
          <w:p w14:paraId="0FE88454" w14:textId="77777777" w:rsidR="00956FAC" w:rsidRPr="0060474A" w:rsidRDefault="00956FAC" w:rsidP="002F2A96">
            <w:pPr>
              <w:pStyle w:val="TableBody"/>
            </w:pPr>
            <w:r w:rsidRPr="0060474A">
              <w:t>2012-13</w:t>
            </w:r>
          </w:p>
        </w:tc>
        <w:tc>
          <w:tcPr>
            <w:tcW w:w="833" w:type="pct"/>
            <w:noWrap/>
            <w:hideMark/>
          </w:tcPr>
          <w:p w14:paraId="662935D2" w14:textId="77777777" w:rsidR="00956FAC" w:rsidRPr="0060474A" w:rsidRDefault="00956FAC" w:rsidP="00BC2E77">
            <w:pPr>
              <w:pStyle w:val="TableBody"/>
            </w:pPr>
            <w:r w:rsidRPr="0060474A">
              <w:t>16.3%</w:t>
            </w:r>
          </w:p>
        </w:tc>
        <w:tc>
          <w:tcPr>
            <w:tcW w:w="834" w:type="pct"/>
            <w:noWrap/>
            <w:hideMark/>
          </w:tcPr>
          <w:p w14:paraId="5602B90A" w14:textId="77777777" w:rsidR="00956FAC" w:rsidRPr="0060474A" w:rsidRDefault="00956FAC" w:rsidP="00BC2E77">
            <w:pPr>
              <w:pStyle w:val="TableBody"/>
            </w:pPr>
            <w:r w:rsidRPr="0060474A">
              <w:t>8.9%</w:t>
            </w:r>
          </w:p>
        </w:tc>
        <w:tc>
          <w:tcPr>
            <w:tcW w:w="833" w:type="pct"/>
            <w:noWrap/>
            <w:hideMark/>
          </w:tcPr>
          <w:p w14:paraId="4181A939" w14:textId="77777777" w:rsidR="00956FAC" w:rsidRPr="0060474A" w:rsidRDefault="00956FAC" w:rsidP="00BC2E77">
            <w:pPr>
              <w:pStyle w:val="TableBody"/>
            </w:pPr>
            <w:r w:rsidRPr="0060474A">
              <w:t>4.9%</w:t>
            </w:r>
          </w:p>
        </w:tc>
        <w:tc>
          <w:tcPr>
            <w:tcW w:w="833" w:type="pct"/>
            <w:noWrap/>
            <w:hideMark/>
          </w:tcPr>
          <w:p w14:paraId="2645BB76" w14:textId="77777777" w:rsidR="00956FAC" w:rsidRPr="0060474A" w:rsidRDefault="00956FAC" w:rsidP="00BC2E77">
            <w:pPr>
              <w:pStyle w:val="TableBody"/>
            </w:pPr>
            <w:r w:rsidRPr="0060474A">
              <w:t>5.9%</w:t>
            </w:r>
          </w:p>
        </w:tc>
        <w:tc>
          <w:tcPr>
            <w:tcW w:w="834" w:type="pct"/>
            <w:noWrap/>
            <w:hideMark/>
          </w:tcPr>
          <w:p w14:paraId="5C3569D8" w14:textId="77777777" w:rsidR="00956FAC" w:rsidRPr="0060474A" w:rsidRDefault="00956FAC" w:rsidP="00BC2E77">
            <w:pPr>
              <w:pStyle w:val="TableBody"/>
            </w:pPr>
            <w:r w:rsidRPr="0060474A">
              <w:t>8.8%</w:t>
            </w:r>
          </w:p>
        </w:tc>
      </w:tr>
      <w:tr w:rsidR="00956FAC" w:rsidRPr="0060474A" w14:paraId="7676B4A8" w14:textId="77777777" w:rsidTr="00196BDE">
        <w:trPr>
          <w:trHeight w:val="290"/>
        </w:trPr>
        <w:tc>
          <w:tcPr>
            <w:tcW w:w="833" w:type="pct"/>
            <w:noWrap/>
            <w:hideMark/>
          </w:tcPr>
          <w:p w14:paraId="5D58A537" w14:textId="77777777" w:rsidR="00956FAC" w:rsidRPr="0060474A" w:rsidRDefault="00956FAC" w:rsidP="002F2A96">
            <w:pPr>
              <w:pStyle w:val="TableBody"/>
            </w:pPr>
            <w:r w:rsidRPr="0060474A">
              <w:t>2013-14</w:t>
            </w:r>
          </w:p>
        </w:tc>
        <w:tc>
          <w:tcPr>
            <w:tcW w:w="833" w:type="pct"/>
            <w:noWrap/>
            <w:hideMark/>
          </w:tcPr>
          <w:p w14:paraId="2CC704A0" w14:textId="77777777" w:rsidR="00956FAC" w:rsidRPr="0060474A" w:rsidRDefault="00956FAC" w:rsidP="00BC2E77">
            <w:pPr>
              <w:pStyle w:val="TableBody"/>
            </w:pPr>
            <w:r w:rsidRPr="0060474A">
              <w:t>14.6%</w:t>
            </w:r>
          </w:p>
        </w:tc>
        <w:tc>
          <w:tcPr>
            <w:tcW w:w="834" w:type="pct"/>
            <w:noWrap/>
            <w:hideMark/>
          </w:tcPr>
          <w:p w14:paraId="6A093933" w14:textId="77777777" w:rsidR="00956FAC" w:rsidRPr="0060474A" w:rsidRDefault="00956FAC" w:rsidP="00BC2E77">
            <w:pPr>
              <w:pStyle w:val="TableBody"/>
            </w:pPr>
            <w:r w:rsidRPr="0060474A">
              <w:t>8.5%</w:t>
            </w:r>
          </w:p>
        </w:tc>
        <w:tc>
          <w:tcPr>
            <w:tcW w:w="833" w:type="pct"/>
            <w:noWrap/>
            <w:hideMark/>
          </w:tcPr>
          <w:p w14:paraId="7EE459E0" w14:textId="77777777" w:rsidR="00956FAC" w:rsidRPr="0060474A" w:rsidRDefault="00956FAC" w:rsidP="00BC2E77">
            <w:pPr>
              <w:pStyle w:val="TableBody"/>
            </w:pPr>
            <w:r w:rsidRPr="0060474A">
              <w:t>4.7%</w:t>
            </w:r>
          </w:p>
        </w:tc>
        <w:tc>
          <w:tcPr>
            <w:tcW w:w="833" w:type="pct"/>
            <w:noWrap/>
            <w:hideMark/>
          </w:tcPr>
          <w:p w14:paraId="1958EC59" w14:textId="77777777" w:rsidR="00956FAC" w:rsidRPr="0060474A" w:rsidRDefault="00956FAC" w:rsidP="00BC2E77">
            <w:pPr>
              <w:pStyle w:val="TableBody"/>
            </w:pPr>
            <w:r w:rsidRPr="0060474A">
              <w:t>6.7%</w:t>
            </w:r>
          </w:p>
        </w:tc>
        <w:tc>
          <w:tcPr>
            <w:tcW w:w="834" w:type="pct"/>
            <w:noWrap/>
            <w:hideMark/>
          </w:tcPr>
          <w:p w14:paraId="036FE37C" w14:textId="77777777" w:rsidR="00956FAC" w:rsidRPr="0060474A" w:rsidRDefault="00956FAC" w:rsidP="00BC2E77">
            <w:pPr>
              <w:pStyle w:val="TableBody"/>
            </w:pPr>
            <w:r w:rsidRPr="0060474A">
              <w:t>9.8%</w:t>
            </w:r>
          </w:p>
        </w:tc>
      </w:tr>
      <w:tr w:rsidR="00956FAC" w:rsidRPr="0060474A" w14:paraId="344D8E88" w14:textId="77777777" w:rsidTr="00196BDE">
        <w:trPr>
          <w:trHeight w:val="290"/>
        </w:trPr>
        <w:tc>
          <w:tcPr>
            <w:tcW w:w="833" w:type="pct"/>
            <w:noWrap/>
            <w:hideMark/>
          </w:tcPr>
          <w:p w14:paraId="42FD7C1B" w14:textId="77777777" w:rsidR="00956FAC" w:rsidRPr="0060474A" w:rsidRDefault="00956FAC" w:rsidP="002F2A96">
            <w:pPr>
              <w:pStyle w:val="TableBody"/>
            </w:pPr>
            <w:r w:rsidRPr="0060474A">
              <w:t>2014-15</w:t>
            </w:r>
          </w:p>
        </w:tc>
        <w:tc>
          <w:tcPr>
            <w:tcW w:w="833" w:type="pct"/>
            <w:noWrap/>
            <w:hideMark/>
          </w:tcPr>
          <w:p w14:paraId="118EE104" w14:textId="77777777" w:rsidR="00956FAC" w:rsidRPr="0060474A" w:rsidRDefault="00956FAC" w:rsidP="00BC2E77">
            <w:pPr>
              <w:pStyle w:val="TableBody"/>
            </w:pPr>
            <w:r w:rsidRPr="0060474A">
              <w:t>15.5%</w:t>
            </w:r>
          </w:p>
        </w:tc>
        <w:tc>
          <w:tcPr>
            <w:tcW w:w="834" w:type="pct"/>
            <w:noWrap/>
            <w:hideMark/>
          </w:tcPr>
          <w:p w14:paraId="315B1BB0" w14:textId="77777777" w:rsidR="00956FAC" w:rsidRPr="0060474A" w:rsidRDefault="00956FAC" w:rsidP="00BC2E77">
            <w:pPr>
              <w:pStyle w:val="TableBody"/>
            </w:pPr>
            <w:r w:rsidRPr="0060474A">
              <w:t>8.9%</w:t>
            </w:r>
          </w:p>
        </w:tc>
        <w:tc>
          <w:tcPr>
            <w:tcW w:w="833" w:type="pct"/>
            <w:noWrap/>
            <w:hideMark/>
          </w:tcPr>
          <w:p w14:paraId="0F42027C" w14:textId="77777777" w:rsidR="00956FAC" w:rsidRPr="0060474A" w:rsidRDefault="00956FAC" w:rsidP="00BC2E77">
            <w:pPr>
              <w:pStyle w:val="TableBody"/>
            </w:pPr>
            <w:r w:rsidRPr="0060474A">
              <w:t>4.8%</w:t>
            </w:r>
          </w:p>
        </w:tc>
        <w:tc>
          <w:tcPr>
            <w:tcW w:w="833" w:type="pct"/>
            <w:noWrap/>
            <w:hideMark/>
          </w:tcPr>
          <w:p w14:paraId="726616D3" w14:textId="77777777" w:rsidR="00956FAC" w:rsidRPr="0060474A" w:rsidRDefault="00956FAC" w:rsidP="00BC2E77">
            <w:pPr>
              <w:pStyle w:val="TableBody"/>
            </w:pPr>
            <w:r w:rsidRPr="0060474A">
              <w:t>6.7%</w:t>
            </w:r>
          </w:p>
        </w:tc>
        <w:tc>
          <w:tcPr>
            <w:tcW w:w="834" w:type="pct"/>
            <w:noWrap/>
            <w:hideMark/>
          </w:tcPr>
          <w:p w14:paraId="51869D4E" w14:textId="77777777" w:rsidR="00956FAC" w:rsidRPr="0060474A" w:rsidRDefault="00956FAC" w:rsidP="00BC2E77">
            <w:pPr>
              <w:pStyle w:val="TableBody"/>
            </w:pPr>
            <w:r w:rsidRPr="0060474A">
              <w:t>9.8%</w:t>
            </w:r>
          </w:p>
        </w:tc>
      </w:tr>
      <w:tr w:rsidR="00956FAC" w:rsidRPr="0060474A" w14:paraId="326C41DE" w14:textId="77777777" w:rsidTr="00196BDE">
        <w:trPr>
          <w:trHeight w:val="290"/>
        </w:trPr>
        <w:tc>
          <w:tcPr>
            <w:tcW w:w="833" w:type="pct"/>
            <w:noWrap/>
            <w:hideMark/>
          </w:tcPr>
          <w:p w14:paraId="1E61BF0A" w14:textId="77777777" w:rsidR="00956FAC" w:rsidRPr="0060474A" w:rsidRDefault="00956FAC" w:rsidP="002F2A96">
            <w:pPr>
              <w:pStyle w:val="TableBody"/>
            </w:pPr>
            <w:r w:rsidRPr="0060474A">
              <w:t>2015-16</w:t>
            </w:r>
          </w:p>
        </w:tc>
        <w:tc>
          <w:tcPr>
            <w:tcW w:w="833" w:type="pct"/>
            <w:noWrap/>
            <w:hideMark/>
          </w:tcPr>
          <w:p w14:paraId="26EAAEFD" w14:textId="77777777" w:rsidR="00956FAC" w:rsidRPr="0060474A" w:rsidRDefault="00956FAC" w:rsidP="00BC2E77">
            <w:pPr>
              <w:pStyle w:val="TableBody"/>
            </w:pPr>
            <w:r w:rsidRPr="0060474A">
              <w:t>15.8%</w:t>
            </w:r>
          </w:p>
        </w:tc>
        <w:tc>
          <w:tcPr>
            <w:tcW w:w="834" w:type="pct"/>
            <w:noWrap/>
            <w:hideMark/>
          </w:tcPr>
          <w:p w14:paraId="1447D6E9" w14:textId="77777777" w:rsidR="00956FAC" w:rsidRPr="0060474A" w:rsidRDefault="00956FAC" w:rsidP="00BC2E77">
            <w:pPr>
              <w:pStyle w:val="TableBody"/>
            </w:pPr>
            <w:r w:rsidRPr="0060474A">
              <w:t>8.3%</w:t>
            </w:r>
          </w:p>
        </w:tc>
        <w:tc>
          <w:tcPr>
            <w:tcW w:w="833" w:type="pct"/>
            <w:noWrap/>
            <w:hideMark/>
          </w:tcPr>
          <w:p w14:paraId="230C688F" w14:textId="77777777" w:rsidR="00956FAC" w:rsidRPr="0060474A" w:rsidRDefault="00956FAC" w:rsidP="00BC2E77">
            <w:pPr>
              <w:pStyle w:val="TableBody"/>
            </w:pPr>
            <w:r w:rsidRPr="0060474A">
              <w:t>4.5%</w:t>
            </w:r>
          </w:p>
        </w:tc>
        <w:tc>
          <w:tcPr>
            <w:tcW w:w="833" w:type="pct"/>
            <w:noWrap/>
            <w:hideMark/>
          </w:tcPr>
          <w:p w14:paraId="2E140D78" w14:textId="77777777" w:rsidR="00956FAC" w:rsidRPr="0060474A" w:rsidRDefault="00956FAC" w:rsidP="00BC2E77">
            <w:pPr>
              <w:pStyle w:val="TableBody"/>
            </w:pPr>
            <w:r w:rsidRPr="0060474A">
              <w:t>5.8%</w:t>
            </w:r>
          </w:p>
        </w:tc>
        <w:tc>
          <w:tcPr>
            <w:tcW w:w="834" w:type="pct"/>
            <w:noWrap/>
            <w:hideMark/>
          </w:tcPr>
          <w:p w14:paraId="52556E10" w14:textId="77777777" w:rsidR="00956FAC" w:rsidRPr="0060474A" w:rsidRDefault="00956FAC" w:rsidP="00BC2E77">
            <w:pPr>
              <w:pStyle w:val="TableBody"/>
            </w:pPr>
            <w:r w:rsidRPr="0060474A">
              <w:t>10.8%</w:t>
            </w:r>
          </w:p>
        </w:tc>
      </w:tr>
      <w:tr w:rsidR="00956FAC" w:rsidRPr="0060474A" w14:paraId="424CAFF1" w14:textId="77777777" w:rsidTr="00196BDE">
        <w:trPr>
          <w:trHeight w:val="290"/>
        </w:trPr>
        <w:tc>
          <w:tcPr>
            <w:tcW w:w="833" w:type="pct"/>
            <w:noWrap/>
            <w:hideMark/>
          </w:tcPr>
          <w:p w14:paraId="7E27A442" w14:textId="77777777" w:rsidR="00956FAC" w:rsidRPr="0060474A" w:rsidRDefault="00956FAC" w:rsidP="002F2A96">
            <w:pPr>
              <w:pStyle w:val="TableBody"/>
            </w:pPr>
            <w:r w:rsidRPr="0060474A">
              <w:t>2016-17</w:t>
            </w:r>
          </w:p>
        </w:tc>
        <w:tc>
          <w:tcPr>
            <w:tcW w:w="833" w:type="pct"/>
            <w:noWrap/>
            <w:hideMark/>
          </w:tcPr>
          <w:p w14:paraId="51D5642C" w14:textId="77777777" w:rsidR="00956FAC" w:rsidRPr="0060474A" w:rsidRDefault="00956FAC" w:rsidP="00BC2E77">
            <w:pPr>
              <w:pStyle w:val="TableBody"/>
            </w:pPr>
            <w:r w:rsidRPr="0060474A">
              <w:t>15.5%</w:t>
            </w:r>
          </w:p>
        </w:tc>
        <w:tc>
          <w:tcPr>
            <w:tcW w:w="834" w:type="pct"/>
            <w:noWrap/>
            <w:hideMark/>
          </w:tcPr>
          <w:p w14:paraId="0270D0EB" w14:textId="77777777" w:rsidR="00956FAC" w:rsidRPr="0060474A" w:rsidRDefault="00956FAC" w:rsidP="00BC2E77">
            <w:pPr>
              <w:pStyle w:val="TableBody"/>
            </w:pPr>
            <w:r w:rsidRPr="0060474A">
              <w:t>8.9%</w:t>
            </w:r>
          </w:p>
        </w:tc>
        <w:tc>
          <w:tcPr>
            <w:tcW w:w="833" w:type="pct"/>
            <w:noWrap/>
            <w:hideMark/>
          </w:tcPr>
          <w:p w14:paraId="3D0B6E2F" w14:textId="77777777" w:rsidR="00956FAC" w:rsidRPr="0060474A" w:rsidRDefault="00956FAC" w:rsidP="00BC2E77">
            <w:pPr>
              <w:pStyle w:val="TableBody"/>
            </w:pPr>
            <w:r w:rsidRPr="0060474A">
              <w:t>4.8%</w:t>
            </w:r>
          </w:p>
        </w:tc>
        <w:tc>
          <w:tcPr>
            <w:tcW w:w="833" w:type="pct"/>
            <w:noWrap/>
            <w:hideMark/>
          </w:tcPr>
          <w:p w14:paraId="7A8EDE5C" w14:textId="77777777" w:rsidR="00956FAC" w:rsidRPr="0060474A" w:rsidRDefault="00956FAC" w:rsidP="00BC2E77">
            <w:pPr>
              <w:pStyle w:val="TableBody"/>
            </w:pPr>
            <w:r w:rsidRPr="0060474A">
              <w:t>6.5%</w:t>
            </w:r>
          </w:p>
        </w:tc>
        <w:tc>
          <w:tcPr>
            <w:tcW w:w="834" w:type="pct"/>
            <w:noWrap/>
            <w:hideMark/>
          </w:tcPr>
          <w:p w14:paraId="55F565BC" w14:textId="77777777" w:rsidR="00956FAC" w:rsidRPr="0060474A" w:rsidRDefault="00956FAC" w:rsidP="00BC2E77">
            <w:pPr>
              <w:pStyle w:val="TableBody"/>
            </w:pPr>
            <w:r w:rsidRPr="0060474A">
              <w:t>10.0%</w:t>
            </w:r>
          </w:p>
        </w:tc>
      </w:tr>
      <w:tr w:rsidR="00956FAC" w:rsidRPr="0060474A" w14:paraId="7D5E27A8" w14:textId="77777777" w:rsidTr="00196BDE">
        <w:trPr>
          <w:trHeight w:val="290"/>
        </w:trPr>
        <w:tc>
          <w:tcPr>
            <w:tcW w:w="833" w:type="pct"/>
            <w:noWrap/>
            <w:hideMark/>
          </w:tcPr>
          <w:p w14:paraId="130697CE" w14:textId="77777777" w:rsidR="00956FAC" w:rsidRPr="0060474A" w:rsidRDefault="00956FAC" w:rsidP="002F2A96">
            <w:pPr>
              <w:pStyle w:val="TableBody"/>
            </w:pPr>
            <w:r w:rsidRPr="0060474A">
              <w:t>2017-18</w:t>
            </w:r>
          </w:p>
        </w:tc>
        <w:tc>
          <w:tcPr>
            <w:tcW w:w="833" w:type="pct"/>
            <w:noWrap/>
            <w:hideMark/>
          </w:tcPr>
          <w:p w14:paraId="7EFA78D9" w14:textId="77777777" w:rsidR="00956FAC" w:rsidRPr="0060474A" w:rsidRDefault="00956FAC" w:rsidP="00BC2E77">
            <w:pPr>
              <w:pStyle w:val="TableBody"/>
            </w:pPr>
            <w:r w:rsidRPr="0060474A">
              <w:t>18.3%</w:t>
            </w:r>
          </w:p>
        </w:tc>
        <w:tc>
          <w:tcPr>
            <w:tcW w:w="834" w:type="pct"/>
            <w:noWrap/>
            <w:hideMark/>
          </w:tcPr>
          <w:p w14:paraId="69FB13D1" w14:textId="77777777" w:rsidR="00956FAC" w:rsidRPr="0060474A" w:rsidRDefault="00956FAC" w:rsidP="00BC2E77">
            <w:pPr>
              <w:pStyle w:val="TableBody"/>
            </w:pPr>
            <w:r w:rsidRPr="0060474A">
              <w:t>9.7%</w:t>
            </w:r>
          </w:p>
        </w:tc>
        <w:tc>
          <w:tcPr>
            <w:tcW w:w="833" w:type="pct"/>
            <w:noWrap/>
            <w:hideMark/>
          </w:tcPr>
          <w:p w14:paraId="603423D9" w14:textId="77777777" w:rsidR="00956FAC" w:rsidRPr="0060474A" w:rsidRDefault="00956FAC" w:rsidP="00BC2E77">
            <w:pPr>
              <w:pStyle w:val="TableBody"/>
            </w:pPr>
            <w:r w:rsidRPr="0060474A">
              <w:t>5.2%</w:t>
            </w:r>
          </w:p>
        </w:tc>
        <w:tc>
          <w:tcPr>
            <w:tcW w:w="833" w:type="pct"/>
            <w:noWrap/>
            <w:hideMark/>
          </w:tcPr>
          <w:p w14:paraId="4B501D63" w14:textId="77777777" w:rsidR="00956FAC" w:rsidRPr="0060474A" w:rsidRDefault="00956FAC" w:rsidP="00BC2E77">
            <w:pPr>
              <w:pStyle w:val="TableBody"/>
            </w:pPr>
            <w:r w:rsidRPr="0060474A">
              <w:t>6.4%</w:t>
            </w:r>
          </w:p>
        </w:tc>
        <w:tc>
          <w:tcPr>
            <w:tcW w:w="834" w:type="pct"/>
            <w:noWrap/>
            <w:hideMark/>
          </w:tcPr>
          <w:p w14:paraId="5B844BD6" w14:textId="77777777" w:rsidR="00956FAC" w:rsidRPr="0060474A" w:rsidRDefault="00956FAC" w:rsidP="00BC2E77">
            <w:pPr>
              <w:pStyle w:val="TableBody"/>
            </w:pPr>
            <w:r w:rsidRPr="0060474A">
              <w:t>11.6%</w:t>
            </w:r>
          </w:p>
        </w:tc>
      </w:tr>
      <w:tr w:rsidR="00956FAC" w:rsidRPr="0060474A" w14:paraId="2096FB6D" w14:textId="77777777" w:rsidTr="00196BDE">
        <w:trPr>
          <w:trHeight w:val="290"/>
        </w:trPr>
        <w:tc>
          <w:tcPr>
            <w:tcW w:w="833" w:type="pct"/>
            <w:noWrap/>
            <w:hideMark/>
          </w:tcPr>
          <w:p w14:paraId="20244CD9" w14:textId="77777777" w:rsidR="00956FAC" w:rsidRPr="0060474A" w:rsidRDefault="00956FAC" w:rsidP="002F2A96">
            <w:pPr>
              <w:pStyle w:val="TableBody"/>
            </w:pPr>
            <w:r w:rsidRPr="0060474A">
              <w:t>2018-19</w:t>
            </w:r>
          </w:p>
        </w:tc>
        <w:tc>
          <w:tcPr>
            <w:tcW w:w="833" w:type="pct"/>
            <w:noWrap/>
            <w:hideMark/>
          </w:tcPr>
          <w:p w14:paraId="2BA4DB34" w14:textId="77777777" w:rsidR="00956FAC" w:rsidRPr="0060474A" w:rsidRDefault="00956FAC" w:rsidP="00BC2E77">
            <w:pPr>
              <w:pStyle w:val="TableBody"/>
            </w:pPr>
            <w:r w:rsidRPr="0060474A">
              <w:t>20.8%</w:t>
            </w:r>
          </w:p>
        </w:tc>
        <w:tc>
          <w:tcPr>
            <w:tcW w:w="834" w:type="pct"/>
            <w:noWrap/>
            <w:hideMark/>
          </w:tcPr>
          <w:p w14:paraId="6E7A2078" w14:textId="77777777" w:rsidR="00956FAC" w:rsidRPr="0060474A" w:rsidRDefault="00956FAC" w:rsidP="00BC2E77">
            <w:pPr>
              <w:pStyle w:val="TableBody"/>
            </w:pPr>
            <w:r w:rsidRPr="0060474A">
              <w:t>10.3%</w:t>
            </w:r>
          </w:p>
        </w:tc>
        <w:tc>
          <w:tcPr>
            <w:tcW w:w="833" w:type="pct"/>
            <w:noWrap/>
            <w:hideMark/>
          </w:tcPr>
          <w:p w14:paraId="5E3C9FD7" w14:textId="77777777" w:rsidR="00956FAC" w:rsidRPr="0060474A" w:rsidRDefault="00956FAC" w:rsidP="00BC2E77">
            <w:pPr>
              <w:pStyle w:val="TableBody"/>
            </w:pPr>
            <w:r w:rsidRPr="0060474A">
              <w:t>5.6%</w:t>
            </w:r>
          </w:p>
        </w:tc>
        <w:tc>
          <w:tcPr>
            <w:tcW w:w="833" w:type="pct"/>
            <w:noWrap/>
            <w:hideMark/>
          </w:tcPr>
          <w:p w14:paraId="56CCEBDF" w14:textId="77777777" w:rsidR="00956FAC" w:rsidRPr="0060474A" w:rsidRDefault="00956FAC" w:rsidP="00BC2E77">
            <w:pPr>
              <w:pStyle w:val="TableBody"/>
            </w:pPr>
            <w:r w:rsidRPr="0060474A">
              <w:t>7.0%</w:t>
            </w:r>
          </w:p>
        </w:tc>
        <w:tc>
          <w:tcPr>
            <w:tcW w:w="834" w:type="pct"/>
            <w:noWrap/>
            <w:hideMark/>
          </w:tcPr>
          <w:p w14:paraId="0E81B204" w14:textId="77777777" w:rsidR="00956FAC" w:rsidRPr="0060474A" w:rsidRDefault="00956FAC" w:rsidP="00BC2E77">
            <w:pPr>
              <w:pStyle w:val="TableBody"/>
            </w:pPr>
            <w:r w:rsidRPr="0060474A">
              <w:t>13.4%</w:t>
            </w:r>
          </w:p>
        </w:tc>
      </w:tr>
      <w:tr w:rsidR="00956FAC" w:rsidRPr="0060474A" w14:paraId="49326851" w14:textId="77777777" w:rsidTr="00196BDE">
        <w:trPr>
          <w:trHeight w:val="290"/>
        </w:trPr>
        <w:tc>
          <w:tcPr>
            <w:tcW w:w="833" w:type="pct"/>
            <w:noWrap/>
            <w:hideMark/>
          </w:tcPr>
          <w:p w14:paraId="5B38525F" w14:textId="77777777" w:rsidR="00956FAC" w:rsidRPr="0060474A" w:rsidRDefault="00956FAC" w:rsidP="002F2A96">
            <w:pPr>
              <w:pStyle w:val="TableBody"/>
            </w:pPr>
            <w:r w:rsidRPr="0060474A">
              <w:t>2019-20</w:t>
            </w:r>
          </w:p>
        </w:tc>
        <w:tc>
          <w:tcPr>
            <w:tcW w:w="833" w:type="pct"/>
            <w:noWrap/>
            <w:hideMark/>
          </w:tcPr>
          <w:p w14:paraId="1ABCF52F" w14:textId="77777777" w:rsidR="00956FAC" w:rsidRPr="0060474A" w:rsidRDefault="00956FAC" w:rsidP="00BC2E77">
            <w:pPr>
              <w:pStyle w:val="TableBody"/>
            </w:pPr>
            <w:r w:rsidRPr="0060474A">
              <w:t>20.3%</w:t>
            </w:r>
          </w:p>
        </w:tc>
        <w:tc>
          <w:tcPr>
            <w:tcW w:w="834" w:type="pct"/>
            <w:noWrap/>
            <w:hideMark/>
          </w:tcPr>
          <w:p w14:paraId="5E16CA6A" w14:textId="77777777" w:rsidR="00956FAC" w:rsidRPr="0060474A" w:rsidRDefault="00956FAC" w:rsidP="00BC2E77">
            <w:pPr>
              <w:pStyle w:val="TableBody"/>
            </w:pPr>
            <w:r w:rsidRPr="0060474A">
              <w:t>10.4%</w:t>
            </w:r>
          </w:p>
        </w:tc>
        <w:tc>
          <w:tcPr>
            <w:tcW w:w="833" w:type="pct"/>
            <w:noWrap/>
            <w:hideMark/>
          </w:tcPr>
          <w:p w14:paraId="2B602325" w14:textId="77777777" w:rsidR="00956FAC" w:rsidRPr="0060474A" w:rsidRDefault="00956FAC" w:rsidP="00BC2E77">
            <w:pPr>
              <w:pStyle w:val="TableBody"/>
            </w:pPr>
            <w:r w:rsidRPr="0060474A">
              <w:t>5.4%</w:t>
            </w:r>
          </w:p>
        </w:tc>
        <w:tc>
          <w:tcPr>
            <w:tcW w:w="833" w:type="pct"/>
            <w:noWrap/>
            <w:hideMark/>
          </w:tcPr>
          <w:p w14:paraId="223105BB" w14:textId="77777777" w:rsidR="00956FAC" w:rsidRPr="0060474A" w:rsidRDefault="00956FAC" w:rsidP="00BC2E77">
            <w:pPr>
              <w:pStyle w:val="TableBody"/>
            </w:pPr>
            <w:r w:rsidRPr="0060474A">
              <w:t>6.5%</w:t>
            </w:r>
          </w:p>
        </w:tc>
        <w:tc>
          <w:tcPr>
            <w:tcW w:w="834" w:type="pct"/>
            <w:noWrap/>
            <w:hideMark/>
          </w:tcPr>
          <w:p w14:paraId="4DB58EC1" w14:textId="77777777" w:rsidR="00956FAC" w:rsidRPr="0060474A" w:rsidRDefault="00956FAC" w:rsidP="00BC2E77">
            <w:pPr>
              <w:pStyle w:val="TableBody"/>
            </w:pPr>
            <w:r w:rsidRPr="0060474A">
              <w:t>10.8%</w:t>
            </w:r>
          </w:p>
        </w:tc>
      </w:tr>
      <w:tr w:rsidR="00956FAC" w:rsidRPr="0060474A" w14:paraId="461F32D4" w14:textId="77777777" w:rsidTr="00196BDE">
        <w:trPr>
          <w:trHeight w:val="290"/>
        </w:trPr>
        <w:tc>
          <w:tcPr>
            <w:tcW w:w="833" w:type="pct"/>
            <w:noWrap/>
            <w:hideMark/>
          </w:tcPr>
          <w:p w14:paraId="2DD8BBFA" w14:textId="77777777" w:rsidR="00956FAC" w:rsidRPr="0060474A" w:rsidRDefault="00956FAC" w:rsidP="002F2A96">
            <w:pPr>
              <w:pStyle w:val="TableBody"/>
            </w:pPr>
            <w:r w:rsidRPr="0060474A">
              <w:t>2020-21</w:t>
            </w:r>
          </w:p>
        </w:tc>
        <w:tc>
          <w:tcPr>
            <w:tcW w:w="833" w:type="pct"/>
            <w:noWrap/>
            <w:hideMark/>
          </w:tcPr>
          <w:p w14:paraId="6EB02369" w14:textId="77777777" w:rsidR="00956FAC" w:rsidRPr="0060474A" w:rsidRDefault="00956FAC" w:rsidP="00BC2E77">
            <w:pPr>
              <w:pStyle w:val="TableBody"/>
            </w:pPr>
            <w:r w:rsidRPr="0060474A">
              <w:t>19.4%</w:t>
            </w:r>
          </w:p>
        </w:tc>
        <w:tc>
          <w:tcPr>
            <w:tcW w:w="834" w:type="pct"/>
            <w:noWrap/>
            <w:hideMark/>
          </w:tcPr>
          <w:p w14:paraId="764B58D2" w14:textId="77777777" w:rsidR="00956FAC" w:rsidRPr="0060474A" w:rsidRDefault="00956FAC" w:rsidP="00BC2E77">
            <w:pPr>
              <w:pStyle w:val="TableBody"/>
            </w:pPr>
            <w:r w:rsidRPr="0060474A">
              <w:t>11.1%</w:t>
            </w:r>
          </w:p>
        </w:tc>
        <w:tc>
          <w:tcPr>
            <w:tcW w:w="833" w:type="pct"/>
            <w:noWrap/>
            <w:hideMark/>
          </w:tcPr>
          <w:p w14:paraId="439B5CDC" w14:textId="77777777" w:rsidR="00956FAC" w:rsidRPr="0060474A" w:rsidRDefault="00956FAC" w:rsidP="00BC2E77">
            <w:pPr>
              <w:pStyle w:val="TableBody"/>
            </w:pPr>
            <w:r w:rsidRPr="0060474A">
              <w:t>5.4%</w:t>
            </w:r>
          </w:p>
        </w:tc>
        <w:tc>
          <w:tcPr>
            <w:tcW w:w="833" w:type="pct"/>
            <w:noWrap/>
            <w:hideMark/>
          </w:tcPr>
          <w:p w14:paraId="3A464567" w14:textId="77777777" w:rsidR="00956FAC" w:rsidRPr="0060474A" w:rsidRDefault="00956FAC" w:rsidP="00BC2E77">
            <w:pPr>
              <w:pStyle w:val="TableBody"/>
            </w:pPr>
            <w:r w:rsidRPr="0060474A">
              <w:t>6.7%</w:t>
            </w:r>
          </w:p>
        </w:tc>
        <w:tc>
          <w:tcPr>
            <w:tcW w:w="834" w:type="pct"/>
            <w:noWrap/>
            <w:hideMark/>
          </w:tcPr>
          <w:p w14:paraId="34E16652" w14:textId="77777777" w:rsidR="00956FAC" w:rsidRPr="0060474A" w:rsidRDefault="00956FAC" w:rsidP="00BC2E77">
            <w:pPr>
              <w:pStyle w:val="TableBody"/>
            </w:pPr>
            <w:r w:rsidRPr="0060474A">
              <w:t>13.1%</w:t>
            </w:r>
          </w:p>
        </w:tc>
      </w:tr>
    </w:tbl>
    <w:p w14:paraId="474662CE" w14:textId="77777777" w:rsidR="00417C86" w:rsidRPr="0060474A" w:rsidRDefault="00417C86" w:rsidP="00F11F1D">
      <w:pPr>
        <w:pStyle w:val="Heading2"/>
      </w:pPr>
      <w:r w:rsidRPr="0060474A">
        <w:t>Prevalence of diversion plans by family violence indicator</w:t>
      </w:r>
    </w:p>
    <w:p w14:paraId="72495119" w14:textId="77777777" w:rsidR="00417C86" w:rsidRPr="0060474A" w:rsidRDefault="00417C86" w:rsidP="00D74421">
      <w:r w:rsidRPr="0060474A">
        <w:t>In the six years to 2020–21, 7.0% of cases with a family violence indicator resulted in a diversion plan, a slightly higher rate than for cases without a family violence indicator (5.8%). This did, though, vary significantly by gender. While women were more likely than men to receive diversion plans in both cases with and without a family violence indicator, the difference was most stark in cases with a family violence indicator (Figure 23). Women were over three times more likely than men to receive a diversion plan in family violence cases (17.3% compared to 5.2%). This high rate of diversion plans for women prosecuted for family violence offending is in line with our recent finding for breaches of intervention orders between 2011 and 2020: the rate of diversion plans for women prosecuted for breach of intervention order was more than three times the rate for men (8.3% compared to 2.5%).</w:t>
      </w:r>
      <w:r w:rsidRPr="0060474A">
        <w:rPr>
          <w:rStyle w:val="Superscript"/>
        </w:rPr>
        <w:footnoteReference w:id="49"/>
      </w:r>
      <w:r w:rsidRPr="0060474A">
        <w:t xml:space="preserve"> </w:t>
      </w:r>
    </w:p>
    <w:p w14:paraId="01B92B3D" w14:textId="77777777" w:rsidR="00417C86" w:rsidRPr="0060474A" w:rsidRDefault="00417C86" w:rsidP="00187BBF">
      <w:pPr>
        <w:pStyle w:val="Caption"/>
      </w:pPr>
      <w:r w:rsidRPr="0060474A">
        <w:lastRenderedPageBreak/>
        <w:t>Figure 23: Prevalence of diversion plans by gender and family violence indicator, 2015–16 to 2020–21</w:t>
      </w:r>
    </w:p>
    <w:tbl>
      <w:tblPr>
        <w:tblStyle w:val="Table"/>
        <w:tblW w:w="5000" w:type="pct"/>
        <w:tblLook w:val="04A0" w:firstRow="1" w:lastRow="0" w:firstColumn="1" w:lastColumn="0" w:noHBand="0" w:noVBand="1"/>
      </w:tblPr>
      <w:tblGrid>
        <w:gridCol w:w="1250"/>
        <w:gridCol w:w="3682"/>
        <w:gridCol w:w="4084"/>
      </w:tblGrid>
      <w:tr w:rsidR="005A619D" w:rsidRPr="0060474A" w14:paraId="2E128C26" w14:textId="77777777" w:rsidTr="00EC4136">
        <w:trPr>
          <w:trHeight w:val="290"/>
          <w:tblHeader/>
        </w:trPr>
        <w:tc>
          <w:tcPr>
            <w:tcW w:w="693" w:type="pct"/>
            <w:noWrap/>
            <w:hideMark/>
          </w:tcPr>
          <w:p w14:paraId="04C1F88F" w14:textId="0945C55E" w:rsidR="005A619D" w:rsidRPr="0060474A" w:rsidRDefault="00C1496A" w:rsidP="00C1496A">
            <w:pPr>
              <w:pStyle w:val="TableHeading"/>
            </w:pPr>
            <w:r w:rsidRPr="0060474A">
              <w:t>Gender</w:t>
            </w:r>
          </w:p>
        </w:tc>
        <w:tc>
          <w:tcPr>
            <w:tcW w:w="2042" w:type="pct"/>
            <w:noWrap/>
            <w:hideMark/>
          </w:tcPr>
          <w:p w14:paraId="20693F1F" w14:textId="77777777" w:rsidR="005A619D" w:rsidRPr="0060474A" w:rsidRDefault="005A619D" w:rsidP="00C1496A">
            <w:pPr>
              <w:pStyle w:val="TableHeading"/>
            </w:pPr>
            <w:r w:rsidRPr="0060474A">
              <w:t>Family violence indicator</w:t>
            </w:r>
          </w:p>
        </w:tc>
        <w:tc>
          <w:tcPr>
            <w:tcW w:w="2265" w:type="pct"/>
            <w:noWrap/>
            <w:hideMark/>
          </w:tcPr>
          <w:p w14:paraId="00A75272" w14:textId="77777777" w:rsidR="005A619D" w:rsidRPr="0060474A" w:rsidRDefault="005A619D" w:rsidP="00C1496A">
            <w:pPr>
              <w:pStyle w:val="TableHeading"/>
            </w:pPr>
            <w:r w:rsidRPr="0060474A">
              <w:t>No family violence indicator</w:t>
            </w:r>
          </w:p>
        </w:tc>
      </w:tr>
      <w:tr w:rsidR="005A619D" w:rsidRPr="0060474A" w14:paraId="2FC4BDD9" w14:textId="77777777" w:rsidTr="008E7C15">
        <w:trPr>
          <w:trHeight w:val="290"/>
        </w:trPr>
        <w:tc>
          <w:tcPr>
            <w:tcW w:w="693" w:type="pct"/>
            <w:noWrap/>
            <w:hideMark/>
          </w:tcPr>
          <w:p w14:paraId="18975225" w14:textId="77777777" w:rsidR="005A619D" w:rsidRPr="0060474A" w:rsidRDefault="005A619D" w:rsidP="00FE4B3B">
            <w:pPr>
              <w:pStyle w:val="TableBody"/>
            </w:pPr>
            <w:r w:rsidRPr="0060474A">
              <w:t>Male</w:t>
            </w:r>
          </w:p>
        </w:tc>
        <w:tc>
          <w:tcPr>
            <w:tcW w:w="2042" w:type="pct"/>
            <w:noWrap/>
            <w:hideMark/>
          </w:tcPr>
          <w:p w14:paraId="0037073C" w14:textId="77777777" w:rsidR="005A619D" w:rsidRPr="0060474A" w:rsidRDefault="005A619D" w:rsidP="00BC2E77">
            <w:pPr>
              <w:pStyle w:val="TableBody"/>
            </w:pPr>
            <w:r w:rsidRPr="0060474A">
              <w:t>5.2%</w:t>
            </w:r>
          </w:p>
        </w:tc>
        <w:tc>
          <w:tcPr>
            <w:tcW w:w="2265" w:type="pct"/>
            <w:noWrap/>
            <w:hideMark/>
          </w:tcPr>
          <w:p w14:paraId="5A1D43F4" w14:textId="77777777" w:rsidR="005A619D" w:rsidRPr="0060474A" w:rsidRDefault="005A619D" w:rsidP="00BC2E77">
            <w:pPr>
              <w:pStyle w:val="TableBody"/>
            </w:pPr>
            <w:r w:rsidRPr="0060474A">
              <w:t>5.2%</w:t>
            </w:r>
          </w:p>
        </w:tc>
      </w:tr>
      <w:tr w:rsidR="005A619D" w:rsidRPr="0060474A" w14:paraId="34CBF2A0" w14:textId="77777777" w:rsidTr="008E7C15">
        <w:trPr>
          <w:trHeight w:val="290"/>
        </w:trPr>
        <w:tc>
          <w:tcPr>
            <w:tcW w:w="693" w:type="pct"/>
            <w:noWrap/>
            <w:hideMark/>
          </w:tcPr>
          <w:p w14:paraId="29B401FA" w14:textId="77777777" w:rsidR="005A619D" w:rsidRPr="0060474A" w:rsidRDefault="005A619D" w:rsidP="00FE4B3B">
            <w:pPr>
              <w:pStyle w:val="TableBody"/>
            </w:pPr>
            <w:r w:rsidRPr="0060474A">
              <w:t>Female</w:t>
            </w:r>
          </w:p>
        </w:tc>
        <w:tc>
          <w:tcPr>
            <w:tcW w:w="2042" w:type="pct"/>
            <w:noWrap/>
            <w:hideMark/>
          </w:tcPr>
          <w:p w14:paraId="79BCACFB" w14:textId="77777777" w:rsidR="005A619D" w:rsidRPr="0060474A" w:rsidRDefault="005A619D" w:rsidP="00BC2E77">
            <w:pPr>
              <w:pStyle w:val="TableBody"/>
            </w:pPr>
            <w:r w:rsidRPr="0060474A">
              <w:t>17.3%</w:t>
            </w:r>
          </w:p>
        </w:tc>
        <w:tc>
          <w:tcPr>
            <w:tcW w:w="2265" w:type="pct"/>
            <w:noWrap/>
            <w:hideMark/>
          </w:tcPr>
          <w:p w14:paraId="56451F3B" w14:textId="77777777" w:rsidR="005A619D" w:rsidRPr="0060474A" w:rsidRDefault="005A619D" w:rsidP="00BC2E77">
            <w:pPr>
              <w:pStyle w:val="TableBody"/>
            </w:pPr>
            <w:r w:rsidRPr="0060474A">
              <w:t>8.0%</w:t>
            </w:r>
          </w:p>
        </w:tc>
      </w:tr>
    </w:tbl>
    <w:p w14:paraId="558A4C98" w14:textId="77777777" w:rsidR="00417C86" w:rsidRPr="0060474A" w:rsidRDefault="00417C86" w:rsidP="00D74421">
      <w:r w:rsidRPr="0060474A">
        <w:t>The trends in Figure 24 also distinguish between cases for men and women that either did or did not have a family violence indicator. The trends illustrate that female family violence offenders receive diversion plans at a much higher rate than any other offenders. Research on women’s use of violence indicates that this could be due to a number of factors, including that women’s offending is often less serious than men’s, and women tend to have less criminal history.</w:t>
      </w:r>
      <w:r w:rsidRPr="0060474A">
        <w:rPr>
          <w:rStyle w:val="Superscript"/>
        </w:rPr>
        <w:footnoteReference w:id="50"/>
      </w:r>
      <w:r w:rsidRPr="0060474A">
        <w:t xml:space="preserve"> There is, though, another likely contributor here: when men commit family violence, they are typically the primary aggressor in the relationship, either with or without occasional retaliatory violence from their partner. Conversely, when women commit family violence, it often occurs in the context of a relationship where they are the primary victim and their male partner is actually the primary aggressor.</w:t>
      </w:r>
      <w:r w:rsidRPr="0060474A">
        <w:rPr>
          <w:rStyle w:val="Superscript"/>
        </w:rPr>
        <w:footnoteReference w:id="51"/>
      </w:r>
      <w:r w:rsidRPr="0060474A">
        <w:t xml:space="preserve"> In those circumstances, it may be that </w:t>
      </w:r>
      <w:r w:rsidRPr="0060474A">
        <w:lastRenderedPageBreak/>
        <w:t>the parties in these proceedings ultimately consider a diversion plan an appropriate outcome, balancing the fact that the alleged offending did indeed occur with recognition of the context in which it occurred.</w:t>
      </w:r>
    </w:p>
    <w:p w14:paraId="35A93F15" w14:textId="77777777" w:rsidR="00417C86" w:rsidRPr="0060474A" w:rsidRDefault="00417C86" w:rsidP="00187BBF">
      <w:pPr>
        <w:pStyle w:val="Caption"/>
      </w:pPr>
      <w:r w:rsidRPr="0060474A">
        <w:t>Figure 24: Trends in the percentage of cases that received a diversion plan, by family violence indicator and gender</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98612D" w:rsidRPr="0060474A" w14:paraId="1CD270DC" w14:textId="77777777" w:rsidTr="00EC4136">
        <w:trPr>
          <w:trHeight w:val="290"/>
          <w:tblHeader/>
        </w:trPr>
        <w:tc>
          <w:tcPr>
            <w:tcW w:w="1000" w:type="pct"/>
            <w:noWrap/>
            <w:hideMark/>
          </w:tcPr>
          <w:p w14:paraId="280D75FF" w14:textId="62E99149" w:rsidR="0098612D" w:rsidRPr="0060474A" w:rsidRDefault="00393821" w:rsidP="00393821">
            <w:pPr>
              <w:pStyle w:val="TableHeading"/>
            </w:pPr>
            <w:r w:rsidRPr="0060474A">
              <w:t>Year</w:t>
            </w:r>
          </w:p>
        </w:tc>
        <w:tc>
          <w:tcPr>
            <w:tcW w:w="1000" w:type="pct"/>
            <w:noWrap/>
            <w:hideMark/>
          </w:tcPr>
          <w:p w14:paraId="27747322" w14:textId="7DA994FF" w:rsidR="0098612D" w:rsidRPr="0060474A" w:rsidRDefault="0098612D" w:rsidP="00393821">
            <w:pPr>
              <w:pStyle w:val="TableHeading"/>
            </w:pPr>
            <w:r w:rsidRPr="0060474A">
              <w:t xml:space="preserve">Female </w:t>
            </w:r>
            <w:r w:rsidR="00FB7BE4">
              <w:t xml:space="preserve">- </w:t>
            </w:r>
            <w:r w:rsidR="00895DBB" w:rsidRPr="0060474A">
              <w:t xml:space="preserve">family-violence </w:t>
            </w:r>
            <w:r w:rsidRPr="0060474A">
              <w:t>related</w:t>
            </w:r>
          </w:p>
        </w:tc>
        <w:tc>
          <w:tcPr>
            <w:tcW w:w="1000" w:type="pct"/>
            <w:noWrap/>
            <w:hideMark/>
          </w:tcPr>
          <w:p w14:paraId="39719B5F" w14:textId="236D89D4" w:rsidR="0098612D" w:rsidRPr="0060474A" w:rsidRDefault="0098612D" w:rsidP="00393821">
            <w:pPr>
              <w:pStyle w:val="TableHeading"/>
            </w:pPr>
            <w:r w:rsidRPr="0060474A">
              <w:t xml:space="preserve">Female </w:t>
            </w:r>
            <w:r w:rsidR="00FB7BE4">
              <w:t xml:space="preserve">- </w:t>
            </w:r>
            <w:r w:rsidRPr="0060474A">
              <w:t>non-</w:t>
            </w:r>
            <w:r w:rsidR="00DF74DC" w:rsidRPr="0060474A">
              <w:t xml:space="preserve">family violence </w:t>
            </w:r>
            <w:r w:rsidRPr="0060474A">
              <w:t>related</w:t>
            </w:r>
          </w:p>
        </w:tc>
        <w:tc>
          <w:tcPr>
            <w:tcW w:w="1000" w:type="pct"/>
            <w:noWrap/>
            <w:hideMark/>
          </w:tcPr>
          <w:p w14:paraId="566251F1" w14:textId="607F6D0E" w:rsidR="0098612D" w:rsidRPr="0060474A" w:rsidRDefault="0098612D" w:rsidP="00393821">
            <w:pPr>
              <w:pStyle w:val="TableHeading"/>
            </w:pPr>
            <w:r w:rsidRPr="0060474A">
              <w:t xml:space="preserve">Male </w:t>
            </w:r>
            <w:r w:rsidR="00FB7BE4">
              <w:t xml:space="preserve">- </w:t>
            </w:r>
            <w:r w:rsidR="00A84573" w:rsidRPr="0060474A">
              <w:t xml:space="preserve">family violence </w:t>
            </w:r>
            <w:r w:rsidRPr="0060474A">
              <w:t>related</w:t>
            </w:r>
          </w:p>
        </w:tc>
        <w:tc>
          <w:tcPr>
            <w:tcW w:w="1000" w:type="pct"/>
            <w:noWrap/>
            <w:hideMark/>
          </w:tcPr>
          <w:p w14:paraId="14EE80DE" w14:textId="520FD4C5" w:rsidR="0098612D" w:rsidRPr="0060474A" w:rsidRDefault="0098612D" w:rsidP="00393821">
            <w:pPr>
              <w:pStyle w:val="TableHeading"/>
            </w:pPr>
            <w:r w:rsidRPr="0060474A">
              <w:t xml:space="preserve">Male </w:t>
            </w:r>
            <w:r w:rsidR="00FB7BE4">
              <w:t xml:space="preserve">- </w:t>
            </w:r>
            <w:r w:rsidRPr="0060474A">
              <w:t>non-</w:t>
            </w:r>
            <w:r w:rsidR="007D7D24" w:rsidRPr="0060474A">
              <w:t xml:space="preserve">family violence </w:t>
            </w:r>
            <w:r w:rsidRPr="0060474A">
              <w:t>related</w:t>
            </w:r>
          </w:p>
        </w:tc>
      </w:tr>
      <w:tr w:rsidR="0098612D" w:rsidRPr="0060474A" w14:paraId="43BDF463" w14:textId="77777777" w:rsidTr="00385AD3">
        <w:trPr>
          <w:trHeight w:val="290"/>
        </w:trPr>
        <w:tc>
          <w:tcPr>
            <w:tcW w:w="1000" w:type="pct"/>
            <w:noWrap/>
            <w:hideMark/>
          </w:tcPr>
          <w:p w14:paraId="504061D7" w14:textId="77777777" w:rsidR="0098612D" w:rsidRPr="0060474A" w:rsidRDefault="0098612D" w:rsidP="00393821">
            <w:pPr>
              <w:pStyle w:val="TableBody"/>
            </w:pPr>
            <w:r w:rsidRPr="0060474A">
              <w:t>2015-16</w:t>
            </w:r>
          </w:p>
        </w:tc>
        <w:tc>
          <w:tcPr>
            <w:tcW w:w="1000" w:type="pct"/>
            <w:noWrap/>
            <w:hideMark/>
          </w:tcPr>
          <w:p w14:paraId="50F65E9B" w14:textId="77777777" w:rsidR="0098612D" w:rsidRPr="0060474A" w:rsidRDefault="0098612D" w:rsidP="00BC2E77">
            <w:pPr>
              <w:pStyle w:val="TableBody"/>
            </w:pPr>
            <w:r w:rsidRPr="0060474A">
              <w:t>17.7%</w:t>
            </w:r>
          </w:p>
        </w:tc>
        <w:tc>
          <w:tcPr>
            <w:tcW w:w="1000" w:type="pct"/>
            <w:noWrap/>
            <w:hideMark/>
          </w:tcPr>
          <w:p w14:paraId="1698308F" w14:textId="77777777" w:rsidR="0098612D" w:rsidRPr="0060474A" w:rsidRDefault="0098612D" w:rsidP="00BC2E77">
            <w:pPr>
              <w:pStyle w:val="TableBody"/>
            </w:pPr>
            <w:r w:rsidRPr="0060474A">
              <w:t>7.0%</w:t>
            </w:r>
          </w:p>
        </w:tc>
        <w:tc>
          <w:tcPr>
            <w:tcW w:w="1000" w:type="pct"/>
            <w:noWrap/>
            <w:hideMark/>
          </w:tcPr>
          <w:p w14:paraId="678BA607" w14:textId="77777777" w:rsidR="0098612D" w:rsidRPr="0060474A" w:rsidRDefault="0098612D" w:rsidP="00BC2E77">
            <w:pPr>
              <w:pStyle w:val="TableBody"/>
            </w:pPr>
            <w:r w:rsidRPr="0060474A">
              <w:t>5.2%</w:t>
            </w:r>
          </w:p>
        </w:tc>
        <w:tc>
          <w:tcPr>
            <w:tcW w:w="1000" w:type="pct"/>
            <w:noWrap/>
            <w:hideMark/>
          </w:tcPr>
          <w:p w14:paraId="736D50B4" w14:textId="77777777" w:rsidR="0098612D" w:rsidRPr="0060474A" w:rsidRDefault="0098612D" w:rsidP="00BC2E77">
            <w:pPr>
              <w:pStyle w:val="TableBody"/>
            </w:pPr>
            <w:r w:rsidRPr="0060474A">
              <w:t>4.5%</w:t>
            </w:r>
          </w:p>
        </w:tc>
      </w:tr>
      <w:tr w:rsidR="0098612D" w:rsidRPr="0060474A" w14:paraId="3D352362" w14:textId="77777777" w:rsidTr="00385AD3">
        <w:trPr>
          <w:trHeight w:val="290"/>
        </w:trPr>
        <w:tc>
          <w:tcPr>
            <w:tcW w:w="1000" w:type="pct"/>
            <w:noWrap/>
            <w:hideMark/>
          </w:tcPr>
          <w:p w14:paraId="6955627D" w14:textId="77777777" w:rsidR="0098612D" w:rsidRPr="0060474A" w:rsidRDefault="0098612D" w:rsidP="00393821">
            <w:pPr>
              <w:pStyle w:val="TableBody"/>
            </w:pPr>
            <w:r w:rsidRPr="0060474A">
              <w:t>2016-17</w:t>
            </w:r>
          </w:p>
        </w:tc>
        <w:tc>
          <w:tcPr>
            <w:tcW w:w="1000" w:type="pct"/>
            <w:noWrap/>
            <w:hideMark/>
          </w:tcPr>
          <w:p w14:paraId="0BB03E2A" w14:textId="77777777" w:rsidR="0098612D" w:rsidRPr="0060474A" w:rsidRDefault="0098612D" w:rsidP="00BC2E77">
            <w:pPr>
              <w:pStyle w:val="TableBody"/>
            </w:pPr>
            <w:r w:rsidRPr="0060474A">
              <w:t>17.3%</w:t>
            </w:r>
          </w:p>
        </w:tc>
        <w:tc>
          <w:tcPr>
            <w:tcW w:w="1000" w:type="pct"/>
            <w:noWrap/>
            <w:hideMark/>
          </w:tcPr>
          <w:p w14:paraId="034D8231" w14:textId="77777777" w:rsidR="0098612D" w:rsidRPr="0060474A" w:rsidRDefault="0098612D" w:rsidP="00BC2E77">
            <w:pPr>
              <w:pStyle w:val="TableBody"/>
            </w:pPr>
            <w:r w:rsidRPr="0060474A">
              <w:t>7.3%</w:t>
            </w:r>
          </w:p>
        </w:tc>
        <w:tc>
          <w:tcPr>
            <w:tcW w:w="1000" w:type="pct"/>
            <w:noWrap/>
            <w:hideMark/>
          </w:tcPr>
          <w:p w14:paraId="4F88365D" w14:textId="77777777" w:rsidR="0098612D" w:rsidRPr="0060474A" w:rsidRDefault="0098612D" w:rsidP="00BC2E77">
            <w:pPr>
              <w:pStyle w:val="TableBody"/>
            </w:pPr>
            <w:r w:rsidRPr="0060474A">
              <w:t>6.0%</w:t>
            </w:r>
          </w:p>
        </w:tc>
        <w:tc>
          <w:tcPr>
            <w:tcW w:w="1000" w:type="pct"/>
            <w:noWrap/>
            <w:hideMark/>
          </w:tcPr>
          <w:p w14:paraId="379A8034" w14:textId="77777777" w:rsidR="0098612D" w:rsidRPr="0060474A" w:rsidRDefault="0098612D" w:rsidP="00BC2E77">
            <w:pPr>
              <w:pStyle w:val="TableBody"/>
            </w:pPr>
            <w:r w:rsidRPr="0060474A">
              <w:t>4.6%</w:t>
            </w:r>
          </w:p>
        </w:tc>
      </w:tr>
      <w:tr w:rsidR="0098612D" w:rsidRPr="0060474A" w14:paraId="2219DF83" w14:textId="77777777" w:rsidTr="00385AD3">
        <w:trPr>
          <w:trHeight w:val="290"/>
        </w:trPr>
        <w:tc>
          <w:tcPr>
            <w:tcW w:w="1000" w:type="pct"/>
            <w:noWrap/>
            <w:hideMark/>
          </w:tcPr>
          <w:p w14:paraId="3A9B2DEF" w14:textId="77777777" w:rsidR="0098612D" w:rsidRPr="0060474A" w:rsidRDefault="0098612D" w:rsidP="00393821">
            <w:pPr>
              <w:pStyle w:val="TableBody"/>
            </w:pPr>
            <w:r w:rsidRPr="0060474A">
              <w:t>2017-18</w:t>
            </w:r>
          </w:p>
        </w:tc>
        <w:tc>
          <w:tcPr>
            <w:tcW w:w="1000" w:type="pct"/>
            <w:noWrap/>
            <w:hideMark/>
          </w:tcPr>
          <w:p w14:paraId="6E3E00AA" w14:textId="77777777" w:rsidR="0098612D" w:rsidRPr="0060474A" w:rsidRDefault="0098612D" w:rsidP="00BC2E77">
            <w:pPr>
              <w:pStyle w:val="TableBody"/>
            </w:pPr>
            <w:r w:rsidRPr="0060474A">
              <w:t>17.4%</w:t>
            </w:r>
          </w:p>
        </w:tc>
        <w:tc>
          <w:tcPr>
            <w:tcW w:w="1000" w:type="pct"/>
            <w:noWrap/>
            <w:hideMark/>
          </w:tcPr>
          <w:p w14:paraId="5BAC679A" w14:textId="77777777" w:rsidR="0098612D" w:rsidRPr="0060474A" w:rsidRDefault="0098612D" w:rsidP="00BC2E77">
            <w:pPr>
              <w:pStyle w:val="TableBody"/>
            </w:pPr>
            <w:r w:rsidRPr="0060474A">
              <w:t>7.6%</w:t>
            </w:r>
          </w:p>
        </w:tc>
        <w:tc>
          <w:tcPr>
            <w:tcW w:w="1000" w:type="pct"/>
            <w:noWrap/>
            <w:hideMark/>
          </w:tcPr>
          <w:p w14:paraId="000F63E1" w14:textId="77777777" w:rsidR="0098612D" w:rsidRPr="0060474A" w:rsidRDefault="0098612D" w:rsidP="00BC2E77">
            <w:pPr>
              <w:pStyle w:val="TableBody"/>
            </w:pPr>
            <w:r w:rsidRPr="0060474A">
              <w:t>5.7%</w:t>
            </w:r>
          </w:p>
        </w:tc>
        <w:tc>
          <w:tcPr>
            <w:tcW w:w="1000" w:type="pct"/>
            <w:noWrap/>
            <w:hideMark/>
          </w:tcPr>
          <w:p w14:paraId="6977558D" w14:textId="77777777" w:rsidR="0098612D" w:rsidRPr="0060474A" w:rsidRDefault="0098612D" w:rsidP="00BC2E77">
            <w:pPr>
              <w:pStyle w:val="TableBody"/>
            </w:pPr>
            <w:r w:rsidRPr="0060474A">
              <w:t>5.2%</w:t>
            </w:r>
          </w:p>
        </w:tc>
      </w:tr>
      <w:tr w:rsidR="0098612D" w:rsidRPr="0060474A" w14:paraId="2DE49E09" w14:textId="77777777" w:rsidTr="00385AD3">
        <w:trPr>
          <w:trHeight w:val="290"/>
        </w:trPr>
        <w:tc>
          <w:tcPr>
            <w:tcW w:w="1000" w:type="pct"/>
            <w:noWrap/>
            <w:hideMark/>
          </w:tcPr>
          <w:p w14:paraId="55A06B2C" w14:textId="77777777" w:rsidR="0098612D" w:rsidRPr="0060474A" w:rsidRDefault="0098612D" w:rsidP="00393821">
            <w:pPr>
              <w:pStyle w:val="TableBody"/>
            </w:pPr>
            <w:r w:rsidRPr="0060474A">
              <w:t>2018-19</w:t>
            </w:r>
          </w:p>
        </w:tc>
        <w:tc>
          <w:tcPr>
            <w:tcW w:w="1000" w:type="pct"/>
            <w:noWrap/>
            <w:hideMark/>
          </w:tcPr>
          <w:p w14:paraId="063C54E0" w14:textId="77777777" w:rsidR="0098612D" w:rsidRPr="0060474A" w:rsidRDefault="0098612D" w:rsidP="00BC2E77">
            <w:pPr>
              <w:pStyle w:val="TableBody"/>
            </w:pPr>
            <w:r w:rsidRPr="0060474A">
              <w:t>16.4%</w:t>
            </w:r>
          </w:p>
        </w:tc>
        <w:tc>
          <w:tcPr>
            <w:tcW w:w="1000" w:type="pct"/>
            <w:noWrap/>
            <w:hideMark/>
          </w:tcPr>
          <w:p w14:paraId="5390B957" w14:textId="77777777" w:rsidR="0098612D" w:rsidRPr="0060474A" w:rsidRDefault="0098612D" w:rsidP="00BC2E77">
            <w:pPr>
              <w:pStyle w:val="TableBody"/>
            </w:pPr>
            <w:r w:rsidRPr="0060474A">
              <w:t>8.8%</w:t>
            </w:r>
          </w:p>
        </w:tc>
        <w:tc>
          <w:tcPr>
            <w:tcW w:w="1000" w:type="pct"/>
            <w:noWrap/>
            <w:hideMark/>
          </w:tcPr>
          <w:p w14:paraId="72231FA3" w14:textId="77777777" w:rsidR="0098612D" w:rsidRPr="0060474A" w:rsidRDefault="0098612D" w:rsidP="00BC2E77">
            <w:pPr>
              <w:pStyle w:val="TableBody"/>
            </w:pPr>
            <w:r w:rsidRPr="0060474A">
              <w:t>4.4%</w:t>
            </w:r>
          </w:p>
        </w:tc>
        <w:tc>
          <w:tcPr>
            <w:tcW w:w="1000" w:type="pct"/>
            <w:noWrap/>
            <w:hideMark/>
          </w:tcPr>
          <w:p w14:paraId="488192AC" w14:textId="77777777" w:rsidR="0098612D" w:rsidRPr="0060474A" w:rsidRDefault="0098612D" w:rsidP="00BC2E77">
            <w:pPr>
              <w:pStyle w:val="TableBody"/>
            </w:pPr>
            <w:r w:rsidRPr="0060474A">
              <w:t>5.8%</w:t>
            </w:r>
          </w:p>
        </w:tc>
      </w:tr>
      <w:tr w:rsidR="0098612D" w:rsidRPr="0060474A" w14:paraId="395F0105" w14:textId="77777777" w:rsidTr="00385AD3">
        <w:trPr>
          <w:trHeight w:val="290"/>
        </w:trPr>
        <w:tc>
          <w:tcPr>
            <w:tcW w:w="1000" w:type="pct"/>
            <w:noWrap/>
            <w:hideMark/>
          </w:tcPr>
          <w:p w14:paraId="368F9909" w14:textId="77777777" w:rsidR="0098612D" w:rsidRPr="0060474A" w:rsidRDefault="0098612D" w:rsidP="00393821">
            <w:pPr>
              <w:pStyle w:val="TableBody"/>
            </w:pPr>
            <w:r w:rsidRPr="0060474A">
              <w:t>2019-20</w:t>
            </w:r>
          </w:p>
        </w:tc>
        <w:tc>
          <w:tcPr>
            <w:tcW w:w="1000" w:type="pct"/>
            <w:noWrap/>
            <w:hideMark/>
          </w:tcPr>
          <w:p w14:paraId="3DEEB8F9" w14:textId="77777777" w:rsidR="0098612D" w:rsidRPr="0060474A" w:rsidRDefault="0098612D" w:rsidP="00BC2E77">
            <w:pPr>
              <w:pStyle w:val="TableBody"/>
            </w:pPr>
            <w:r w:rsidRPr="0060474A">
              <w:t>16.8%</w:t>
            </w:r>
          </w:p>
        </w:tc>
        <w:tc>
          <w:tcPr>
            <w:tcW w:w="1000" w:type="pct"/>
            <w:noWrap/>
            <w:hideMark/>
          </w:tcPr>
          <w:p w14:paraId="0A3B05F9" w14:textId="77777777" w:rsidR="0098612D" w:rsidRPr="0060474A" w:rsidRDefault="0098612D" w:rsidP="00BC2E77">
            <w:pPr>
              <w:pStyle w:val="TableBody"/>
            </w:pPr>
            <w:r w:rsidRPr="0060474A">
              <w:t>9.3%</w:t>
            </w:r>
          </w:p>
        </w:tc>
        <w:tc>
          <w:tcPr>
            <w:tcW w:w="1000" w:type="pct"/>
            <w:noWrap/>
            <w:hideMark/>
          </w:tcPr>
          <w:p w14:paraId="1560C8F2" w14:textId="77777777" w:rsidR="0098612D" w:rsidRPr="0060474A" w:rsidRDefault="0098612D" w:rsidP="00BC2E77">
            <w:pPr>
              <w:pStyle w:val="TableBody"/>
            </w:pPr>
            <w:r w:rsidRPr="0060474A">
              <w:t>5.2%</w:t>
            </w:r>
          </w:p>
        </w:tc>
        <w:tc>
          <w:tcPr>
            <w:tcW w:w="1000" w:type="pct"/>
            <w:noWrap/>
            <w:hideMark/>
          </w:tcPr>
          <w:p w14:paraId="3D09BB30" w14:textId="77777777" w:rsidR="0098612D" w:rsidRPr="0060474A" w:rsidRDefault="0098612D" w:rsidP="00BC2E77">
            <w:pPr>
              <w:pStyle w:val="TableBody"/>
            </w:pPr>
            <w:r w:rsidRPr="0060474A">
              <w:t>5.5%</w:t>
            </w:r>
          </w:p>
        </w:tc>
      </w:tr>
      <w:tr w:rsidR="0098612D" w:rsidRPr="0060474A" w14:paraId="51A496F3" w14:textId="77777777" w:rsidTr="00385AD3">
        <w:trPr>
          <w:trHeight w:val="290"/>
        </w:trPr>
        <w:tc>
          <w:tcPr>
            <w:tcW w:w="1000" w:type="pct"/>
            <w:noWrap/>
            <w:hideMark/>
          </w:tcPr>
          <w:p w14:paraId="0CB6FBD4" w14:textId="77777777" w:rsidR="0098612D" w:rsidRPr="0060474A" w:rsidRDefault="0098612D" w:rsidP="00393821">
            <w:pPr>
              <w:pStyle w:val="TableBody"/>
            </w:pPr>
            <w:r w:rsidRPr="0060474A">
              <w:t>2020-21</w:t>
            </w:r>
          </w:p>
        </w:tc>
        <w:tc>
          <w:tcPr>
            <w:tcW w:w="1000" w:type="pct"/>
            <w:noWrap/>
            <w:hideMark/>
          </w:tcPr>
          <w:p w14:paraId="62E7B3C7" w14:textId="77777777" w:rsidR="0098612D" w:rsidRPr="0060474A" w:rsidRDefault="0098612D" w:rsidP="00BC2E77">
            <w:pPr>
              <w:pStyle w:val="TableBody"/>
            </w:pPr>
            <w:r w:rsidRPr="0060474A">
              <w:t>18.2%</w:t>
            </w:r>
          </w:p>
        </w:tc>
        <w:tc>
          <w:tcPr>
            <w:tcW w:w="1000" w:type="pct"/>
            <w:noWrap/>
            <w:hideMark/>
          </w:tcPr>
          <w:p w14:paraId="6DE8C93C" w14:textId="77777777" w:rsidR="0098612D" w:rsidRPr="0060474A" w:rsidRDefault="0098612D" w:rsidP="00BC2E77">
            <w:pPr>
              <w:pStyle w:val="TableBody"/>
            </w:pPr>
            <w:r w:rsidRPr="0060474A">
              <w:t>9.1%</w:t>
            </w:r>
          </w:p>
        </w:tc>
        <w:tc>
          <w:tcPr>
            <w:tcW w:w="1000" w:type="pct"/>
            <w:noWrap/>
            <w:hideMark/>
          </w:tcPr>
          <w:p w14:paraId="167CEAE0" w14:textId="77777777" w:rsidR="0098612D" w:rsidRPr="0060474A" w:rsidRDefault="0098612D" w:rsidP="00BC2E77">
            <w:pPr>
              <w:pStyle w:val="TableBody"/>
            </w:pPr>
            <w:r w:rsidRPr="0060474A">
              <w:t>5.0%</w:t>
            </w:r>
          </w:p>
        </w:tc>
        <w:tc>
          <w:tcPr>
            <w:tcW w:w="1000" w:type="pct"/>
            <w:noWrap/>
            <w:hideMark/>
          </w:tcPr>
          <w:p w14:paraId="514B5264" w14:textId="77777777" w:rsidR="0098612D" w:rsidRPr="0060474A" w:rsidRDefault="0098612D" w:rsidP="00BC2E77">
            <w:pPr>
              <w:pStyle w:val="TableBody"/>
            </w:pPr>
            <w:r w:rsidRPr="0060474A">
              <w:t>5.8%</w:t>
            </w:r>
          </w:p>
        </w:tc>
      </w:tr>
    </w:tbl>
    <w:p w14:paraId="6467BBB2" w14:textId="77777777" w:rsidR="00417C86" w:rsidRPr="0060474A" w:rsidRDefault="00417C86" w:rsidP="00417C86">
      <w:pPr>
        <w:pStyle w:val="Heading2"/>
      </w:pPr>
      <w:r w:rsidRPr="0060474A">
        <w:t>Prevalence of diversion plans for each offence type</w:t>
      </w:r>
    </w:p>
    <w:p w14:paraId="7A989A5D" w14:textId="77777777" w:rsidR="00417C86" w:rsidRPr="0060474A" w:rsidRDefault="00417C86" w:rsidP="00D74421">
      <w:r w:rsidRPr="0060474A">
        <w:t>Property offences were the offence type most likely to result in a diversion plan (13.9% of cases where a property offence was the principal proven offence) (Figure 25). These were followed by offences against the person (10.3% of cases) and drug-related offences (9.9% of cases). In comparison, a diversion plan was quite rare for traffic offences (1.6% of cases where a traffic offence was the principal proven offence),</w:t>
      </w:r>
      <w:r w:rsidRPr="0060474A">
        <w:rPr>
          <w:rStyle w:val="Superscript"/>
        </w:rPr>
        <w:footnoteReference w:id="52"/>
      </w:r>
      <w:r w:rsidRPr="0060474A">
        <w:t xml:space="preserve"> which instead were much more likely to result in a fine (74.8%). </w:t>
      </w:r>
    </w:p>
    <w:p w14:paraId="4B66E7E8" w14:textId="77777777" w:rsidR="00417C86" w:rsidRPr="0060474A" w:rsidRDefault="00417C86" w:rsidP="00187BBF">
      <w:pPr>
        <w:pStyle w:val="Caption"/>
      </w:pPr>
      <w:r w:rsidRPr="0060474A">
        <w:t>Figure 25: Prevalence of diversion plans by offence type, 2011–12 to 2020–21</w:t>
      </w:r>
    </w:p>
    <w:tbl>
      <w:tblPr>
        <w:tblStyle w:val="Table"/>
        <w:tblW w:w="5000" w:type="pct"/>
        <w:tblLook w:val="04A0" w:firstRow="1" w:lastRow="0" w:firstColumn="1" w:lastColumn="0" w:noHBand="0" w:noVBand="1"/>
      </w:tblPr>
      <w:tblGrid>
        <w:gridCol w:w="4508"/>
        <w:gridCol w:w="4508"/>
      </w:tblGrid>
      <w:tr w:rsidR="00C51B21" w:rsidRPr="0060474A" w14:paraId="09E571B6" w14:textId="77777777" w:rsidTr="00960570">
        <w:trPr>
          <w:trHeight w:val="290"/>
          <w:tblHeader/>
        </w:trPr>
        <w:tc>
          <w:tcPr>
            <w:tcW w:w="2500" w:type="pct"/>
            <w:noWrap/>
            <w:hideMark/>
          </w:tcPr>
          <w:p w14:paraId="61CB2551" w14:textId="4564B99D" w:rsidR="00C51B21" w:rsidRPr="0060474A" w:rsidRDefault="00B43646" w:rsidP="00C33A5A">
            <w:pPr>
              <w:pStyle w:val="TableHeading"/>
            </w:pPr>
            <w:r w:rsidRPr="0060474A">
              <w:t>Offence type</w:t>
            </w:r>
          </w:p>
        </w:tc>
        <w:tc>
          <w:tcPr>
            <w:tcW w:w="2500" w:type="pct"/>
            <w:noWrap/>
            <w:hideMark/>
          </w:tcPr>
          <w:p w14:paraId="496384AB" w14:textId="77777777" w:rsidR="00C51B21" w:rsidRPr="0060474A" w:rsidRDefault="00C51B21" w:rsidP="000027A4">
            <w:pPr>
              <w:pStyle w:val="TableHeading"/>
            </w:pPr>
            <w:r w:rsidRPr="0060474A">
              <w:t>Percentage</w:t>
            </w:r>
          </w:p>
        </w:tc>
      </w:tr>
      <w:tr w:rsidR="00C51B21" w:rsidRPr="0060474A" w14:paraId="143A3B8C" w14:textId="77777777" w:rsidTr="006D3696">
        <w:trPr>
          <w:trHeight w:val="290"/>
        </w:trPr>
        <w:tc>
          <w:tcPr>
            <w:tcW w:w="2500" w:type="pct"/>
            <w:noWrap/>
            <w:hideMark/>
          </w:tcPr>
          <w:p w14:paraId="42480193" w14:textId="77777777" w:rsidR="00C51B21" w:rsidRPr="0060474A" w:rsidRDefault="00C51B21" w:rsidP="001425F7">
            <w:pPr>
              <w:pStyle w:val="TableBody"/>
            </w:pPr>
            <w:r w:rsidRPr="0060474A">
              <w:t>Offences against the person</w:t>
            </w:r>
          </w:p>
        </w:tc>
        <w:tc>
          <w:tcPr>
            <w:tcW w:w="2500" w:type="pct"/>
            <w:noWrap/>
            <w:hideMark/>
          </w:tcPr>
          <w:p w14:paraId="5F712F8E" w14:textId="77777777" w:rsidR="00C51B21" w:rsidRPr="0060474A" w:rsidRDefault="00C51B21" w:rsidP="00BC2E77">
            <w:pPr>
              <w:pStyle w:val="TableBody"/>
            </w:pPr>
            <w:r w:rsidRPr="0060474A">
              <w:t>10.3%</w:t>
            </w:r>
          </w:p>
        </w:tc>
      </w:tr>
      <w:tr w:rsidR="00C51B21" w:rsidRPr="0060474A" w14:paraId="3F6E2CFE" w14:textId="77777777" w:rsidTr="006D3696">
        <w:trPr>
          <w:trHeight w:val="290"/>
        </w:trPr>
        <w:tc>
          <w:tcPr>
            <w:tcW w:w="2500" w:type="pct"/>
            <w:noWrap/>
            <w:hideMark/>
          </w:tcPr>
          <w:p w14:paraId="190B1EFC" w14:textId="77777777" w:rsidR="00C51B21" w:rsidRPr="0060474A" w:rsidRDefault="00C51B21" w:rsidP="001425F7">
            <w:pPr>
              <w:pStyle w:val="TableBody"/>
            </w:pPr>
            <w:r w:rsidRPr="0060474A">
              <w:t>Property offences</w:t>
            </w:r>
          </w:p>
        </w:tc>
        <w:tc>
          <w:tcPr>
            <w:tcW w:w="2500" w:type="pct"/>
            <w:noWrap/>
            <w:hideMark/>
          </w:tcPr>
          <w:p w14:paraId="5AB07B11" w14:textId="77777777" w:rsidR="00C51B21" w:rsidRPr="0060474A" w:rsidRDefault="00C51B21" w:rsidP="00BC2E77">
            <w:pPr>
              <w:pStyle w:val="TableBody"/>
            </w:pPr>
            <w:r w:rsidRPr="0060474A">
              <w:t>13.9%</w:t>
            </w:r>
          </w:p>
        </w:tc>
      </w:tr>
      <w:tr w:rsidR="00C51B21" w:rsidRPr="0060474A" w14:paraId="356F0591" w14:textId="77777777" w:rsidTr="006D3696">
        <w:trPr>
          <w:trHeight w:val="290"/>
        </w:trPr>
        <w:tc>
          <w:tcPr>
            <w:tcW w:w="2500" w:type="pct"/>
            <w:noWrap/>
            <w:hideMark/>
          </w:tcPr>
          <w:p w14:paraId="00C0E2BF" w14:textId="3759032E" w:rsidR="00C51B21" w:rsidRPr="0060474A" w:rsidRDefault="00C51B21" w:rsidP="001425F7">
            <w:pPr>
              <w:pStyle w:val="TableBody"/>
            </w:pPr>
            <w:r w:rsidRPr="0060474A">
              <w:t>Traffic offences</w:t>
            </w:r>
          </w:p>
        </w:tc>
        <w:tc>
          <w:tcPr>
            <w:tcW w:w="2500" w:type="pct"/>
            <w:noWrap/>
            <w:hideMark/>
          </w:tcPr>
          <w:p w14:paraId="02C75E08" w14:textId="77777777" w:rsidR="00C51B21" w:rsidRPr="0060474A" w:rsidRDefault="00C51B21" w:rsidP="00BC2E77">
            <w:pPr>
              <w:pStyle w:val="TableBody"/>
            </w:pPr>
            <w:r w:rsidRPr="0060474A">
              <w:t>1.6%</w:t>
            </w:r>
          </w:p>
        </w:tc>
      </w:tr>
      <w:tr w:rsidR="00C51B21" w:rsidRPr="0060474A" w14:paraId="5F71FCFE" w14:textId="77777777" w:rsidTr="006D3696">
        <w:trPr>
          <w:trHeight w:val="290"/>
        </w:trPr>
        <w:tc>
          <w:tcPr>
            <w:tcW w:w="2500" w:type="pct"/>
            <w:noWrap/>
            <w:hideMark/>
          </w:tcPr>
          <w:p w14:paraId="7F35548A" w14:textId="77777777" w:rsidR="00C51B21" w:rsidRPr="0060474A" w:rsidRDefault="00C51B21" w:rsidP="001425F7">
            <w:pPr>
              <w:pStyle w:val="TableBody"/>
            </w:pPr>
            <w:r w:rsidRPr="0060474A">
              <w:t>Drug-related offences</w:t>
            </w:r>
          </w:p>
        </w:tc>
        <w:tc>
          <w:tcPr>
            <w:tcW w:w="2500" w:type="pct"/>
            <w:noWrap/>
            <w:hideMark/>
          </w:tcPr>
          <w:p w14:paraId="3BF920F4" w14:textId="77777777" w:rsidR="00C51B21" w:rsidRPr="0060474A" w:rsidRDefault="00C51B21" w:rsidP="00BC2E77">
            <w:pPr>
              <w:pStyle w:val="TableBody"/>
            </w:pPr>
            <w:r w:rsidRPr="0060474A">
              <w:t>9.9%</w:t>
            </w:r>
          </w:p>
        </w:tc>
      </w:tr>
      <w:tr w:rsidR="00C51B21" w:rsidRPr="0060474A" w14:paraId="61502381" w14:textId="77777777" w:rsidTr="006D3696">
        <w:trPr>
          <w:trHeight w:val="290"/>
        </w:trPr>
        <w:tc>
          <w:tcPr>
            <w:tcW w:w="2500" w:type="pct"/>
            <w:noWrap/>
            <w:hideMark/>
          </w:tcPr>
          <w:p w14:paraId="330379A3" w14:textId="77777777" w:rsidR="00C51B21" w:rsidRPr="0060474A" w:rsidRDefault="00C51B21" w:rsidP="001425F7">
            <w:pPr>
              <w:pStyle w:val="TableBody"/>
            </w:pPr>
            <w:r w:rsidRPr="0060474A">
              <w:t>Other</w:t>
            </w:r>
          </w:p>
        </w:tc>
        <w:tc>
          <w:tcPr>
            <w:tcW w:w="2500" w:type="pct"/>
            <w:noWrap/>
            <w:hideMark/>
          </w:tcPr>
          <w:p w14:paraId="275E2221" w14:textId="77777777" w:rsidR="00C51B21" w:rsidRPr="0060474A" w:rsidRDefault="00C51B21" w:rsidP="00BC2E77">
            <w:pPr>
              <w:pStyle w:val="TableBody"/>
            </w:pPr>
            <w:r w:rsidRPr="0060474A">
              <w:t>6.7%</w:t>
            </w:r>
          </w:p>
        </w:tc>
      </w:tr>
    </w:tbl>
    <w:p w14:paraId="12F732A0" w14:textId="77777777" w:rsidR="00417C86" w:rsidRPr="0060474A" w:rsidRDefault="00417C86" w:rsidP="00D74421">
      <w:r w:rsidRPr="0060474A">
        <w:t xml:space="preserve">The rate of diversion plans remained relatively stable for most offence types during the reference period, with mostly minor fluctuations (Figure 26). The one exception, though, was drug-related offences, for which </w:t>
      </w:r>
      <w:r w:rsidRPr="0060474A">
        <w:lastRenderedPageBreak/>
        <w:t>there was a clear and sustained increase in the use of diversion plans, almost doubling from 7.2% of all cases with a drug-related offence as the principal proven offence to 13.0%.</w:t>
      </w:r>
    </w:p>
    <w:p w14:paraId="305DE158" w14:textId="77777777" w:rsidR="00417C86" w:rsidRDefault="00417C86" w:rsidP="00187BBF">
      <w:pPr>
        <w:pStyle w:val="Caption"/>
      </w:pPr>
      <w:r w:rsidRPr="0060474A">
        <w:t>Figure 26: Trends in the percentage of cases that received a diversion plan, by offence type</w:t>
      </w:r>
    </w:p>
    <w:tbl>
      <w:tblPr>
        <w:tblStyle w:val="Table"/>
        <w:tblW w:w="5000" w:type="pct"/>
        <w:tblLayout w:type="fixed"/>
        <w:tblLook w:val="04A0" w:firstRow="1" w:lastRow="0" w:firstColumn="1" w:lastColumn="0" w:noHBand="0" w:noVBand="1"/>
      </w:tblPr>
      <w:tblGrid>
        <w:gridCol w:w="1502"/>
        <w:gridCol w:w="1504"/>
        <w:gridCol w:w="1504"/>
        <w:gridCol w:w="1502"/>
        <w:gridCol w:w="1504"/>
        <w:gridCol w:w="1500"/>
      </w:tblGrid>
      <w:tr w:rsidR="009C2421" w:rsidRPr="009C0728" w14:paraId="172FDEEF" w14:textId="77777777" w:rsidTr="009C2421">
        <w:trPr>
          <w:trHeight w:val="290"/>
          <w:tblHeader/>
        </w:trPr>
        <w:tc>
          <w:tcPr>
            <w:tcW w:w="833" w:type="pct"/>
            <w:noWrap/>
            <w:hideMark/>
          </w:tcPr>
          <w:p w14:paraId="0FA425E0" w14:textId="4A27D2C5" w:rsidR="009C0728" w:rsidRPr="009C0728" w:rsidRDefault="009C0728" w:rsidP="009C0728">
            <w:pPr>
              <w:pStyle w:val="TableHeading"/>
            </w:pPr>
            <w:r>
              <w:t>Year</w:t>
            </w:r>
          </w:p>
        </w:tc>
        <w:tc>
          <w:tcPr>
            <w:tcW w:w="834" w:type="pct"/>
            <w:noWrap/>
            <w:hideMark/>
          </w:tcPr>
          <w:p w14:paraId="274DBA93" w14:textId="3D1F8FA9" w:rsidR="009C0728" w:rsidRPr="009C0728" w:rsidRDefault="00E403AC" w:rsidP="009C0728">
            <w:pPr>
              <w:pStyle w:val="TableHeading"/>
            </w:pPr>
            <w:r>
              <w:t>Offences against the p</w:t>
            </w:r>
            <w:r w:rsidR="009C0728" w:rsidRPr="009C0728">
              <w:t>erson</w:t>
            </w:r>
          </w:p>
        </w:tc>
        <w:tc>
          <w:tcPr>
            <w:tcW w:w="834" w:type="pct"/>
            <w:noWrap/>
            <w:hideMark/>
          </w:tcPr>
          <w:p w14:paraId="6BFB55B8" w14:textId="65317E7E" w:rsidR="009C0728" w:rsidRPr="009C0728" w:rsidRDefault="009C0728" w:rsidP="009C0728">
            <w:pPr>
              <w:pStyle w:val="TableHeading"/>
            </w:pPr>
            <w:r w:rsidRPr="009C0728">
              <w:t>Property</w:t>
            </w:r>
            <w:r w:rsidR="00E403AC">
              <w:t xml:space="preserve"> offences</w:t>
            </w:r>
          </w:p>
        </w:tc>
        <w:tc>
          <w:tcPr>
            <w:tcW w:w="833" w:type="pct"/>
            <w:noWrap/>
            <w:hideMark/>
          </w:tcPr>
          <w:p w14:paraId="24145627" w14:textId="2E96B061" w:rsidR="009C0728" w:rsidRPr="009C0728" w:rsidRDefault="009C0728" w:rsidP="009C0728">
            <w:pPr>
              <w:pStyle w:val="TableHeading"/>
            </w:pPr>
            <w:r w:rsidRPr="009C0728">
              <w:t>Traffic</w:t>
            </w:r>
            <w:r w:rsidR="00E403AC">
              <w:t xml:space="preserve"> offences</w:t>
            </w:r>
          </w:p>
        </w:tc>
        <w:tc>
          <w:tcPr>
            <w:tcW w:w="834" w:type="pct"/>
            <w:noWrap/>
            <w:hideMark/>
          </w:tcPr>
          <w:p w14:paraId="3B39D5A2" w14:textId="35CC85B1" w:rsidR="009C0728" w:rsidRPr="009C0728" w:rsidRDefault="009C0728" w:rsidP="009C0728">
            <w:pPr>
              <w:pStyle w:val="TableHeading"/>
            </w:pPr>
            <w:r w:rsidRPr="009C0728">
              <w:t>Drug</w:t>
            </w:r>
            <w:r w:rsidR="00E403AC">
              <w:t>-related offences</w:t>
            </w:r>
          </w:p>
        </w:tc>
        <w:tc>
          <w:tcPr>
            <w:tcW w:w="834" w:type="pct"/>
            <w:noWrap/>
            <w:hideMark/>
          </w:tcPr>
          <w:p w14:paraId="34C57BEC" w14:textId="77777777" w:rsidR="009C0728" w:rsidRPr="009C0728" w:rsidRDefault="009C0728" w:rsidP="009C0728">
            <w:pPr>
              <w:pStyle w:val="TableHeading"/>
            </w:pPr>
            <w:r w:rsidRPr="009C0728">
              <w:t>Other</w:t>
            </w:r>
          </w:p>
        </w:tc>
      </w:tr>
      <w:tr w:rsidR="009C2421" w:rsidRPr="009C0728" w14:paraId="75468E4E" w14:textId="77777777" w:rsidTr="009C2421">
        <w:trPr>
          <w:trHeight w:val="290"/>
        </w:trPr>
        <w:tc>
          <w:tcPr>
            <w:tcW w:w="833" w:type="pct"/>
            <w:noWrap/>
            <w:hideMark/>
          </w:tcPr>
          <w:p w14:paraId="22883444" w14:textId="77777777" w:rsidR="009C0728" w:rsidRPr="009C0728" w:rsidRDefault="009C0728" w:rsidP="009C0728">
            <w:pPr>
              <w:pStyle w:val="TableBody"/>
            </w:pPr>
            <w:r w:rsidRPr="009C0728">
              <w:t>2011-12</w:t>
            </w:r>
          </w:p>
        </w:tc>
        <w:tc>
          <w:tcPr>
            <w:tcW w:w="834" w:type="pct"/>
            <w:noWrap/>
            <w:hideMark/>
          </w:tcPr>
          <w:p w14:paraId="5E49EC71" w14:textId="77777777" w:rsidR="009C0728" w:rsidRPr="009C0728" w:rsidRDefault="009C0728" w:rsidP="009C0728">
            <w:pPr>
              <w:pStyle w:val="TableBody"/>
            </w:pPr>
            <w:r w:rsidRPr="009C0728">
              <w:t>9.6%</w:t>
            </w:r>
          </w:p>
        </w:tc>
        <w:tc>
          <w:tcPr>
            <w:tcW w:w="834" w:type="pct"/>
            <w:noWrap/>
            <w:hideMark/>
          </w:tcPr>
          <w:p w14:paraId="55009FCA" w14:textId="77777777" w:rsidR="009C0728" w:rsidRPr="009C0728" w:rsidRDefault="009C0728" w:rsidP="009C0728">
            <w:pPr>
              <w:pStyle w:val="TableBody"/>
            </w:pPr>
            <w:r w:rsidRPr="009C0728">
              <w:t>14.0%</w:t>
            </w:r>
          </w:p>
        </w:tc>
        <w:tc>
          <w:tcPr>
            <w:tcW w:w="833" w:type="pct"/>
            <w:noWrap/>
            <w:hideMark/>
          </w:tcPr>
          <w:p w14:paraId="13FEE213" w14:textId="77777777" w:rsidR="009C0728" w:rsidRPr="009C0728" w:rsidRDefault="009C0728" w:rsidP="009C0728">
            <w:pPr>
              <w:pStyle w:val="TableBody"/>
            </w:pPr>
            <w:r w:rsidRPr="009C0728">
              <w:t>1.9%</w:t>
            </w:r>
          </w:p>
        </w:tc>
        <w:tc>
          <w:tcPr>
            <w:tcW w:w="834" w:type="pct"/>
            <w:noWrap/>
            <w:hideMark/>
          </w:tcPr>
          <w:p w14:paraId="3433B6A3" w14:textId="77777777" w:rsidR="009C0728" w:rsidRPr="009C0728" w:rsidRDefault="009C0728" w:rsidP="009C0728">
            <w:pPr>
              <w:pStyle w:val="TableBody"/>
            </w:pPr>
            <w:r w:rsidRPr="009C0728">
              <w:t>7.2%</w:t>
            </w:r>
          </w:p>
        </w:tc>
        <w:tc>
          <w:tcPr>
            <w:tcW w:w="834" w:type="pct"/>
            <w:noWrap/>
            <w:hideMark/>
          </w:tcPr>
          <w:p w14:paraId="3EF26CD9" w14:textId="77777777" w:rsidR="009C0728" w:rsidRPr="009C0728" w:rsidRDefault="009C0728" w:rsidP="009C0728">
            <w:pPr>
              <w:pStyle w:val="TableBody"/>
            </w:pPr>
            <w:r w:rsidRPr="009C0728">
              <w:t>5.8%</w:t>
            </w:r>
          </w:p>
        </w:tc>
      </w:tr>
      <w:tr w:rsidR="009C2421" w:rsidRPr="009C0728" w14:paraId="0BC1C030" w14:textId="77777777" w:rsidTr="009C2421">
        <w:trPr>
          <w:trHeight w:val="290"/>
        </w:trPr>
        <w:tc>
          <w:tcPr>
            <w:tcW w:w="833" w:type="pct"/>
            <w:noWrap/>
            <w:hideMark/>
          </w:tcPr>
          <w:p w14:paraId="2ECE3F7F" w14:textId="77777777" w:rsidR="009C0728" w:rsidRPr="009C0728" w:rsidRDefault="009C0728" w:rsidP="009C0728">
            <w:pPr>
              <w:pStyle w:val="TableBody"/>
            </w:pPr>
            <w:r w:rsidRPr="009C0728">
              <w:t>2012-13</w:t>
            </w:r>
          </w:p>
        </w:tc>
        <w:tc>
          <w:tcPr>
            <w:tcW w:w="834" w:type="pct"/>
            <w:noWrap/>
            <w:hideMark/>
          </w:tcPr>
          <w:p w14:paraId="3966BA09" w14:textId="77777777" w:rsidR="009C0728" w:rsidRPr="009C0728" w:rsidRDefault="009C0728" w:rsidP="009C0728">
            <w:pPr>
              <w:pStyle w:val="TableBody"/>
            </w:pPr>
            <w:r w:rsidRPr="009C0728">
              <w:t>10.9%</w:t>
            </w:r>
          </w:p>
        </w:tc>
        <w:tc>
          <w:tcPr>
            <w:tcW w:w="834" w:type="pct"/>
            <w:noWrap/>
            <w:hideMark/>
          </w:tcPr>
          <w:p w14:paraId="34FBCF60" w14:textId="77777777" w:rsidR="009C0728" w:rsidRPr="009C0728" w:rsidRDefault="009C0728" w:rsidP="009C0728">
            <w:pPr>
              <w:pStyle w:val="TableBody"/>
            </w:pPr>
            <w:r w:rsidRPr="009C0728">
              <w:t>13.8%</w:t>
            </w:r>
          </w:p>
        </w:tc>
        <w:tc>
          <w:tcPr>
            <w:tcW w:w="833" w:type="pct"/>
            <w:noWrap/>
            <w:hideMark/>
          </w:tcPr>
          <w:p w14:paraId="3B4F6320" w14:textId="77777777" w:rsidR="009C0728" w:rsidRPr="009C0728" w:rsidRDefault="009C0728" w:rsidP="009C0728">
            <w:pPr>
              <w:pStyle w:val="TableBody"/>
            </w:pPr>
            <w:r w:rsidRPr="009C0728">
              <w:t>1.6%</w:t>
            </w:r>
          </w:p>
        </w:tc>
        <w:tc>
          <w:tcPr>
            <w:tcW w:w="834" w:type="pct"/>
            <w:noWrap/>
            <w:hideMark/>
          </w:tcPr>
          <w:p w14:paraId="6F9AA6E0" w14:textId="77777777" w:rsidR="009C0728" w:rsidRPr="009C0728" w:rsidRDefault="009C0728" w:rsidP="009C0728">
            <w:pPr>
              <w:pStyle w:val="TableBody"/>
            </w:pPr>
            <w:r w:rsidRPr="009C0728">
              <w:t>9.0%</w:t>
            </w:r>
          </w:p>
        </w:tc>
        <w:tc>
          <w:tcPr>
            <w:tcW w:w="834" w:type="pct"/>
            <w:noWrap/>
            <w:hideMark/>
          </w:tcPr>
          <w:p w14:paraId="1B00E0EE" w14:textId="77777777" w:rsidR="009C0728" w:rsidRPr="009C0728" w:rsidRDefault="009C0728" w:rsidP="009C0728">
            <w:pPr>
              <w:pStyle w:val="TableBody"/>
            </w:pPr>
            <w:r w:rsidRPr="009C0728">
              <w:t>6.7%</w:t>
            </w:r>
          </w:p>
        </w:tc>
      </w:tr>
      <w:tr w:rsidR="009C2421" w:rsidRPr="009C0728" w14:paraId="54E0B631" w14:textId="77777777" w:rsidTr="009C2421">
        <w:trPr>
          <w:trHeight w:val="290"/>
        </w:trPr>
        <w:tc>
          <w:tcPr>
            <w:tcW w:w="833" w:type="pct"/>
            <w:noWrap/>
            <w:hideMark/>
          </w:tcPr>
          <w:p w14:paraId="22F6ADFB" w14:textId="77777777" w:rsidR="009C0728" w:rsidRPr="009C0728" w:rsidRDefault="009C0728" w:rsidP="009C0728">
            <w:pPr>
              <w:pStyle w:val="TableBody"/>
            </w:pPr>
            <w:r w:rsidRPr="009C0728">
              <w:t>2013-14</w:t>
            </w:r>
          </w:p>
        </w:tc>
        <w:tc>
          <w:tcPr>
            <w:tcW w:w="834" w:type="pct"/>
            <w:noWrap/>
            <w:hideMark/>
          </w:tcPr>
          <w:p w14:paraId="6C7D4707" w14:textId="77777777" w:rsidR="009C0728" w:rsidRPr="009C0728" w:rsidRDefault="009C0728" w:rsidP="009C0728">
            <w:pPr>
              <w:pStyle w:val="TableBody"/>
            </w:pPr>
            <w:r w:rsidRPr="009C0728">
              <w:t>11.0%</w:t>
            </w:r>
          </w:p>
        </w:tc>
        <w:tc>
          <w:tcPr>
            <w:tcW w:w="834" w:type="pct"/>
            <w:noWrap/>
            <w:hideMark/>
          </w:tcPr>
          <w:p w14:paraId="1D1AD760" w14:textId="77777777" w:rsidR="009C0728" w:rsidRPr="009C0728" w:rsidRDefault="009C0728" w:rsidP="009C0728">
            <w:pPr>
              <w:pStyle w:val="TableBody"/>
            </w:pPr>
            <w:r w:rsidRPr="009C0728">
              <w:t>13.8%</w:t>
            </w:r>
          </w:p>
        </w:tc>
        <w:tc>
          <w:tcPr>
            <w:tcW w:w="833" w:type="pct"/>
            <w:noWrap/>
            <w:hideMark/>
          </w:tcPr>
          <w:p w14:paraId="29C52CDB" w14:textId="77777777" w:rsidR="009C0728" w:rsidRPr="009C0728" w:rsidRDefault="009C0728" w:rsidP="009C0728">
            <w:pPr>
              <w:pStyle w:val="TableBody"/>
            </w:pPr>
            <w:r w:rsidRPr="009C0728">
              <w:t>1.4%</w:t>
            </w:r>
          </w:p>
        </w:tc>
        <w:tc>
          <w:tcPr>
            <w:tcW w:w="834" w:type="pct"/>
            <w:noWrap/>
            <w:hideMark/>
          </w:tcPr>
          <w:p w14:paraId="0C56A321" w14:textId="77777777" w:rsidR="009C0728" w:rsidRPr="009C0728" w:rsidRDefault="009C0728" w:rsidP="009C0728">
            <w:pPr>
              <w:pStyle w:val="TableBody"/>
            </w:pPr>
            <w:r w:rsidRPr="009C0728">
              <w:t>7.7%</w:t>
            </w:r>
          </w:p>
        </w:tc>
        <w:tc>
          <w:tcPr>
            <w:tcW w:w="834" w:type="pct"/>
            <w:noWrap/>
            <w:hideMark/>
          </w:tcPr>
          <w:p w14:paraId="72BCED18" w14:textId="77777777" w:rsidR="009C0728" w:rsidRPr="009C0728" w:rsidRDefault="009C0728" w:rsidP="009C0728">
            <w:pPr>
              <w:pStyle w:val="TableBody"/>
            </w:pPr>
            <w:r w:rsidRPr="009C0728">
              <w:t>7.2%</w:t>
            </w:r>
          </w:p>
        </w:tc>
      </w:tr>
      <w:tr w:rsidR="009C2421" w:rsidRPr="009C0728" w14:paraId="1FC41A89" w14:textId="77777777" w:rsidTr="009C2421">
        <w:trPr>
          <w:trHeight w:val="290"/>
        </w:trPr>
        <w:tc>
          <w:tcPr>
            <w:tcW w:w="833" w:type="pct"/>
            <w:noWrap/>
            <w:hideMark/>
          </w:tcPr>
          <w:p w14:paraId="4BBA5509" w14:textId="77777777" w:rsidR="009C0728" w:rsidRPr="009C0728" w:rsidRDefault="009C0728" w:rsidP="009C0728">
            <w:pPr>
              <w:pStyle w:val="TableBody"/>
            </w:pPr>
            <w:r w:rsidRPr="009C0728">
              <w:t>2014-15</w:t>
            </w:r>
          </w:p>
        </w:tc>
        <w:tc>
          <w:tcPr>
            <w:tcW w:w="834" w:type="pct"/>
            <w:noWrap/>
            <w:hideMark/>
          </w:tcPr>
          <w:p w14:paraId="465D0EF0" w14:textId="77777777" w:rsidR="009C0728" w:rsidRPr="009C0728" w:rsidRDefault="009C0728" w:rsidP="009C0728">
            <w:pPr>
              <w:pStyle w:val="TableBody"/>
            </w:pPr>
            <w:r w:rsidRPr="009C0728">
              <w:t>10.0%</w:t>
            </w:r>
          </w:p>
        </w:tc>
        <w:tc>
          <w:tcPr>
            <w:tcW w:w="834" w:type="pct"/>
            <w:noWrap/>
            <w:hideMark/>
          </w:tcPr>
          <w:p w14:paraId="7B12F0C4" w14:textId="77777777" w:rsidR="009C0728" w:rsidRPr="009C0728" w:rsidRDefault="009C0728" w:rsidP="009C0728">
            <w:pPr>
              <w:pStyle w:val="TableBody"/>
            </w:pPr>
            <w:r w:rsidRPr="009C0728">
              <w:t>14.6%</w:t>
            </w:r>
          </w:p>
        </w:tc>
        <w:tc>
          <w:tcPr>
            <w:tcW w:w="833" w:type="pct"/>
            <w:noWrap/>
            <w:hideMark/>
          </w:tcPr>
          <w:p w14:paraId="20AB7868" w14:textId="77777777" w:rsidR="009C0728" w:rsidRPr="009C0728" w:rsidRDefault="009C0728" w:rsidP="009C0728">
            <w:pPr>
              <w:pStyle w:val="TableBody"/>
            </w:pPr>
            <w:r w:rsidRPr="009C0728">
              <w:t>1.3%</w:t>
            </w:r>
          </w:p>
        </w:tc>
        <w:tc>
          <w:tcPr>
            <w:tcW w:w="834" w:type="pct"/>
            <w:noWrap/>
            <w:hideMark/>
          </w:tcPr>
          <w:p w14:paraId="6D36E227" w14:textId="77777777" w:rsidR="009C0728" w:rsidRPr="009C0728" w:rsidRDefault="009C0728" w:rsidP="009C0728">
            <w:pPr>
              <w:pStyle w:val="TableBody"/>
            </w:pPr>
            <w:r w:rsidRPr="009C0728">
              <w:t>10.4%</w:t>
            </w:r>
          </w:p>
        </w:tc>
        <w:tc>
          <w:tcPr>
            <w:tcW w:w="834" w:type="pct"/>
            <w:noWrap/>
            <w:hideMark/>
          </w:tcPr>
          <w:p w14:paraId="6D8EF118" w14:textId="77777777" w:rsidR="009C0728" w:rsidRPr="009C0728" w:rsidRDefault="009C0728" w:rsidP="009C0728">
            <w:pPr>
              <w:pStyle w:val="TableBody"/>
            </w:pPr>
            <w:r w:rsidRPr="009C0728">
              <w:t>6.9%</w:t>
            </w:r>
          </w:p>
        </w:tc>
      </w:tr>
      <w:tr w:rsidR="009C2421" w:rsidRPr="009C0728" w14:paraId="2881319C" w14:textId="77777777" w:rsidTr="009C2421">
        <w:trPr>
          <w:trHeight w:val="290"/>
        </w:trPr>
        <w:tc>
          <w:tcPr>
            <w:tcW w:w="833" w:type="pct"/>
            <w:noWrap/>
            <w:hideMark/>
          </w:tcPr>
          <w:p w14:paraId="413AB424" w14:textId="77777777" w:rsidR="009C0728" w:rsidRPr="009C0728" w:rsidRDefault="009C0728" w:rsidP="009C0728">
            <w:pPr>
              <w:pStyle w:val="TableBody"/>
            </w:pPr>
            <w:r w:rsidRPr="009C0728">
              <w:t>2015-16</w:t>
            </w:r>
          </w:p>
        </w:tc>
        <w:tc>
          <w:tcPr>
            <w:tcW w:w="834" w:type="pct"/>
            <w:noWrap/>
            <w:hideMark/>
          </w:tcPr>
          <w:p w14:paraId="041D8FAA" w14:textId="77777777" w:rsidR="009C0728" w:rsidRPr="009C0728" w:rsidRDefault="009C0728" w:rsidP="009C0728">
            <w:pPr>
              <w:pStyle w:val="TableBody"/>
            </w:pPr>
            <w:r w:rsidRPr="009C0728">
              <w:t>9.6%</w:t>
            </w:r>
          </w:p>
        </w:tc>
        <w:tc>
          <w:tcPr>
            <w:tcW w:w="834" w:type="pct"/>
            <w:noWrap/>
            <w:hideMark/>
          </w:tcPr>
          <w:p w14:paraId="7D1D2447" w14:textId="77777777" w:rsidR="009C0728" w:rsidRPr="009C0728" w:rsidRDefault="009C0728" w:rsidP="009C0728">
            <w:pPr>
              <w:pStyle w:val="TableBody"/>
            </w:pPr>
            <w:r w:rsidRPr="009C0728">
              <w:t>13.9%</w:t>
            </w:r>
          </w:p>
        </w:tc>
        <w:tc>
          <w:tcPr>
            <w:tcW w:w="833" w:type="pct"/>
            <w:noWrap/>
            <w:hideMark/>
          </w:tcPr>
          <w:p w14:paraId="6205A87C" w14:textId="77777777" w:rsidR="009C0728" w:rsidRPr="009C0728" w:rsidRDefault="009C0728" w:rsidP="009C0728">
            <w:pPr>
              <w:pStyle w:val="TableBody"/>
            </w:pPr>
            <w:r w:rsidRPr="009C0728">
              <w:t>1.2%</w:t>
            </w:r>
          </w:p>
        </w:tc>
        <w:tc>
          <w:tcPr>
            <w:tcW w:w="834" w:type="pct"/>
            <w:noWrap/>
            <w:hideMark/>
          </w:tcPr>
          <w:p w14:paraId="0E1D7E15" w14:textId="77777777" w:rsidR="009C0728" w:rsidRPr="009C0728" w:rsidRDefault="009C0728" w:rsidP="009C0728">
            <w:pPr>
              <w:pStyle w:val="TableBody"/>
            </w:pPr>
            <w:r w:rsidRPr="009C0728">
              <w:t>8.8%</w:t>
            </w:r>
          </w:p>
        </w:tc>
        <w:tc>
          <w:tcPr>
            <w:tcW w:w="834" w:type="pct"/>
            <w:noWrap/>
            <w:hideMark/>
          </w:tcPr>
          <w:p w14:paraId="1C7AA7B9" w14:textId="77777777" w:rsidR="009C0728" w:rsidRPr="009C0728" w:rsidRDefault="009C0728" w:rsidP="009C0728">
            <w:pPr>
              <w:pStyle w:val="TableBody"/>
            </w:pPr>
            <w:r w:rsidRPr="009C0728">
              <w:t>6.3%</w:t>
            </w:r>
          </w:p>
        </w:tc>
      </w:tr>
      <w:tr w:rsidR="009C2421" w:rsidRPr="009C0728" w14:paraId="5B26AE86" w14:textId="77777777" w:rsidTr="009C2421">
        <w:trPr>
          <w:trHeight w:val="290"/>
        </w:trPr>
        <w:tc>
          <w:tcPr>
            <w:tcW w:w="833" w:type="pct"/>
            <w:noWrap/>
            <w:hideMark/>
          </w:tcPr>
          <w:p w14:paraId="7F58F97F" w14:textId="77777777" w:rsidR="009C0728" w:rsidRPr="009C0728" w:rsidRDefault="009C0728" w:rsidP="009C0728">
            <w:pPr>
              <w:pStyle w:val="TableBody"/>
            </w:pPr>
            <w:r w:rsidRPr="009C0728">
              <w:t>2016-17</w:t>
            </w:r>
          </w:p>
        </w:tc>
        <w:tc>
          <w:tcPr>
            <w:tcW w:w="834" w:type="pct"/>
            <w:noWrap/>
            <w:hideMark/>
          </w:tcPr>
          <w:p w14:paraId="13687673" w14:textId="77777777" w:rsidR="009C0728" w:rsidRPr="009C0728" w:rsidRDefault="009C0728" w:rsidP="009C0728">
            <w:pPr>
              <w:pStyle w:val="TableBody"/>
            </w:pPr>
            <w:r w:rsidRPr="009C0728">
              <w:t>10.5%</w:t>
            </w:r>
          </w:p>
        </w:tc>
        <w:tc>
          <w:tcPr>
            <w:tcW w:w="834" w:type="pct"/>
            <w:noWrap/>
            <w:hideMark/>
          </w:tcPr>
          <w:p w14:paraId="2994D040" w14:textId="77777777" w:rsidR="009C0728" w:rsidRPr="009C0728" w:rsidRDefault="009C0728" w:rsidP="009C0728">
            <w:pPr>
              <w:pStyle w:val="TableBody"/>
            </w:pPr>
            <w:r w:rsidRPr="009C0728">
              <w:t>13.8%</w:t>
            </w:r>
          </w:p>
        </w:tc>
        <w:tc>
          <w:tcPr>
            <w:tcW w:w="833" w:type="pct"/>
            <w:noWrap/>
            <w:hideMark/>
          </w:tcPr>
          <w:p w14:paraId="4D06031D" w14:textId="77777777" w:rsidR="009C0728" w:rsidRPr="009C0728" w:rsidRDefault="009C0728" w:rsidP="009C0728">
            <w:pPr>
              <w:pStyle w:val="TableBody"/>
            </w:pPr>
            <w:r w:rsidRPr="009C0728">
              <w:t>1.4%</w:t>
            </w:r>
          </w:p>
        </w:tc>
        <w:tc>
          <w:tcPr>
            <w:tcW w:w="834" w:type="pct"/>
            <w:noWrap/>
            <w:hideMark/>
          </w:tcPr>
          <w:p w14:paraId="7AB23D88" w14:textId="77777777" w:rsidR="009C0728" w:rsidRPr="009C0728" w:rsidRDefault="009C0728" w:rsidP="009C0728">
            <w:pPr>
              <w:pStyle w:val="TableBody"/>
            </w:pPr>
            <w:r w:rsidRPr="009C0728">
              <w:t>9.7%</w:t>
            </w:r>
          </w:p>
        </w:tc>
        <w:tc>
          <w:tcPr>
            <w:tcW w:w="834" w:type="pct"/>
            <w:noWrap/>
            <w:hideMark/>
          </w:tcPr>
          <w:p w14:paraId="22EF8DFC" w14:textId="77777777" w:rsidR="009C0728" w:rsidRPr="009C0728" w:rsidRDefault="009C0728" w:rsidP="009C0728">
            <w:pPr>
              <w:pStyle w:val="TableBody"/>
            </w:pPr>
            <w:r w:rsidRPr="009C0728">
              <w:t>5.9%</w:t>
            </w:r>
          </w:p>
        </w:tc>
      </w:tr>
      <w:tr w:rsidR="009C2421" w:rsidRPr="009C0728" w14:paraId="66D5CCCE" w14:textId="77777777" w:rsidTr="009C2421">
        <w:trPr>
          <w:trHeight w:val="290"/>
        </w:trPr>
        <w:tc>
          <w:tcPr>
            <w:tcW w:w="833" w:type="pct"/>
            <w:noWrap/>
            <w:hideMark/>
          </w:tcPr>
          <w:p w14:paraId="76022A6F" w14:textId="77777777" w:rsidR="009C0728" w:rsidRPr="009C0728" w:rsidRDefault="009C0728" w:rsidP="009C0728">
            <w:pPr>
              <w:pStyle w:val="TableBody"/>
            </w:pPr>
            <w:r w:rsidRPr="009C0728">
              <w:t>2017-18</w:t>
            </w:r>
          </w:p>
        </w:tc>
        <w:tc>
          <w:tcPr>
            <w:tcW w:w="834" w:type="pct"/>
            <w:noWrap/>
            <w:hideMark/>
          </w:tcPr>
          <w:p w14:paraId="4C22E9C5" w14:textId="77777777" w:rsidR="009C0728" w:rsidRPr="009C0728" w:rsidRDefault="009C0728" w:rsidP="009C0728">
            <w:pPr>
              <w:pStyle w:val="TableBody"/>
            </w:pPr>
            <w:r w:rsidRPr="009C0728">
              <w:t>10.5%</w:t>
            </w:r>
          </w:p>
        </w:tc>
        <w:tc>
          <w:tcPr>
            <w:tcW w:w="834" w:type="pct"/>
            <w:noWrap/>
            <w:hideMark/>
          </w:tcPr>
          <w:p w14:paraId="726F17BC" w14:textId="77777777" w:rsidR="009C0728" w:rsidRPr="009C0728" w:rsidRDefault="009C0728" w:rsidP="009C0728">
            <w:pPr>
              <w:pStyle w:val="TableBody"/>
            </w:pPr>
            <w:r w:rsidRPr="009C0728">
              <w:t>14.6%</w:t>
            </w:r>
          </w:p>
        </w:tc>
        <w:tc>
          <w:tcPr>
            <w:tcW w:w="833" w:type="pct"/>
            <w:noWrap/>
            <w:hideMark/>
          </w:tcPr>
          <w:p w14:paraId="2AEE7A17" w14:textId="77777777" w:rsidR="009C0728" w:rsidRPr="009C0728" w:rsidRDefault="009C0728" w:rsidP="009C0728">
            <w:pPr>
              <w:pStyle w:val="TableBody"/>
            </w:pPr>
            <w:r w:rsidRPr="009C0728">
              <w:t>1.6%</w:t>
            </w:r>
          </w:p>
        </w:tc>
        <w:tc>
          <w:tcPr>
            <w:tcW w:w="834" w:type="pct"/>
            <w:noWrap/>
            <w:hideMark/>
          </w:tcPr>
          <w:p w14:paraId="19CE8253" w14:textId="77777777" w:rsidR="009C0728" w:rsidRPr="009C0728" w:rsidRDefault="009C0728" w:rsidP="009C0728">
            <w:pPr>
              <w:pStyle w:val="TableBody"/>
            </w:pPr>
            <w:r w:rsidRPr="009C0728">
              <w:t>11.0%</w:t>
            </w:r>
          </w:p>
        </w:tc>
        <w:tc>
          <w:tcPr>
            <w:tcW w:w="834" w:type="pct"/>
            <w:noWrap/>
            <w:hideMark/>
          </w:tcPr>
          <w:p w14:paraId="226A65F2" w14:textId="77777777" w:rsidR="009C0728" w:rsidRPr="009C0728" w:rsidRDefault="009C0728" w:rsidP="009C0728">
            <w:pPr>
              <w:pStyle w:val="TableBody"/>
            </w:pPr>
            <w:r w:rsidRPr="009C0728">
              <w:t>6.3%</w:t>
            </w:r>
          </w:p>
        </w:tc>
      </w:tr>
      <w:tr w:rsidR="009C2421" w:rsidRPr="009C0728" w14:paraId="6FE7EE73" w14:textId="77777777" w:rsidTr="009C2421">
        <w:trPr>
          <w:trHeight w:val="290"/>
        </w:trPr>
        <w:tc>
          <w:tcPr>
            <w:tcW w:w="833" w:type="pct"/>
            <w:noWrap/>
            <w:hideMark/>
          </w:tcPr>
          <w:p w14:paraId="331ED726" w14:textId="77777777" w:rsidR="009C0728" w:rsidRPr="009C0728" w:rsidRDefault="009C0728" w:rsidP="009C0728">
            <w:pPr>
              <w:pStyle w:val="TableBody"/>
            </w:pPr>
            <w:r w:rsidRPr="009C0728">
              <w:t>2018-19</w:t>
            </w:r>
          </w:p>
        </w:tc>
        <w:tc>
          <w:tcPr>
            <w:tcW w:w="834" w:type="pct"/>
            <w:noWrap/>
            <w:hideMark/>
          </w:tcPr>
          <w:p w14:paraId="41309E41" w14:textId="77777777" w:rsidR="009C0728" w:rsidRPr="009C0728" w:rsidRDefault="009C0728" w:rsidP="009C0728">
            <w:pPr>
              <w:pStyle w:val="TableBody"/>
            </w:pPr>
            <w:r w:rsidRPr="009C0728">
              <w:t>10.1%</w:t>
            </w:r>
          </w:p>
        </w:tc>
        <w:tc>
          <w:tcPr>
            <w:tcW w:w="834" w:type="pct"/>
            <w:noWrap/>
            <w:hideMark/>
          </w:tcPr>
          <w:p w14:paraId="0133E81A" w14:textId="77777777" w:rsidR="009C0728" w:rsidRPr="009C0728" w:rsidRDefault="009C0728" w:rsidP="009C0728">
            <w:pPr>
              <w:pStyle w:val="TableBody"/>
            </w:pPr>
            <w:r w:rsidRPr="009C0728">
              <w:t>14.1%</w:t>
            </w:r>
          </w:p>
        </w:tc>
        <w:tc>
          <w:tcPr>
            <w:tcW w:w="833" w:type="pct"/>
            <w:noWrap/>
            <w:hideMark/>
          </w:tcPr>
          <w:p w14:paraId="3F5BE1AC" w14:textId="77777777" w:rsidR="009C0728" w:rsidRPr="009C0728" w:rsidRDefault="009C0728" w:rsidP="009C0728">
            <w:pPr>
              <w:pStyle w:val="TableBody"/>
            </w:pPr>
            <w:r w:rsidRPr="009C0728">
              <w:t>2.0%</w:t>
            </w:r>
          </w:p>
        </w:tc>
        <w:tc>
          <w:tcPr>
            <w:tcW w:w="834" w:type="pct"/>
            <w:noWrap/>
            <w:hideMark/>
          </w:tcPr>
          <w:p w14:paraId="42ED4E1D" w14:textId="77777777" w:rsidR="009C0728" w:rsidRPr="009C0728" w:rsidRDefault="009C0728" w:rsidP="009C0728">
            <w:pPr>
              <w:pStyle w:val="TableBody"/>
            </w:pPr>
            <w:r w:rsidRPr="009C0728">
              <w:t>11.6%</w:t>
            </w:r>
          </w:p>
        </w:tc>
        <w:tc>
          <w:tcPr>
            <w:tcW w:w="834" w:type="pct"/>
            <w:noWrap/>
            <w:hideMark/>
          </w:tcPr>
          <w:p w14:paraId="24DA908B" w14:textId="77777777" w:rsidR="009C0728" w:rsidRPr="009C0728" w:rsidRDefault="009C0728" w:rsidP="009C0728">
            <w:pPr>
              <w:pStyle w:val="TableBody"/>
            </w:pPr>
            <w:r w:rsidRPr="009C0728">
              <w:t>7.1%</w:t>
            </w:r>
          </w:p>
        </w:tc>
      </w:tr>
      <w:tr w:rsidR="009C2421" w:rsidRPr="009C0728" w14:paraId="7845E693" w14:textId="77777777" w:rsidTr="009C2421">
        <w:trPr>
          <w:trHeight w:val="290"/>
        </w:trPr>
        <w:tc>
          <w:tcPr>
            <w:tcW w:w="833" w:type="pct"/>
            <w:noWrap/>
            <w:hideMark/>
          </w:tcPr>
          <w:p w14:paraId="2FB39655" w14:textId="77777777" w:rsidR="009C0728" w:rsidRPr="009C0728" w:rsidRDefault="009C0728" w:rsidP="009C0728">
            <w:pPr>
              <w:pStyle w:val="TableBody"/>
            </w:pPr>
            <w:r w:rsidRPr="009C0728">
              <w:t>2019-20</w:t>
            </w:r>
          </w:p>
        </w:tc>
        <w:tc>
          <w:tcPr>
            <w:tcW w:w="834" w:type="pct"/>
            <w:noWrap/>
            <w:hideMark/>
          </w:tcPr>
          <w:p w14:paraId="179B0BBB" w14:textId="77777777" w:rsidR="009C0728" w:rsidRPr="009C0728" w:rsidRDefault="009C0728" w:rsidP="009C0728">
            <w:pPr>
              <w:pStyle w:val="TableBody"/>
            </w:pPr>
            <w:r w:rsidRPr="009C0728">
              <w:t>10.0%</w:t>
            </w:r>
          </w:p>
        </w:tc>
        <w:tc>
          <w:tcPr>
            <w:tcW w:w="834" w:type="pct"/>
            <w:noWrap/>
            <w:hideMark/>
          </w:tcPr>
          <w:p w14:paraId="321DB809" w14:textId="77777777" w:rsidR="009C0728" w:rsidRPr="009C0728" w:rsidRDefault="009C0728" w:rsidP="009C0728">
            <w:pPr>
              <w:pStyle w:val="TableBody"/>
            </w:pPr>
            <w:r w:rsidRPr="009C0728">
              <w:t>12.4%</w:t>
            </w:r>
          </w:p>
        </w:tc>
        <w:tc>
          <w:tcPr>
            <w:tcW w:w="833" w:type="pct"/>
            <w:noWrap/>
            <w:hideMark/>
          </w:tcPr>
          <w:p w14:paraId="392A0677" w14:textId="77777777" w:rsidR="009C0728" w:rsidRPr="009C0728" w:rsidRDefault="009C0728" w:rsidP="009C0728">
            <w:pPr>
              <w:pStyle w:val="TableBody"/>
            </w:pPr>
            <w:r w:rsidRPr="009C0728">
              <w:t>2.2%</w:t>
            </w:r>
          </w:p>
        </w:tc>
        <w:tc>
          <w:tcPr>
            <w:tcW w:w="834" w:type="pct"/>
            <w:noWrap/>
            <w:hideMark/>
          </w:tcPr>
          <w:p w14:paraId="1C46CADD" w14:textId="77777777" w:rsidR="009C0728" w:rsidRPr="009C0728" w:rsidRDefault="009C0728" w:rsidP="009C0728">
            <w:pPr>
              <w:pStyle w:val="TableBody"/>
            </w:pPr>
            <w:r w:rsidRPr="009C0728">
              <w:t>11.1%</w:t>
            </w:r>
          </w:p>
        </w:tc>
        <w:tc>
          <w:tcPr>
            <w:tcW w:w="834" w:type="pct"/>
            <w:noWrap/>
            <w:hideMark/>
          </w:tcPr>
          <w:p w14:paraId="62E14CA3" w14:textId="77777777" w:rsidR="009C0728" w:rsidRPr="009C0728" w:rsidRDefault="009C0728" w:rsidP="009C0728">
            <w:pPr>
              <w:pStyle w:val="TableBody"/>
            </w:pPr>
            <w:r w:rsidRPr="009C0728">
              <w:t>7.3%</w:t>
            </w:r>
          </w:p>
        </w:tc>
      </w:tr>
      <w:tr w:rsidR="009C2421" w:rsidRPr="009C0728" w14:paraId="1E0421D9" w14:textId="77777777" w:rsidTr="009C2421">
        <w:trPr>
          <w:trHeight w:val="290"/>
        </w:trPr>
        <w:tc>
          <w:tcPr>
            <w:tcW w:w="833" w:type="pct"/>
            <w:noWrap/>
            <w:hideMark/>
          </w:tcPr>
          <w:p w14:paraId="2CAB7BAE" w14:textId="77777777" w:rsidR="009C0728" w:rsidRPr="009C0728" w:rsidRDefault="009C0728" w:rsidP="009C0728">
            <w:pPr>
              <w:pStyle w:val="TableBody"/>
            </w:pPr>
            <w:r w:rsidRPr="009C0728">
              <w:t>2020-21</w:t>
            </w:r>
          </w:p>
        </w:tc>
        <w:tc>
          <w:tcPr>
            <w:tcW w:w="834" w:type="pct"/>
            <w:noWrap/>
            <w:hideMark/>
          </w:tcPr>
          <w:p w14:paraId="49B499CD" w14:textId="77777777" w:rsidR="009C0728" w:rsidRPr="009C0728" w:rsidRDefault="009C0728" w:rsidP="009C0728">
            <w:pPr>
              <w:pStyle w:val="TableBody"/>
            </w:pPr>
            <w:r w:rsidRPr="009C0728">
              <w:t>11.4%</w:t>
            </w:r>
          </w:p>
        </w:tc>
        <w:tc>
          <w:tcPr>
            <w:tcW w:w="834" w:type="pct"/>
            <w:noWrap/>
            <w:hideMark/>
          </w:tcPr>
          <w:p w14:paraId="307D3447" w14:textId="77777777" w:rsidR="009C0728" w:rsidRPr="009C0728" w:rsidRDefault="009C0728" w:rsidP="009C0728">
            <w:pPr>
              <w:pStyle w:val="TableBody"/>
            </w:pPr>
            <w:r w:rsidRPr="009C0728">
              <w:t>14.2%</w:t>
            </w:r>
          </w:p>
        </w:tc>
        <w:tc>
          <w:tcPr>
            <w:tcW w:w="833" w:type="pct"/>
            <w:noWrap/>
            <w:hideMark/>
          </w:tcPr>
          <w:p w14:paraId="4E4B435C" w14:textId="77777777" w:rsidR="009C0728" w:rsidRPr="009C0728" w:rsidRDefault="009C0728" w:rsidP="009C0728">
            <w:pPr>
              <w:pStyle w:val="TableBody"/>
            </w:pPr>
            <w:r w:rsidRPr="009C0728">
              <w:t>2.1%</w:t>
            </w:r>
          </w:p>
        </w:tc>
        <w:tc>
          <w:tcPr>
            <w:tcW w:w="834" w:type="pct"/>
            <w:noWrap/>
            <w:hideMark/>
          </w:tcPr>
          <w:p w14:paraId="386409C6" w14:textId="77777777" w:rsidR="009C0728" w:rsidRPr="009C0728" w:rsidRDefault="009C0728" w:rsidP="009C0728">
            <w:pPr>
              <w:pStyle w:val="TableBody"/>
            </w:pPr>
            <w:r w:rsidRPr="009C0728">
              <w:t>13.0%</w:t>
            </w:r>
          </w:p>
        </w:tc>
        <w:tc>
          <w:tcPr>
            <w:tcW w:w="834" w:type="pct"/>
            <w:noWrap/>
            <w:hideMark/>
          </w:tcPr>
          <w:p w14:paraId="70D7B33D" w14:textId="77777777" w:rsidR="009C0728" w:rsidRPr="009C0728" w:rsidRDefault="009C0728" w:rsidP="009C0728">
            <w:pPr>
              <w:pStyle w:val="TableBody"/>
            </w:pPr>
            <w:r w:rsidRPr="009C0728">
              <w:t>7.4%</w:t>
            </w:r>
          </w:p>
        </w:tc>
      </w:tr>
    </w:tbl>
    <w:p w14:paraId="75574C92" w14:textId="507C3BCD" w:rsidR="00417C86" w:rsidRPr="0060474A" w:rsidRDefault="00417C86" w:rsidP="00D74421">
      <w:r w:rsidRPr="0060474A">
        <w:t>The prevalence of diversion plans often varied for each offence type based on the defendant’s characteristics. Being female was strongly associated with a higher likelihood of diversion plans for almost all offence types (with a very small exception in the context of drug-related offences</w:t>
      </w:r>
      <w:r w:rsidRPr="0060474A">
        <w:rPr>
          <w:rStyle w:val="Superscript"/>
        </w:rPr>
        <w:footnoteReference w:id="53"/>
      </w:r>
      <w:r w:rsidRPr="0060474A">
        <w:t>). Male family violence offenders consistently had the lowest rate of diversion plans of all offenders, regardless of offence type (Figure 27). Male non-family violence offenders had the second lowest rate, again with that very small exception in the context of drug-related offences. As we recently found in the context of stalking offences,</w:t>
      </w:r>
      <w:r w:rsidRPr="0060474A">
        <w:rPr>
          <w:rStyle w:val="Superscript"/>
        </w:rPr>
        <w:footnoteReference w:id="54"/>
      </w:r>
      <w:r w:rsidRPr="0060474A">
        <w:t xml:space="preserve"> it seems that gender is an even stronger predictor of court outcomes than a family violence indicator. </w:t>
      </w:r>
    </w:p>
    <w:p w14:paraId="31217BF8" w14:textId="77777777" w:rsidR="00417C86" w:rsidRPr="0060474A" w:rsidRDefault="00417C86" w:rsidP="00187BBF">
      <w:pPr>
        <w:pStyle w:val="Caption"/>
      </w:pPr>
      <w:r w:rsidRPr="0060474A">
        <w:lastRenderedPageBreak/>
        <w:t>Figure 27: Prevalence of diversion plans by offence type, gender and family violence indicator, 2015–16 to 2020–21</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B97883" w:rsidRPr="0060474A" w14:paraId="6BD01170" w14:textId="77777777" w:rsidTr="007B7D9A">
        <w:trPr>
          <w:trHeight w:val="290"/>
          <w:tblHeader/>
        </w:trPr>
        <w:tc>
          <w:tcPr>
            <w:tcW w:w="1000" w:type="pct"/>
            <w:noWrap/>
            <w:hideMark/>
          </w:tcPr>
          <w:p w14:paraId="7CBFDFF4" w14:textId="5DF18754" w:rsidR="00B97883" w:rsidRPr="00CA2560" w:rsidRDefault="002647B9" w:rsidP="00CA2560">
            <w:pPr>
              <w:pStyle w:val="TableHeading"/>
            </w:pPr>
            <w:r w:rsidRPr="00CA2560">
              <w:t>Offence type</w:t>
            </w:r>
          </w:p>
        </w:tc>
        <w:tc>
          <w:tcPr>
            <w:tcW w:w="1000" w:type="pct"/>
            <w:noWrap/>
            <w:hideMark/>
          </w:tcPr>
          <w:p w14:paraId="67FF8F32" w14:textId="42FCBD8F" w:rsidR="00B97883" w:rsidRPr="00CA2560" w:rsidRDefault="000B5239" w:rsidP="00CA2560">
            <w:pPr>
              <w:pStyle w:val="TableHeading"/>
            </w:pPr>
            <w:r>
              <w:t>Male</w:t>
            </w:r>
            <w:r w:rsidR="00B97883" w:rsidRPr="00CA2560">
              <w:t xml:space="preserve"> - family violence flag</w:t>
            </w:r>
          </w:p>
        </w:tc>
        <w:tc>
          <w:tcPr>
            <w:tcW w:w="1000" w:type="pct"/>
            <w:noWrap/>
            <w:hideMark/>
          </w:tcPr>
          <w:p w14:paraId="52255F3C" w14:textId="0BB0D34C" w:rsidR="00B97883" w:rsidRPr="00CA2560" w:rsidRDefault="000B5239" w:rsidP="00CA2560">
            <w:pPr>
              <w:pStyle w:val="TableHeading"/>
            </w:pPr>
            <w:r>
              <w:t>Male</w:t>
            </w:r>
            <w:r w:rsidR="00B97883" w:rsidRPr="00CA2560">
              <w:t xml:space="preserve"> - no family violence flag</w:t>
            </w:r>
          </w:p>
        </w:tc>
        <w:tc>
          <w:tcPr>
            <w:tcW w:w="1000" w:type="pct"/>
            <w:noWrap/>
            <w:hideMark/>
          </w:tcPr>
          <w:p w14:paraId="7EC3541D" w14:textId="76A75459" w:rsidR="00B97883" w:rsidRPr="00CA2560" w:rsidRDefault="000B5239" w:rsidP="00CA2560">
            <w:pPr>
              <w:pStyle w:val="TableHeading"/>
            </w:pPr>
            <w:r>
              <w:t>Female</w:t>
            </w:r>
            <w:r w:rsidR="00B97883" w:rsidRPr="00CA2560">
              <w:t xml:space="preserve"> - family violence flag</w:t>
            </w:r>
          </w:p>
        </w:tc>
        <w:tc>
          <w:tcPr>
            <w:tcW w:w="1000" w:type="pct"/>
            <w:noWrap/>
            <w:hideMark/>
          </w:tcPr>
          <w:p w14:paraId="267EDC24" w14:textId="1D03618B" w:rsidR="00B97883" w:rsidRPr="0060474A" w:rsidRDefault="000B5239" w:rsidP="000027A4">
            <w:pPr>
              <w:pStyle w:val="TableHeading"/>
            </w:pPr>
            <w:r>
              <w:t>Female</w:t>
            </w:r>
            <w:r w:rsidR="00B97883" w:rsidRPr="0060474A">
              <w:t xml:space="preserve"> - no family violence flag</w:t>
            </w:r>
          </w:p>
        </w:tc>
      </w:tr>
      <w:tr w:rsidR="00B97883" w:rsidRPr="0060474A" w14:paraId="7BCFA36A" w14:textId="77777777" w:rsidTr="007B7D9A">
        <w:trPr>
          <w:trHeight w:val="290"/>
        </w:trPr>
        <w:tc>
          <w:tcPr>
            <w:tcW w:w="1000" w:type="pct"/>
            <w:noWrap/>
            <w:hideMark/>
          </w:tcPr>
          <w:p w14:paraId="2839F704" w14:textId="77777777" w:rsidR="00B97883" w:rsidRPr="0060474A" w:rsidRDefault="00B97883" w:rsidP="004D1875">
            <w:pPr>
              <w:pStyle w:val="TableBody"/>
            </w:pPr>
            <w:r w:rsidRPr="0060474A">
              <w:t>Offences against the person</w:t>
            </w:r>
          </w:p>
        </w:tc>
        <w:tc>
          <w:tcPr>
            <w:tcW w:w="1000" w:type="pct"/>
            <w:noWrap/>
            <w:hideMark/>
          </w:tcPr>
          <w:p w14:paraId="52C61BB6" w14:textId="77777777" w:rsidR="00B97883" w:rsidRPr="0060474A" w:rsidRDefault="00B97883" w:rsidP="00BC2E77">
            <w:pPr>
              <w:pStyle w:val="TableBody"/>
            </w:pPr>
            <w:r w:rsidRPr="0060474A">
              <w:t>5.3%</w:t>
            </w:r>
          </w:p>
        </w:tc>
        <w:tc>
          <w:tcPr>
            <w:tcW w:w="1000" w:type="pct"/>
            <w:noWrap/>
            <w:hideMark/>
          </w:tcPr>
          <w:p w14:paraId="1521E4FE" w14:textId="77777777" w:rsidR="00B97883" w:rsidRPr="0060474A" w:rsidRDefault="00B97883" w:rsidP="00BC2E77">
            <w:pPr>
              <w:pStyle w:val="TableBody"/>
            </w:pPr>
            <w:r w:rsidRPr="0060474A">
              <w:t>11.4%</w:t>
            </w:r>
          </w:p>
        </w:tc>
        <w:tc>
          <w:tcPr>
            <w:tcW w:w="1000" w:type="pct"/>
            <w:noWrap/>
            <w:hideMark/>
          </w:tcPr>
          <w:p w14:paraId="505AAFE0" w14:textId="77777777" w:rsidR="00B97883" w:rsidRPr="0060474A" w:rsidRDefault="00B97883" w:rsidP="00BC2E77">
            <w:pPr>
              <w:pStyle w:val="TableBody"/>
            </w:pPr>
            <w:r w:rsidRPr="0060474A">
              <w:t>20.3%</w:t>
            </w:r>
          </w:p>
        </w:tc>
        <w:tc>
          <w:tcPr>
            <w:tcW w:w="1000" w:type="pct"/>
            <w:noWrap/>
            <w:hideMark/>
          </w:tcPr>
          <w:p w14:paraId="421A08C7" w14:textId="77777777" w:rsidR="00B97883" w:rsidRPr="0060474A" w:rsidRDefault="00B97883" w:rsidP="00BC2E77">
            <w:pPr>
              <w:pStyle w:val="TableBody"/>
            </w:pPr>
            <w:r w:rsidRPr="0060474A">
              <w:t>20.5%</w:t>
            </w:r>
          </w:p>
        </w:tc>
      </w:tr>
      <w:tr w:rsidR="00B97883" w:rsidRPr="0060474A" w14:paraId="1AE8EDD1" w14:textId="77777777" w:rsidTr="007B7D9A">
        <w:trPr>
          <w:trHeight w:val="290"/>
        </w:trPr>
        <w:tc>
          <w:tcPr>
            <w:tcW w:w="1000" w:type="pct"/>
            <w:noWrap/>
            <w:hideMark/>
          </w:tcPr>
          <w:p w14:paraId="67BD13A4" w14:textId="77777777" w:rsidR="00B97883" w:rsidRPr="0060474A" w:rsidRDefault="00B97883" w:rsidP="004D1875">
            <w:pPr>
              <w:pStyle w:val="TableBody"/>
            </w:pPr>
            <w:r w:rsidRPr="0060474A">
              <w:t>Property offences</w:t>
            </w:r>
          </w:p>
        </w:tc>
        <w:tc>
          <w:tcPr>
            <w:tcW w:w="1000" w:type="pct"/>
            <w:noWrap/>
            <w:hideMark/>
          </w:tcPr>
          <w:p w14:paraId="5BA7576A" w14:textId="77777777" w:rsidR="00B97883" w:rsidRPr="0060474A" w:rsidRDefault="00B97883" w:rsidP="00BC2E77">
            <w:pPr>
              <w:pStyle w:val="TableBody"/>
            </w:pPr>
            <w:r w:rsidRPr="0060474A">
              <w:t>7.4%</w:t>
            </w:r>
          </w:p>
        </w:tc>
        <w:tc>
          <w:tcPr>
            <w:tcW w:w="1000" w:type="pct"/>
            <w:noWrap/>
            <w:hideMark/>
          </w:tcPr>
          <w:p w14:paraId="3DD1595F" w14:textId="77777777" w:rsidR="00B97883" w:rsidRPr="0060474A" w:rsidRDefault="00B97883" w:rsidP="00BC2E77">
            <w:pPr>
              <w:pStyle w:val="TableBody"/>
            </w:pPr>
            <w:r w:rsidRPr="0060474A">
              <w:t>12.4%</w:t>
            </w:r>
          </w:p>
        </w:tc>
        <w:tc>
          <w:tcPr>
            <w:tcW w:w="1000" w:type="pct"/>
            <w:noWrap/>
            <w:hideMark/>
          </w:tcPr>
          <w:p w14:paraId="235E5F84" w14:textId="77777777" w:rsidR="00B97883" w:rsidRPr="0060474A" w:rsidRDefault="00B97883" w:rsidP="00BC2E77">
            <w:pPr>
              <w:pStyle w:val="TableBody"/>
            </w:pPr>
            <w:r w:rsidRPr="0060474A">
              <w:t>19.0%</w:t>
            </w:r>
          </w:p>
        </w:tc>
        <w:tc>
          <w:tcPr>
            <w:tcW w:w="1000" w:type="pct"/>
            <w:noWrap/>
            <w:hideMark/>
          </w:tcPr>
          <w:p w14:paraId="768301CC" w14:textId="77777777" w:rsidR="00B97883" w:rsidRPr="0060474A" w:rsidRDefault="00B97883" w:rsidP="00BC2E77">
            <w:pPr>
              <w:pStyle w:val="TableBody"/>
            </w:pPr>
            <w:r w:rsidRPr="0060474A">
              <w:t>19.7%</w:t>
            </w:r>
          </w:p>
        </w:tc>
      </w:tr>
      <w:tr w:rsidR="00B97883" w:rsidRPr="0060474A" w14:paraId="4339C82D" w14:textId="77777777" w:rsidTr="007B7D9A">
        <w:trPr>
          <w:trHeight w:val="290"/>
        </w:trPr>
        <w:tc>
          <w:tcPr>
            <w:tcW w:w="1000" w:type="pct"/>
            <w:noWrap/>
            <w:hideMark/>
          </w:tcPr>
          <w:p w14:paraId="74F82465" w14:textId="7AB5B4C8" w:rsidR="00B97883" w:rsidRPr="0060474A" w:rsidRDefault="00B97883" w:rsidP="004D1875">
            <w:pPr>
              <w:pStyle w:val="TableBody"/>
            </w:pPr>
            <w:r w:rsidRPr="0060474A">
              <w:t>Traffic offences</w:t>
            </w:r>
          </w:p>
        </w:tc>
        <w:tc>
          <w:tcPr>
            <w:tcW w:w="1000" w:type="pct"/>
            <w:noWrap/>
            <w:hideMark/>
          </w:tcPr>
          <w:p w14:paraId="6E991CBE" w14:textId="77777777" w:rsidR="00B97883" w:rsidRPr="0060474A" w:rsidRDefault="00B97883" w:rsidP="00BC2E77">
            <w:pPr>
              <w:pStyle w:val="TableBody"/>
            </w:pPr>
            <w:r w:rsidRPr="0060474A">
              <w:t>0.2%</w:t>
            </w:r>
          </w:p>
        </w:tc>
        <w:tc>
          <w:tcPr>
            <w:tcW w:w="1000" w:type="pct"/>
            <w:noWrap/>
            <w:hideMark/>
          </w:tcPr>
          <w:p w14:paraId="02F08E27" w14:textId="77777777" w:rsidR="00B97883" w:rsidRPr="0060474A" w:rsidRDefault="00B97883" w:rsidP="00BC2E77">
            <w:pPr>
              <w:pStyle w:val="TableBody"/>
            </w:pPr>
            <w:r w:rsidRPr="0060474A">
              <w:t>1.5%</w:t>
            </w:r>
          </w:p>
        </w:tc>
        <w:tc>
          <w:tcPr>
            <w:tcW w:w="1000" w:type="pct"/>
            <w:noWrap/>
            <w:hideMark/>
          </w:tcPr>
          <w:p w14:paraId="618A1BA6" w14:textId="77777777" w:rsidR="00B97883" w:rsidRPr="0060474A" w:rsidRDefault="00B97883" w:rsidP="00BC2E77">
            <w:pPr>
              <w:pStyle w:val="TableBody"/>
            </w:pPr>
            <w:r w:rsidRPr="0060474A">
              <w:t>2.7%</w:t>
            </w:r>
          </w:p>
        </w:tc>
        <w:tc>
          <w:tcPr>
            <w:tcW w:w="1000" w:type="pct"/>
            <w:noWrap/>
            <w:hideMark/>
          </w:tcPr>
          <w:p w14:paraId="0A5392F7" w14:textId="77777777" w:rsidR="00B97883" w:rsidRPr="0060474A" w:rsidRDefault="00B97883" w:rsidP="00BC2E77">
            <w:pPr>
              <w:pStyle w:val="TableBody"/>
            </w:pPr>
            <w:r w:rsidRPr="0060474A">
              <w:t>2.6%</w:t>
            </w:r>
          </w:p>
        </w:tc>
      </w:tr>
      <w:tr w:rsidR="00B97883" w:rsidRPr="0060474A" w14:paraId="7E3E00F8" w14:textId="77777777" w:rsidTr="007B7D9A">
        <w:trPr>
          <w:trHeight w:val="290"/>
        </w:trPr>
        <w:tc>
          <w:tcPr>
            <w:tcW w:w="1000" w:type="pct"/>
            <w:noWrap/>
            <w:hideMark/>
          </w:tcPr>
          <w:p w14:paraId="1AC133E7" w14:textId="77777777" w:rsidR="00B97883" w:rsidRPr="0060474A" w:rsidRDefault="00B97883" w:rsidP="004D1875">
            <w:pPr>
              <w:pStyle w:val="TableBody"/>
            </w:pPr>
            <w:r w:rsidRPr="0060474A">
              <w:t>Drug-related offences</w:t>
            </w:r>
          </w:p>
        </w:tc>
        <w:tc>
          <w:tcPr>
            <w:tcW w:w="1000" w:type="pct"/>
            <w:noWrap/>
            <w:hideMark/>
          </w:tcPr>
          <w:p w14:paraId="00F0D853" w14:textId="77777777" w:rsidR="00B97883" w:rsidRPr="0060474A" w:rsidRDefault="00B97883" w:rsidP="00BC2E77">
            <w:pPr>
              <w:pStyle w:val="TableBody"/>
            </w:pPr>
            <w:r w:rsidRPr="0060474A">
              <w:t>2.9%</w:t>
            </w:r>
          </w:p>
        </w:tc>
        <w:tc>
          <w:tcPr>
            <w:tcW w:w="1000" w:type="pct"/>
            <w:noWrap/>
            <w:hideMark/>
          </w:tcPr>
          <w:p w14:paraId="32A78C7E" w14:textId="77777777" w:rsidR="00B97883" w:rsidRPr="0060474A" w:rsidRDefault="00B97883" w:rsidP="00BC2E77">
            <w:pPr>
              <w:pStyle w:val="TableBody"/>
            </w:pPr>
            <w:r w:rsidRPr="0060474A">
              <w:t>10.2%</w:t>
            </w:r>
          </w:p>
        </w:tc>
        <w:tc>
          <w:tcPr>
            <w:tcW w:w="1000" w:type="pct"/>
            <w:noWrap/>
            <w:hideMark/>
          </w:tcPr>
          <w:p w14:paraId="60C59B49" w14:textId="77777777" w:rsidR="00B97883" w:rsidRPr="0060474A" w:rsidRDefault="00B97883" w:rsidP="00BC2E77">
            <w:pPr>
              <w:pStyle w:val="TableBody"/>
            </w:pPr>
            <w:r w:rsidRPr="0060474A">
              <w:t>4.1%</w:t>
            </w:r>
          </w:p>
        </w:tc>
        <w:tc>
          <w:tcPr>
            <w:tcW w:w="1000" w:type="pct"/>
            <w:noWrap/>
            <w:hideMark/>
          </w:tcPr>
          <w:p w14:paraId="17E318E0" w14:textId="77777777" w:rsidR="00B97883" w:rsidRPr="0060474A" w:rsidRDefault="00B97883" w:rsidP="00BC2E77">
            <w:pPr>
              <w:pStyle w:val="TableBody"/>
            </w:pPr>
            <w:r w:rsidRPr="0060474A">
              <w:t>14.6%</w:t>
            </w:r>
          </w:p>
        </w:tc>
      </w:tr>
      <w:tr w:rsidR="00B97883" w:rsidRPr="0060474A" w14:paraId="6AA9F98C" w14:textId="77777777" w:rsidTr="007B7D9A">
        <w:trPr>
          <w:trHeight w:val="290"/>
        </w:trPr>
        <w:tc>
          <w:tcPr>
            <w:tcW w:w="1000" w:type="pct"/>
            <w:noWrap/>
            <w:hideMark/>
          </w:tcPr>
          <w:p w14:paraId="2BB821C1" w14:textId="77777777" w:rsidR="00B97883" w:rsidRPr="0060474A" w:rsidRDefault="00B97883" w:rsidP="004D1875">
            <w:pPr>
              <w:pStyle w:val="TableBody"/>
            </w:pPr>
            <w:r w:rsidRPr="0060474A">
              <w:t>Other</w:t>
            </w:r>
          </w:p>
        </w:tc>
        <w:tc>
          <w:tcPr>
            <w:tcW w:w="1000" w:type="pct"/>
            <w:noWrap/>
            <w:hideMark/>
          </w:tcPr>
          <w:p w14:paraId="51F3C619" w14:textId="77777777" w:rsidR="00B97883" w:rsidRPr="0060474A" w:rsidRDefault="00B97883" w:rsidP="00BC2E77">
            <w:pPr>
              <w:pStyle w:val="TableBody"/>
            </w:pPr>
            <w:r w:rsidRPr="0060474A">
              <w:t>4.9%</w:t>
            </w:r>
          </w:p>
        </w:tc>
        <w:tc>
          <w:tcPr>
            <w:tcW w:w="1000" w:type="pct"/>
            <w:noWrap/>
            <w:hideMark/>
          </w:tcPr>
          <w:p w14:paraId="100396E2" w14:textId="77777777" w:rsidR="00B97883" w:rsidRPr="0060474A" w:rsidRDefault="00B97883" w:rsidP="00BC2E77">
            <w:pPr>
              <w:pStyle w:val="TableBody"/>
            </w:pPr>
            <w:r w:rsidRPr="0060474A">
              <w:t>7.0%</w:t>
            </w:r>
          </w:p>
        </w:tc>
        <w:tc>
          <w:tcPr>
            <w:tcW w:w="1000" w:type="pct"/>
            <w:noWrap/>
            <w:hideMark/>
          </w:tcPr>
          <w:p w14:paraId="74C021DB" w14:textId="77777777" w:rsidR="00B97883" w:rsidRPr="0060474A" w:rsidRDefault="00B97883" w:rsidP="00BC2E77">
            <w:pPr>
              <w:pStyle w:val="TableBody"/>
            </w:pPr>
            <w:r w:rsidRPr="0060474A">
              <w:t>13.6%</w:t>
            </w:r>
          </w:p>
        </w:tc>
        <w:tc>
          <w:tcPr>
            <w:tcW w:w="1000" w:type="pct"/>
            <w:noWrap/>
            <w:hideMark/>
          </w:tcPr>
          <w:p w14:paraId="09DFD2E3" w14:textId="77777777" w:rsidR="00B97883" w:rsidRPr="0060474A" w:rsidRDefault="00B97883" w:rsidP="00BC2E77">
            <w:pPr>
              <w:pStyle w:val="TableBody"/>
            </w:pPr>
            <w:r w:rsidRPr="0060474A">
              <w:t>7.2%</w:t>
            </w:r>
          </w:p>
        </w:tc>
      </w:tr>
    </w:tbl>
    <w:p w14:paraId="77316027" w14:textId="77777777" w:rsidR="00417C86" w:rsidRPr="0060474A" w:rsidRDefault="00417C86" w:rsidP="00D74421">
      <w:r w:rsidRPr="0060474A">
        <w:t>Offenders aged 20 to 64 were least likely to receive diversion plans across all offence categories, compared to both younger offenders (aged 18 to 19) and older offenders (aged 65 and over). However, younger and older offenders received diversion plans at different rates depending on the offence type. Both younger and older offenders were most likely to receive diversion plans for property offences (31.0% and 30.9% respectively of people prosecuted for property offences in those age groups). But younger offenders were much more likely to receive diversion plans for drug-related offences (23.8%) and traffic offences (9.0%), whereas older offenders were more likely to receive a diversion plan for offences against the person (24.4%).</w:t>
      </w:r>
    </w:p>
    <w:p w14:paraId="3C429E4C" w14:textId="77777777" w:rsidR="00417C86" w:rsidRPr="0060474A" w:rsidRDefault="00417C86" w:rsidP="00187BBF">
      <w:pPr>
        <w:pStyle w:val="Caption"/>
      </w:pPr>
      <w:r w:rsidRPr="0060474A">
        <w:t>Figure 28: Prevalence of diversion plans by offence type and age, 2011–12 to 2020–21</w:t>
      </w:r>
    </w:p>
    <w:tbl>
      <w:tblPr>
        <w:tblStyle w:val="Table"/>
        <w:tblW w:w="5000" w:type="pct"/>
        <w:tblLook w:val="04A0" w:firstRow="1" w:lastRow="0" w:firstColumn="1" w:lastColumn="0" w:noHBand="0" w:noVBand="1"/>
      </w:tblPr>
      <w:tblGrid>
        <w:gridCol w:w="3034"/>
        <w:gridCol w:w="1994"/>
        <w:gridCol w:w="1994"/>
        <w:gridCol w:w="1994"/>
      </w:tblGrid>
      <w:tr w:rsidR="00057F73" w:rsidRPr="004D1875" w14:paraId="3CF9A10C" w14:textId="77777777" w:rsidTr="005C6183">
        <w:trPr>
          <w:trHeight w:val="290"/>
          <w:tblHeader/>
        </w:trPr>
        <w:tc>
          <w:tcPr>
            <w:tcW w:w="1250" w:type="pct"/>
            <w:noWrap/>
            <w:hideMark/>
          </w:tcPr>
          <w:p w14:paraId="4C8C6D1D" w14:textId="34ED0D27" w:rsidR="00057F73" w:rsidRPr="004D1875" w:rsidRDefault="00497371" w:rsidP="004D1875">
            <w:pPr>
              <w:pStyle w:val="TableHeading"/>
            </w:pPr>
            <w:r w:rsidRPr="004D1875">
              <w:t>Offence type</w:t>
            </w:r>
          </w:p>
        </w:tc>
        <w:tc>
          <w:tcPr>
            <w:tcW w:w="1250" w:type="pct"/>
            <w:noWrap/>
            <w:hideMark/>
          </w:tcPr>
          <w:p w14:paraId="4242D005" w14:textId="77777777" w:rsidR="00057F73" w:rsidRPr="004D1875" w:rsidRDefault="00057F73" w:rsidP="004D1875">
            <w:pPr>
              <w:pStyle w:val="TableHeading"/>
            </w:pPr>
            <w:r w:rsidRPr="004D1875">
              <w:t>18 to 19</w:t>
            </w:r>
          </w:p>
        </w:tc>
        <w:tc>
          <w:tcPr>
            <w:tcW w:w="1250" w:type="pct"/>
            <w:noWrap/>
            <w:hideMark/>
          </w:tcPr>
          <w:p w14:paraId="18332B88" w14:textId="77777777" w:rsidR="00057F73" w:rsidRPr="004D1875" w:rsidRDefault="00057F73" w:rsidP="004D1875">
            <w:pPr>
              <w:pStyle w:val="TableHeading"/>
            </w:pPr>
            <w:r w:rsidRPr="004D1875">
              <w:t>20 to 64</w:t>
            </w:r>
          </w:p>
        </w:tc>
        <w:tc>
          <w:tcPr>
            <w:tcW w:w="1250" w:type="pct"/>
            <w:noWrap/>
            <w:hideMark/>
          </w:tcPr>
          <w:p w14:paraId="7E19C077" w14:textId="54131577" w:rsidR="00057F73" w:rsidRPr="004D1875" w:rsidRDefault="00057F73" w:rsidP="004D1875">
            <w:pPr>
              <w:pStyle w:val="TableHeading"/>
            </w:pPr>
            <w:r w:rsidRPr="004D1875">
              <w:t xml:space="preserve">65 </w:t>
            </w:r>
            <w:r w:rsidR="003A27C4" w:rsidRPr="004D1875">
              <w:t>and</w:t>
            </w:r>
            <w:r w:rsidRPr="004D1875">
              <w:t xml:space="preserve"> over</w:t>
            </w:r>
          </w:p>
        </w:tc>
      </w:tr>
      <w:tr w:rsidR="00057F73" w:rsidRPr="0060474A" w14:paraId="3DC70201" w14:textId="77777777" w:rsidTr="007B7D9A">
        <w:trPr>
          <w:trHeight w:val="290"/>
        </w:trPr>
        <w:tc>
          <w:tcPr>
            <w:tcW w:w="1250" w:type="pct"/>
            <w:noWrap/>
            <w:hideMark/>
          </w:tcPr>
          <w:p w14:paraId="4FA4211A" w14:textId="77777777" w:rsidR="00057F73" w:rsidRPr="0060474A" w:rsidRDefault="00057F73" w:rsidP="004D1875">
            <w:pPr>
              <w:pStyle w:val="TableBody"/>
            </w:pPr>
            <w:r w:rsidRPr="0060474A">
              <w:t>Offences against the person</w:t>
            </w:r>
          </w:p>
        </w:tc>
        <w:tc>
          <w:tcPr>
            <w:tcW w:w="1250" w:type="pct"/>
            <w:noWrap/>
            <w:hideMark/>
          </w:tcPr>
          <w:p w14:paraId="6696B0D1" w14:textId="77777777" w:rsidR="00057F73" w:rsidRPr="0060474A" w:rsidRDefault="00057F73" w:rsidP="00BC2E77">
            <w:pPr>
              <w:pStyle w:val="TableBody"/>
            </w:pPr>
            <w:r w:rsidRPr="0060474A">
              <w:t>14.0%</w:t>
            </w:r>
          </w:p>
        </w:tc>
        <w:tc>
          <w:tcPr>
            <w:tcW w:w="1250" w:type="pct"/>
            <w:noWrap/>
            <w:hideMark/>
          </w:tcPr>
          <w:p w14:paraId="3E0A41FB" w14:textId="77777777" w:rsidR="00057F73" w:rsidRPr="0060474A" w:rsidRDefault="00057F73" w:rsidP="00BC2E77">
            <w:pPr>
              <w:pStyle w:val="TableBody"/>
            </w:pPr>
            <w:r w:rsidRPr="0060474A">
              <w:t>9.9%</w:t>
            </w:r>
          </w:p>
        </w:tc>
        <w:tc>
          <w:tcPr>
            <w:tcW w:w="1250" w:type="pct"/>
            <w:noWrap/>
            <w:hideMark/>
          </w:tcPr>
          <w:p w14:paraId="2A91FDEC" w14:textId="77777777" w:rsidR="00057F73" w:rsidRPr="0060474A" w:rsidRDefault="00057F73" w:rsidP="00BC2E77">
            <w:pPr>
              <w:pStyle w:val="TableBody"/>
            </w:pPr>
            <w:r w:rsidRPr="0060474A">
              <w:t>24.4%</w:t>
            </w:r>
          </w:p>
        </w:tc>
      </w:tr>
      <w:tr w:rsidR="00057F73" w:rsidRPr="0060474A" w14:paraId="5E906F44" w14:textId="77777777" w:rsidTr="007B7D9A">
        <w:trPr>
          <w:trHeight w:val="290"/>
        </w:trPr>
        <w:tc>
          <w:tcPr>
            <w:tcW w:w="1250" w:type="pct"/>
            <w:noWrap/>
            <w:hideMark/>
          </w:tcPr>
          <w:p w14:paraId="16A4ADD8" w14:textId="77777777" w:rsidR="00057F73" w:rsidRPr="0060474A" w:rsidRDefault="00057F73" w:rsidP="004D1875">
            <w:pPr>
              <w:pStyle w:val="TableBody"/>
            </w:pPr>
            <w:r w:rsidRPr="0060474A">
              <w:t>Property offences</w:t>
            </w:r>
          </w:p>
        </w:tc>
        <w:tc>
          <w:tcPr>
            <w:tcW w:w="1250" w:type="pct"/>
            <w:noWrap/>
            <w:hideMark/>
          </w:tcPr>
          <w:p w14:paraId="46ADE3E7" w14:textId="77777777" w:rsidR="00057F73" w:rsidRPr="0060474A" w:rsidRDefault="00057F73" w:rsidP="00BC2E77">
            <w:pPr>
              <w:pStyle w:val="TableBody"/>
            </w:pPr>
            <w:r w:rsidRPr="0060474A">
              <w:t>31.0%</w:t>
            </w:r>
          </w:p>
        </w:tc>
        <w:tc>
          <w:tcPr>
            <w:tcW w:w="1250" w:type="pct"/>
            <w:noWrap/>
            <w:hideMark/>
          </w:tcPr>
          <w:p w14:paraId="180CE3BF" w14:textId="77777777" w:rsidR="00057F73" w:rsidRPr="0060474A" w:rsidRDefault="00057F73" w:rsidP="00BC2E77">
            <w:pPr>
              <w:pStyle w:val="TableBody"/>
            </w:pPr>
            <w:r w:rsidRPr="0060474A">
              <w:t>12.6%</w:t>
            </w:r>
          </w:p>
        </w:tc>
        <w:tc>
          <w:tcPr>
            <w:tcW w:w="1250" w:type="pct"/>
            <w:noWrap/>
            <w:hideMark/>
          </w:tcPr>
          <w:p w14:paraId="4189CD29" w14:textId="77777777" w:rsidR="00057F73" w:rsidRPr="0060474A" w:rsidRDefault="00057F73" w:rsidP="00BC2E77">
            <w:pPr>
              <w:pStyle w:val="TableBody"/>
            </w:pPr>
            <w:r w:rsidRPr="0060474A">
              <w:t>30.9%</w:t>
            </w:r>
          </w:p>
        </w:tc>
      </w:tr>
      <w:tr w:rsidR="00057F73" w:rsidRPr="0060474A" w14:paraId="29AD55A0" w14:textId="77777777" w:rsidTr="007B7D9A">
        <w:trPr>
          <w:trHeight w:val="290"/>
        </w:trPr>
        <w:tc>
          <w:tcPr>
            <w:tcW w:w="1250" w:type="pct"/>
            <w:noWrap/>
            <w:hideMark/>
          </w:tcPr>
          <w:p w14:paraId="66096795" w14:textId="60D96492" w:rsidR="00057F73" w:rsidRPr="0060474A" w:rsidRDefault="00057F73" w:rsidP="004D1875">
            <w:pPr>
              <w:pStyle w:val="TableBody"/>
            </w:pPr>
            <w:r w:rsidRPr="0060474A">
              <w:t>Traffic offences</w:t>
            </w:r>
          </w:p>
        </w:tc>
        <w:tc>
          <w:tcPr>
            <w:tcW w:w="1250" w:type="pct"/>
            <w:noWrap/>
            <w:hideMark/>
          </w:tcPr>
          <w:p w14:paraId="11D79DD7" w14:textId="77777777" w:rsidR="00057F73" w:rsidRPr="0060474A" w:rsidRDefault="00057F73" w:rsidP="00BC2E77">
            <w:pPr>
              <w:pStyle w:val="TableBody"/>
            </w:pPr>
            <w:r w:rsidRPr="0060474A">
              <w:t>9.0%</w:t>
            </w:r>
          </w:p>
        </w:tc>
        <w:tc>
          <w:tcPr>
            <w:tcW w:w="1250" w:type="pct"/>
            <w:noWrap/>
            <w:hideMark/>
          </w:tcPr>
          <w:p w14:paraId="17CF0B5D" w14:textId="77777777" w:rsidR="00057F73" w:rsidRPr="0060474A" w:rsidRDefault="00057F73" w:rsidP="00BC2E77">
            <w:pPr>
              <w:pStyle w:val="TableBody"/>
            </w:pPr>
            <w:r w:rsidRPr="0060474A">
              <w:t>1.6%</w:t>
            </w:r>
          </w:p>
        </w:tc>
        <w:tc>
          <w:tcPr>
            <w:tcW w:w="1250" w:type="pct"/>
            <w:noWrap/>
            <w:hideMark/>
          </w:tcPr>
          <w:p w14:paraId="7CF3A27B" w14:textId="77777777" w:rsidR="00057F73" w:rsidRPr="0060474A" w:rsidRDefault="00057F73" w:rsidP="00BC2E77">
            <w:pPr>
              <w:pStyle w:val="TableBody"/>
            </w:pPr>
            <w:r w:rsidRPr="0060474A">
              <w:t>4.2%</w:t>
            </w:r>
          </w:p>
        </w:tc>
      </w:tr>
      <w:tr w:rsidR="00057F73" w:rsidRPr="0060474A" w14:paraId="7C22689E" w14:textId="77777777" w:rsidTr="007B7D9A">
        <w:trPr>
          <w:trHeight w:val="290"/>
        </w:trPr>
        <w:tc>
          <w:tcPr>
            <w:tcW w:w="1250" w:type="pct"/>
            <w:noWrap/>
            <w:hideMark/>
          </w:tcPr>
          <w:p w14:paraId="79BAA839" w14:textId="77777777" w:rsidR="00057F73" w:rsidRPr="0060474A" w:rsidRDefault="00057F73" w:rsidP="004D1875">
            <w:pPr>
              <w:pStyle w:val="TableBody"/>
            </w:pPr>
            <w:r w:rsidRPr="0060474A">
              <w:t>Drug-related offences</w:t>
            </w:r>
          </w:p>
        </w:tc>
        <w:tc>
          <w:tcPr>
            <w:tcW w:w="1250" w:type="pct"/>
            <w:noWrap/>
            <w:hideMark/>
          </w:tcPr>
          <w:p w14:paraId="08D48F64" w14:textId="77777777" w:rsidR="00057F73" w:rsidRPr="0060474A" w:rsidRDefault="00057F73" w:rsidP="00BC2E77">
            <w:pPr>
              <w:pStyle w:val="TableBody"/>
            </w:pPr>
            <w:r w:rsidRPr="0060474A">
              <w:t>23.8%</w:t>
            </w:r>
          </w:p>
        </w:tc>
        <w:tc>
          <w:tcPr>
            <w:tcW w:w="1250" w:type="pct"/>
            <w:noWrap/>
            <w:hideMark/>
          </w:tcPr>
          <w:p w14:paraId="5D8DAC65" w14:textId="77777777" w:rsidR="00057F73" w:rsidRPr="0060474A" w:rsidRDefault="00057F73" w:rsidP="00BC2E77">
            <w:pPr>
              <w:pStyle w:val="TableBody"/>
            </w:pPr>
            <w:r w:rsidRPr="0060474A">
              <w:t>9.2%</w:t>
            </w:r>
          </w:p>
        </w:tc>
        <w:tc>
          <w:tcPr>
            <w:tcW w:w="1250" w:type="pct"/>
            <w:noWrap/>
            <w:hideMark/>
          </w:tcPr>
          <w:p w14:paraId="1F1B79F5" w14:textId="77777777" w:rsidR="00057F73" w:rsidRPr="0060474A" w:rsidRDefault="00057F73" w:rsidP="00BC2E77">
            <w:pPr>
              <w:pStyle w:val="TableBody"/>
            </w:pPr>
            <w:r w:rsidRPr="0060474A">
              <w:t>13.1%</w:t>
            </w:r>
          </w:p>
        </w:tc>
      </w:tr>
      <w:tr w:rsidR="00057F73" w:rsidRPr="0060474A" w14:paraId="28A29077" w14:textId="77777777" w:rsidTr="007B7D9A">
        <w:trPr>
          <w:trHeight w:val="290"/>
        </w:trPr>
        <w:tc>
          <w:tcPr>
            <w:tcW w:w="1250" w:type="pct"/>
            <w:noWrap/>
            <w:hideMark/>
          </w:tcPr>
          <w:p w14:paraId="4F147394" w14:textId="77777777" w:rsidR="00057F73" w:rsidRPr="0060474A" w:rsidRDefault="00057F73" w:rsidP="004D1875">
            <w:pPr>
              <w:pStyle w:val="TableBody"/>
            </w:pPr>
            <w:r w:rsidRPr="0060474A">
              <w:t>Other</w:t>
            </w:r>
          </w:p>
        </w:tc>
        <w:tc>
          <w:tcPr>
            <w:tcW w:w="1250" w:type="pct"/>
            <w:noWrap/>
            <w:hideMark/>
          </w:tcPr>
          <w:p w14:paraId="5EA2CA1B" w14:textId="77777777" w:rsidR="00057F73" w:rsidRPr="0060474A" w:rsidRDefault="00057F73" w:rsidP="00BC2E77">
            <w:pPr>
              <w:pStyle w:val="TableBody"/>
            </w:pPr>
            <w:r w:rsidRPr="0060474A">
              <w:t>16.6%</w:t>
            </w:r>
          </w:p>
        </w:tc>
        <w:tc>
          <w:tcPr>
            <w:tcW w:w="1250" w:type="pct"/>
            <w:noWrap/>
            <w:hideMark/>
          </w:tcPr>
          <w:p w14:paraId="263069BE" w14:textId="77777777" w:rsidR="00057F73" w:rsidRPr="0060474A" w:rsidRDefault="00057F73" w:rsidP="00BC2E77">
            <w:pPr>
              <w:pStyle w:val="TableBody"/>
            </w:pPr>
            <w:r w:rsidRPr="0060474A">
              <w:t>7.5%</w:t>
            </w:r>
          </w:p>
        </w:tc>
        <w:tc>
          <w:tcPr>
            <w:tcW w:w="1250" w:type="pct"/>
            <w:noWrap/>
            <w:hideMark/>
          </w:tcPr>
          <w:p w14:paraId="2A556223" w14:textId="77777777" w:rsidR="00057F73" w:rsidRPr="0060474A" w:rsidRDefault="00057F73" w:rsidP="00BC2E77">
            <w:pPr>
              <w:pStyle w:val="TableBody"/>
            </w:pPr>
            <w:r w:rsidRPr="0060474A">
              <w:t>19.0%</w:t>
            </w:r>
          </w:p>
        </w:tc>
      </w:tr>
    </w:tbl>
    <w:p w14:paraId="6A816062" w14:textId="77777777" w:rsidR="00417C86" w:rsidRPr="0060474A" w:rsidRDefault="00417C86" w:rsidP="00417C86">
      <w:pPr>
        <w:pStyle w:val="Heading2"/>
      </w:pPr>
      <w:r w:rsidRPr="0060474A">
        <w:t>Prevalence of diversion plans for specific offences</w:t>
      </w:r>
    </w:p>
    <w:p w14:paraId="005B70CA" w14:textId="77777777" w:rsidR="00417C86" w:rsidRPr="0060474A" w:rsidRDefault="00417C86" w:rsidP="00D74421">
      <w:r w:rsidRPr="0060474A">
        <w:t xml:space="preserve">In Chapter 2, we found that the five most common offences in diversion cases were unlawful assault, theft, careless driving, criminal damage and causing injury recklessly. The prevalence of these offences in diversion cases, though, is driven, at least to some extent, by their prevalence in </w:t>
      </w:r>
      <w:r w:rsidRPr="0060474A">
        <w:lastRenderedPageBreak/>
        <w:t>the criminal justice system more generally. There were, for example, 49,250 cases involving unlawful assault as the principal proven offence in the 10 years to 2020–21; of those cases, 14.5% resulted in a diversion plan (Figure 29). Criminal damage was the principal proven offence in comparatively fewer cases during that 10-year period (16,543 cases), but cases involving criminal damage had a much higher rate of diversion plans (21.8%).</w:t>
      </w:r>
      <w:r w:rsidRPr="0060474A">
        <w:rPr>
          <w:rStyle w:val="Superscript"/>
        </w:rPr>
        <w:footnoteReference w:id="55"/>
      </w:r>
      <w:r w:rsidRPr="0060474A">
        <w:t xml:space="preserve"> </w:t>
      </w:r>
    </w:p>
    <w:p w14:paraId="4F02990C" w14:textId="77777777" w:rsidR="00417C86" w:rsidRPr="0060474A" w:rsidRDefault="00417C86" w:rsidP="00187BBF">
      <w:pPr>
        <w:pStyle w:val="Caption"/>
      </w:pPr>
      <w:r w:rsidRPr="0060474A">
        <w:t>Figure 29: Prevalence of diversion plans by specific offence, 2011–12 to 2020–21</w:t>
      </w:r>
    </w:p>
    <w:tbl>
      <w:tblPr>
        <w:tblStyle w:val="Table"/>
        <w:tblW w:w="9016" w:type="dxa"/>
        <w:tblLook w:val="04A0" w:firstRow="1" w:lastRow="0" w:firstColumn="1" w:lastColumn="0" w:noHBand="0" w:noVBand="1"/>
      </w:tblPr>
      <w:tblGrid>
        <w:gridCol w:w="4080"/>
        <w:gridCol w:w="2236"/>
        <w:gridCol w:w="2700"/>
      </w:tblGrid>
      <w:tr w:rsidR="00C47061" w:rsidRPr="0060474A" w14:paraId="2DDAF95F" w14:textId="77777777" w:rsidTr="002A0596">
        <w:trPr>
          <w:trHeight w:val="290"/>
          <w:tblHeader/>
        </w:trPr>
        <w:tc>
          <w:tcPr>
            <w:tcW w:w="4080" w:type="dxa"/>
            <w:noWrap/>
            <w:hideMark/>
          </w:tcPr>
          <w:p w14:paraId="3882AD3F" w14:textId="730750CD" w:rsidR="00C47061" w:rsidRPr="0060474A" w:rsidRDefault="00C47061" w:rsidP="005C6183">
            <w:pPr>
              <w:pStyle w:val="TableHeading"/>
            </w:pPr>
            <w:r>
              <w:t>Offence</w:t>
            </w:r>
          </w:p>
        </w:tc>
        <w:tc>
          <w:tcPr>
            <w:tcW w:w="2236" w:type="dxa"/>
          </w:tcPr>
          <w:p w14:paraId="0E70690E" w14:textId="09B0EE42" w:rsidR="00C47061" w:rsidRPr="0060474A" w:rsidRDefault="00C47061" w:rsidP="000027A4">
            <w:pPr>
              <w:pStyle w:val="TableHeading"/>
            </w:pPr>
            <w:r>
              <w:t>Number</w:t>
            </w:r>
          </w:p>
        </w:tc>
        <w:tc>
          <w:tcPr>
            <w:tcW w:w="2700" w:type="dxa"/>
            <w:noWrap/>
            <w:hideMark/>
          </w:tcPr>
          <w:p w14:paraId="083D2C59" w14:textId="27CA1410" w:rsidR="00C47061" w:rsidRPr="0060474A" w:rsidRDefault="00C47061" w:rsidP="000027A4">
            <w:pPr>
              <w:pStyle w:val="TableHeading"/>
            </w:pPr>
            <w:r w:rsidRPr="0060474A">
              <w:t>Percentage</w:t>
            </w:r>
          </w:p>
        </w:tc>
      </w:tr>
      <w:tr w:rsidR="00C47061" w:rsidRPr="0060474A" w14:paraId="321F0EFC" w14:textId="77777777" w:rsidTr="00C47061">
        <w:trPr>
          <w:trHeight w:val="290"/>
        </w:trPr>
        <w:tc>
          <w:tcPr>
            <w:tcW w:w="4080" w:type="dxa"/>
            <w:noWrap/>
            <w:hideMark/>
          </w:tcPr>
          <w:p w14:paraId="449D7D57" w14:textId="4F390043" w:rsidR="00C47061" w:rsidRPr="0060474A" w:rsidRDefault="00C47061" w:rsidP="00C47061">
            <w:pPr>
              <w:pStyle w:val="TableBody"/>
            </w:pPr>
            <w:r w:rsidRPr="0060474A">
              <w:t>1. Unlawful assault</w:t>
            </w:r>
          </w:p>
        </w:tc>
        <w:tc>
          <w:tcPr>
            <w:tcW w:w="2236" w:type="dxa"/>
          </w:tcPr>
          <w:p w14:paraId="4E525ECF" w14:textId="7F42ED39" w:rsidR="00C47061" w:rsidRPr="0060474A" w:rsidRDefault="00C47061" w:rsidP="00BC2E77">
            <w:pPr>
              <w:pStyle w:val="TableBody"/>
            </w:pPr>
            <w:r w:rsidRPr="0060474A">
              <w:t>49,250</w:t>
            </w:r>
          </w:p>
        </w:tc>
        <w:tc>
          <w:tcPr>
            <w:tcW w:w="2700" w:type="dxa"/>
            <w:noWrap/>
            <w:hideMark/>
          </w:tcPr>
          <w:p w14:paraId="68DE458D" w14:textId="097AFD41" w:rsidR="00C47061" w:rsidRPr="0060474A" w:rsidRDefault="00C47061" w:rsidP="00BC2E77">
            <w:pPr>
              <w:pStyle w:val="TableBody"/>
            </w:pPr>
            <w:r w:rsidRPr="0060474A">
              <w:t>14.5%</w:t>
            </w:r>
          </w:p>
        </w:tc>
      </w:tr>
      <w:tr w:rsidR="00C47061" w:rsidRPr="0060474A" w14:paraId="44052FD2" w14:textId="77777777" w:rsidTr="00C47061">
        <w:trPr>
          <w:trHeight w:val="290"/>
        </w:trPr>
        <w:tc>
          <w:tcPr>
            <w:tcW w:w="4080" w:type="dxa"/>
            <w:noWrap/>
            <w:hideMark/>
          </w:tcPr>
          <w:p w14:paraId="6C8EAE70" w14:textId="76258032" w:rsidR="00C47061" w:rsidRPr="0060474A" w:rsidRDefault="00C47061" w:rsidP="00C47061">
            <w:pPr>
              <w:pStyle w:val="TableBody"/>
            </w:pPr>
            <w:r w:rsidRPr="0060474A">
              <w:t>2. Theft</w:t>
            </w:r>
          </w:p>
        </w:tc>
        <w:tc>
          <w:tcPr>
            <w:tcW w:w="2236" w:type="dxa"/>
          </w:tcPr>
          <w:p w14:paraId="6E7D530B" w14:textId="50DDCA11" w:rsidR="00C47061" w:rsidRPr="0060474A" w:rsidRDefault="00C47061" w:rsidP="00BC2E77">
            <w:pPr>
              <w:pStyle w:val="TableBody"/>
            </w:pPr>
            <w:r w:rsidRPr="0060474A">
              <w:t>46,256</w:t>
            </w:r>
          </w:p>
        </w:tc>
        <w:tc>
          <w:tcPr>
            <w:tcW w:w="2700" w:type="dxa"/>
            <w:noWrap/>
            <w:hideMark/>
          </w:tcPr>
          <w:p w14:paraId="38C6F72C" w14:textId="490C0DE1" w:rsidR="00C47061" w:rsidRPr="0060474A" w:rsidRDefault="00C47061" w:rsidP="00BC2E77">
            <w:pPr>
              <w:pStyle w:val="TableBody"/>
            </w:pPr>
            <w:r w:rsidRPr="0060474A">
              <w:t>14.8%</w:t>
            </w:r>
          </w:p>
        </w:tc>
      </w:tr>
      <w:tr w:rsidR="00C47061" w:rsidRPr="0060474A" w14:paraId="0F217BD6" w14:textId="77777777" w:rsidTr="00C47061">
        <w:trPr>
          <w:trHeight w:val="290"/>
        </w:trPr>
        <w:tc>
          <w:tcPr>
            <w:tcW w:w="4080" w:type="dxa"/>
            <w:noWrap/>
            <w:hideMark/>
          </w:tcPr>
          <w:p w14:paraId="16086727" w14:textId="6B66CC19" w:rsidR="00C47061" w:rsidRPr="0060474A" w:rsidRDefault="00C47061" w:rsidP="00C47061">
            <w:pPr>
              <w:pStyle w:val="TableBody"/>
            </w:pPr>
            <w:r w:rsidRPr="0060474A">
              <w:t>3. Careless driving</w:t>
            </w:r>
          </w:p>
        </w:tc>
        <w:tc>
          <w:tcPr>
            <w:tcW w:w="2236" w:type="dxa"/>
          </w:tcPr>
          <w:p w14:paraId="4BC41CCC" w14:textId="33D58C90" w:rsidR="00C47061" w:rsidRPr="0060474A" w:rsidRDefault="00C47061" w:rsidP="00BC2E77">
            <w:pPr>
              <w:pStyle w:val="TableBody"/>
            </w:pPr>
            <w:r w:rsidRPr="0060474A">
              <w:t>27,690</w:t>
            </w:r>
          </w:p>
        </w:tc>
        <w:tc>
          <w:tcPr>
            <w:tcW w:w="2700" w:type="dxa"/>
            <w:noWrap/>
            <w:hideMark/>
          </w:tcPr>
          <w:p w14:paraId="5B6A112B" w14:textId="58E7B2D3" w:rsidR="00C47061" w:rsidRPr="0060474A" w:rsidRDefault="00C47061" w:rsidP="00BC2E77">
            <w:pPr>
              <w:pStyle w:val="TableBody"/>
            </w:pPr>
            <w:r w:rsidRPr="0060474A">
              <w:t>14.3%</w:t>
            </w:r>
          </w:p>
        </w:tc>
      </w:tr>
      <w:tr w:rsidR="00C47061" w:rsidRPr="0060474A" w14:paraId="2D9CDF08" w14:textId="77777777" w:rsidTr="00C47061">
        <w:trPr>
          <w:trHeight w:val="290"/>
        </w:trPr>
        <w:tc>
          <w:tcPr>
            <w:tcW w:w="4080" w:type="dxa"/>
            <w:noWrap/>
            <w:hideMark/>
          </w:tcPr>
          <w:p w14:paraId="129872B9" w14:textId="36965F3D" w:rsidR="00C47061" w:rsidRPr="0060474A" w:rsidRDefault="00C47061" w:rsidP="00C47061">
            <w:pPr>
              <w:pStyle w:val="TableBody"/>
            </w:pPr>
            <w:r w:rsidRPr="0060474A">
              <w:t>4. Criminal damage</w:t>
            </w:r>
          </w:p>
        </w:tc>
        <w:tc>
          <w:tcPr>
            <w:tcW w:w="2236" w:type="dxa"/>
          </w:tcPr>
          <w:p w14:paraId="1565381E" w14:textId="439FD080" w:rsidR="00C47061" w:rsidRPr="0060474A" w:rsidRDefault="00C47061" w:rsidP="00BC2E77">
            <w:pPr>
              <w:pStyle w:val="TableBody"/>
            </w:pPr>
            <w:r w:rsidRPr="0060474A">
              <w:t>16,543</w:t>
            </w:r>
          </w:p>
        </w:tc>
        <w:tc>
          <w:tcPr>
            <w:tcW w:w="2700" w:type="dxa"/>
            <w:noWrap/>
            <w:hideMark/>
          </w:tcPr>
          <w:p w14:paraId="7D75DC99" w14:textId="3D919746" w:rsidR="00C47061" w:rsidRPr="0060474A" w:rsidRDefault="00C47061" w:rsidP="00BC2E77">
            <w:pPr>
              <w:pStyle w:val="TableBody"/>
            </w:pPr>
            <w:r w:rsidRPr="0060474A">
              <w:t>21.8%</w:t>
            </w:r>
          </w:p>
        </w:tc>
      </w:tr>
      <w:tr w:rsidR="00C47061" w:rsidRPr="0060474A" w14:paraId="0631DC9D" w14:textId="77777777" w:rsidTr="00C47061">
        <w:trPr>
          <w:trHeight w:val="290"/>
        </w:trPr>
        <w:tc>
          <w:tcPr>
            <w:tcW w:w="4080" w:type="dxa"/>
            <w:noWrap/>
            <w:hideMark/>
          </w:tcPr>
          <w:p w14:paraId="7624FCB6" w14:textId="1AAC4770" w:rsidR="00C47061" w:rsidRPr="0060474A" w:rsidRDefault="00C47061" w:rsidP="00C47061">
            <w:pPr>
              <w:pStyle w:val="TableBody"/>
            </w:pPr>
            <w:r w:rsidRPr="0060474A">
              <w:t>5. Cause injury recklessly</w:t>
            </w:r>
          </w:p>
        </w:tc>
        <w:tc>
          <w:tcPr>
            <w:tcW w:w="2236" w:type="dxa"/>
          </w:tcPr>
          <w:p w14:paraId="4C553985" w14:textId="22BE11D6" w:rsidR="00C47061" w:rsidRPr="0060474A" w:rsidRDefault="00C47061" w:rsidP="00BC2E77">
            <w:pPr>
              <w:pStyle w:val="TableBody"/>
            </w:pPr>
            <w:r w:rsidRPr="0060474A">
              <w:t>23,396</w:t>
            </w:r>
          </w:p>
        </w:tc>
        <w:tc>
          <w:tcPr>
            <w:tcW w:w="2700" w:type="dxa"/>
            <w:noWrap/>
            <w:hideMark/>
          </w:tcPr>
          <w:p w14:paraId="03FFC4E9" w14:textId="672688A6" w:rsidR="00C47061" w:rsidRPr="0060474A" w:rsidRDefault="00C47061" w:rsidP="00BC2E77">
            <w:pPr>
              <w:pStyle w:val="TableBody"/>
            </w:pPr>
            <w:r w:rsidRPr="0060474A">
              <w:t>8.9%</w:t>
            </w:r>
          </w:p>
        </w:tc>
      </w:tr>
    </w:tbl>
    <w:p w14:paraId="39B05511" w14:textId="77777777" w:rsidR="00417C86" w:rsidRPr="0060474A" w:rsidRDefault="00417C86" w:rsidP="004F2FCB">
      <w:r w:rsidRPr="0060474A">
        <w:t>Again, though, these rates varied by the demographics of the person receiving a diversion plan:</w:t>
      </w:r>
    </w:p>
    <w:p w14:paraId="3CBC3449" w14:textId="77777777" w:rsidR="00417C86" w:rsidRPr="0060474A" w:rsidRDefault="00417C86" w:rsidP="00D74421">
      <w:pPr>
        <w:pStyle w:val="Bullets"/>
      </w:pPr>
      <w:r w:rsidRPr="0060474A">
        <w:rPr>
          <w:b/>
          <w:bCs/>
        </w:rPr>
        <w:t>Gender</w:t>
      </w:r>
      <w:r w:rsidRPr="0060474A">
        <w:t>: women were much more likely than men to receive diversion plans for each of the five most common offences in diversion cases (Figure 30). A diversion plan was the outcome in 11.6% of cases where men had careless driving as their principal proven offence. In comparison, the rate of diversion plans doubled to almost one-quarter of cases (24.2%) where women had careless driving as their principal proven offence. Even more strikingly, women (19.7%) were almost three times more likely than men (6.9%) to receive diversion plans for causing injury recklessly.</w:t>
      </w:r>
    </w:p>
    <w:p w14:paraId="1B2E9676" w14:textId="77777777" w:rsidR="00417C86" w:rsidRPr="0060474A" w:rsidRDefault="00417C86" w:rsidP="00187BBF">
      <w:pPr>
        <w:pStyle w:val="Caption"/>
      </w:pPr>
      <w:r w:rsidRPr="0060474A">
        <w:lastRenderedPageBreak/>
        <w:t>Figure 30: Prevalence of diversion plans by specific offence and gender, 2011–12 to 2020–21</w:t>
      </w:r>
    </w:p>
    <w:tbl>
      <w:tblPr>
        <w:tblStyle w:val="Table"/>
        <w:tblW w:w="5000" w:type="pct"/>
        <w:tblLook w:val="04A0" w:firstRow="1" w:lastRow="0" w:firstColumn="1" w:lastColumn="0" w:noHBand="0" w:noVBand="1"/>
      </w:tblPr>
      <w:tblGrid>
        <w:gridCol w:w="5357"/>
        <w:gridCol w:w="1695"/>
        <w:gridCol w:w="1964"/>
      </w:tblGrid>
      <w:tr w:rsidR="0094625B" w:rsidRPr="0060474A" w14:paraId="2EA909A9" w14:textId="77777777" w:rsidTr="006D58B8">
        <w:trPr>
          <w:trHeight w:val="290"/>
          <w:tblHeader/>
        </w:trPr>
        <w:tc>
          <w:tcPr>
            <w:tcW w:w="2971" w:type="pct"/>
            <w:noWrap/>
            <w:hideMark/>
          </w:tcPr>
          <w:p w14:paraId="7290D7E4" w14:textId="359AA724" w:rsidR="0094625B" w:rsidRPr="003223F8" w:rsidRDefault="003223F8" w:rsidP="003223F8">
            <w:pPr>
              <w:pStyle w:val="TableHeading"/>
            </w:pPr>
            <w:r>
              <w:t>Offence</w:t>
            </w:r>
          </w:p>
        </w:tc>
        <w:tc>
          <w:tcPr>
            <w:tcW w:w="940" w:type="pct"/>
            <w:noWrap/>
            <w:hideMark/>
          </w:tcPr>
          <w:p w14:paraId="39B73120" w14:textId="77777777" w:rsidR="0094625B" w:rsidRPr="0060474A" w:rsidRDefault="0094625B" w:rsidP="003223F8">
            <w:pPr>
              <w:pStyle w:val="TableHeading"/>
            </w:pPr>
            <w:r w:rsidRPr="0060474A">
              <w:t>Male</w:t>
            </w:r>
          </w:p>
        </w:tc>
        <w:tc>
          <w:tcPr>
            <w:tcW w:w="1089" w:type="pct"/>
            <w:noWrap/>
            <w:hideMark/>
          </w:tcPr>
          <w:p w14:paraId="43E476A9" w14:textId="77777777" w:rsidR="0094625B" w:rsidRPr="0060474A" w:rsidRDefault="0094625B" w:rsidP="003223F8">
            <w:pPr>
              <w:pStyle w:val="TableHeading"/>
            </w:pPr>
            <w:r w:rsidRPr="0060474A">
              <w:t>Female</w:t>
            </w:r>
          </w:p>
        </w:tc>
      </w:tr>
      <w:tr w:rsidR="0094625B" w:rsidRPr="0060474A" w14:paraId="5629F3EF" w14:textId="77777777" w:rsidTr="006B0931">
        <w:trPr>
          <w:trHeight w:val="290"/>
        </w:trPr>
        <w:tc>
          <w:tcPr>
            <w:tcW w:w="2971" w:type="pct"/>
            <w:noWrap/>
            <w:hideMark/>
          </w:tcPr>
          <w:p w14:paraId="25E47130" w14:textId="77777777" w:rsidR="0094625B" w:rsidRPr="0060474A" w:rsidRDefault="0094625B" w:rsidP="003223F8">
            <w:pPr>
              <w:pStyle w:val="TableBody"/>
            </w:pPr>
            <w:r w:rsidRPr="0060474A">
              <w:t>1. Unlawful assault</w:t>
            </w:r>
          </w:p>
        </w:tc>
        <w:tc>
          <w:tcPr>
            <w:tcW w:w="940" w:type="pct"/>
            <w:noWrap/>
            <w:hideMark/>
          </w:tcPr>
          <w:p w14:paraId="47D6FB47" w14:textId="77777777" w:rsidR="0094625B" w:rsidRPr="0060474A" w:rsidRDefault="0094625B" w:rsidP="00BC2E77">
            <w:pPr>
              <w:pStyle w:val="TableBody"/>
            </w:pPr>
            <w:r w:rsidRPr="0060474A">
              <w:t>12.0%</w:t>
            </w:r>
          </w:p>
        </w:tc>
        <w:tc>
          <w:tcPr>
            <w:tcW w:w="1089" w:type="pct"/>
            <w:noWrap/>
            <w:hideMark/>
          </w:tcPr>
          <w:p w14:paraId="1D72BF84" w14:textId="77777777" w:rsidR="0094625B" w:rsidRPr="0060474A" w:rsidRDefault="0094625B" w:rsidP="00BC2E77">
            <w:pPr>
              <w:pStyle w:val="TableBody"/>
            </w:pPr>
            <w:r w:rsidRPr="0060474A">
              <w:t>26.1%</w:t>
            </w:r>
          </w:p>
        </w:tc>
      </w:tr>
      <w:tr w:rsidR="0094625B" w:rsidRPr="0060474A" w14:paraId="14129B68" w14:textId="77777777" w:rsidTr="006B0931">
        <w:trPr>
          <w:trHeight w:val="290"/>
        </w:trPr>
        <w:tc>
          <w:tcPr>
            <w:tcW w:w="2971" w:type="pct"/>
            <w:noWrap/>
            <w:hideMark/>
          </w:tcPr>
          <w:p w14:paraId="227FEE85" w14:textId="77777777" w:rsidR="0094625B" w:rsidRPr="0060474A" w:rsidRDefault="0094625B" w:rsidP="003223F8">
            <w:pPr>
              <w:pStyle w:val="TableBody"/>
            </w:pPr>
            <w:r w:rsidRPr="0060474A">
              <w:t>2. Theft</w:t>
            </w:r>
          </w:p>
        </w:tc>
        <w:tc>
          <w:tcPr>
            <w:tcW w:w="940" w:type="pct"/>
            <w:noWrap/>
            <w:hideMark/>
          </w:tcPr>
          <w:p w14:paraId="20EE1DDD" w14:textId="77777777" w:rsidR="0094625B" w:rsidRPr="0060474A" w:rsidRDefault="0094625B" w:rsidP="00BC2E77">
            <w:pPr>
              <w:pStyle w:val="TableBody"/>
            </w:pPr>
            <w:r w:rsidRPr="0060474A">
              <w:t>11.7%</w:t>
            </w:r>
          </w:p>
        </w:tc>
        <w:tc>
          <w:tcPr>
            <w:tcW w:w="1089" w:type="pct"/>
            <w:noWrap/>
            <w:hideMark/>
          </w:tcPr>
          <w:p w14:paraId="69FC6DF1" w14:textId="77777777" w:rsidR="0094625B" w:rsidRPr="0060474A" w:rsidRDefault="0094625B" w:rsidP="00BC2E77">
            <w:pPr>
              <w:pStyle w:val="TableBody"/>
            </w:pPr>
            <w:r w:rsidRPr="0060474A">
              <w:t>20.4%</w:t>
            </w:r>
          </w:p>
        </w:tc>
      </w:tr>
      <w:tr w:rsidR="0094625B" w:rsidRPr="0060474A" w14:paraId="68701794" w14:textId="77777777" w:rsidTr="006B0931">
        <w:trPr>
          <w:trHeight w:val="290"/>
        </w:trPr>
        <w:tc>
          <w:tcPr>
            <w:tcW w:w="2971" w:type="pct"/>
            <w:noWrap/>
            <w:hideMark/>
          </w:tcPr>
          <w:p w14:paraId="28E0AAFE" w14:textId="77777777" w:rsidR="0094625B" w:rsidRPr="0060474A" w:rsidRDefault="0094625B" w:rsidP="003223F8">
            <w:pPr>
              <w:pStyle w:val="TableBody"/>
            </w:pPr>
            <w:r w:rsidRPr="0060474A">
              <w:t>3. Careless driving</w:t>
            </w:r>
          </w:p>
        </w:tc>
        <w:tc>
          <w:tcPr>
            <w:tcW w:w="940" w:type="pct"/>
            <w:noWrap/>
            <w:hideMark/>
          </w:tcPr>
          <w:p w14:paraId="4E0C8D51" w14:textId="77777777" w:rsidR="0094625B" w:rsidRPr="0060474A" w:rsidRDefault="0094625B" w:rsidP="00BC2E77">
            <w:pPr>
              <w:pStyle w:val="TableBody"/>
            </w:pPr>
            <w:r w:rsidRPr="0060474A">
              <w:t>11.6%</w:t>
            </w:r>
          </w:p>
        </w:tc>
        <w:tc>
          <w:tcPr>
            <w:tcW w:w="1089" w:type="pct"/>
            <w:noWrap/>
            <w:hideMark/>
          </w:tcPr>
          <w:p w14:paraId="52963B5C" w14:textId="77777777" w:rsidR="0094625B" w:rsidRPr="0060474A" w:rsidRDefault="0094625B" w:rsidP="00BC2E77">
            <w:pPr>
              <w:pStyle w:val="TableBody"/>
            </w:pPr>
            <w:r w:rsidRPr="0060474A">
              <w:t>24.2%</w:t>
            </w:r>
          </w:p>
        </w:tc>
      </w:tr>
      <w:tr w:rsidR="0094625B" w:rsidRPr="0060474A" w14:paraId="03A7E79A" w14:textId="77777777" w:rsidTr="006B0931">
        <w:trPr>
          <w:trHeight w:val="290"/>
        </w:trPr>
        <w:tc>
          <w:tcPr>
            <w:tcW w:w="2971" w:type="pct"/>
            <w:noWrap/>
            <w:hideMark/>
          </w:tcPr>
          <w:p w14:paraId="2F457CD5" w14:textId="77777777" w:rsidR="0094625B" w:rsidRPr="0060474A" w:rsidRDefault="0094625B" w:rsidP="003223F8">
            <w:pPr>
              <w:pStyle w:val="TableBody"/>
            </w:pPr>
            <w:r w:rsidRPr="0060474A">
              <w:t>4. Criminal damage</w:t>
            </w:r>
          </w:p>
        </w:tc>
        <w:tc>
          <w:tcPr>
            <w:tcW w:w="940" w:type="pct"/>
            <w:noWrap/>
            <w:hideMark/>
          </w:tcPr>
          <w:p w14:paraId="17D2B8B8" w14:textId="77777777" w:rsidR="0094625B" w:rsidRPr="0060474A" w:rsidRDefault="0094625B" w:rsidP="00BC2E77">
            <w:pPr>
              <w:pStyle w:val="TableBody"/>
            </w:pPr>
            <w:r w:rsidRPr="0060474A">
              <w:t>20.2%</w:t>
            </w:r>
          </w:p>
        </w:tc>
        <w:tc>
          <w:tcPr>
            <w:tcW w:w="1089" w:type="pct"/>
            <w:noWrap/>
            <w:hideMark/>
          </w:tcPr>
          <w:p w14:paraId="0A052D4F" w14:textId="77777777" w:rsidR="0094625B" w:rsidRPr="0060474A" w:rsidRDefault="0094625B" w:rsidP="00BC2E77">
            <w:pPr>
              <w:pStyle w:val="TableBody"/>
            </w:pPr>
            <w:r w:rsidRPr="0060474A">
              <w:t>30.3%</w:t>
            </w:r>
          </w:p>
        </w:tc>
      </w:tr>
      <w:tr w:rsidR="0094625B" w:rsidRPr="0060474A" w14:paraId="63FD8448" w14:textId="77777777" w:rsidTr="006B0931">
        <w:trPr>
          <w:trHeight w:val="290"/>
        </w:trPr>
        <w:tc>
          <w:tcPr>
            <w:tcW w:w="2971" w:type="pct"/>
            <w:noWrap/>
            <w:hideMark/>
          </w:tcPr>
          <w:p w14:paraId="5B6C9F63" w14:textId="77777777" w:rsidR="0094625B" w:rsidRPr="0060474A" w:rsidRDefault="0094625B" w:rsidP="003223F8">
            <w:pPr>
              <w:pStyle w:val="TableBody"/>
            </w:pPr>
            <w:r w:rsidRPr="0060474A">
              <w:t>5. Cause injury recklessly</w:t>
            </w:r>
          </w:p>
        </w:tc>
        <w:tc>
          <w:tcPr>
            <w:tcW w:w="940" w:type="pct"/>
            <w:noWrap/>
            <w:hideMark/>
          </w:tcPr>
          <w:p w14:paraId="712B8BC1" w14:textId="77777777" w:rsidR="0094625B" w:rsidRPr="0060474A" w:rsidRDefault="0094625B" w:rsidP="00BC2E77">
            <w:pPr>
              <w:pStyle w:val="TableBody"/>
            </w:pPr>
            <w:r w:rsidRPr="0060474A">
              <w:t>6.9%</w:t>
            </w:r>
          </w:p>
        </w:tc>
        <w:tc>
          <w:tcPr>
            <w:tcW w:w="1089" w:type="pct"/>
            <w:noWrap/>
            <w:hideMark/>
          </w:tcPr>
          <w:p w14:paraId="2E9D4F72" w14:textId="77777777" w:rsidR="0094625B" w:rsidRPr="0060474A" w:rsidRDefault="0094625B" w:rsidP="00BC2E77">
            <w:pPr>
              <w:pStyle w:val="TableBody"/>
            </w:pPr>
            <w:r w:rsidRPr="0060474A">
              <w:t>19.7%</w:t>
            </w:r>
          </w:p>
        </w:tc>
      </w:tr>
    </w:tbl>
    <w:p w14:paraId="1D1B6BFD" w14:textId="77777777" w:rsidR="00417C86" w:rsidRPr="0060474A" w:rsidRDefault="00417C86" w:rsidP="00FE6070">
      <w:pPr>
        <w:pStyle w:val="Bullets"/>
        <w:spacing w:before="240"/>
      </w:pPr>
      <w:r w:rsidRPr="0060474A">
        <w:rPr>
          <w:b/>
          <w:bCs/>
        </w:rPr>
        <w:t>Age</w:t>
      </w:r>
      <w:r w:rsidRPr="0060474A">
        <w:t>: both younger defendants (aged 18 to 19) and older defendants (aged 65 and over) were much more likely than defendants aged 20 to 64 to receive diversion plans for each of the five most common offences resulting in a diversion plan.</w:t>
      </w:r>
      <w:r w:rsidRPr="0060474A">
        <w:rPr>
          <w:rStyle w:val="Superscript"/>
        </w:rPr>
        <w:footnoteReference w:id="56"/>
      </w:r>
      <w:r w:rsidRPr="0060474A">
        <w:t xml:space="preserve"> Both younger and older defendants had a similar likelihood of receiving diversion plans for three of the five offences. But the main exception was unlawful assault: older defendants were much more likely to receive diversion plans (in 35.6% of cases where unlawful assault was their principal proven offence) than younger defendants (20.7% of cases). Similarly, but to a smaller degree, older defendants (22.2%) were more likely than younger defendants (13.1%) to receive diversion plans for causing injury recklessly. When older defendants commit these types of offences, the offences tend to be less serious and involve more mitigating factors, and the defendants have less risk of similar further offending,</w:t>
      </w:r>
      <w:r w:rsidRPr="0060474A">
        <w:rPr>
          <w:rStyle w:val="Superscript"/>
        </w:rPr>
        <w:footnoteReference w:id="57"/>
      </w:r>
      <w:r w:rsidRPr="0060474A">
        <w:t xml:space="preserve"> which may help explain the higher rates of diversion plans for assault and injury offences in cases involving older defendants.</w:t>
      </w:r>
    </w:p>
    <w:p w14:paraId="400A92B7" w14:textId="77777777" w:rsidR="00417C86" w:rsidRPr="0060474A" w:rsidRDefault="00417C86" w:rsidP="00187BBF">
      <w:pPr>
        <w:pStyle w:val="Caption"/>
      </w:pPr>
      <w:r w:rsidRPr="0060474A">
        <w:lastRenderedPageBreak/>
        <w:t>Figure 31: Prevalence of diversion plans by specific offence and age, 2011–12 to 2020–21</w:t>
      </w:r>
    </w:p>
    <w:tbl>
      <w:tblPr>
        <w:tblStyle w:val="Table"/>
        <w:tblW w:w="5000" w:type="pct"/>
        <w:tblLook w:val="04A0" w:firstRow="1" w:lastRow="0" w:firstColumn="1" w:lastColumn="0" w:noHBand="0" w:noVBand="1"/>
      </w:tblPr>
      <w:tblGrid>
        <w:gridCol w:w="2800"/>
        <w:gridCol w:w="1989"/>
        <w:gridCol w:w="1990"/>
        <w:gridCol w:w="2237"/>
      </w:tblGrid>
      <w:tr w:rsidR="00EB78F6" w:rsidRPr="0060474A" w14:paraId="7230BA7F" w14:textId="77777777" w:rsidTr="003E60AA">
        <w:trPr>
          <w:trHeight w:val="290"/>
          <w:tblHeader/>
        </w:trPr>
        <w:tc>
          <w:tcPr>
            <w:tcW w:w="1248" w:type="pct"/>
            <w:noWrap/>
            <w:hideMark/>
          </w:tcPr>
          <w:p w14:paraId="0258F4FD" w14:textId="6F6EB55C" w:rsidR="00EB78F6" w:rsidRPr="0060474A" w:rsidRDefault="00367C57" w:rsidP="004C33DE">
            <w:pPr>
              <w:pStyle w:val="TableHeading"/>
            </w:pPr>
            <w:r>
              <w:t>Offence</w:t>
            </w:r>
          </w:p>
        </w:tc>
        <w:tc>
          <w:tcPr>
            <w:tcW w:w="1205" w:type="pct"/>
            <w:noWrap/>
            <w:hideMark/>
          </w:tcPr>
          <w:p w14:paraId="29BB3865" w14:textId="77777777" w:rsidR="00EB78F6" w:rsidRPr="0060474A" w:rsidRDefault="00EB78F6" w:rsidP="000027A4">
            <w:pPr>
              <w:pStyle w:val="TableHeading"/>
            </w:pPr>
            <w:r w:rsidRPr="0060474A">
              <w:t>18 to 19</w:t>
            </w:r>
          </w:p>
        </w:tc>
        <w:tc>
          <w:tcPr>
            <w:tcW w:w="1205" w:type="pct"/>
            <w:noWrap/>
            <w:hideMark/>
          </w:tcPr>
          <w:p w14:paraId="0E6F5429" w14:textId="77777777" w:rsidR="00EB78F6" w:rsidRPr="0060474A" w:rsidRDefault="00EB78F6" w:rsidP="000027A4">
            <w:pPr>
              <w:pStyle w:val="TableHeading"/>
            </w:pPr>
            <w:r w:rsidRPr="0060474A">
              <w:t>20 to 64</w:t>
            </w:r>
          </w:p>
        </w:tc>
        <w:tc>
          <w:tcPr>
            <w:tcW w:w="1343" w:type="pct"/>
            <w:noWrap/>
            <w:hideMark/>
          </w:tcPr>
          <w:p w14:paraId="5FFC6EBA" w14:textId="1D2E931E" w:rsidR="00EB78F6" w:rsidRPr="0060474A" w:rsidRDefault="00EB78F6" w:rsidP="000027A4">
            <w:pPr>
              <w:pStyle w:val="TableHeading"/>
            </w:pPr>
            <w:r w:rsidRPr="0060474A">
              <w:t xml:space="preserve">65 </w:t>
            </w:r>
            <w:r w:rsidR="002E5308" w:rsidRPr="0060474A">
              <w:t>and</w:t>
            </w:r>
            <w:r w:rsidRPr="0060474A">
              <w:t xml:space="preserve"> </w:t>
            </w:r>
            <w:r w:rsidR="0046326C" w:rsidRPr="0060474A">
              <w:t>over</w:t>
            </w:r>
          </w:p>
        </w:tc>
      </w:tr>
      <w:tr w:rsidR="00EB78F6" w:rsidRPr="0060474A" w14:paraId="1954C3C7" w14:textId="77777777" w:rsidTr="003E60AA">
        <w:trPr>
          <w:trHeight w:val="290"/>
        </w:trPr>
        <w:tc>
          <w:tcPr>
            <w:tcW w:w="1248" w:type="pct"/>
            <w:noWrap/>
            <w:hideMark/>
          </w:tcPr>
          <w:p w14:paraId="526F8DAD" w14:textId="77777777" w:rsidR="00EB78F6" w:rsidRPr="0060474A" w:rsidRDefault="00EB78F6" w:rsidP="004C33DE">
            <w:pPr>
              <w:pStyle w:val="TableBody"/>
            </w:pPr>
            <w:r w:rsidRPr="0060474A">
              <w:t>1. Unlawful assault</w:t>
            </w:r>
          </w:p>
        </w:tc>
        <w:tc>
          <w:tcPr>
            <w:tcW w:w="1205" w:type="pct"/>
            <w:noWrap/>
            <w:hideMark/>
          </w:tcPr>
          <w:p w14:paraId="1C9B0349" w14:textId="77777777" w:rsidR="00EB78F6" w:rsidRPr="0060474A" w:rsidRDefault="00EB78F6" w:rsidP="00BC2E77">
            <w:pPr>
              <w:pStyle w:val="TableBody"/>
            </w:pPr>
            <w:r w:rsidRPr="0060474A">
              <w:t>20.7%</w:t>
            </w:r>
          </w:p>
        </w:tc>
        <w:tc>
          <w:tcPr>
            <w:tcW w:w="1205" w:type="pct"/>
            <w:noWrap/>
            <w:hideMark/>
          </w:tcPr>
          <w:p w14:paraId="01D9CE68" w14:textId="77777777" w:rsidR="00EB78F6" w:rsidRPr="0060474A" w:rsidRDefault="00EB78F6" w:rsidP="00BC2E77">
            <w:pPr>
              <w:pStyle w:val="TableBody"/>
            </w:pPr>
            <w:r w:rsidRPr="0060474A">
              <w:t>13.9%</w:t>
            </w:r>
          </w:p>
        </w:tc>
        <w:tc>
          <w:tcPr>
            <w:tcW w:w="1343" w:type="pct"/>
            <w:noWrap/>
            <w:hideMark/>
          </w:tcPr>
          <w:p w14:paraId="1BD018D1" w14:textId="77777777" w:rsidR="00EB78F6" w:rsidRPr="0060474A" w:rsidRDefault="00EB78F6" w:rsidP="00BC2E77">
            <w:pPr>
              <w:pStyle w:val="TableBody"/>
            </w:pPr>
            <w:r w:rsidRPr="0060474A">
              <w:t>35.6%</w:t>
            </w:r>
          </w:p>
        </w:tc>
      </w:tr>
      <w:tr w:rsidR="00EB78F6" w:rsidRPr="0060474A" w14:paraId="6BBF6EB0" w14:textId="77777777" w:rsidTr="003E60AA">
        <w:trPr>
          <w:trHeight w:val="290"/>
        </w:trPr>
        <w:tc>
          <w:tcPr>
            <w:tcW w:w="1248" w:type="pct"/>
            <w:noWrap/>
            <w:hideMark/>
          </w:tcPr>
          <w:p w14:paraId="63E75619" w14:textId="77777777" w:rsidR="00EB78F6" w:rsidRPr="0060474A" w:rsidRDefault="00EB78F6" w:rsidP="004C33DE">
            <w:pPr>
              <w:pStyle w:val="TableBody"/>
            </w:pPr>
            <w:r w:rsidRPr="0060474A">
              <w:t>2. Theft</w:t>
            </w:r>
          </w:p>
        </w:tc>
        <w:tc>
          <w:tcPr>
            <w:tcW w:w="1205" w:type="pct"/>
            <w:noWrap/>
            <w:hideMark/>
          </w:tcPr>
          <w:p w14:paraId="3CDEEEC0" w14:textId="77777777" w:rsidR="00EB78F6" w:rsidRPr="0060474A" w:rsidRDefault="00EB78F6" w:rsidP="00BC2E77">
            <w:pPr>
              <w:pStyle w:val="TableBody"/>
            </w:pPr>
            <w:r w:rsidRPr="0060474A">
              <w:t>31.5%</w:t>
            </w:r>
          </w:p>
        </w:tc>
        <w:tc>
          <w:tcPr>
            <w:tcW w:w="1205" w:type="pct"/>
            <w:noWrap/>
            <w:hideMark/>
          </w:tcPr>
          <w:p w14:paraId="4F7A0448" w14:textId="77777777" w:rsidR="00EB78F6" w:rsidRPr="0060474A" w:rsidRDefault="00EB78F6" w:rsidP="00BC2E77">
            <w:pPr>
              <w:pStyle w:val="TableBody"/>
            </w:pPr>
            <w:r w:rsidRPr="0060474A">
              <w:t>13.4%</w:t>
            </w:r>
          </w:p>
        </w:tc>
        <w:tc>
          <w:tcPr>
            <w:tcW w:w="1343" w:type="pct"/>
            <w:noWrap/>
            <w:hideMark/>
          </w:tcPr>
          <w:p w14:paraId="17031168" w14:textId="77777777" w:rsidR="00EB78F6" w:rsidRPr="0060474A" w:rsidRDefault="00EB78F6" w:rsidP="00BC2E77">
            <w:pPr>
              <w:pStyle w:val="TableBody"/>
            </w:pPr>
            <w:r w:rsidRPr="0060474A">
              <w:t>31.9%</w:t>
            </w:r>
          </w:p>
        </w:tc>
      </w:tr>
      <w:tr w:rsidR="00EB78F6" w:rsidRPr="0060474A" w14:paraId="4E44D2C2" w14:textId="77777777" w:rsidTr="003E60AA">
        <w:trPr>
          <w:trHeight w:val="290"/>
        </w:trPr>
        <w:tc>
          <w:tcPr>
            <w:tcW w:w="1248" w:type="pct"/>
            <w:noWrap/>
            <w:hideMark/>
          </w:tcPr>
          <w:p w14:paraId="2A0640B6" w14:textId="77777777" w:rsidR="00EB78F6" w:rsidRPr="0060474A" w:rsidRDefault="00EB78F6" w:rsidP="004C33DE">
            <w:pPr>
              <w:pStyle w:val="TableBody"/>
            </w:pPr>
            <w:r w:rsidRPr="0060474A">
              <w:t>3. Careless driving</w:t>
            </w:r>
          </w:p>
        </w:tc>
        <w:tc>
          <w:tcPr>
            <w:tcW w:w="1205" w:type="pct"/>
            <w:noWrap/>
            <w:hideMark/>
          </w:tcPr>
          <w:p w14:paraId="4CED59D0" w14:textId="77777777" w:rsidR="00EB78F6" w:rsidRPr="0060474A" w:rsidRDefault="00EB78F6" w:rsidP="00BC2E77">
            <w:pPr>
              <w:pStyle w:val="TableBody"/>
            </w:pPr>
            <w:r w:rsidRPr="0060474A">
              <w:t>26.2%</w:t>
            </w:r>
          </w:p>
        </w:tc>
        <w:tc>
          <w:tcPr>
            <w:tcW w:w="1205" w:type="pct"/>
            <w:noWrap/>
            <w:hideMark/>
          </w:tcPr>
          <w:p w14:paraId="489B5648" w14:textId="77777777" w:rsidR="00EB78F6" w:rsidRPr="0060474A" w:rsidRDefault="00EB78F6" w:rsidP="00BC2E77">
            <w:pPr>
              <w:pStyle w:val="TableBody"/>
            </w:pPr>
            <w:r w:rsidRPr="0060474A">
              <w:t>12.3%</w:t>
            </w:r>
          </w:p>
        </w:tc>
        <w:tc>
          <w:tcPr>
            <w:tcW w:w="1343" w:type="pct"/>
            <w:noWrap/>
            <w:hideMark/>
          </w:tcPr>
          <w:p w14:paraId="0A49DA35" w14:textId="77777777" w:rsidR="00EB78F6" w:rsidRPr="0060474A" w:rsidRDefault="00EB78F6" w:rsidP="00BC2E77">
            <w:pPr>
              <w:pStyle w:val="TableBody"/>
            </w:pPr>
            <w:r w:rsidRPr="0060474A">
              <w:t>24.1%</w:t>
            </w:r>
          </w:p>
        </w:tc>
      </w:tr>
      <w:tr w:rsidR="00EB78F6" w:rsidRPr="0060474A" w14:paraId="51B63A15" w14:textId="77777777" w:rsidTr="003E60AA">
        <w:trPr>
          <w:trHeight w:val="290"/>
        </w:trPr>
        <w:tc>
          <w:tcPr>
            <w:tcW w:w="1248" w:type="pct"/>
            <w:noWrap/>
            <w:hideMark/>
          </w:tcPr>
          <w:p w14:paraId="41563C76" w14:textId="77777777" w:rsidR="00EB78F6" w:rsidRPr="0060474A" w:rsidRDefault="00EB78F6" w:rsidP="004C33DE">
            <w:pPr>
              <w:pStyle w:val="TableBody"/>
            </w:pPr>
            <w:r w:rsidRPr="0060474A">
              <w:t>4. Criminal damage</w:t>
            </w:r>
          </w:p>
        </w:tc>
        <w:tc>
          <w:tcPr>
            <w:tcW w:w="1205" w:type="pct"/>
            <w:noWrap/>
            <w:hideMark/>
          </w:tcPr>
          <w:p w14:paraId="245A487F" w14:textId="77777777" w:rsidR="00EB78F6" w:rsidRPr="0060474A" w:rsidRDefault="00EB78F6" w:rsidP="00BC2E77">
            <w:pPr>
              <w:pStyle w:val="TableBody"/>
            </w:pPr>
            <w:r w:rsidRPr="0060474A">
              <w:t>39.7%</w:t>
            </w:r>
          </w:p>
        </w:tc>
        <w:tc>
          <w:tcPr>
            <w:tcW w:w="1205" w:type="pct"/>
            <w:noWrap/>
            <w:hideMark/>
          </w:tcPr>
          <w:p w14:paraId="369BEA82" w14:textId="77777777" w:rsidR="00EB78F6" w:rsidRPr="0060474A" w:rsidRDefault="00EB78F6" w:rsidP="00BC2E77">
            <w:pPr>
              <w:pStyle w:val="TableBody"/>
            </w:pPr>
            <w:r w:rsidRPr="0060474A">
              <w:t>20.1%</w:t>
            </w:r>
          </w:p>
        </w:tc>
        <w:tc>
          <w:tcPr>
            <w:tcW w:w="1343" w:type="pct"/>
            <w:noWrap/>
            <w:hideMark/>
          </w:tcPr>
          <w:p w14:paraId="168043D0" w14:textId="77777777" w:rsidR="00EB78F6" w:rsidRPr="0060474A" w:rsidRDefault="00EB78F6" w:rsidP="00BC2E77">
            <w:pPr>
              <w:pStyle w:val="TableBody"/>
            </w:pPr>
            <w:r w:rsidRPr="0060474A">
              <w:t>41.1%</w:t>
            </w:r>
          </w:p>
        </w:tc>
      </w:tr>
      <w:tr w:rsidR="00EB78F6" w:rsidRPr="0060474A" w14:paraId="5D197149" w14:textId="77777777" w:rsidTr="003E60AA">
        <w:trPr>
          <w:trHeight w:val="290"/>
        </w:trPr>
        <w:tc>
          <w:tcPr>
            <w:tcW w:w="1248" w:type="pct"/>
            <w:noWrap/>
            <w:hideMark/>
          </w:tcPr>
          <w:p w14:paraId="56DF2852" w14:textId="77777777" w:rsidR="00EB78F6" w:rsidRPr="0060474A" w:rsidRDefault="00EB78F6" w:rsidP="004C33DE">
            <w:pPr>
              <w:pStyle w:val="TableBody"/>
            </w:pPr>
            <w:r w:rsidRPr="0060474A">
              <w:t>5. Cause injury recklessly</w:t>
            </w:r>
          </w:p>
        </w:tc>
        <w:tc>
          <w:tcPr>
            <w:tcW w:w="1205" w:type="pct"/>
            <w:noWrap/>
            <w:hideMark/>
          </w:tcPr>
          <w:p w14:paraId="4A1AB2D2" w14:textId="77777777" w:rsidR="00EB78F6" w:rsidRPr="0060474A" w:rsidRDefault="00EB78F6" w:rsidP="00BC2E77">
            <w:pPr>
              <w:pStyle w:val="TableBody"/>
            </w:pPr>
            <w:r w:rsidRPr="0060474A">
              <w:t>13.1%</w:t>
            </w:r>
          </w:p>
        </w:tc>
        <w:tc>
          <w:tcPr>
            <w:tcW w:w="1205" w:type="pct"/>
            <w:noWrap/>
            <w:hideMark/>
          </w:tcPr>
          <w:p w14:paraId="7D4B04BE" w14:textId="77777777" w:rsidR="00EB78F6" w:rsidRPr="0060474A" w:rsidRDefault="00EB78F6" w:rsidP="00BC2E77">
            <w:pPr>
              <w:pStyle w:val="TableBody"/>
            </w:pPr>
            <w:r w:rsidRPr="0060474A">
              <w:t>8.5%</w:t>
            </w:r>
          </w:p>
        </w:tc>
        <w:tc>
          <w:tcPr>
            <w:tcW w:w="1343" w:type="pct"/>
            <w:noWrap/>
            <w:hideMark/>
          </w:tcPr>
          <w:p w14:paraId="4201E0CA" w14:textId="77777777" w:rsidR="00EB78F6" w:rsidRPr="0060474A" w:rsidRDefault="00EB78F6" w:rsidP="00BC2E77">
            <w:pPr>
              <w:pStyle w:val="TableBody"/>
            </w:pPr>
            <w:r w:rsidRPr="0060474A">
              <w:t>22.2%</w:t>
            </w:r>
          </w:p>
        </w:tc>
      </w:tr>
    </w:tbl>
    <w:p w14:paraId="76B99105" w14:textId="77777777" w:rsidR="00417C86" w:rsidRPr="0060474A" w:rsidRDefault="00417C86" w:rsidP="00417C86">
      <w:pPr>
        <w:pStyle w:val="Heading1"/>
      </w:pPr>
      <w:bookmarkStart w:id="7" w:name="_Toc170138905"/>
      <w:r w:rsidRPr="0060474A">
        <w:lastRenderedPageBreak/>
        <w:t>4. Prior offending and reoffending</w:t>
      </w:r>
      <w:bookmarkEnd w:id="7"/>
    </w:p>
    <w:p w14:paraId="47FD5E08" w14:textId="77777777" w:rsidR="00417C86" w:rsidRPr="0060474A" w:rsidRDefault="00417C86" w:rsidP="00D74421">
      <w:r w:rsidRPr="0060474A">
        <w:t>This chapter compares the prior offending and reoffending rates of people who received diversion plans with people who were otherwise sentenced in the Magistrates’ Court during the same time period.</w:t>
      </w:r>
    </w:p>
    <w:p w14:paraId="5E0D446D" w14:textId="77777777" w:rsidR="00417C86" w:rsidRPr="0060474A" w:rsidRDefault="00417C86" w:rsidP="00417C86">
      <w:pPr>
        <w:pStyle w:val="Heading2"/>
      </w:pPr>
      <w:r w:rsidRPr="0060474A">
        <w:t>Methodology for this analysis</w:t>
      </w:r>
    </w:p>
    <w:p w14:paraId="3E06FC8A" w14:textId="77777777" w:rsidR="00417C86" w:rsidRPr="0060474A" w:rsidRDefault="00417C86" w:rsidP="00D74421">
      <w:r w:rsidRPr="0060474A">
        <w:t xml:space="preserve">For the purposes of this analysis, the </w:t>
      </w:r>
      <w:r w:rsidRPr="0060474A">
        <w:rPr>
          <w:rStyle w:val="Italic"/>
          <w:iCs w:val="0"/>
        </w:rPr>
        <w:t>index population</w:t>
      </w:r>
      <w:r w:rsidRPr="0060474A">
        <w:t xml:space="preserve"> included anyone who received a diversion plan, or a sentencing outcome other than a diversion plan, in the two financial years 2015–16 and 2016–17 (the </w:t>
      </w:r>
      <w:r w:rsidRPr="0060474A">
        <w:rPr>
          <w:rStyle w:val="Italic"/>
          <w:iCs w:val="0"/>
        </w:rPr>
        <w:t>index period</w:t>
      </w:r>
      <w:r w:rsidRPr="0060474A">
        <w:t xml:space="preserve">). A related concept, the </w:t>
      </w:r>
      <w:r w:rsidRPr="0060474A">
        <w:rPr>
          <w:rStyle w:val="Italic"/>
          <w:iCs w:val="0"/>
        </w:rPr>
        <w:t>index outcome</w:t>
      </w:r>
      <w:r w:rsidRPr="0060474A">
        <w:t xml:space="preserve">, describes the earliest occasion on which a person in the index population received a diversion plan within the two-year period. If a person received a diversion plan more than once, the earliest diversion plan is used as the index outcome. For comparisons with sentenced offenders (those who received an outcome other than a diversion plan), their </w:t>
      </w:r>
      <w:r w:rsidRPr="0060474A">
        <w:rPr>
          <w:rStyle w:val="Italic"/>
          <w:iCs w:val="0"/>
        </w:rPr>
        <w:t xml:space="preserve">index outcome </w:t>
      </w:r>
      <w:r w:rsidRPr="0060474A">
        <w:t xml:space="preserve">is also the earliest occasion on which they were sentenced within the two-year period. </w:t>
      </w:r>
    </w:p>
    <w:p w14:paraId="2D130609" w14:textId="77777777" w:rsidR="00417C86" w:rsidRPr="0060474A" w:rsidRDefault="00417C86" w:rsidP="00D74421">
      <w:r w:rsidRPr="0060474A">
        <w:t>We used a two-year index period for this analysis as it allows for a five-year follow-up period both before and after each person received their index outcome in the Magistrates’ Court. These people were matched to our reoffending database to identify whether they had been sentenced or had received a diversion plan at any stage in the five years before or after the index outcome date.</w:t>
      </w:r>
      <w:r w:rsidRPr="0060474A">
        <w:rPr>
          <w:rStyle w:val="Superscript"/>
        </w:rPr>
        <w:footnoteReference w:id="58"/>
      </w:r>
      <w:r w:rsidRPr="0060474A">
        <w:t xml:space="preserve"> </w:t>
      </w:r>
    </w:p>
    <w:p w14:paraId="4DDB612F" w14:textId="77777777" w:rsidR="00417C86" w:rsidRPr="0060474A" w:rsidRDefault="00417C86" w:rsidP="00D74421">
      <w:r w:rsidRPr="0060474A">
        <w:t xml:space="preserve">Prior offending and reoffending are defined as being sentenced or receiving a diversion plan for other offending (as opposed to being </w:t>
      </w:r>
      <w:r w:rsidRPr="0060474A">
        <w:lastRenderedPageBreak/>
        <w:t>arrested, charged, etc.) and are measured by the date on which the person was sentenced or received a diversion plan for that other offending (as opposed to the date on which the offence occurred).</w:t>
      </w:r>
    </w:p>
    <w:p w14:paraId="742C20B6" w14:textId="77777777" w:rsidR="00417C86" w:rsidRPr="0060474A" w:rsidRDefault="00417C86" w:rsidP="00417C86">
      <w:pPr>
        <w:pStyle w:val="Heading2"/>
      </w:pPr>
      <w:r w:rsidRPr="0060474A">
        <w:t>The index population</w:t>
      </w:r>
    </w:p>
    <w:p w14:paraId="5BEFE1BF" w14:textId="77777777" w:rsidR="00417C86" w:rsidRPr="0060474A" w:rsidRDefault="00417C86" w:rsidP="00D74421">
      <w:r w:rsidRPr="0060474A">
        <w:t>During the two-year index period to 30 June 2017, there were 149,268 unique people who received any form of index outcome in the Magistrates’ Court. This included 10,393 people who received a diversion plan, and 139,906 people who received an outcome other than a diversion plan. These two numbers combined are slightly larger than the total number of people dealt with during the period because there is some overlap between the two cohorts; some people (in 1,031 cases) received both a diversion plan and another type of outcome during the two-year period.</w:t>
      </w:r>
    </w:p>
    <w:p w14:paraId="1CB45181" w14:textId="77777777" w:rsidR="00417C86" w:rsidRPr="0060474A" w:rsidRDefault="00417C86" w:rsidP="00417C86">
      <w:pPr>
        <w:pStyle w:val="Heading2"/>
      </w:pPr>
      <w:r w:rsidRPr="0060474A">
        <w:t>Prior offending and reoffending</w:t>
      </w:r>
    </w:p>
    <w:p w14:paraId="4CA771AB" w14:textId="77777777" w:rsidR="00417C86" w:rsidRPr="0060474A" w:rsidRDefault="00417C86" w:rsidP="00D74421">
      <w:r w:rsidRPr="0060474A">
        <w:t xml:space="preserve">Of the 10,393 people who received a diversion plan as their index outcome in the two-year period, almost three-quarters (72.7%) did not receive any other outcome on any other occasion in the five years before </w:t>
      </w:r>
      <w:r w:rsidRPr="0060474A">
        <w:rPr>
          <w:rStyle w:val="Italic"/>
          <w:iCs w:val="0"/>
        </w:rPr>
        <w:t>or</w:t>
      </w:r>
      <w:r w:rsidRPr="0060474A">
        <w:t xml:space="preserve"> after receiving their diversion plan. Another 6.0% had prior offences but did not reoffend, 16.3% had no prior offences but did reoffend, and 5.0% both had prior offences </w:t>
      </w:r>
      <w:r w:rsidRPr="0060474A">
        <w:rPr>
          <w:rStyle w:val="Italic"/>
          <w:iCs w:val="0"/>
        </w:rPr>
        <w:t>and</w:t>
      </w:r>
      <w:r w:rsidRPr="0060474A">
        <w:t xml:space="preserve"> did reoffend. As a point of comparison, of the 139,906 people who received an outcome other than a diversion plan as their index outcome, just 46.5% had no prior offences and did not reoffend. Another 13.2% had prior offences but did not reoffend, 17.7% had no prior offences but did reoffend, and 22.5% both had prior offences </w:t>
      </w:r>
      <w:r w:rsidRPr="0060474A">
        <w:rPr>
          <w:rStyle w:val="Italic"/>
          <w:iCs w:val="0"/>
        </w:rPr>
        <w:t>and</w:t>
      </w:r>
      <w:r w:rsidRPr="0060474A">
        <w:t xml:space="preserve"> did reoffend. In other words, people receiving diversion plans were over 1.5 times more likely to have </w:t>
      </w:r>
      <w:r w:rsidRPr="0060474A">
        <w:rPr>
          <w:rStyle w:val="Italic"/>
          <w:iCs w:val="0"/>
        </w:rPr>
        <w:t>no</w:t>
      </w:r>
      <w:r w:rsidRPr="0060474A">
        <w:t xml:space="preserve"> prior offences and to not reoffend than people who were sentenced. In contrast, people who were sentenced were 4.5 times more likely to have received another court outcome on another occasion </w:t>
      </w:r>
      <w:r w:rsidRPr="0060474A">
        <w:rPr>
          <w:rStyle w:val="Italic"/>
          <w:iCs w:val="0"/>
        </w:rPr>
        <w:t xml:space="preserve">both </w:t>
      </w:r>
      <w:r w:rsidRPr="0060474A">
        <w:t>before and after their index outcome.</w:t>
      </w:r>
    </w:p>
    <w:p w14:paraId="5238245D" w14:textId="27554D82" w:rsidR="00417C86" w:rsidRPr="0060474A" w:rsidRDefault="00417C86" w:rsidP="00857576">
      <w:pPr>
        <w:pStyle w:val="IntenseQuote"/>
      </w:pPr>
      <w:r w:rsidRPr="0060474A">
        <w:lastRenderedPageBreak/>
        <w:t xml:space="preserve">How many people were </w:t>
      </w:r>
      <w:r w:rsidRPr="00284E14">
        <w:rPr>
          <w:i/>
          <w:iCs w:val="0"/>
        </w:rPr>
        <w:t>not</w:t>
      </w:r>
      <w:r w:rsidRPr="0060474A">
        <w:t xml:space="preserve"> sentenced (or diverted) again for any other offences at all in the five years before or after </w:t>
      </w:r>
      <w:r w:rsidR="005909E8">
        <w:t xml:space="preserve">… </w:t>
      </w:r>
      <w:r w:rsidRPr="0060474A">
        <w:t>receiving a diversion plan?</w:t>
      </w:r>
      <w:r w:rsidR="0026377A">
        <w:t xml:space="preserve"> </w:t>
      </w:r>
      <w:r w:rsidRPr="0060474A">
        <w:t>72.7%</w:t>
      </w:r>
      <w:r w:rsidR="00857576">
        <w:t xml:space="preserve"> </w:t>
      </w:r>
      <w:r w:rsidRPr="0060474A">
        <w:t>… being sentenced?</w:t>
      </w:r>
      <w:r w:rsidR="00A17EFD">
        <w:t xml:space="preserve"> </w:t>
      </w:r>
      <w:r w:rsidRPr="0060474A">
        <w:t>46.5%</w:t>
      </w:r>
    </w:p>
    <w:p w14:paraId="4B1EAC22" w14:textId="77777777" w:rsidR="00417C86" w:rsidRPr="0060474A" w:rsidRDefault="00417C86" w:rsidP="00417C86">
      <w:pPr>
        <w:pStyle w:val="Heading3"/>
      </w:pPr>
      <w:r w:rsidRPr="0060474A">
        <w:t>Prior offending</w:t>
      </w:r>
    </w:p>
    <w:p w14:paraId="72BE662C" w14:textId="77777777" w:rsidR="00417C86" w:rsidRPr="0060474A" w:rsidRDefault="00417C86" w:rsidP="00D74421">
      <w:r w:rsidRPr="0060474A">
        <w:t>Figure 32 shows the rate of offending in the previous five years for people who received a diversion plan and people who received outcomes other than a diversion plan. People receiving diversion plans were one-third as likely as people receiving other court outcomes to have a prior offence in the last five years. The presence and nature of a person’s criminal history will often influence the accessibility of diversion plans, especially with the requirement of prosecutorial consent, so it would be expected that there would be a significant discrepancy in the prior offending histories between those two groups.</w:t>
      </w:r>
    </w:p>
    <w:p w14:paraId="0D628D50" w14:textId="77777777" w:rsidR="00417C86" w:rsidRPr="0060474A" w:rsidRDefault="00417C86" w:rsidP="00187BBF">
      <w:pPr>
        <w:pStyle w:val="Caption"/>
      </w:pPr>
      <w:r w:rsidRPr="0060474A">
        <w:t>Figure 32: Prior offending rates of people receiving either a diversion plan or another court outcome</w:t>
      </w:r>
    </w:p>
    <w:tbl>
      <w:tblPr>
        <w:tblStyle w:val="Table"/>
        <w:tblW w:w="5000" w:type="pct"/>
        <w:tblLayout w:type="fixed"/>
        <w:tblLook w:val="04A0" w:firstRow="1" w:lastRow="0" w:firstColumn="1" w:lastColumn="0" w:noHBand="0" w:noVBand="1"/>
      </w:tblPr>
      <w:tblGrid>
        <w:gridCol w:w="4508"/>
        <w:gridCol w:w="4508"/>
      </w:tblGrid>
      <w:tr w:rsidR="009722A0" w:rsidRPr="0060474A" w14:paraId="55B6693F" w14:textId="77777777" w:rsidTr="003761E5">
        <w:trPr>
          <w:trHeight w:val="290"/>
          <w:tblHeader/>
        </w:trPr>
        <w:tc>
          <w:tcPr>
            <w:tcW w:w="2500" w:type="pct"/>
            <w:noWrap/>
            <w:hideMark/>
          </w:tcPr>
          <w:p w14:paraId="3C7F2A0C" w14:textId="5F357F9B" w:rsidR="009722A0" w:rsidRPr="0060474A" w:rsidRDefault="009722A0" w:rsidP="000027A4">
            <w:pPr>
              <w:pStyle w:val="TableHeading"/>
            </w:pPr>
            <w:r>
              <w:t xml:space="preserve">Rate of </w:t>
            </w:r>
            <w:r w:rsidRPr="0060474A">
              <w:t>Prior offending</w:t>
            </w:r>
            <w:r>
              <w:t xml:space="preserve"> for </w:t>
            </w:r>
            <w:r w:rsidR="002E602D">
              <w:t>p</w:t>
            </w:r>
            <w:r w:rsidRPr="0060474A">
              <w:t xml:space="preserve">eople </w:t>
            </w:r>
            <w:r w:rsidR="002E602D">
              <w:t>receiving</w:t>
            </w:r>
            <w:r w:rsidRPr="0060474A">
              <w:t xml:space="preserve"> diversion</w:t>
            </w:r>
            <w:r w:rsidR="00A94191">
              <w:t xml:space="preserve"> plan</w:t>
            </w:r>
            <w:r w:rsidR="002E602D">
              <w:t xml:space="preserve"> </w:t>
            </w:r>
            <w:r w:rsidRPr="0060474A">
              <w:t>(10,393</w:t>
            </w:r>
            <w:r>
              <w:t xml:space="preserve"> people</w:t>
            </w:r>
            <w:r w:rsidRPr="0060474A">
              <w:t>)</w:t>
            </w:r>
          </w:p>
        </w:tc>
        <w:tc>
          <w:tcPr>
            <w:tcW w:w="2500" w:type="pct"/>
            <w:noWrap/>
            <w:hideMark/>
          </w:tcPr>
          <w:p w14:paraId="757CF455" w14:textId="35C12B1E" w:rsidR="009722A0" w:rsidRPr="0060474A" w:rsidRDefault="009722A0" w:rsidP="000027A4">
            <w:pPr>
              <w:pStyle w:val="TableHeading"/>
            </w:pPr>
            <w:r>
              <w:t xml:space="preserve">Rate of </w:t>
            </w:r>
            <w:r w:rsidRPr="0060474A">
              <w:t>Prior offending</w:t>
            </w:r>
            <w:r>
              <w:t xml:space="preserve"> for </w:t>
            </w:r>
            <w:r w:rsidR="00B538C5">
              <w:t>people receiving</w:t>
            </w:r>
            <w:r w:rsidRPr="0060474A">
              <w:t xml:space="preserve"> outcome other than diversion</w:t>
            </w:r>
            <w:r w:rsidR="009C166A">
              <w:t xml:space="preserve"> plan</w:t>
            </w:r>
            <w:r w:rsidR="004D595B">
              <w:t xml:space="preserve"> </w:t>
            </w:r>
            <w:r w:rsidRPr="0060474A">
              <w:t>(139,906</w:t>
            </w:r>
            <w:r w:rsidR="003761E5">
              <w:t xml:space="preserve"> people</w:t>
            </w:r>
            <w:r w:rsidRPr="0060474A">
              <w:t>)</w:t>
            </w:r>
          </w:p>
        </w:tc>
      </w:tr>
      <w:tr w:rsidR="009722A0" w:rsidRPr="0060474A" w14:paraId="72E4B70F" w14:textId="77777777" w:rsidTr="003761E5">
        <w:trPr>
          <w:trHeight w:val="290"/>
        </w:trPr>
        <w:tc>
          <w:tcPr>
            <w:tcW w:w="2500" w:type="pct"/>
            <w:noWrap/>
            <w:hideMark/>
          </w:tcPr>
          <w:p w14:paraId="13595D73" w14:textId="77777777" w:rsidR="009722A0" w:rsidRPr="0060474A" w:rsidRDefault="009722A0" w:rsidP="00BC2E77">
            <w:pPr>
              <w:pStyle w:val="TableBody"/>
            </w:pPr>
            <w:r w:rsidRPr="0060474A">
              <w:t>11.0%</w:t>
            </w:r>
          </w:p>
        </w:tc>
        <w:tc>
          <w:tcPr>
            <w:tcW w:w="2500" w:type="pct"/>
            <w:noWrap/>
            <w:hideMark/>
          </w:tcPr>
          <w:p w14:paraId="6662AF1C" w14:textId="77777777" w:rsidR="009722A0" w:rsidRPr="0060474A" w:rsidRDefault="009722A0" w:rsidP="00BC2E77">
            <w:pPr>
              <w:pStyle w:val="TableBody"/>
            </w:pPr>
            <w:r w:rsidRPr="0060474A">
              <w:t>35.8%</w:t>
            </w:r>
          </w:p>
        </w:tc>
      </w:tr>
    </w:tbl>
    <w:p w14:paraId="177C04BC" w14:textId="77777777" w:rsidR="00417C86" w:rsidRPr="0060474A" w:rsidRDefault="00417C86" w:rsidP="004F2FCB">
      <w:r w:rsidRPr="0060474A">
        <w:t>Those prior offending rates varied by the demographics of the offenders, but the difference in prevalence was about the same: people who received outcomes other than diversion plans were consistently about three to four times more likely than people receiving diversion plans to have received another court outcome in the previous five years:</w:t>
      </w:r>
    </w:p>
    <w:p w14:paraId="0BCE611D" w14:textId="77777777" w:rsidR="00417C86" w:rsidRPr="0060474A" w:rsidRDefault="00417C86" w:rsidP="00D74421">
      <w:pPr>
        <w:pStyle w:val="Bullets"/>
      </w:pPr>
      <w:r w:rsidRPr="0060474A">
        <w:rPr>
          <w:b/>
          <w:bCs/>
        </w:rPr>
        <w:t>Age</w:t>
      </w:r>
      <w:r w:rsidRPr="0060474A">
        <w:t xml:space="preserve">: for each age group, people receiving diversion plans had a lower rate of prior offending than people receiving other court outcomes (Figure 33). This was especially pronounced for both younger and older people. For instance, just 7.3% of people aged 18 to 19 who received diversion plans had received another court outcome in the previous five years, whereas 32.7% of sentenced </w:t>
      </w:r>
      <w:r w:rsidRPr="0060474A">
        <w:lastRenderedPageBreak/>
        <w:t>people aged 18 to 19 had received another court outcome in the previous five years. Similarly, just 5.0% of people aged 65 and over who received diversion plans had prior offences, compared to 23.5% of sentenced people aged 65 and over. For all age groups, there was a starkly higher rate of prior offending for people receiving court outcomes other than diversion plans.</w:t>
      </w:r>
    </w:p>
    <w:p w14:paraId="07704D96" w14:textId="77777777" w:rsidR="00417C86" w:rsidRPr="0060474A" w:rsidRDefault="00417C86" w:rsidP="00187BBF">
      <w:pPr>
        <w:pStyle w:val="Caption"/>
      </w:pPr>
      <w:r w:rsidRPr="0060474A">
        <w:t>Figure 33: Prior offending rates of people receiving diversion plans, by age</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3F341C" w:rsidRPr="00545F8E" w14:paraId="7C3BD884" w14:textId="77777777" w:rsidTr="006A1F38">
        <w:trPr>
          <w:trHeight w:val="290"/>
          <w:tblHeader/>
        </w:trPr>
        <w:tc>
          <w:tcPr>
            <w:tcW w:w="1000" w:type="pct"/>
            <w:noWrap/>
            <w:hideMark/>
          </w:tcPr>
          <w:p w14:paraId="465539CC" w14:textId="64AD9431" w:rsidR="00290453" w:rsidRPr="00545F8E" w:rsidRDefault="00290453" w:rsidP="00F3332C">
            <w:pPr>
              <w:pStyle w:val="TableHeading"/>
            </w:pPr>
            <w:r>
              <w:t>Age</w:t>
            </w:r>
          </w:p>
        </w:tc>
        <w:tc>
          <w:tcPr>
            <w:tcW w:w="1000" w:type="pct"/>
          </w:tcPr>
          <w:p w14:paraId="4B23A6E9" w14:textId="1EB35430" w:rsidR="00290453" w:rsidRPr="00545F8E" w:rsidRDefault="00290453" w:rsidP="00F3332C">
            <w:pPr>
              <w:pStyle w:val="TableHeading"/>
            </w:pPr>
            <w:r>
              <w:t>Number receiving</w:t>
            </w:r>
            <w:r w:rsidRPr="00545F8E">
              <w:t xml:space="preserve"> diversion</w:t>
            </w:r>
            <w:r w:rsidR="00E7331F">
              <w:t xml:space="preserve"> plan</w:t>
            </w:r>
          </w:p>
        </w:tc>
        <w:tc>
          <w:tcPr>
            <w:tcW w:w="1000" w:type="pct"/>
            <w:noWrap/>
            <w:hideMark/>
          </w:tcPr>
          <w:p w14:paraId="4E971615" w14:textId="60B17A25" w:rsidR="00290453" w:rsidRPr="00545F8E" w:rsidRDefault="00290453" w:rsidP="00F3332C">
            <w:pPr>
              <w:pStyle w:val="TableHeading"/>
            </w:pPr>
            <w:r w:rsidRPr="00545F8E">
              <w:t>P</w:t>
            </w:r>
            <w:r>
              <w:t xml:space="preserve">ercentage </w:t>
            </w:r>
            <w:r w:rsidR="00D84E04">
              <w:t>receiving</w:t>
            </w:r>
            <w:r w:rsidRPr="00545F8E">
              <w:t xml:space="preserve"> diversion</w:t>
            </w:r>
            <w:r w:rsidR="00E7331F">
              <w:t xml:space="preserve"> plan</w:t>
            </w:r>
          </w:p>
        </w:tc>
        <w:tc>
          <w:tcPr>
            <w:tcW w:w="1000" w:type="pct"/>
          </w:tcPr>
          <w:p w14:paraId="6558B7B3" w14:textId="65CB4810" w:rsidR="00290453" w:rsidRPr="00545F8E" w:rsidRDefault="003F341C" w:rsidP="00F3332C">
            <w:pPr>
              <w:pStyle w:val="TableHeading"/>
            </w:pPr>
            <w:r>
              <w:t xml:space="preserve">Number receiving </w:t>
            </w:r>
            <w:r w:rsidR="00290453" w:rsidRPr="00545F8E">
              <w:t xml:space="preserve"> outcome other than diversion</w:t>
            </w:r>
            <w:r w:rsidR="00E7331F">
              <w:t xml:space="preserve"> plan</w:t>
            </w:r>
          </w:p>
        </w:tc>
        <w:tc>
          <w:tcPr>
            <w:tcW w:w="1000" w:type="pct"/>
            <w:noWrap/>
            <w:hideMark/>
          </w:tcPr>
          <w:p w14:paraId="15370EB4" w14:textId="70B439B7" w:rsidR="00290453" w:rsidRPr="00545F8E" w:rsidRDefault="003F341C" w:rsidP="00F3332C">
            <w:pPr>
              <w:pStyle w:val="TableHeading"/>
            </w:pPr>
            <w:r>
              <w:t>Percentage receiving</w:t>
            </w:r>
            <w:r w:rsidR="00290453" w:rsidRPr="00545F8E">
              <w:t xml:space="preserve"> outcome other than diversion</w:t>
            </w:r>
            <w:r w:rsidR="00E7331F">
              <w:t xml:space="preserve"> plan</w:t>
            </w:r>
          </w:p>
        </w:tc>
      </w:tr>
      <w:tr w:rsidR="003F341C" w:rsidRPr="00545F8E" w14:paraId="1D1F4379" w14:textId="77777777" w:rsidTr="00F3332C">
        <w:trPr>
          <w:trHeight w:val="290"/>
        </w:trPr>
        <w:tc>
          <w:tcPr>
            <w:tcW w:w="1000" w:type="pct"/>
            <w:noWrap/>
            <w:hideMark/>
          </w:tcPr>
          <w:p w14:paraId="1EEE4AF3" w14:textId="464AFF4E" w:rsidR="00290453" w:rsidRPr="00545F8E" w:rsidRDefault="00290453" w:rsidP="00290453">
            <w:pPr>
              <w:pStyle w:val="TableBody"/>
            </w:pPr>
            <w:r w:rsidRPr="00545F8E">
              <w:t>18 to 19</w:t>
            </w:r>
          </w:p>
        </w:tc>
        <w:tc>
          <w:tcPr>
            <w:tcW w:w="1000" w:type="pct"/>
          </w:tcPr>
          <w:p w14:paraId="3D480EC8" w14:textId="138BDC65" w:rsidR="00290453" w:rsidRPr="00545F8E" w:rsidRDefault="00290453" w:rsidP="00290453">
            <w:pPr>
              <w:pStyle w:val="TableBody"/>
            </w:pPr>
            <w:r w:rsidRPr="00545F8E">
              <w:t xml:space="preserve">1,035 </w:t>
            </w:r>
          </w:p>
        </w:tc>
        <w:tc>
          <w:tcPr>
            <w:tcW w:w="1000" w:type="pct"/>
            <w:noWrap/>
            <w:hideMark/>
          </w:tcPr>
          <w:p w14:paraId="36BDFDA8" w14:textId="31C7139C" w:rsidR="00290453" w:rsidRPr="00545F8E" w:rsidRDefault="00290453" w:rsidP="00290453">
            <w:pPr>
              <w:pStyle w:val="TableBody"/>
            </w:pPr>
            <w:r w:rsidRPr="00545F8E">
              <w:t>7.3%</w:t>
            </w:r>
          </w:p>
        </w:tc>
        <w:tc>
          <w:tcPr>
            <w:tcW w:w="1000" w:type="pct"/>
          </w:tcPr>
          <w:p w14:paraId="7AA2561F" w14:textId="0A97FD94" w:rsidR="00290453" w:rsidRPr="00545F8E" w:rsidRDefault="00F3332C" w:rsidP="00290453">
            <w:pPr>
              <w:pStyle w:val="TableBody"/>
            </w:pPr>
            <w:r w:rsidRPr="00545F8E">
              <w:t>4,629</w:t>
            </w:r>
          </w:p>
        </w:tc>
        <w:tc>
          <w:tcPr>
            <w:tcW w:w="1000" w:type="pct"/>
            <w:noWrap/>
            <w:hideMark/>
          </w:tcPr>
          <w:p w14:paraId="31B8E468" w14:textId="178C40E5" w:rsidR="00290453" w:rsidRPr="00545F8E" w:rsidRDefault="00290453" w:rsidP="00290453">
            <w:pPr>
              <w:pStyle w:val="TableBody"/>
            </w:pPr>
            <w:r w:rsidRPr="00545F8E">
              <w:t>32.7%</w:t>
            </w:r>
          </w:p>
        </w:tc>
      </w:tr>
      <w:tr w:rsidR="003F341C" w:rsidRPr="00545F8E" w14:paraId="192DCDEC" w14:textId="77777777" w:rsidTr="00F3332C">
        <w:trPr>
          <w:trHeight w:val="290"/>
        </w:trPr>
        <w:tc>
          <w:tcPr>
            <w:tcW w:w="1000" w:type="pct"/>
            <w:noWrap/>
            <w:hideMark/>
          </w:tcPr>
          <w:p w14:paraId="536C3CB1" w14:textId="4631356B" w:rsidR="00290453" w:rsidRPr="00545F8E" w:rsidRDefault="00290453" w:rsidP="00290453">
            <w:pPr>
              <w:pStyle w:val="TableBody"/>
            </w:pPr>
            <w:r w:rsidRPr="00545F8E">
              <w:t>20 to 24</w:t>
            </w:r>
          </w:p>
        </w:tc>
        <w:tc>
          <w:tcPr>
            <w:tcW w:w="1000" w:type="pct"/>
          </w:tcPr>
          <w:p w14:paraId="132E2B11" w14:textId="38D14B4F" w:rsidR="00290453" w:rsidRPr="00545F8E" w:rsidRDefault="00290453" w:rsidP="00290453">
            <w:pPr>
              <w:pStyle w:val="TableBody"/>
            </w:pPr>
            <w:r w:rsidRPr="00545F8E">
              <w:t>2,446</w:t>
            </w:r>
          </w:p>
        </w:tc>
        <w:tc>
          <w:tcPr>
            <w:tcW w:w="1000" w:type="pct"/>
            <w:noWrap/>
            <w:hideMark/>
          </w:tcPr>
          <w:p w14:paraId="7A6133EE" w14:textId="106BD099" w:rsidR="00290453" w:rsidRPr="00545F8E" w:rsidRDefault="00290453" w:rsidP="00290453">
            <w:pPr>
              <w:pStyle w:val="TableBody"/>
            </w:pPr>
            <w:r w:rsidRPr="00545F8E">
              <w:t>13.5%</w:t>
            </w:r>
          </w:p>
        </w:tc>
        <w:tc>
          <w:tcPr>
            <w:tcW w:w="1000" w:type="pct"/>
          </w:tcPr>
          <w:p w14:paraId="5C9A16BC" w14:textId="0FFEE582" w:rsidR="00290453" w:rsidRPr="00545F8E" w:rsidRDefault="00F3332C" w:rsidP="00290453">
            <w:pPr>
              <w:pStyle w:val="TableBody"/>
            </w:pPr>
            <w:r w:rsidRPr="00545F8E">
              <w:t>19,550</w:t>
            </w:r>
          </w:p>
        </w:tc>
        <w:tc>
          <w:tcPr>
            <w:tcW w:w="1000" w:type="pct"/>
            <w:noWrap/>
            <w:hideMark/>
          </w:tcPr>
          <w:p w14:paraId="7E12254C" w14:textId="40CEE7A9" w:rsidR="00290453" w:rsidRPr="00545F8E" w:rsidRDefault="00290453" w:rsidP="00290453">
            <w:pPr>
              <w:pStyle w:val="TableBody"/>
            </w:pPr>
            <w:r w:rsidRPr="00545F8E">
              <w:t>41.6%</w:t>
            </w:r>
          </w:p>
        </w:tc>
      </w:tr>
      <w:tr w:rsidR="003F341C" w:rsidRPr="00545F8E" w14:paraId="42DDA6C4" w14:textId="77777777" w:rsidTr="00F3332C">
        <w:trPr>
          <w:trHeight w:val="290"/>
        </w:trPr>
        <w:tc>
          <w:tcPr>
            <w:tcW w:w="1000" w:type="pct"/>
            <w:noWrap/>
            <w:hideMark/>
          </w:tcPr>
          <w:p w14:paraId="0D418D36" w14:textId="68DB1ACB" w:rsidR="00290453" w:rsidRPr="00545F8E" w:rsidRDefault="00290453" w:rsidP="00290453">
            <w:pPr>
              <w:pStyle w:val="TableBody"/>
            </w:pPr>
            <w:r w:rsidRPr="00545F8E">
              <w:t>25 to 34</w:t>
            </w:r>
          </w:p>
        </w:tc>
        <w:tc>
          <w:tcPr>
            <w:tcW w:w="1000" w:type="pct"/>
          </w:tcPr>
          <w:p w14:paraId="6E810D65" w14:textId="218D3AD8" w:rsidR="00290453" w:rsidRPr="00545F8E" w:rsidRDefault="00290453" w:rsidP="00290453">
            <w:pPr>
              <w:pStyle w:val="TableBody"/>
            </w:pPr>
            <w:r w:rsidRPr="00545F8E">
              <w:t>2,462</w:t>
            </w:r>
          </w:p>
        </w:tc>
        <w:tc>
          <w:tcPr>
            <w:tcW w:w="1000" w:type="pct"/>
            <w:noWrap/>
            <w:hideMark/>
          </w:tcPr>
          <w:p w14:paraId="26D3061E" w14:textId="6D36E877" w:rsidR="00290453" w:rsidRPr="00545F8E" w:rsidRDefault="00290453" w:rsidP="00290453">
            <w:pPr>
              <w:pStyle w:val="TableBody"/>
            </w:pPr>
            <w:r w:rsidRPr="00545F8E">
              <w:t>13.2%</w:t>
            </w:r>
          </w:p>
        </w:tc>
        <w:tc>
          <w:tcPr>
            <w:tcW w:w="1000" w:type="pct"/>
          </w:tcPr>
          <w:p w14:paraId="71F99A2B" w14:textId="4C5137B2" w:rsidR="00290453" w:rsidRPr="00545F8E" w:rsidRDefault="00F3332C" w:rsidP="00290453">
            <w:pPr>
              <w:pStyle w:val="TableBody"/>
            </w:pPr>
            <w:r w:rsidRPr="00545F8E">
              <w:t>36,532</w:t>
            </w:r>
          </w:p>
        </w:tc>
        <w:tc>
          <w:tcPr>
            <w:tcW w:w="1000" w:type="pct"/>
            <w:noWrap/>
            <w:hideMark/>
          </w:tcPr>
          <w:p w14:paraId="089E7AE7" w14:textId="1E670A0F" w:rsidR="00290453" w:rsidRPr="00545F8E" w:rsidRDefault="00290453" w:rsidP="00290453">
            <w:pPr>
              <w:pStyle w:val="TableBody"/>
            </w:pPr>
            <w:r w:rsidRPr="00545F8E">
              <w:t>44.0%</w:t>
            </w:r>
          </w:p>
        </w:tc>
      </w:tr>
      <w:tr w:rsidR="003F341C" w:rsidRPr="00545F8E" w14:paraId="256A32C3" w14:textId="77777777" w:rsidTr="00F3332C">
        <w:trPr>
          <w:trHeight w:val="290"/>
        </w:trPr>
        <w:tc>
          <w:tcPr>
            <w:tcW w:w="1000" w:type="pct"/>
            <w:noWrap/>
            <w:hideMark/>
          </w:tcPr>
          <w:p w14:paraId="4C53858B" w14:textId="389FBE2E" w:rsidR="00290453" w:rsidRPr="00545F8E" w:rsidRDefault="00290453" w:rsidP="00290453">
            <w:pPr>
              <w:pStyle w:val="TableBody"/>
            </w:pPr>
            <w:r w:rsidRPr="00545F8E">
              <w:t>35 to 44</w:t>
            </w:r>
          </w:p>
        </w:tc>
        <w:tc>
          <w:tcPr>
            <w:tcW w:w="1000" w:type="pct"/>
          </w:tcPr>
          <w:p w14:paraId="5DE6F75E" w14:textId="65EE59D8" w:rsidR="00290453" w:rsidRPr="00545F8E" w:rsidRDefault="00290453" w:rsidP="00290453">
            <w:pPr>
              <w:pStyle w:val="TableBody"/>
            </w:pPr>
            <w:r w:rsidRPr="00545F8E">
              <w:t xml:space="preserve">1,783 </w:t>
            </w:r>
          </w:p>
        </w:tc>
        <w:tc>
          <w:tcPr>
            <w:tcW w:w="1000" w:type="pct"/>
            <w:noWrap/>
            <w:hideMark/>
          </w:tcPr>
          <w:p w14:paraId="3B370541" w14:textId="67EBD8BF" w:rsidR="00290453" w:rsidRPr="00545F8E" w:rsidRDefault="00290453" w:rsidP="00290453">
            <w:pPr>
              <w:pStyle w:val="TableBody"/>
            </w:pPr>
            <w:r w:rsidRPr="00545F8E">
              <w:t>11.0%</w:t>
            </w:r>
          </w:p>
        </w:tc>
        <w:tc>
          <w:tcPr>
            <w:tcW w:w="1000" w:type="pct"/>
          </w:tcPr>
          <w:p w14:paraId="7AD1684D" w14:textId="5D269C79" w:rsidR="00290453" w:rsidRPr="00545F8E" w:rsidRDefault="001D6A34" w:rsidP="00290453">
            <w:pPr>
              <w:pStyle w:val="TableBody"/>
            </w:pPr>
            <w:r w:rsidRPr="00545F8E">
              <w:t>28,583</w:t>
            </w:r>
          </w:p>
        </w:tc>
        <w:tc>
          <w:tcPr>
            <w:tcW w:w="1000" w:type="pct"/>
            <w:noWrap/>
            <w:hideMark/>
          </w:tcPr>
          <w:p w14:paraId="48D16DB2" w14:textId="0F9C50B8" w:rsidR="00290453" w:rsidRPr="00545F8E" w:rsidRDefault="00290453" w:rsidP="00290453">
            <w:pPr>
              <w:pStyle w:val="TableBody"/>
            </w:pPr>
            <w:r w:rsidRPr="00545F8E">
              <w:t>41.2%</w:t>
            </w:r>
          </w:p>
        </w:tc>
      </w:tr>
      <w:tr w:rsidR="003F341C" w:rsidRPr="00545F8E" w14:paraId="4EC2E396" w14:textId="77777777" w:rsidTr="00F3332C">
        <w:trPr>
          <w:trHeight w:val="290"/>
        </w:trPr>
        <w:tc>
          <w:tcPr>
            <w:tcW w:w="1000" w:type="pct"/>
            <w:noWrap/>
            <w:hideMark/>
          </w:tcPr>
          <w:p w14:paraId="762A284C" w14:textId="634FBBC8" w:rsidR="00290453" w:rsidRPr="00545F8E" w:rsidRDefault="00290453" w:rsidP="00290453">
            <w:pPr>
              <w:pStyle w:val="TableBody"/>
            </w:pPr>
            <w:r w:rsidRPr="00545F8E">
              <w:t>45 to 54</w:t>
            </w:r>
          </w:p>
        </w:tc>
        <w:tc>
          <w:tcPr>
            <w:tcW w:w="1000" w:type="pct"/>
          </w:tcPr>
          <w:p w14:paraId="7F13B072" w14:textId="4B39A9FF" w:rsidR="00290453" w:rsidRPr="00545F8E" w:rsidRDefault="00290453" w:rsidP="00290453">
            <w:pPr>
              <w:pStyle w:val="TableBody"/>
            </w:pPr>
            <w:r w:rsidRPr="00545F8E">
              <w:t xml:space="preserve">1,350 </w:t>
            </w:r>
          </w:p>
        </w:tc>
        <w:tc>
          <w:tcPr>
            <w:tcW w:w="1000" w:type="pct"/>
            <w:noWrap/>
            <w:hideMark/>
          </w:tcPr>
          <w:p w14:paraId="4A58D40F" w14:textId="00ACC524" w:rsidR="00290453" w:rsidRPr="00545F8E" w:rsidRDefault="00290453" w:rsidP="00290453">
            <w:pPr>
              <w:pStyle w:val="TableBody"/>
            </w:pPr>
            <w:r w:rsidRPr="00545F8E">
              <w:t>9.6%</w:t>
            </w:r>
          </w:p>
        </w:tc>
        <w:tc>
          <w:tcPr>
            <w:tcW w:w="1000" w:type="pct"/>
          </w:tcPr>
          <w:p w14:paraId="341D232B" w14:textId="0B31361C" w:rsidR="00290453" w:rsidRPr="00545F8E" w:rsidRDefault="001D6A34" w:rsidP="00290453">
            <w:pPr>
              <w:pStyle w:val="TableBody"/>
            </w:pPr>
            <w:r w:rsidRPr="00545F8E">
              <w:t>18,268</w:t>
            </w:r>
          </w:p>
        </w:tc>
        <w:tc>
          <w:tcPr>
            <w:tcW w:w="1000" w:type="pct"/>
            <w:noWrap/>
            <w:hideMark/>
          </w:tcPr>
          <w:p w14:paraId="4CCC2561" w14:textId="4E9B3A6C" w:rsidR="00290453" w:rsidRPr="00545F8E" w:rsidRDefault="00290453" w:rsidP="00290453">
            <w:pPr>
              <w:pStyle w:val="TableBody"/>
            </w:pPr>
            <w:r w:rsidRPr="00545F8E">
              <w:t>34.5%</w:t>
            </w:r>
          </w:p>
        </w:tc>
      </w:tr>
      <w:tr w:rsidR="003F341C" w:rsidRPr="00545F8E" w14:paraId="1945A469" w14:textId="77777777" w:rsidTr="00F3332C">
        <w:trPr>
          <w:trHeight w:val="290"/>
        </w:trPr>
        <w:tc>
          <w:tcPr>
            <w:tcW w:w="1000" w:type="pct"/>
            <w:noWrap/>
            <w:hideMark/>
          </w:tcPr>
          <w:p w14:paraId="25A1DA2B" w14:textId="04E3D608" w:rsidR="00290453" w:rsidRPr="00545F8E" w:rsidRDefault="00290453" w:rsidP="00290453">
            <w:pPr>
              <w:pStyle w:val="TableBody"/>
            </w:pPr>
            <w:r w:rsidRPr="00545F8E">
              <w:t>55 to 64</w:t>
            </w:r>
          </w:p>
        </w:tc>
        <w:tc>
          <w:tcPr>
            <w:tcW w:w="1000" w:type="pct"/>
          </w:tcPr>
          <w:p w14:paraId="08B29CDA" w14:textId="10B0DB4D" w:rsidR="00290453" w:rsidRPr="00545F8E" w:rsidRDefault="00290453" w:rsidP="00290453">
            <w:pPr>
              <w:pStyle w:val="TableBody"/>
            </w:pPr>
            <w:r w:rsidRPr="00545F8E">
              <w:t>745</w:t>
            </w:r>
          </w:p>
        </w:tc>
        <w:tc>
          <w:tcPr>
            <w:tcW w:w="1000" w:type="pct"/>
            <w:noWrap/>
            <w:hideMark/>
          </w:tcPr>
          <w:p w14:paraId="4D3B73F2" w14:textId="3164F25D" w:rsidR="00290453" w:rsidRPr="00545F8E" w:rsidRDefault="00290453" w:rsidP="00290453">
            <w:pPr>
              <w:pStyle w:val="TableBody"/>
            </w:pPr>
            <w:r w:rsidRPr="00545F8E">
              <w:t>6.8%</w:t>
            </w:r>
          </w:p>
        </w:tc>
        <w:tc>
          <w:tcPr>
            <w:tcW w:w="1000" w:type="pct"/>
          </w:tcPr>
          <w:p w14:paraId="558D81FC" w14:textId="3D7DB468" w:rsidR="00290453" w:rsidRPr="00545F8E" w:rsidRDefault="001D6A34" w:rsidP="00290453">
            <w:pPr>
              <w:pStyle w:val="TableBody"/>
            </w:pPr>
            <w:r w:rsidRPr="00545F8E">
              <w:t>7,600</w:t>
            </w:r>
          </w:p>
        </w:tc>
        <w:tc>
          <w:tcPr>
            <w:tcW w:w="1000" w:type="pct"/>
            <w:noWrap/>
            <w:hideMark/>
          </w:tcPr>
          <w:p w14:paraId="7CDBD9F6" w14:textId="5CDAEB9B" w:rsidR="00290453" w:rsidRPr="00545F8E" w:rsidRDefault="00290453" w:rsidP="00290453">
            <w:pPr>
              <w:pStyle w:val="TableBody"/>
            </w:pPr>
            <w:r w:rsidRPr="00545F8E">
              <w:t>27.5%</w:t>
            </w:r>
          </w:p>
        </w:tc>
      </w:tr>
      <w:tr w:rsidR="003F341C" w:rsidRPr="00545F8E" w14:paraId="3A2D758F" w14:textId="77777777" w:rsidTr="00F3332C">
        <w:trPr>
          <w:trHeight w:val="290"/>
        </w:trPr>
        <w:tc>
          <w:tcPr>
            <w:tcW w:w="1000" w:type="pct"/>
            <w:noWrap/>
            <w:hideMark/>
          </w:tcPr>
          <w:p w14:paraId="1FC1154E" w14:textId="33969360" w:rsidR="00290453" w:rsidRPr="00545F8E" w:rsidRDefault="00290453" w:rsidP="00290453">
            <w:pPr>
              <w:pStyle w:val="TableBody"/>
            </w:pPr>
            <w:r w:rsidRPr="00545F8E">
              <w:t>65 and over</w:t>
            </w:r>
          </w:p>
        </w:tc>
        <w:tc>
          <w:tcPr>
            <w:tcW w:w="1000" w:type="pct"/>
          </w:tcPr>
          <w:p w14:paraId="4982F6BD" w14:textId="66FFF871" w:rsidR="00290453" w:rsidRPr="00545F8E" w:rsidRDefault="00290453" w:rsidP="00290453">
            <w:pPr>
              <w:pStyle w:val="TableBody"/>
            </w:pPr>
            <w:r w:rsidRPr="00545F8E">
              <w:t>503</w:t>
            </w:r>
          </w:p>
        </w:tc>
        <w:tc>
          <w:tcPr>
            <w:tcW w:w="1000" w:type="pct"/>
            <w:noWrap/>
            <w:hideMark/>
          </w:tcPr>
          <w:p w14:paraId="4D5B1DEA" w14:textId="4737FA1D" w:rsidR="00290453" w:rsidRPr="00545F8E" w:rsidRDefault="00290453" w:rsidP="00290453">
            <w:pPr>
              <w:pStyle w:val="TableBody"/>
            </w:pPr>
            <w:r w:rsidRPr="00545F8E">
              <w:t>5.0%</w:t>
            </w:r>
          </w:p>
        </w:tc>
        <w:tc>
          <w:tcPr>
            <w:tcW w:w="1000" w:type="pct"/>
          </w:tcPr>
          <w:p w14:paraId="61B6EA0F" w14:textId="7D1FC163" w:rsidR="00290453" w:rsidRPr="00545F8E" w:rsidRDefault="001D6A34" w:rsidP="00290453">
            <w:pPr>
              <w:pStyle w:val="TableBody"/>
            </w:pPr>
            <w:r w:rsidRPr="00545F8E">
              <w:t>3,746</w:t>
            </w:r>
          </w:p>
        </w:tc>
        <w:tc>
          <w:tcPr>
            <w:tcW w:w="1000" w:type="pct"/>
            <w:noWrap/>
            <w:hideMark/>
          </w:tcPr>
          <w:p w14:paraId="3B9765E9" w14:textId="30C070DF" w:rsidR="00290453" w:rsidRPr="00545F8E" w:rsidRDefault="00290453" w:rsidP="00290453">
            <w:pPr>
              <w:pStyle w:val="TableBody"/>
            </w:pPr>
            <w:r w:rsidRPr="00545F8E">
              <w:t>23.5%</w:t>
            </w:r>
          </w:p>
        </w:tc>
      </w:tr>
    </w:tbl>
    <w:p w14:paraId="61E9528F" w14:textId="77777777" w:rsidR="00417C86" w:rsidRPr="0060474A" w:rsidRDefault="00417C86" w:rsidP="008323A6">
      <w:pPr>
        <w:pStyle w:val="Bullets"/>
        <w:spacing w:before="240"/>
      </w:pPr>
      <w:r w:rsidRPr="0060474A">
        <w:rPr>
          <w:b/>
          <w:bCs/>
        </w:rPr>
        <w:t>Gender and family violence</w:t>
      </w:r>
      <w:r w:rsidRPr="0060474A">
        <w:t>: the cohort with the highest rate of prior offending was men in family violence cases who received outcomes other than a diversion plan (46.6% had received another court outcome in the previous five years), and the cohort with the lowest rate was women in family violence cases who received diversion plans (8.6%), followed closely by women in non-family violence cases who received diversion plans (9.0%) (Figure 34).</w:t>
      </w:r>
    </w:p>
    <w:p w14:paraId="4F111D2D" w14:textId="77777777" w:rsidR="00417C86" w:rsidRPr="0060474A" w:rsidRDefault="00417C86" w:rsidP="00187BBF">
      <w:pPr>
        <w:pStyle w:val="Caption"/>
      </w:pPr>
      <w:r w:rsidRPr="0060474A">
        <w:t>Figure 34: Prior offending rates of people receiving diversion plans, by gender and family violence flag</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AF34C4" w:rsidRPr="003326BE" w14:paraId="17B983FF" w14:textId="77777777" w:rsidTr="00E40E5D">
        <w:trPr>
          <w:trHeight w:val="290"/>
          <w:tblHeader/>
        </w:trPr>
        <w:tc>
          <w:tcPr>
            <w:tcW w:w="1000" w:type="pct"/>
            <w:noWrap/>
            <w:hideMark/>
          </w:tcPr>
          <w:p w14:paraId="0DF0857B" w14:textId="4971A73E" w:rsidR="00AF34C4" w:rsidRPr="003326BE" w:rsidRDefault="000A1AFB" w:rsidP="00EB28EA">
            <w:pPr>
              <w:pStyle w:val="TableHeading"/>
            </w:pPr>
            <w:r>
              <w:t>Gender and family violence flag</w:t>
            </w:r>
          </w:p>
        </w:tc>
        <w:tc>
          <w:tcPr>
            <w:tcW w:w="1000" w:type="pct"/>
          </w:tcPr>
          <w:p w14:paraId="15ACFDF9" w14:textId="059AB26A" w:rsidR="00AF34C4" w:rsidRDefault="00AF34C4" w:rsidP="00EB28EA">
            <w:pPr>
              <w:pStyle w:val="TableHeading"/>
            </w:pPr>
            <w:r>
              <w:t>Number receiving</w:t>
            </w:r>
            <w:r w:rsidRPr="003326BE">
              <w:t xml:space="preserve"> diversion</w:t>
            </w:r>
            <w:r w:rsidR="00104734">
              <w:t xml:space="preserve"> plan</w:t>
            </w:r>
          </w:p>
        </w:tc>
        <w:tc>
          <w:tcPr>
            <w:tcW w:w="1000" w:type="pct"/>
            <w:noWrap/>
            <w:hideMark/>
          </w:tcPr>
          <w:p w14:paraId="5F3D82F8" w14:textId="7022CAF0" w:rsidR="00AF34C4" w:rsidRPr="003326BE" w:rsidRDefault="00AF34C4" w:rsidP="00EB28EA">
            <w:pPr>
              <w:pStyle w:val="TableHeading"/>
            </w:pPr>
            <w:r>
              <w:t>Percentage receiving</w:t>
            </w:r>
            <w:r w:rsidRPr="003326BE">
              <w:t xml:space="preserve"> diversion</w:t>
            </w:r>
            <w:r w:rsidR="00104734">
              <w:t xml:space="preserve"> plan</w:t>
            </w:r>
          </w:p>
        </w:tc>
        <w:tc>
          <w:tcPr>
            <w:tcW w:w="1000" w:type="pct"/>
          </w:tcPr>
          <w:p w14:paraId="2BC12378" w14:textId="5B15F7D8" w:rsidR="00AF34C4" w:rsidRDefault="00AF34C4" w:rsidP="00EB28EA">
            <w:pPr>
              <w:pStyle w:val="TableHeading"/>
            </w:pPr>
            <w:r>
              <w:t>Number receiving</w:t>
            </w:r>
            <w:r w:rsidRPr="003326BE">
              <w:t xml:space="preserve"> outcome other than diversion</w:t>
            </w:r>
            <w:r w:rsidR="00104734">
              <w:t xml:space="preserve"> plan</w:t>
            </w:r>
          </w:p>
        </w:tc>
        <w:tc>
          <w:tcPr>
            <w:tcW w:w="1000" w:type="pct"/>
            <w:noWrap/>
            <w:hideMark/>
          </w:tcPr>
          <w:p w14:paraId="55D64247" w14:textId="0480E9BF" w:rsidR="00AF34C4" w:rsidRPr="003326BE" w:rsidRDefault="00AF34C4" w:rsidP="00EB28EA">
            <w:pPr>
              <w:pStyle w:val="TableHeading"/>
            </w:pPr>
            <w:r>
              <w:t>Percentage receiving</w:t>
            </w:r>
            <w:r w:rsidRPr="003326BE">
              <w:t xml:space="preserve"> outcome other than diversion</w:t>
            </w:r>
            <w:r w:rsidR="00104734">
              <w:t xml:space="preserve"> plan</w:t>
            </w:r>
          </w:p>
        </w:tc>
      </w:tr>
      <w:tr w:rsidR="00AF34C4" w:rsidRPr="003326BE" w14:paraId="58CBF7D7" w14:textId="77777777" w:rsidTr="00EB28EA">
        <w:trPr>
          <w:trHeight w:val="290"/>
        </w:trPr>
        <w:tc>
          <w:tcPr>
            <w:tcW w:w="1000" w:type="pct"/>
            <w:noWrap/>
            <w:hideMark/>
          </w:tcPr>
          <w:p w14:paraId="43099E2F" w14:textId="58A3009C" w:rsidR="00AF34C4" w:rsidRPr="003326BE" w:rsidRDefault="00DF0C57" w:rsidP="00BE6C67">
            <w:pPr>
              <w:pStyle w:val="TableBody"/>
            </w:pPr>
            <w:r>
              <w:t>Men</w:t>
            </w:r>
            <w:r w:rsidR="00EB28EA">
              <w:t xml:space="preserve"> - </w:t>
            </w:r>
            <w:r w:rsidR="00AF34C4" w:rsidRPr="003326BE">
              <w:t>family violence flag</w:t>
            </w:r>
          </w:p>
        </w:tc>
        <w:tc>
          <w:tcPr>
            <w:tcW w:w="1000" w:type="pct"/>
          </w:tcPr>
          <w:p w14:paraId="689CF0A8" w14:textId="106BC46A" w:rsidR="00AF34C4" w:rsidRPr="003326BE" w:rsidRDefault="00EB28EA" w:rsidP="00BE6C67">
            <w:pPr>
              <w:pStyle w:val="TableBody"/>
            </w:pPr>
            <w:r w:rsidRPr="003326BE">
              <w:t>1,197</w:t>
            </w:r>
          </w:p>
        </w:tc>
        <w:tc>
          <w:tcPr>
            <w:tcW w:w="1000" w:type="pct"/>
            <w:noWrap/>
            <w:hideMark/>
          </w:tcPr>
          <w:p w14:paraId="63065507" w14:textId="2897F4F4" w:rsidR="00AF34C4" w:rsidRPr="003326BE" w:rsidRDefault="00AF34C4" w:rsidP="00BE6C67">
            <w:pPr>
              <w:pStyle w:val="TableBody"/>
            </w:pPr>
            <w:r w:rsidRPr="003326BE">
              <w:t>12.4%</w:t>
            </w:r>
          </w:p>
        </w:tc>
        <w:tc>
          <w:tcPr>
            <w:tcW w:w="1000" w:type="pct"/>
          </w:tcPr>
          <w:p w14:paraId="17842ED6" w14:textId="497AAAC2" w:rsidR="00AF34C4" w:rsidRPr="003326BE" w:rsidRDefault="00EB28EA" w:rsidP="00BE6C67">
            <w:pPr>
              <w:pStyle w:val="TableBody"/>
            </w:pPr>
            <w:r w:rsidRPr="003326BE">
              <w:t>14,201</w:t>
            </w:r>
          </w:p>
        </w:tc>
        <w:tc>
          <w:tcPr>
            <w:tcW w:w="1000" w:type="pct"/>
            <w:noWrap/>
            <w:hideMark/>
          </w:tcPr>
          <w:p w14:paraId="04F8D339" w14:textId="2B7A8D1C" w:rsidR="00AF34C4" w:rsidRPr="003326BE" w:rsidRDefault="00AF34C4" w:rsidP="00BE6C67">
            <w:pPr>
              <w:pStyle w:val="TableBody"/>
            </w:pPr>
            <w:r w:rsidRPr="003326BE">
              <w:t>46.6%</w:t>
            </w:r>
          </w:p>
        </w:tc>
      </w:tr>
      <w:tr w:rsidR="00AF34C4" w:rsidRPr="003326BE" w14:paraId="3FD1CDF3" w14:textId="77777777" w:rsidTr="00EB28EA">
        <w:trPr>
          <w:trHeight w:val="290"/>
        </w:trPr>
        <w:tc>
          <w:tcPr>
            <w:tcW w:w="1000" w:type="pct"/>
            <w:noWrap/>
            <w:hideMark/>
          </w:tcPr>
          <w:p w14:paraId="23EFCD8C" w14:textId="3C01F419" w:rsidR="00AF34C4" w:rsidRPr="003326BE" w:rsidRDefault="00DF0C57" w:rsidP="00BE6C67">
            <w:pPr>
              <w:pStyle w:val="TableBody"/>
            </w:pPr>
            <w:r>
              <w:t>Men</w:t>
            </w:r>
            <w:r w:rsidR="006239F8">
              <w:t xml:space="preserve"> </w:t>
            </w:r>
            <w:r w:rsidR="00BB7D30">
              <w:t>–</w:t>
            </w:r>
            <w:r w:rsidR="006239F8">
              <w:t xml:space="preserve"> </w:t>
            </w:r>
            <w:r w:rsidR="00BB7D30">
              <w:t xml:space="preserve">no </w:t>
            </w:r>
            <w:r w:rsidR="00AF34C4" w:rsidRPr="003326BE">
              <w:t>family violence flag</w:t>
            </w:r>
          </w:p>
        </w:tc>
        <w:tc>
          <w:tcPr>
            <w:tcW w:w="1000" w:type="pct"/>
          </w:tcPr>
          <w:p w14:paraId="302219F7" w14:textId="27ACCD8A" w:rsidR="00AF34C4" w:rsidRPr="003326BE" w:rsidRDefault="006239F8" w:rsidP="00BE6C67">
            <w:pPr>
              <w:pStyle w:val="TableBody"/>
            </w:pPr>
            <w:r w:rsidRPr="003326BE">
              <w:t>5,651</w:t>
            </w:r>
          </w:p>
        </w:tc>
        <w:tc>
          <w:tcPr>
            <w:tcW w:w="1000" w:type="pct"/>
            <w:noWrap/>
            <w:hideMark/>
          </w:tcPr>
          <w:p w14:paraId="41AD308D" w14:textId="67C949D3" w:rsidR="00AF34C4" w:rsidRPr="003326BE" w:rsidRDefault="00AF34C4" w:rsidP="00BE6C67">
            <w:pPr>
              <w:pStyle w:val="TableBody"/>
            </w:pPr>
            <w:r w:rsidRPr="003326BE">
              <w:t>11.9%</w:t>
            </w:r>
          </w:p>
        </w:tc>
        <w:tc>
          <w:tcPr>
            <w:tcW w:w="1000" w:type="pct"/>
          </w:tcPr>
          <w:p w14:paraId="7E748397" w14:textId="341C56FD" w:rsidR="00AF34C4" w:rsidRPr="003326BE" w:rsidRDefault="006239F8" w:rsidP="00BE6C67">
            <w:pPr>
              <w:pStyle w:val="TableBody"/>
            </w:pPr>
            <w:r w:rsidRPr="003326BE">
              <w:t>92,599</w:t>
            </w:r>
          </w:p>
        </w:tc>
        <w:tc>
          <w:tcPr>
            <w:tcW w:w="1000" w:type="pct"/>
            <w:noWrap/>
            <w:hideMark/>
          </w:tcPr>
          <w:p w14:paraId="2C2C7002" w14:textId="45057C0B" w:rsidR="00AF34C4" w:rsidRPr="003326BE" w:rsidRDefault="00AF34C4" w:rsidP="00BE6C67">
            <w:pPr>
              <w:pStyle w:val="TableBody"/>
            </w:pPr>
            <w:r w:rsidRPr="003326BE">
              <w:t>37.0%</w:t>
            </w:r>
          </w:p>
        </w:tc>
      </w:tr>
      <w:tr w:rsidR="00AF34C4" w:rsidRPr="003326BE" w14:paraId="605DD262" w14:textId="77777777" w:rsidTr="00EB28EA">
        <w:trPr>
          <w:trHeight w:val="290"/>
        </w:trPr>
        <w:tc>
          <w:tcPr>
            <w:tcW w:w="1000" w:type="pct"/>
            <w:noWrap/>
            <w:hideMark/>
          </w:tcPr>
          <w:p w14:paraId="6ED6B938" w14:textId="1563DC8D" w:rsidR="00AF34C4" w:rsidRPr="003326BE" w:rsidRDefault="00DF0C57" w:rsidP="00BE6C67">
            <w:pPr>
              <w:pStyle w:val="TableBody"/>
            </w:pPr>
            <w:r>
              <w:lastRenderedPageBreak/>
              <w:t>Women</w:t>
            </w:r>
            <w:r w:rsidR="00BB7D30">
              <w:t xml:space="preserve"> - </w:t>
            </w:r>
            <w:r w:rsidR="00AF34C4" w:rsidRPr="003326BE">
              <w:t>family violence flag</w:t>
            </w:r>
          </w:p>
        </w:tc>
        <w:tc>
          <w:tcPr>
            <w:tcW w:w="1000" w:type="pct"/>
          </w:tcPr>
          <w:p w14:paraId="0031C942" w14:textId="1A72A6FB" w:rsidR="00AF34C4" w:rsidRPr="003326BE" w:rsidRDefault="00BB7D30" w:rsidP="00BE6C67">
            <w:pPr>
              <w:pStyle w:val="TableBody"/>
            </w:pPr>
            <w:r w:rsidRPr="003326BE">
              <w:t>665</w:t>
            </w:r>
          </w:p>
        </w:tc>
        <w:tc>
          <w:tcPr>
            <w:tcW w:w="1000" w:type="pct"/>
            <w:noWrap/>
            <w:hideMark/>
          </w:tcPr>
          <w:p w14:paraId="3E8C804C" w14:textId="274AEB4E" w:rsidR="00AF34C4" w:rsidRPr="003326BE" w:rsidRDefault="00AF34C4" w:rsidP="00BE6C67">
            <w:pPr>
              <w:pStyle w:val="TableBody"/>
            </w:pPr>
            <w:r w:rsidRPr="003326BE">
              <w:t>8.6%</w:t>
            </w:r>
          </w:p>
        </w:tc>
        <w:tc>
          <w:tcPr>
            <w:tcW w:w="1000" w:type="pct"/>
          </w:tcPr>
          <w:p w14:paraId="4AFBD5ED" w14:textId="44C177AF" w:rsidR="00AF34C4" w:rsidRPr="003326BE" w:rsidRDefault="00BB7D30" w:rsidP="00BE6C67">
            <w:pPr>
              <w:pStyle w:val="TableBody"/>
            </w:pPr>
            <w:r w:rsidRPr="003326BE">
              <w:t>2,454</w:t>
            </w:r>
          </w:p>
        </w:tc>
        <w:tc>
          <w:tcPr>
            <w:tcW w:w="1000" w:type="pct"/>
            <w:noWrap/>
            <w:hideMark/>
          </w:tcPr>
          <w:p w14:paraId="2F22AD44" w14:textId="56E930A4" w:rsidR="00AF34C4" w:rsidRPr="003326BE" w:rsidRDefault="00AF34C4" w:rsidP="00BE6C67">
            <w:pPr>
              <w:pStyle w:val="TableBody"/>
            </w:pPr>
            <w:r w:rsidRPr="003326BE">
              <w:t>38.6%</w:t>
            </w:r>
          </w:p>
        </w:tc>
      </w:tr>
      <w:tr w:rsidR="00AF34C4" w:rsidRPr="003326BE" w14:paraId="648758AD" w14:textId="77777777" w:rsidTr="00EB28EA">
        <w:trPr>
          <w:trHeight w:val="290"/>
        </w:trPr>
        <w:tc>
          <w:tcPr>
            <w:tcW w:w="1000" w:type="pct"/>
            <w:noWrap/>
            <w:hideMark/>
          </w:tcPr>
          <w:p w14:paraId="0A5CDACA" w14:textId="3E16E634" w:rsidR="00AF34C4" w:rsidRPr="003326BE" w:rsidRDefault="00DF0C57" w:rsidP="00BE6C67">
            <w:pPr>
              <w:pStyle w:val="TableBody"/>
            </w:pPr>
            <w:r>
              <w:t>Women</w:t>
            </w:r>
            <w:r w:rsidR="00BB7D30">
              <w:t xml:space="preserve"> -</w:t>
            </w:r>
            <w:r w:rsidR="00AF34C4" w:rsidRPr="003326BE">
              <w:t xml:space="preserve"> </w:t>
            </w:r>
            <w:r w:rsidR="00BB7D30">
              <w:t xml:space="preserve">no </w:t>
            </w:r>
            <w:r w:rsidR="00AF34C4" w:rsidRPr="003326BE">
              <w:t>family violence flag</w:t>
            </w:r>
          </w:p>
        </w:tc>
        <w:tc>
          <w:tcPr>
            <w:tcW w:w="1000" w:type="pct"/>
          </w:tcPr>
          <w:p w14:paraId="2E91A4C9" w14:textId="738ADF0B" w:rsidR="00AF34C4" w:rsidRPr="003326BE" w:rsidRDefault="00BB7D30" w:rsidP="00BE6C67">
            <w:pPr>
              <w:pStyle w:val="TableBody"/>
            </w:pPr>
            <w:r w:rsidRPr="003326BE">
              <w:t>2,880</w:t>
            </w:r>
          </w:p>
        </w:tc>
        <w:tc>
          <w:tcPr>
            <w:tcW w:w="1000" w:type="pct"/>
            <w:noWrap/>
            <w:hideMark/>
          </w:tcPr>
          <w:p w14:paraId="27421B0D" w14:textId="1102AC1E" w:rsidR="00AF34C4" w:rsidRPr="003326BE" w:rsidRDefault="00AF34C4" w:rsidP="00BE6C67">
            <w:pPr>
              <w:pStyle w:val="TableBody"/>
            </w:pPr>
            <w:r w:rsidRPr="003326BE">
              <w:t>9.0%</w:t>
            </w:r>
          </w:p>
        </w:tc>
        <w:tc>
          <w:tcPr>
            <w:tcW w:w="1000" w:type="pct"/>
          </w:tcPr>
          <w:p w14:paraId="5E6107D1" w14:textId="1D075681" w:rsidR="00AF34C4" w:rsidRPr="003326BE" w:rsidRDefault="00BB7D30" w:rsidP="00BE6C67">
            <w:pPr>
              <w:pStyle w:val="TableBody"/>
            </w:pPr>
            <w:r w:rsidRPr="003326BE">
              <w:t>30,650</w:t>
            </w:r>
          </w:p>
        </w:tc>
        <w:tc>
          <w:tcPr>
            <w:tcW w:w="1000" w:type="pct"/>
            <w:noWrap/>
            <w:hideMark/>
          </w:tcPr>
          <w:p w14:paraId="2E1486E2" w14:textId="3A4AB07A" w:rsidR="00AF34C4" w:rsidRPr="003326BE" w:rsidRDefault="00AF34C4" w:rsidP="00BE6C67">
            <w:pPr>
              <w:pStyle w:val="TableBody"/>
            </w:pPr>
            <w:r w:rsidRPr="003326BE">
              <w:t>26.7%</w:t>
            </w:r>
          </w:p>
        </w:tc>
      </w:tr>
    </w:tbl>
    <w:p w14:paraId="35E285DB" w14:textId="77777777" w:rsidR="00417C86" w:rsidRPr="0060474A" w:rsidRDefault="00417C86" w:rsidP="00F92471">
      <w:pPr>
        <w:pStyle w:val="Bullets"/>
        <w:spacing w:before="240"/>
      </w:pPr>
      <w:r w:rsidRPr="0060474A">
        <w:rPr>
          <w:b/>
          <w:bCs/>
        </w:rPr>
        <w:t>Offence category</w:t>
      </w:r>
      <w:r w:rsidRPr="0060474A">
        <w:t xml:space="preserve">: people who received diversion plans during the two-year index </w:t>
      </w:r>
      <w:r w:rsidRPr="00F92471">
        <w:t>period</w:t>
      </w:r>
      <w:r w:rsidRPr="0060474A">
        <w:t xml:space="preserve"> were much less likely to have any prior offences within the previous five years compared to people who received any other court outcome, regardless of their principal offence type (Figure 35). The disparity was especially stark for those who received a court outcome for traffic offences: 3.6% of people receiving diversion plans had prior offences, whereas people receiving another court outcome were almost eight times more likely to have prior offences (28.1%). This suggests that a recent criminal history is a significant barrier to receiving a diversion plan for traffic offences.</w:t>
      </w:r>
    </w:p>
    <w:p w14:paraId="4E36035E" w14:textId="77777777" w:rsidR="00417C86" w:rsidRPr="0060474A" w:rsidRDefault="00417C86" w:rsidP="00187BBF">
      <w:pPr>
        <w:pStyle w:val="Caption"/>
      </w:pPr>
      <w:r w:rsidRPr="0060474A">
        <w:t>Figure 35: Prior offending rates of people receiving diversion plans or another court outcome in 2015–16 and 2016–17, by principal offence type</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A910A4" w:rsidRPr="0060474A" w14:paraId="2368623C" w14:textId="77777777" w:rsidTr="007D7DE6">
        <w:trPr>
          <w:trHeight w:val="290"/>
          <w:tblHeader/>
        </w:trPr>
        <w:tc>
          <w:tcPr>
            <w:tcW w:w="1000" w:type="pct"/>
            <w:noWrap/>
            <w:hideMark/>
          </w:tcPr>
          <w:p w14:paraId="1830F5A3" w14:textId="78A73898" w:rsidR="00A910A4" w:rsidRPr="0060474A" w:rsidRDefault="00A910A4" w:rsidP="00A910A4">
            <w:pPr>
              <w:pStyle w:val="TableHeading"/>
            </w:pPr>
            <w:r>
              <w:t xml:space="preserve">Offence </w:t>
            </w:r>
            <w:r w:rsidR="00074BB2">
              <w:t>type</w:t>
            </w:r>
          </w:p>
        </w:tc>
        <w:tc>
          <w:tcPr>
            <w:tcW w:w="1000" w:type="pct"/>
          </w:tcPr>
          <w:p w14:paraId="1BCCAE33" w14:textId="6093F3E4" w:rsidR="00A910A4" w:rsidRPr="0060474A" w:rsidRDefault="00A910A4" w:rsidP="00A910A4">
            <w:pPr>
              <w:pStyle w:val="TableHeading"/>
            </w:pPr>
            <w:r>
              <w:t>Number receiving</w:t>
            </w:r>
            <w:r w:rsidRPr="003326BE">
              <w:t xml:space="preserve"> diversion</w:t>
            </w:r>
            <w:r w:rsidR="0046138B">
              <w:t xml:space="preserve"> plan</w:t>
            </w:r>
          </w:p>
        </w:tc>
        <w:tc>
          <w:tcPr>
            <w:tcW w:w="1000" w:type="pct"/>
            <w:noWrap/>
            <w:hideMark/>
          </w:tcPr>
          <w:p w14:paraId="294C1A93" w14:textId="270051D0" w:rsidR="00A910A4" w:rsidRPr="0060474A" w:rsidRDefault="00A910A4" w:rsidP="00A910A4">
            <w:pPr>
              <w:pStyle w:val="TableHeading"/>
            </w:pPr>
            <w:r>
              <w:t>Percentage receiving</w:t>
            </w:r>
            <w:r w:rsidRPr="003326BE">
              <w:t xml:space="preserve"> </w:t>
            </w:r>
            <w:r w:rsidR="0046138B" w:rsidRPr="003326BE">
              <w:t>diversion</w:t>
            </w:r>
            <w:r w:rsidR="0046138B">
              <w:t xml:space="preserve"> plan</w:t>
            </w:r>
          </w:p>
        </w:tc>
        <w:tc>
          <w:tcPr>
            <w:tcW w:w="1000" w:type="pct"/>
          </w:tcPr>
          <w:p w14:paraId="75B120DC" w14:textId="524F6630" w:rsidR="00A910A4" w:rsidRPr="0060474A" w:rsidRDefault="00A910A4" w:rsidP="00A910A4">
            <w:pPr>
              <w:pStyle w:val="TableHeading"/>
            </w:pPr>
            <w:r>
              <w:t>Number receiving</w:t>
            </w:r>
            <w:r w:rsidRPr="003326BE">
              <w:t xml:space="preserve"> outcome other than </w:t>
            </w:r>
            <w:r w:rsidR="0046138B" w:rsidRPr="003326BE">
              <w:t>diversion</w:t>
            </w:r>
            <w:r w:rsidR="0046138B">
              <w:t xml:space="preserve"> plan</w:t>
            </w:r>
          </w:p>
        </w:tc>
        <w:tc>
          <w:tcPr>
            <w:tcW w:w="1000" w:type="pct"/>
            <w:noWrap/>
            <w:hideMark/>
          </w:tcPr>
          <w:p w14:paraId="67A44142" w14:textId="4B10202B" w:rsidR="00A910A4" w:rsidRPr="0060474A" w:rsidRDefault="00A910A4" w:rsidP="00A910A4">
            <w:pPr>
              <w:pStyle w:val="TableHeading"/>
            </w:pPr>
            <w:r>
              <w:t>Percentage receiving</w:t>
            </w:r>
            <w:r w:rsidRPr="003326BE">
              <w:t xml:space="preserve"> outcome other than </w:t>
            </w:r>
            <w:r w:rsidR="0046138B" w:rsidRPr="003326BE">
              <w:t>diversion</w:t>
            </w:r>
            <w:r w:rsidR="0046138B">
              <w:t xml:space="preserve"> plan</w:t>
            </w:r>
          </w:p>
        </w:tc>
      </w:tr>
      <w:tr w:rsidR="00A910A4" w:rsidRPr="0060474A" w14:paraId="6FE3D3DB" w14:textId="77777777" w:rsidTr="006F23F8">
        <w:trPr>
          <w:trHeight w:val="290"/>
        </w:trPr>
        <w:tc>
          <w:tcPr>
            <w:tcW w:w="1000" w:type="pct"/>
            <w:noWrap/>
            <w:hideMark/>
          </w:tcPr>
          <w:p w14:paraId="768D68CB" w14:textId="7F9A1A19" w:rsidR="00A910A4" w:rsidRPr="006F23F8" w:rsidRDefault="00F7335E" w:rsidP="006F23F8">
            <w:pPr>
              <w:pStyle w:val="TableBody"/>
            </w:pPr>
            <w:r>
              <w:t>Offences against the person</w:t>
            </w:r>
          </w:p>
        </w:tc>
        <w:tc>
          <w:tcPr>
            <w:tcW w:w="1000" w:type="pct"/>
          </w:tcPr>
          <w:p w14:paraId="3B2F7111" w14:textId="279ABCC8" w:rsidR="00A910A4" w:rsidRPr="0060474A" w:rsidRDefault="006F23F8" w:rsidP="00BC2E77">
            <w:pPr>
              <w:pStyle w:val="TableBody"/>
            </w:pPr>
            <w:r w:rsidRPr="006F23F8">
              <w:t>2,725</w:t>
            </w:r>
          </w:p>
        </w:tc>
        <w:tc>
          <w:tcPr>
            <w:tcW w:w="1000" w:type="pct"/>
            <w:noWrap/>
            <w:hideMark/>
          </w:tcPr>
          <w:p w14:paraId="29FA1B26" w14:textId="16439ECA" w:rsidR="00A910A4" w:rsidRPr="0060474A" w:rsidRDefault="00A910A4" w:rsidP="00BC2E77">
            <w:pPr>
              <w:pStyle w:val="TableBody"/>
            </w:pPr>
            <w:r w:rsidRPr="0060474A">
              <w:t>10.1%</w:t>
            </w:r>
          </w:p>
        </w:tc>
        <w:tc>
          <w:tcPr>
            <w:tcW w:w="1000" w:type="pct"/>
          </w:tcPr>
          <w:p w14:paraId="5AD68EE7" w14:textId="4329F2C1" w:rsidR="00A910A4" w:rsidRPr="0060474A" w:rsidRDefault="006F23F8" w:rsidP="00BC2E77">
            <w:pPr>
              <w:pStyle w:val="TableBody"/>
            </w:pPr>
            <w:r w:rsidRPr="006F23F8">
              <w:t>18,987</w:t>
            </w:r>
          </w:p>
        </w:tc>
        <w:tc>
          <w:tcPr>
            <w:tcW w:w="1000" w:type="pct"/>
            <w:noWrap/>
            <w:hideMark/>
          </w:tcPr>
          <w:p w14:paraId="7AF04DC1" w14:textId="27469BDF" w:rsidR="00A910A4" w:rsidRPr="0060474A" w:rsidRDefault="00A910A4" w:rsidP="00BC2E77">
            <w:pPr>
              <w:pStyle w:val="TableBody"/>
            </w:pPr>
            <w:r w:rsidRPr="0060474A">
              <w:t>43.0%</w:t>
            </w:r>
          </w:p>
        </w:tc>
      </w:tr>
      <w:tr w:rsidR="00A910A4" w:rsidRPr="0060474A" w14:paraId="01C12227" w14:textId="77777777" w:rsidTr="006F23F8">
        <w:trPr>
          <w:trHeight w:val="290"/>
        </w:trPr>
        <w:tc>
          <w:tcPr>
            <w:tcW w:w="1000" w:type="pct"/>
            <w:noWrap/>
            <w:hideMark/>
          </w:tcPr>
          <w:p w14:paraId="12436462" w14:textId="757F5228" w:rsidR="00A910A4" w:rsidRPr="006F23F8" w:rsidRDefault="00A910A4" w:rsidP="006F23F8">
            <w:pPr>
              <w:pStyle w:val="TableBody"/>
            </w:pPr>
            <w:r w:rsidRPr="006F23F8">
              <w:t>Property</w:t>
            </w:r>
            <w:r w:rsidR="008C7C58">
              <w:t xml:space="preserve"> offences</w:t>
            </w:r>
          </w:p>
        </w:tc>
        <w:tc>
          <w:tcPr>
            <w:tcW w:w="1000" w:type="pct"/>
          </w:tcPr>
          <w:p w14:paraId="0608F70B" w14:textId="2F1F760D" w:rsidR="00A910A4" w:rsidRPr="0060474A" w:rsidRDefault="006F23F8" w:rsidP="00BC2E77">
            <w:pPr>
              <w:pStyle w:val="TableBody"/>
            </w:pPr>
            <w:r w:rsidRPr="006F23F8">
              <w:t>3,410</w:t>
            </w:r>
          </w:p>
        </w:tc>
        <w:tc>
          <w:tcPr>
            <w:tcW w:w="1000" w:type="pct"/>
            <w:noWrap/>
            <w:hideMark/>
          </w:tcPr>
          <w:p w14:paraId="3E6EC5C3" w14:textId="2611702B" w:rsidR="00A910A4" w:rsidRPr="0060474A" w:rsidRDefault="00A910A4" w:rsidP="00BC2E77">
            <w:pPr>
              <w:pStyle w:val="TableBody"/>
            </w:pPr>
            <w:r w:rsidRPr="0060474A">
              <w:t>13.0%</w:t>
            </w:r>
          </w:p>
        </w:tc>
        <w:tc>
          <w:tcPr>
            <w:tcW w:w="1000" w:type="pct"/>
          </w:tcPr>
          <w:p w14:paraId="36F54841" w14:textId="46FB1AE7" w:rsidR="00A910A4" w:rsidRPr="0060474A" w:rsidRDefault="006F23F8" w:rsidP="00BC2E77">
            <w:pPr>
              <w:pStyle w:val="TableBody"/>
            </w:pPr>
            <w:r w:rsidRPr="006F23F8">
              <w:t>14,889</w:t>
            </w:r>
          </w:p>
        </w:tc>
        <w:tc>
          <w:tcPr>
            <w:tcW w:w="1000" w:type="pct"/>
            <w:noWrap/>
            <w:hideMark/>
          </w:tcPr>
          <w:p w14:paraId="3AA5B297" w14:textId="74352C66" w:rsidR="00A910A4" w:rsidRPr="0060474A" w:rsidRDefault="00A910A4" w:rsidP="00BC2E77">
            <w:pPr>
              <w:pStyle w:val="TableBody"/>
            </w:pPr>
            <w:r w:rsidRPr="0060474A">
              <w:t>55.2%</w:t>
            </w:r>
          </w:p>
        </w:tc>
      </w:tr>
      <w:tr w:rsidR="00A910A4" w:rsidRPr="0060474A" w14:paraId="061CBFC6" w14:textId="77777777" w:rsidTr="006F23F8">
        <w:trPr>
          <w:trHeight w:val="290"/>
        </w:trPr>
        <w:tc>
          <w:tcPr>
            <w:tcW w:w="1000" w:type="pct"/>
            <w:noWrap/>
            <w:hideMark/>
          </w:tcPr>
          <w:p w14:paraId="6947D6BB" w14:textId="6E0DF3E7" w:rsidR="00A910A4" w:rsidRPr="006F23F8" w:rsidRDefault="00A910A4" w:rsidP="006F23F8">
            <w:pPr>
              <w:pStyle w:val="TableBody"/>
            </w:pPr>
            <w:r w:rsidRPr="006F23F8">
              <w:t xml:space="preserve">Traffic </w:t>
            </w:r>
            <w:r w:rsidR="00F9328E">
              <w:t>offences</w:t>
            </w:r>
          </w:p>
        </w:tc>
        <w:tc>
          <w:tcPr>
            <w:tcW w:w="1000" w:type="pct"/>
          </w:tcPr>
          <w:p w14:paraId="3557B2F9" w14:textId="2FBDA0E1" w:rsidR="00A910A4" w:rsidRPr="0060474A" w:rsidRDefault="006F23F8" w:rsidP="00BC2E77">
            <w:pPr>
              <w:pStyle w:val="TableBody"/>
            </w:pPr>
            <w:r w:rsidRPr="006F23F8">
              <w:t>1,293</w:t>
            </w:r>
          </w:p>
        </w:tc>
        <w:tc>
          <w:tcPr>
            <w:tcW w:w="1000" w:type="pct"/>
            <w:noWrap/>
            <w:hideMark/>
          </w:tcPr>
          <w:p w14:paraId="0405B65B" w14:textId="20FA172C" w:rsidR="00A910A4" w:rsidRPr="0060474A" w:rsidRDefault="00A910A4" w:rsidP="00BC2E77">
            <w:pPr>
              <w:pStyle w:val="TableBody"/>
            </w:pPr>
            <w:r w:rsidRPr="0060474A">
              <w:t>3.6%</w:t>
            </w:r>
          </w:p>
        </w:tc>
        <w:tc>
          <w:tcPr>
            <w:tcW w:w="1000" w:type="pct"/>
          </w:tcPr>
          <w:p w14:paraId="41CB1331" w14:textId="4EE89252" w:rsidR="00A910A4" w:rsidRPr="0060474A" w:rsidRDefault="006F23F8" w:rsidP="00BC2E77">
            <w:pPr>
              <w:pStyle w:val="TableBody"/>
            </w:pPr>
            <w:r w:rsidRPr="006F23F8">
              <w:t>75,027</w:t>
            </w:r>
          </w:p>
        </w:tc>
        <w:tc>
          <w:tcPr>
            <w:tcW w:w="1000" w:type="pct"/>
            <w:noWrap/>
            <w:hideMark/>
          </w:tcPr>
          <w:p w14:paraId="6A31732F" w14:textId="7AE1C18C" w:rsidR="00A910A4" w:rsidRPr="0060474A" w:rsidRDefault="00A910A4" w:rsidP="00BC2E77">
            <w:pPr>
              <w:pStyle w:val="TableBody"/>
            </w:pPr>
            <w:r w:rsidRPr="0060474A">
              <w:t>28.1%</w:t>
            </w:r>
          </w:p>
        </w:tc>
      </w:tr>
      <w:tr w:rsidR="00A910A4" w:rsidRPr="0060474A" w14:paraId="65A6BF85" w14:textId="77777777" w:rsidTr="006F23F8">
        <w:trPr>
          <w:trHeight w:val="290"/>
        </w:trPr>
        <w:tc>
          <w:tcPr>
            <w:tcW w:w="1000" w:type="pct"/>
            <w:noWrap/>
            <w:hideMark/>
          </w:tcPr>
          <w:p w14:paraId="17F5BF69" w14:textId="1CCAF40C" w:rsidR="00A910A4" w:rsidRPr="006F23F8" w:rsidRDefault="00E75C31" w:rsidP="006F23F8">
            <w:pPr>
              <w:pStyle w:val="TableBody"/>
            </w:pPr>
            <w:r>
              <w:t>Drug-related offences</w:t>
            </w:r>
          </w:p>
        </w:tc>
        <w:tc>
          <w:tcPr>
            <w:tcW w:w="1000" w:type="pct"/>
          </w:tcPr>
          <w:p w14:paraId="5D847143" w14:textId="61E23B31" w:rsidR="00A910A4" w:rsidRPr="0060474A" w:rsidRDefault="006F23F8" w:rsidP="00BC2E77">
            <w:pPr>
              <w:pStyle w:val="TableBody"/>
            </w:pPr>
            <w:r w:rsidRPr="006F23F8">
              <w:t>746</w:t>
            </w:r>
          </w:p>
        </w:tc>
        <w:tc>
          <w:tcPr>
            <w:tcW w:w="1000" w:type="pct"/>
            <w:noWrap/>
            <w:hideMark/>
          </w:tcPr>
          <w:p w14:paraId="49BCE6A0" w14:textId="0079D8F2" w:rsidR="00A910A4" w:rsidRPr="0060474A" w:rsidRDefault="00A910A4" w:rsidP="00BC2E77">
            <w:pPr>
              <w:pStyle w:val="TableBody"/>
            </w:pPr>
            <w:r w:rsidRPr="0060474A">
              <w:t>13.7%</w:t>
            </w:r>
          </w:p>
        </w:tc>
        <w:tc>
          <w:tcPr>
            <w:tcW w:w="1000" w:type="pct"/>
          </w:tcPr>
          <w:p w14:paraId="33231E49" w14:textId="07FD164F" w:rsidR="00A910A4" w:rsidRPr="0060474A" w:rsidRDefault="006F23F8" w:rsidP="00BC2E77">
            <w:pPr>
              <w:pStyle w:val="TableBody"/>
            </w:pPr>
            <w:r w:rsidRPr="006F23F8">
              <w:t>5,635</w:t>
            </w:r>
          </w:p>
        </w:tc>
        <w:tc>
          <w:tcPr>
            <w:tcW w:w="1000" w:type="pct"/>
            <w:noWrap/>
            <w:hideMark/>
          </w:tcPr>
          <w:p w14:paraId="6EE86CE7" w14:textId="26AC180B" w:rsidR="00A910A4" w:rsidRPr="0060474A" w:rsidRDefault="00A910A4" w:rsidP="00BC2E77">
            <w:pPr>
              <w:pStyle w:val="TableBody"/>
            </w:pPr>
            <w:r w:rsidRPr="0060474A">
              <w:t>51.6%</w:t>
            </w:r>
          </w:p>
        </w:tc>
      </w:tr>
      <w:tr w:rsidR="00A910A4" w:rsidRPr="0060474A" w14:paraId="49A43303" w14:textId="77777777" w:rsidTr="006F23F8">
        <w:trPr>
          <w:trHeight w:val="290"/>
        </w:trPr>
        <w:tc>
          <w:tcPr>
            <w:tcW w:w="1000" w:type="pct"/>
            <w:noWrap/>
            <w:hideMark/>
          </w:tcPr>
          <w:p w14:paraId="490E36D8" w14:textId="07F417B3" w:rsidR="00A910A4" w:rsidRPr="0060474A" w:rsidRDefault="00A910A4" w:rsidP="006F23F8">
            <w:pPr>
              <w:pStyle w:val="TableBody"/>
            </w:pPr>
            <w:r w:rsidRPr="0060474A">
              <w:t>Other</w:t>
            </w:r>
          </w:p>
        </w:tc>
        <w:tc>
          <w:tcPr>
            <w:tcW w:w="1000" w:type="pct"/>
          </w:tcPr>
          <w:p w14:paraId="5D89391E" w14:textId="559467CF" w:rsidR="00A910A4" w:rsidRPr="0060474A" w:rsidRDefault="006F23F8" w:rsidP="00BC2E77">
            <w:pPr>
              <w:pStyle w:val="TableBody"/>
            </w:pPr>
            <w:r w:rsidRPr="0060474A">
              <w:t>2,219</w:t>
            </w:r>
          </w:p>
        </w:tc>
        <w:tc>
          <w:tcPr>
            <w:tcW w:w="1000" w:type="pct"/>
            <w:noWrap/>
            <w:hideMark/>
          </w:tcPr>
          <w:p w14:paraId="415ADB07" w14:textId="3CF9FDC5" w:rsidR="00A910A4" w:rsidRPr="0060474A" w:rsidRDefault="00A910A4" w:rsidP="00BC2E77">
            <w:pPr>
              <w:pStyle w:val="TableBody"/>
            </w:pPr>
            <w:r w:rsidRPr="0060474A">
              <w:t>12.4%</w:t>
            </w:r>
          </w:p>
        </w:tc>
        <w:tc>
          <w:tcPr>
            <w:tcW w:w="1000" w:type="pct"/>
          </w:tcPr>
          <w:p w14:paraId="6F93552E" w14:textId="428D7AA0" w:rsidR="00A910A4" w:rsidRPr="0060474A" w:rsidRDefault="006F23F8" w:rsidP="00BC2E77">
            <w:pPr>
              <w:pStyle w:val="TableBody"/>
            </w:pPr>
            <w:r w:rsidRPr="0060474A">
              <w:t>25,368</w:t>
            </w:r>
          </w:p>
        </w:tc>
        <w:tc>
          <w:tcPr>
            <w:tcW w:w="1000" w:type="pct"/>
            <w:noWrap/>
            <w:hideMark/>
          </w:tcPr>
          <w:p w14:paraId="55917E39" w14:textId="654DAA83" w:rsidR="00A910A4" w:rsidRPr="0060474A" w:rsidRDefault="00A910A4" w:rsidP="00BC2E77">
            <w:pPr>
              <w:pStyle w:val="TableBody"/>
            </w:pPr>
            <w:r w:rsidRPr="0060474A">
              <w:t>38.1%</w:t>
            </w:r>
          </w:p>
        </w:tc>
      </w:tr>
    </w:tbl>
    <w:p w14:paraId="773D7ECA" w14:textId="77777777" w:rsidR="00417C86" w:rsidRPr="0060474A" w:rsidRDefault="00417C86" w:rsidP="00417C86">
      <w:pPr>
        <w:pStyle w:val="Heading3"/>
        <w:pageBreakBefore/>
      </w:pPr>
      <w:r w:rsidRPr="0060474A">
        <w:lastRenderedPageBreak/>
        <w:t>Reoffending</w:t>
      </w:r>
    </w:p>
    <w:p w14:paraId="0D35FC74" w14:textId="77777777" w:rsidR="00417C86" w:rsidRPr="0060474A" w:rsidRDefault="00417C86" w:rsidP="00D74421">
      <w:r w:rsidRPr="0060474A">
        <w:t xml:space="preserve">This section examines the reoffending rates of people who received a diversion plan and compares those rates to the reoffending rates of people who received another court outcome. As an important caveat, people who receive diversion plans are a distinct cohort – they are more likely to be women, have committed non-violent offences and have no prior criminal history. Each of these factors are associated with the person having an inherently lower risk of reoffending, regardless of the outcome of their case. It is therefore to be expected that the diversion population would have a lower rate of reoffending. The results below, however, illustrate </w:t>
      </w:r>
      <w:r w:rsidRPr="0060474A">
        <w:rPr>
          <w:rStyle w:val="Italic"/>
          <w:iCs w:val="0"/>
        </w:rPr>
        <w:t xml:space="preserve">how much </w:t>
      </w:r>
      <w:r w:rsidRPr="0060474A">
        <w:t>less likely the diversion population was to reoffend.</w:t>
      </w:r>
    </w:p>
    <w:p w14:paraId="6B22A55C" w14:textId="77777777" w:rsidR="00417C86" w:rsidRPr="0060474A" w:rsidRDefault="00417C86" w:rsidP="00D74421">
      <w:r w:rsidRPr="0060474A">
        <w:t xml:space="preserve">Figure 36 shows the rate at which people received a court outcome in the next five years after receiving a diversion plan or another court outcome. People receiving diversion plans were almost half as likely to reoffend (21.3%) as those receiving other court outcomes (40.2%). </w:t>
      </w:r>
    </w:p>
    <w:p w14:paraId="2B2EB59B" w14:textId="77777777" w:rsidR="00417C86" w:rsidRPr="0060474A" w:rsidRDefault="00417C86" w:rsidP="00187BBF">
      <w:pPr>
        <w:pStyle w:val="Caption"/>
      </w:pPr>
      <w:r w:rsidRPr="0060474A">
        <w:t>Figure 36: Reoffending rates of people receiving diversion plans</w:t>
      </w:r>
    </w:p>
    <w:tbl>
      <w:tblPr>
        <w:tblStyle w:val="Table"/>
        <w:tblW w:w="5000" w:type="pct"/>
        <w:tblLayout w:type="fixed"/>
        <w:tblLook w:val="04A0" w:firstRow="1" w:lastRow="0" w:firstColumn="1" w:lastColumn="0" w:noHBand="0" w:noVBand="1"/>
      </w:tblPr>
      <w:tblGrid>
        <w:gridCol w:w="4508"/>
        <w:gridCol w:w="4508"/>
      </w:tblGrid>
      <w:tr w:rsidR="00560729" w:rsidRPr="0060474A" w14:paraId="71DFED82" w14:textId="77777777" w:rsidTr="00A207B1">
        <w:trPr>
          <w:trHeight w:val="290"/>
        </w:trPr>
        <w:tc>
          <w:tcPr>
            <w:tcW w:w="2500" w:type="pct"/>
            <w:noWrap/>
            <w:hideMark/>
          </w:tcPr>
          <w:p w14:paraId="2D760946" w14:textId="365856CC" w:rsidR="00560729" w:rsidRPr="0060474A" w:rsidRDefault="00560729" w:rsidP="000027A4">
            <w:pPr>
              <w:pStyle w:val="TableHeading"/>
            </w:pPr>
            <w:r w:rsidRPr="0060474A">
              <w:t>Reoffending</w:t>
            </w:r>
            <w:r>
              <w:t xml:space="preserve"> rate for </w:t>
            </w:r>
            <w:r w:rsidR="008F7D4F">
              <w:t>p</w:t>
            </w:r>
            <w:r w:rsidRPr="0060474A">
              <w:t xml:space="preserve">eople </w:t>
            </w:r>
            <w:r w:rsidR="00F33885">
              <w:t>receiving</w:t>
            </w:r>
            <w:r w:rsidRPr="0060474A">
              <w:t xml:space="preserve"> diversion</w:t>
            </w:r>
            <w:r w:rsidR="007A3B36">
              <w:t xml:space="preserve"> plan</w:t>
            </w:r>
            <w:r w:rsidR="002838D5">
              <w:t xml:space="preserve"> </w:t>
            </w:r>
            <w:r w:rsidRPr="0060474A">
              <w:t>(10,393</w:t>
            </w:r>
            <w:r w:rsidR="002838D5">
              <w:t xml:space="preserve"> people</w:t>
            </w:r>
            <w:r w:rsidRPr="0060474A">
              <w:t>)</w:t>
            </w:r>
          </w:p>
        </w:tc>
        <w:tc>
          <w:tcPr>
            <w:tcW w:w="2500" w:type="pct"/>
            <w:noWrap/>
            <w:hideMark/>
          </w:tcPr>
          <w:p w14:paraId="244E7B61" w14:textId="6FD3E5B4" w:rsidR="00560729" w:rsidRPr="0060474A" w:rsidRDefault="00560729" w:rsidP="000027A4">
            <w:pPr>
              <w:pStyle w:val="TableHeading"/>
            </w:pPr>
            <w:r>
              <w:t>Reoffending rate for p</w:t>
            </w:r>
            <w:r w:rsidRPr="0060474A">
              <w:t xml:space="preserve">eople </w:t>
            </w:r>
            <w:r w:rsidR="00060535">
              <w:t xml:space="preserve">receiving </w:t>
            </w:r>
            <w:r w:rsidRPr="0060474A">
              <w:t>outcome other than diversion</w:t>
            </w:r>
            <w:r w:rsidR="00060535">
              <w:t xml:space="preserve"> </w:t>
            </w:r>
            <w:r w:rsidR="00C57DF2">
              <w:t xml:space="preserve">plan </w:t>
            </w:r>
            <w:r w:rsidRPr="0060474A">
              <w:t>(139,906</w:t>
            </w:r>
            <w:r w:rsidR="00060535">
              <w:t xml:space="preserve"> people</w:t>
            </w:r>
            <w:r w:rsidRPr="0060474A">
              <w:t>)</w:t>
            </w:r>
          </w:p>
        </w:tc>
      </w:tr>
      <w:tr w:rsidR="00560729" w:rsidRPr="0060474A" w14:paraId="25FB64BD" w14:textId="77777777" w:rsidTr="00A207B1">
        <w:trPr>
          <w:trHeight w:val="290"/>
        </w:trPr>
        <w:tc>
          <w:tcPr>
            <w:tcW w:w="2500" w:type="pct"/>
            <w:noWrap/>
            <w:hideMark/>
          </w:tcPr>
          <w:p w14:paraId="56CDA815" w14:textId="77777777" w:rsidR="00560729" w:rsidRPr="0060474A" w:rsidRDefault="00560729" w:rsidP="00BC2E77">
            <w:pPr>
              <w:pStyle w:val="TableBody"/>
            </w:pPr>
            <w:r w:rsidRPr="0060474A">
              <w:t>21.3%</w:t>
            </w:r>
          </w:p>
        </w:tc>
        <w:tc>
          <w:tcPr>
            <w:tcW w:w="2500" w:type="pct"/>
            <w:noWrap/>
            <w:hideMark/>
          </w:tcPr>
          <w:p w14:paraId="2AB612C9" w14:textId="77777777" w:rsidR="00560729" w:rsidRPr="0060474A" w:rsidRDefault="00560729" w:rsidP="00BC2E77">
            <w:pPr>
              <w:pStyle w:val="TableBody"/>
            </w:pPr>
            <w:r w:rsidRPr="0060474A">
              <w:t>40.2%</w:t>
            </w:r>
          </w:p>
        </w:tc>
      </w:tr>
    </w:tbl>
    <w:p w14:paraId="3E3F7DD3" w14:textId="77777777" w:rsidR="00417C86" w:rsidRPr="0060474A" w:rsidRDefault="00417C86" w:rsidP="00D74421">
      <w:r w:rsidRPr="0060474A">
        <w:t xml:space="preserve">This was true for both men and women: 22.2% of men who received a diversion plan reoffended compared to 42.3% of men who received another court outcome, and 19.4% of women who received a diversion plan reoffended compared to 33.4% of women who received another court outcome. Moreover, reoffending rates also remained lower for people who received a diversion plan in cases with and without a family violence flag. For instance, about one-quarter of men who received a diversion plan in family violence cases went on to reoffend (24.1%), whereas that figure more than doubled (to 55.1%) for men who received other court outcomes in family violence cases. </w:t>
      </w:r>
    </w:p>
    <w:p w14:paraId="24CAE324" w14:textId="77777777" w:rsidR="00417C86" w:rsidRPr="0060474A" w:rsidRDefault="00417C86" w:rsidP="00187BBF">
      <w:pPr>
        <w:pStyle w:val="Caption"/>
      </w:pPr>
      <w:r w:rsidRPr="0060474A">
        <w:lastRenderedPageBreak/>
        <w:t>Figure 37: Reoffending rates of people receiving diversion plans, by gender and family violence flag</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464DA6" w:rsidRPr="00A242E8" w14:paraId="5B88644B" w14:textId="77777777" w:rsidTr="00346F6D">
        <w:trPr>
          <w:trHeight w:val="290"/>
          <w:tblHeader/>
        </w:trPr>
        <w:tc>
          <w:tcPr>
            <w:tcW w:w="1000" w:type="pct"/>
            <w:noWrap/>
            <w:hideMark/>
          </w:tcPr>
          <w:p w14:paraId="7B1C8BDA" w14:textId="56CF2112" w:rsidR="00464DA6" w:rsidRPr="00A31CD0" w:rsidRDefault="00464DA6" w:rsidP="00464DA6">
            <w:pPr>
              <w:pStyle w:val="TableHeading"/>
            </w:pPr>
            <w:r>
              <w:t>Gender and family violence flag</w:t>
            </w:r>
          </w:p>
        </w:tc>
        <w:tc>
          <w:tcPr>
            <w:tcW w:w="1000" w:type="pct"/>
          </w:tcPr>
          <w:p w14:paraId="46A8E6C7" w14:textId="44AEFE91" w:rsidR="00464DA6" w:rsidRPr="00A31CD0" w:rsidRDefault="00464DA6" w:rsidP="00464DA6">
            <w:pPr>
              <w:pStyle w:val="TableHeading"/>
            </w:pPr>
            <w:r>
              <w:t>Number receiving</w:t>
            </w:r>
            <w:r w:rsidRPr="003326BE">
              <w:t xml:space="preserve"> </w:t>
            </w:r>
            <w:r w:rsidR="00E5458D" w:rsidRPr="003326BE">
              <w:t>diversion</w:t>
            </w:r>
            <w:r w:rsidR="00E5458D">
              <w:t xml:space="preserve"> plan</w:t>
            </w:r>
          </w:p>
        </w:tc>
        <w:tc>
          <w:tcPr>
            <w:tcW w:w="1000" w:type="pct"/>
            <w:noWrap/>
            <w:hideMark/>
          </w:tcPr>
          <w:p w14:paraId="112E1D10" w14:textId="0868DE91" w:rsidR="00464DA6" w:rsidRPr="00A31CD0" w:rsidRDefault="00464DA6" w:rsidP="00464DA6">
            <w:pPr>
              <w:pStyle w:val="TableHeading"/>
            </w:pPr>
            <w:r>
              <w:t>Percentage receiving</w:t>
            </w:r>
            <w:r w:rsidRPr="003326BE">
              <w:t xml:space="preserve"> </w:t>
            </w:r>
            <w:r w:rsidR="00E5458D" w:rsidRPr="003326BE">
              <w:t>diversion</w:t>
            </w:r>
            <w:r w:rsidR="00E5458D">
              <w:t xml:space="preserve"> plan</w:t>
            </w:r>
          </w:p>
        </w:tc>
        <w:tc>
          <w:tcPr>
            <w:tcW w:w="1000" w:type="pct"/>
          </w:tcPr>
          <w:p w14:paraId="3C01AE77" w14:textId="3A2F04A4" w:rsidR="00464DA6" w:rsidRPr="00A31CD0" w:rsidRDefault="00464DA6" w:rsidP="00464DA6">
            <w:pPr>
              <w:pStyle w:val="TableHeading"/>
            </w:pPr>
            <w:r>
              <w:t>Number receiving</w:t>
            </w:r>
            <w:r w:rsidRPr="003326BE">
              <w:t xml:space="preserve"> outcome other than </w:t>
            </w:r>
            <w:r w:rsidR="00E5458D" w:rsidRPr="003326BE">
              <w:t>diversion</w:t>
            </w:r>
            <w:r w:rsidR="00E5458D">
              <w:t xml:space="preserve"> plan</w:t>
            </w:r>
          </w:p>
        </w:tc>
        <w:tc>
          <w:tcPr>
            <w:tcW w:w="1000" w:type="pct"/>
            <w:noWrap/>
            <w:hideMark/>
          </w:tcPr>
          <w:p w14:paraId="311DB3D3" w14:textId="38D1E89C" w:rsidR="00464DA6" w:rsidRPr="00A31CD0" w:rsidRDefault="00464DA6" w:rsidP="00464DA6">
            <w:pPr>
              <w:pStyle w:val="TableHeading"/>
            </w:pPr>
            <w:r>
              <w:t>Percentage receiving</w:t>
            </w:r>
            <w:r w:rsidRPr="003326BE">
              <w:t xml:space="preserve"> outcome other than </w:t>
            </w:r>
            <w:r w:rsidR="00E5458D" w:rsidRPr="003326BE">
              <w:t>diversion</w:t>
            </w:r>
            <w:r w:rsidR="00E5458D">
              <w:t xml:space="preserve"> plan</w:t>
            </w:r>
          </w:p>
        </w:tc>
      </w:tr>
      <w:tr w:rsidR="00464DA6" w:rsidRPr="00A242E8" w14:paraId="5EBEB39E" w14:textId="77777777" w:rsidTr="002D460B">
        <w:trPr>
          <w:trHeight w:val="290"/>
        </w:trPr>
        <w:tc>
          <w:tcPr>
            <w:tcW w:w="1000" w:type="pct"/>
            <w:noWrap/>
            <w:hideMark/>
          </w:tcPr>
          <w:p w14:paraId="1A7C6565" w14:textId="68B99105" w:rsidR="00464DA6" w:rsidRPr="00A242E8" w:rsidRDefault="00FE1161" w:rsidP="00FA1F17">
            <w:pPr>
              <w:pStyle w:val="TableBody"/>
            </w:pPr>
            <w:r>
              <w:t>Men</w:t>
            </w:r>
            <w:r w:rsidR="00C957AE">
              <w:t xml:space="preserve"> - </w:t>
            </w:r>
            <w:r w:rsidR="00464DA6" w:rsidRPr="00A242E8">
              <w:t>family violence flag</w:t>
            </w:r>
          </w:p>
        </w:tc>
        <w:tc>
          <w:tcPr>
            <w:tcW w:w="1000" w:type="pct"/>
          </w:tcPr>
          <w:p w14:paraId="1403CD5B" w14:textId="35B00CA7" w:rsidR="00464DA6" w:rsidRPr="00A242E8" w:rsidRDefault="002D460B" w:rsidP="00FA1F17">
            <w:pPr>
              <w:pStyle w:val="TableBody"/>
            </w:pPr>
            <w:r w:rsidRPr="00A242E8">
              <w:t>1,197</w:t>
            </w:r>
          </w:p>
        </w:tc>
        <w:tc>
          <w:tcPr>
            <w:tcW w:w="1000" w:type="pct"/>
            <w:noWrap/>
            <w:hideMark/>
          </w:tcPr>
          <w:p w14:paraId="314A867E" w14:textId="58AA3017" w:rsidR="00464DA6" w:rsidRPr="00A242E8" w:rsidRDefault="00464DA6" w:rsidP="00FA1F17">
            <w:pPr>
              <w:pStyle w:val="TableBody"/>
            </w:pPr>
            <w:r w:rsidRPr="00A242E8">
              <w:t>24.1%</w:t>
            </w:r>
          </w:p>
        </w:tc>
        <w:tc>
          <w:tcPr>
            <w:tcW w:w="1000" w:type="pct"/>
          </w:tcPr>
          <w:p w14:paraId="2E9804FD" w14:textId="21FF8159" w:rsidR="00464DA6" w:rsidRPr="00A242E8" w:rsidRDefault="002D460B" w:rsidP="00FA1F17">
            <w:pPr>
              <w:pStyle w:val="TableBody"/>
            </w:pPr>
            <w:r w:rsidRPr="00A242E8">
              <w:t>14,201</w:t>
            </w:r>
          </w:p>
        </w:tc>
        <w:tc>
          <w:tcPr>
            <w:tcW w:w="1000" w:type="pct"/>
            <w:noWrap/>
            <w:hideMark/>
          </w:tcPr>
          <w:p w14:paraId="13166F76" w14:textId="278EDBEE" w:rsidR="00464DA6" w:rsidRPr="00A242E8" w:rsidRDefault="00464DA6" w:rsidP="00FA1F17">
            <w:pPr>
              <w:pStyle w:val="TableBody"/>
            </w:pPr>
            <w:r w:rsidRPr="00A242E8">
              <w:t>55.1%</w:t>
            </w:r>
          </w:p>
        </w:tc>
      </w:tr>
      <w:tr w:rsidR="00464DA6" w:rsidRPr="00A242E8" w14:paraId="33896A0E" w14:textId="77777777" w:rsidTr="002D460B">
        <w:trPr>
          <w:trHeight w:val="290"/>
        </w:trPr>
        <w:tc>
          <w:tcPr>
            <w:tcW w:w="1000" w:type="pct"/>
            <w:noWrap/>
            <w:hideMark/>
          </w:tcPr>
          <w:p w14:paraId="54FDA59D" w14:textId="0ED65818" w:rsidR="00464DA6" w:rsidRPr="00A242E8" w:rsidRDefault="00FE1161" w:rsidP="00FA1F17">
            <w:pPr>
              <w:pStyle w:val="TableBody"/>
            </w:pPr>
            <w:r>
              <w:t>Men</w:t>
            </w:r>
            <w:r w:rsidR="00C957AE">
              <w:t xml:space="preserve"> - no</w:t>
            </w:r>
            <w:r w:rsidR="00464DA6" w:rsidRPr="00A242E8">
              <w:t xml:space="preserve"> family violence flag</w:t>
            </w:r>
          </w:p>
        </w:tc>
        <w:tc>
          <w:tcPr>
            <w:tcW w:w="1000" w:type="pct"/>
          </w:tcPr>
          <w:p w14:paraId="56FEF318" w14:textId="117C12E2" w:rsidR="00464DA6" w:rsidRPr="00A242E8" w:rsidRDefault="002D460B" w:rsidP="00FA1F17">
            <w:pPr>
              <w:pStyle w:val="TableBody"/>
            </w:pPr>
            <w:r w:rsidRPr="00A242E8">
              <w:t>5,651</w:t>
            </w:r>
          </w:p>
        </w:tc>
        <w:tc>
          <w:tcPr>
            <w:tcW w:w="1000" w:type="pct"/>
            <w:noWrap/>
            <w:hideMark/>
          </w:tcPr>
          <w:p w14:paraId="21C7637C" w14:textId="70E9DE38" w:rsidR="00464DA6" w:rsidRPr="00A242E8" w:rsidRDefault="00464DA6" w:rsidP="00FA1F17">
            <w:pPr>
              <w:pStyle w:val="TableBody"/>
            </w:pPr>
            <w:r w:rsidRPr="00A242E8">
              <w:t>21.8%</w:t>
            </w:r>
          </w:p>
        </w:tc>
        <w:tc>
          <w:tcPr>
            <w:tcW w:w="1000" w:type="pct"/>
          </w:tcPr>
          <w:p w14:paraId="52658C37" w14:textId="069FFC2B" w:rsidR="00464DA6" w:rsidRPr="00A242E8" w:rsidRDefault="002D460B" w:rsidP="00FA1F17">
            <w:pPr>
              <w:pStyle w:val="TableBody"/>
            </w:pPr>
            <w:r w:rsidRPr="00A242E8">
              <w:t>92,599</w:t>
            </w:r>
          </w:p>
        </w:tc>
        <w:tc>
          <w:tcPr>
            <w:tcW w:w="1000" w:type="pct"/>
            <w:noWrap/>
            <w:hideMark/>
          </w:tcPr>
          <w:p w14:paraId="794051A7" w14:textId="19043B59" w:rsidR="00464DA6" w:rsidRPr="00A242E8" w:rsidRDefault="00464DA6" w:rsidP="00FA1F17">
            <w:pPr>
              <w:pStyle w:val="TableBody"/>
            </w:pPr>
            <w:r w:rsidRPr="00A242E8">
              <w:t>40.4%</w:t>
            </w:r>
          </w:p>
        </w:tc>
      </w:tr>
      <w:tr w:rsidR="00464DA6" w:rsidRPr="00A242E8" w14:paraId="703C6B6A" w14:textId="77777777" w:rsidTr="002D460B">
        <w:trPr>
          <w:trHeight w:val="290"/>
        </w:trPr>
        <w:tc>
          <w:tcPr>
            <w:tcW w:w="1000" w:type="pct"/>
            <w:noWrap/>
            <w:hideMark/>
          </w:tcPr>
          <w:p w14:paraId="39B674A0" w14:textId="3FA025A2" w:rsidR="00464DA6" w:rsidRPr="00A242E8" w:rsidRDefault="004B7090" w:rsidP="00FA1F17">
            <w:pPr>
              <w:pStyle w:val="TableBody"/>
            </w:pPr>
            <w:r>
              <w:t>Women</w:t>
            </w:r>
            <w:r w:rsidR="00C957AE">
              <w:t xml:space="preserve"> - </w:t>
            </w:r>
            <w:r w:rsidR="00464DA6" w:rsidRPr="00A242E8">
              <w:t>family violence flag</w:t>
            </w:r>
          </w:p>
        </w:tc>
        <w:tc>
          <w:tcPr>
            <w:tcW w:w="1000" w:type="pct"/>
          </w:tcPr>
          <w:p w14:paraId="353F78C3" w14:textId="65150A15" w:rsidR="00464DA6" w:rsidRPr="00A242E8" w:rsidRDefault="002D460B" w:rsidP="00FA1F17">
            <w:pPr>
              <w:pStyle w:val="TableBody"/>
            </w:pPr>
            <w:r w:rsidRPr="00A242E8">
              <w:t>665</w:t>
            </w:r>
          </w:p>
        </w:tc>
        <w:tc>
          <w:tcPr>
            <w:tcW w:w="1000" w:type="pct"/>
            <w:noWrap/>
            <w:hideMark/>
          </w:tcPr>
          <w:p w14:paraId="27A4FA4A" w14:textId="0DC0B72A" w:rsidR="00464DA6" w:rsidRPr="00A242E8" w:rsidRDefault="00464DA6" w:rsidP="00FA1F17">
            <w:pPr>
              <w:pStyle w:val="TableBody"/>
            </w:pPr>
            <w:r w:rsidRPr="00A242E8">
              <w:t>23.2%</w:t>
            </w:r>
          </w:p>
        </w:tc>
        <w:tc>
          <w:tcPr>
            <w:tcW w:w="1000" w:type="pct"/>
          </w:tcPr>
          <w:p w14:paraId="305F5C16" w14:textId="192A6F26" w:rsidR="00464DA6" w:rsidRPr="00A242E8" w:rsidRDefault="002D460B" w:rsidP="00FA1F17">
            <w:pPr>
              <w:pStyle w:val="TableBody"/>
            </w:pPr>
            <w:r w:rsidRPr="00A242E8">
              <w:t>2,454</w:t>
            </w:r>
          </w:p>
        </w:tc>
        <w:tc>
          <w:tcPr>
            <w:tcW w:w="1000" w:type="pct"/>
            <w:noWrap/>
            <w:hideMark/>
          </w:tcPr>
          <w:p w14:paraId="7F22AC64" w14:textId="1CC0ED61" w:rsidR="00464DA6" w:rsidRPr="00A242E8" w:rsidRDefault="00464DA6" w:rsidP="00FA1F17">
            <w:pPr>
              <w:pStyle w:val="TableBody"/>
            </w:pPr>
            <w:r w:rsidRPr="00A242E8">
              <w:t>45.3%</w:t>
            </w:r>
          </w:p>
        </w:tc>
      </w:tr>
      <w:tr w:rsidR="00464DA6" w:rsidRPr="00A242E8" w14:paraId="11849E0C" w14:textId="77777777" w:rsidTr="002D460B">
        <w:trPr>
          <w:trHeight w:val="290"/>
        </w:trPr>
        <w:tc>
          <w:tcPr>
            <w:tcW w:w="1000" w:type="pct"/>
            <w:noWrap/>
            <w:hideMark/>
          </w:tcPr>
          <w:p w14:paraId="58F1C1B5" w14:textId="68AE93B6" w:rsidR="00464DA6" w:rsidRPr="00A242E8" w:rsidRDefault="004B7090" w:rsidP="00FA1F17">
            <w:pPr>
              <w:pStyle w:val="TableBody"/>
            </w:pPr>
            <w:r>
              <w:t>Women</w:t>
            </w:r>
            <w:r w:rsidR="00C957AE">
              <w:t xml:space="preserve"> – no </w:t>
            </w:r>
            <w:r w:rsidR="00464DA6" w:rsidRPr="00A242E8">
              <w:t>family violence flag</w:t>
            </w:r>
          </w:p>
        </w:tc>
        <w:tc>
          <w:tcPr>
            <w:tcW w:w="1000" w:type="pct"/>
          </w:tcPr>
          <w:p w14:paraId="673B8CE7" w14:textId="2E1AB57D" w:rsidR="00464DA6" w:rsidRPr="00A242E8" w:rsidRDefault="002D460B" w:rsidP="00FA1F17">
            <w:pPr>
              <w:pStyle w:val="TableBody"/>
            </w:pPr>
            <w:r w:rsidRPr="00A242E8">
              <w:t>2,880</w:t>
            </w:r>
          </w:p>
        </w:tc>
        <w:tc>
          <w:tcPr>
            <w:tcW w:w="1000" w:type="pct"/>
            <w:noWrap/>
            <w:hideMark/>
          </w:tcPr>
          <w:p w14:paraId="4DA134DD" w14:textId="5F0894A6" w:rsidR="00464DA6" w:rsidRPr="00A242E8" w:rsidRDefault="00464DA6" w:rsidP="00FA1F17">
            <w:pPr>
              <w:pStyle w:val="TableBody"/>
            </w:pPr>
            <w:r w:rsidRPr="00A242E8">
              <w:t>18.6%</w:t>
            </w:r>
          </w:p>
        </w:tc>
        <w:tc>
          <w:tcPr>
            <w:tcW w:w="1000" w:type="pct"/>
          </w:tcPr>
          <w:p w14:paraId="56E11D43" w14:textId="618450DB" w:rsidR="00464DA6" w:rsidRPr="00A242E8" w:rsidRDefault="002D460B" w:rsidP="00FA1F17">
            <w:pPr>
              <w:pStyle w:val="TableBody"/>
            </w:pPr>
            <w:r w:rsidRPr="00A242E8">
              <w:t>30,650</w:t>
            </w:r>
          </w:p>
        </w:tc>
        <w:tc>
          <w:tcPr>
            <w:tcW w:w="1000" w:type="pct"/>
            <w:noWrap/>
            <w:hideMark/>
          </w:tcPr>
          <w:p w14:paraId="3C75E2A5" w14:textId="555C7429" w:rsidR="00464DA6" w:rsidRPr="00A242E8" w:rsidRDefault="00464DA6" w:rsidP="00FA1F17">
            <w:pPr>
              <w:pStyle w:val="TableBody"/>
            </w:pPr>
            <w:r w:rsidRPr="00A242E8">
              <w:t>32.5%</w:t>
            </w:r>
          </w:p>
        </w:tc>
      </w:tr>
    </w:tbl>
    <w:p w14:paraId="2EA8B866" w14:textId="77777777" w:rsidR="00417C86" w:rsidRPr="0060474A" w:rsidRDefault="00417C86" w:rsidP="00D74421">
      <w:r w:rsidRPr="0060474A">
        <w:t xml:space="preserve">People aged 18 to 19 were the group most likely to reoffend (32.9% of people receiving diversion plans and 53.2% of people receiving other court outcomes), with the reoffending rate consistently declining for people in older age groups, especially those aged 45 and over. This was true, however, for both those receiving diversion plans and those receiving other court outcomes. Those who received diversion plans were consistently less likely to reoffend than those who received other court outcomes, regardless of age. </w:t>
      </w:r>
    </w:p>
    <w:p w14:paraId="7E759AE5" w14:textId="77777777" w:rsidR="00732D8A" w:rsidRPr="0060474A" w:rsidRDefault="00732D8A" w:rsidP="00732D8A">
      <w:pPr>
        <w:pStyle w:val="Caption"/>
      </w:pPr>
      <w:r w:rsidRPr="0060474A">
        <w:t>Figure 38: Reoffending rates of people receiving diversion plans, by age</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755496" w:rsidRPr="0060474A" w14:paraId="46E568D1" w14:textId="77777777" w:rsidTr="00B145DD">
        <w:trPr>
          <w:trHeight w:val="290"/>
          <w:tblHeader/>
        </w:trPr>
        <w:tc>
          <w:tcPr>
            <w:tcW w:w="1000" w:type="pct"/>
            <w:noWrap/>
            <w:hideMark/>
          </w:tcPr>
          <w:p w14:paraId="50566BA5" w14:textId="01A8C9EF" w:rsidR="00755496" w:rsidRPr="0060474A" w:rsidRDefault="00755496" w:rsidP="00755496">
            <w:pPr>
              <w:pStyle w:val="TableHeading"/>
            </w:pPr>
            <w:r w:rsidRPr="0060474A">
              <w:t>Age</w:t>
            </w:r>
          </w:p>
        </w:tc>
        <w:tc>
          <w:tcPr>
            <w:tcW w:w="1000" w:type="pct"/>
            <w:noWrap/>
            <w:hideMark/>
          </w:tcPr>
          <w:p w14:paraId="1E6C7D1F" w14:textId="521452C2" w:rsidR="00755496" w:rsidRPr="0060474A" w:rsidRDefault="00755496" w:rsidP="00755496">
            <w:pPr>
              <w:pStyle w:val="TableHeading"/>
            </w:pPr>
            <w:r w:rsidRPr="0060474A">
              <w:t xml:space="preserve">Number </w:t>
            </w:r>
            <w:r w:rsidR="000A2153">
              <w:t>receiving</w:t>
            </w:r>
            <w:r w:rsidRPr="0060474A">
              <w:t xml:space="preserve"> diversion plan</w:t>
            </w:r>
          </w:p>
        </w:tc>
        <w:tc>
          <w:tcPr>
            <w:tcW w:w="1000" w:type="pct"/>
          </w:tcPr>
          <w:p w14:paraId="08E847E2" w14:textId="4C090053" w:rsidR="00755496" w:rsidRPr="0060474A" w:rsidRDefault="00755496" w:rsidP="00755496">
            <w:pPr>
              <w:pStyle w:val="TableHeading"/>
            </w:pPr>
            <w:r w:rsidRPr="0060474A">
              <w:t xml:space="preserve">Percentage </w:t>
            </w:r>
            <w:r w:rsidR="000A2153">
              <w:t>receiving</w:t>
            </w:r>
            <w:r w:rsidRPr="0060474A">
              <w:t xml:space="preserve"> diversion plan</w:t>
            </w:r>
          </w:p>
        </w:tc>
        <w:tc>
          <w:tcPr>
            <w:tcW w:w="1000" w:type="pct"/>
          </w:tcPr>
          <w:p w14:paraId="01D34927" w14:textId="6880D418" w:rsidR="00755496" w:rsidRPr="0060474A" w:rsidRDefault="00755496" w:rsidP="00755496">
            <w:pPr>
              <w:pStyle w:val="TableHeading"/>
            </w:pPr>
            <w:r w:rsidRPr="0060474A">
              <w:t xml:space="preserve">Number </w:t>
            </w:r>
            <w:r w:rsidR="000A2153">
              <w:t>receiving</w:t>
            </w:r>
            <w:r w:rsidRPr="0060474A">
              <w:t xml:space="preserve"> outcome other than diversion plan</w:t>
            </w:r>
          </w:p>
        </w:tc>
        <w:tc>
          <w:tcPr>
            <w:tcW w:w="1000" w:type="pct"/>
            <w:noWrap/>
            <w:hideMark/>
          </w:tcPr>
          <w:p w14:paraId="4308E27B" w14:textId="60317606" w:rsidR="00755496" w:rsidRPr="0060474A" w:rsidRDefault="00755496" w:rsidP="00755496">
            <w:pPr>
              <w:pStyle w:val="TableHeading"/>
            </w:pPr>
            <w:r w:rsidRPr="0060474A">
              <w:t xml:space="preserve">Percentage </w:t>
            </w:r>
            <w:r w:rsidR="008A432A">
              <w:t>receiving</w:t>
            </w:r>
            <w:r w:rsidRPr="0060474A">
              <w:t xml:space="preserve"> outcome other than diversion plan</w:t>
            </w:r>
          </w:p>
        </w:tc>
      </w:tr>
      <w:tr w:rsidR="00755496" w:rsidRPr="0060474A" w14:paraId="1CC45318" w14:textId="77777777" w:rsidTr="00B145DD">
        <w:trPr>
          <w:trHeight w:val="290"/>
        </w:trPr>
        <w:tc>
          <w:tcPr>
            <w:tcW w:w="1000" w:type="pct"/>
            <w:noWrap/>
            <w:hideMark/>
          </w:tcPr>
          <w:p w14:paraId="69F2F57C" w14:textId="6F385361" w:rsidR="00755496" w:rsidRPr="0060474A" w:rsidRDefault="00755496" w:rsidP="00755496">
            <w:pPr>
              <w:pStyle w:val="TableBody"/>
            </w:pPr>
            <w:r w:rsidRPr="0060474A">
              <w:t>18 to 19</w:t>
            </w:r>
          </w:p>
        </w:tc>
        <w:tc>
          <w:tcPr>
            <w:tcW w:w="1000" w:type="pct"/>
            <w:noWrap/>
          </w:tcPr>
          <w:p w14:paraId="28C094E7" w14:textId="0291C17F" w:rsidR="00755496" w:rsidRPr="0060474A" w:rsidRDefault="00755496" w:rsidP="00755496">
            <w:pPr>
              <w:pStyle w:val="TableBody"/>
            </w:pPr>
            <w:r w:rsidRPr="0060474A">
              <w:t xml:space="preserve">1,035 </w:t>
            </w:r>
          </w:p>
        </w:tc>
        <w:tc>
          <w:tcPr>
            <w:tcW w:w="1000" w:type="pct"/>
          </w:tcPr>
          <w:p w14:paraId="59EDF976" w14:textId="62B64E03" w:rsidR="00755496" w:rsidRPr="0060474A" w:rsidRDefault="00755496" w:rsidP="00755496">
            <w:pPr>
              <w:pStyle w:val="TableBody"/>
            </w:pPr>
            <w:r w:rsidRPr="0060474A">
              <w:t>32.9%</w:t>
            </w:r>
          </w:p>
        </w:tc>
        <w:tc>
          <w:tcPr>
            <w:tcW w:w="1000" w:type="pct"/>
          </w:tcPr>
          <w:p w14:paraId="1361A639" w14:textId="2FE0B8A9" w:rsidR="00755496" w:rsidRPr="0060474A" w:rsidRDefault="00755496" w:rsidP="00755496">
            <w:pPr>
              <w:pStyle w:val="TableBody"/>
            </w:pPr>
            <w:r w:rsidRPr="0060474A">
              <w:t>4,629</w:t>
            </w:r>
          </w:p>
        </w:tc>
        <w:tc>
          <w:tcPr>
            <w:tcW w:w="1000" w:type="pct"/>
            <w:noWrap/>
            <w:hideMark/>
          </w:tcPr>
          <w:p w14:paraId="7F1D293F" w14:textId="5A2ABDE1" w:rsidR="00755496" w:rsidRPr="0060474A" w:rsidRDefault="00755496" w:rsidP="00755496">
            <w:pPr>
              <w:pStyle w:val="TableBody"/>
            </w:pPr>
            <w:r w:rsidRPr="0060474A">
              <w:t>53.2%</w:t>
            </w:r>
          </w:p>
        </w:tc>
      </w:tr>
      <w:tr w:rsidR="00755496" w:rsidRPr="0060474A" w14:paraId="0BCC81EC" w14:textId="77777777" w:rsidTr="00B145DD">
        <w:trPr>
          <w:trHeight w:val="290"/>
        </w:trPr>
        <w:tc>
          <w:tcPr>
            <w:tcW w:w="1000" w:type="pct"/>
            <w:noWrap/>
            <w:hideMark/>
          </w:tcPr>
          <w:p w14:paraId="32B48747" w14:textId="26CF067B" w:rsidR="00755496" w:rsidRPr="0060474A" w:rsidRDefault="00755496" w:rsidP="00755496">
            <w:pPr>
              <w:pStyle w:val="TableBody"/>
            </w:pPr>
            <w:r w:rsidRPr="0060474A">
              <w:t>20 to 24</w:t>
            </w:r>
          </w:p>
        </w:tc>
        <w:tc>
          <w:tcPr>
            <w:tcW w:w="1000" w:type="pct"/>
            <w:noWrap/>
          </w:tcPr>
          <w:p w14:paraId="52B6742D" w14:textId="64721708" w:rsidR="00755496" w:rsidRPr="0060474A" w:rsidRDefault="00755496" w:rsidP="00755496">
            <w:pPr>
              <w:pStyle w:val="TableBody"/>
            </w:pPr>
            <w:r w:rsidRPr="0060474A">
              <w:t>2,446</w:t>
            </w:r>
          </w:p>
        </w:tc>
        <w:tc>
          <w:tcPr>
            <w:tcW w:w="1000" w:type="pct"/>
          </w:tcPr>
          <w:p w14:paraId="117036AE" w14:textId="06DBC566" w:rsidR="00755496" w:rsidRPr="0060474A" w:rsidRDefault="00755496" w:rsidP="00755496">
            <w:pPr>
              <w:pStyle w:val="TableBody"/>
            </w:pPr>
            <w:r w:rsidRPr="0060474A">
              <w:t>23.7%</w:t>
            </w:r>
          </w:p>
        </w:tc>
        <w:tc>
          <w:tcPr>
            <w:tcW w:w="1000" w:type="pct"/>
          </w:tcPr>
          <w:p w14:paraId="44803E7E" w14:textId="5B19024F" w:rsidR="00755496" w:rsidRPr="0060474A" w:rsidRDefault="00755496" w:rsidP="00755496">
            <w:pPr>
              <w:pStyle w:val="TableBody"/>
            </w:pPr>
            <w:r w:rsidRPr="0060474A">
              <w:t>19,550</w:t>
            </w:r>
          </w:p>
        </w:tc>
        <w:tc>
          <w:tcPr>
            <w:tcW w:w="1000" w:type="pct"/>
            <w:noWrap/>
            <w:hideMark/>
          </w:tcPr>
          <w:p w14:paraId="3C93C3D4" w14:textId="437C90FA" w:rsidR="00755496" w:rsidRPr="0060474A" w:rsidRDefault="00755496" w:rsidP="00755496">
            <w:pPr>
              <w:pStyle w:val="TableBody"/>
            </w:pPr>
            <w:r w:rsidRPr="0060474A">
              <w:t>48.9%</w:t>
            </w:r>
          </w:p>
        </w:tc>
      </w:tr>
      <w:tr w:rsidR="00755496" w:rsidRPr="0060474A" w14:paraId="61B315E6" w14:textId="77777777" w:rsidTr="00B145DD">
        <w:trPr>
          <w:trHeight w:val="290"/>
        </w:trPr>
        <w:tc>
          <w:tcPr>
            <w:tcW w:w="1000" w:type="pct"/>
            <w:noWrap/>
            <w:hideMark/>
          </w:tcPr>
          <w:p w14:paraId="3FA0EF69" w14:textId="56877CE3" w:rsidR="00755496" w:rsidRPr="0060474A" w:rsidRDefault="00755496" w:rsidP="00755496">
            <w:pPr>
              <w:pStyle w:val="TableBody"/>
            </w:pPr>
            <w:r w:rsidRPr="0060474A">
              <w:t>25 to 34</w:t>
            </w:r>
          </w:p>
        </w:tc>
        <w:tc>
          <w:tcPr>
            <w:tcW w:w="1000" w:type="pct"/>
            <w:noWrap/>
          </w:tcPr>
          <w:p w14:paraId="1C0D5D39" w14:textId="3F17C1D9" w:rsidR="00755496" w:rsidRPr="0060474A" w:rsidRDefault="00755496" w:rsidP="00755496">
            <w:pPr>
              <w:pStyle w:val="TableBody"/>
            </w:pPr>
            <w:r w:rsidRPr="0060474A">
              <w:t>2,462</w:t>
            </w:r>
          </w:p>
        </w:tc>
        <w:tc>
          <w:tcPr>
            <w:tcW w:w="1000" w:type="pct"/>
          </w:tcPr>
          <w:p w14:paraId="0BDEAE05" w14:textId="38309AA5" w:rsidR="00755496" w:rsidRPr="0060474A" w:rsidRDefault="00755496" w:rsidP="00755496">
            <w:pPr>
              <w:pStyle w:val="TableBody"/>
            </w:pPr>
            <w:r w:rsidRPr="0060474A">
              <w:t>23.2%</w:t>
            </w:r>
          </w:p>
        </w:tc>
        <w:tc>
          <w:tcPr>
            <w:tcW w:w="1000" w:type="pct"/>
          </w:tcPr>
          <w:p w14:paraId="64EF49AE" w14:textId="697A8583" w:rsidR="00755496" w:rsidRPr="0060474A" w:rsidRDefault="00755496" w:rsidP="00755496">
            <w:pPr>
              <w:pStyle w:val="TableBody"/>
            </w:pPr>
            <w:r w:rsidRPr="0060474A">
              <w:t>36,532</w:t>
            </w:r>
          </w:p>
        </w:tc>
        <w:tc>
          <w:tcPr>
            <w:tcW w:w="1000" w:type="pct"/>
            <w:noWrap/>
            <w:hideMark/>
          </w:tcPr>
          <w:p w14:paraId="47BE1186" w14:textId="578FA362" w:rsidR="00755496" w:rsidRPr="0060474A" w:rsidRDefault="00755496" w:rsidP="00755496">
            <w:pPr>
              <w:pStyle w:val="TableBody"/>
            </w:pPr>
            <w:r w:rsidRPr="0060474A">
              <w:t>47.6%</w:t>
            </w:r>
          </w:p>
        </w:tc>
      </w:tr>
      <w:tr w:rsidR="00755496" w:rsidRPr="0060474A" w14:paraId="2DA1309B" w14:textId="77777777" w:rsidTr="00B145DD">
        <w:trPr>
          <w:trHeight w:val="290"/>
        </w:trPr>
        <w:tc>
          <w:tcPr>
            <w:tcW w:w="1000" w:type="pct"/>
            <w:noWrap/>
            <w:hideMark/>
          </w:tcPr>
          <w:p w14:paraId="2E5BF8B0" w14:textId="1B20DB3D" w:rsidR="00755496" w:rsidRPr="0060474A" w:rsidRDefault="00755496" w:rsidP="00755496">
            <w:pPr>
              <w:pStyle w:val="TableBody"/>
            </w:pPr>
            <w:r w:rsidRPr="0060474A">
              <w:t>35 to 44</w:t>
            </w:r>
          </w:p>
        </w:tc>
        <w:tc>
          <w:tcPr>
            <w:tcW w:w="1000" w:type="pct"/>
            <w:noWrap/>
          </w:tcPr>
          <w:p w14:paraId="19605381" w14:textId="1BA31C0E" w:rsidR="00755496" w:rsidRPr="0060474A" w:rsidRDefault="00755496" w:rsidP="00755496">
            <w:pPr>
              <w:pStyle w:val="TableBody"/>
            </w:pPr>
            <w:r w:rsidRPr="0060474A">
              <w:t xml:space="preserve">1,783 </w:t>
            </w:r>
          </w:p>
        </w:tc>
        <w:tc>
          <w:tcPr>
            <w:tcW w:w="1000" w:type="pct"/>
          </w:tcPr>
          <w:p w14:paraId="782E55DB" w14:textId="3BA97572" w:rsidR="00755496" w:rsidRPr="0060474A" w:rsidRDefault="00755496" w:rsidP="00755496">
            <w:pPr>
              <w:pStyle w:val="TableBody"/>
            </w:pPr>
            <w:r w:rsidRPr="0060474A">
              <w:t>21.0%</w:t>
            </w:r>
          </w:p>
        </w:tc>
        <w:tc>
          <w:tcPr>
            <w:tcW w:w="1000" w:type="pct"/>
          </w:tcPr>
          <w:p w14:paraId="1F234E87" w14:textId="1C60D340" w:rsidR="00755496" w:rsidRPr="0060474A" w:rsidRDefault="00755496" w:rsidP="00755496">
            <w:pPr>
              <w:pStyle w:val="TableBody"/>
            </w:pPr>
            <w:r w:rsidRPr="0060474A">
              <w:t>28,583</w:t>
            </w:r>
          </w:p>
        </w:tc>
        <w:tc>
          <w:tcPr>
            <w:tcW w:w="1000" w:type="pct"/>
            <w:noWrap/>
            <w:hideMark/>
          </w:tcPr>
          <w:p w14:paraId="1F702DFE" w14:textId="75F97989" w:rsidR="00755496" w:rsidRPr="0060474A" w:rsidRDefault="00755496" w:rsidP="00755496">
            <w:pPr>
              <w:pStyle w:val="TableBody"/>
            </w:pPr>
            <w:r w:rsidRPr="0060474A">
              <w:t>45.7%</w:t>
            </w:r>
          </w:p>
        </w:tc>
      </w:tr>
      <w:tr w:rsidR="00755496" w:rsidRPr="0060474A" w14:paraId="07ECF84F" w14:textId="77777777" w:rsidTr="00B145DD">
        <w:trPr>
          <w:trHeight w:val="290"/>
        </w:trPr>
        <w:tc>
          <w:tcPr>
            <w:tcW w:w="1000" w:type="pct"/>
            <w:noWrap/>
            <w:hideMark/>
          </w:tcPr>
          <w:p w14:paraId="1BD28127" w14:textId="15A2A1AB" w:rsidR="00755496" w:rsidRPr="0060474A" w:rsidRDefault="00755496" w:rsidP="00755496">
            <w:pPr>
              <w:pStyle w:val="TableBody"/>
            </w:pPr>
            <w:r w:rsidRPr="0060474A">
              <w:t>45 to 54</w:t>
            </w:r>
          </w:p>
        </w:tc>
        <w:tc>
          <w:tcPr>
            <w:tcW w:w="1000" w:type="pct"/>
            <w:noWrap/>
          </w:tcPr>
          <w:p w14:paraId="75B17CA6" w14:textId="5596A7FE" w:rsidR="00755496" w:rsidRPr="0060474A" w:rsidRDefault="00755496" w:rsidP="00755496">
            <w:pPr>
              <w:pStyle w:val="TableBody"/>
            </w:pPr>
            <w:r w:rsidRPr="0060474A">
              <w:t xml:space="preserve">1,350 </w:t>
            </w:r>
          </w:p>
        </w:tc>
        <w:tc>
          <w:tcPr>
            <w:tcW w:w="1000" w:type="pct"/>
          </w:tcPr>
          <w:p w14:paraId="41AC4EF8" w14:textId="6F0B7785" w:rsidR="00755496" w:rsidRPr="0060474A" w:rsidRDefault="00755496" w:rsidP="00755496">
            <w:pPr>
              <w:pStyle w:val="TableBody"/>
            </w:pPr>
            <w:r w:rsidRPr="0060474A">
              <w:t>16.7%</w:t>
            </w:r>
          </w:p>
        </w:tc>
        <w:tc>
          <w:tcPr>
            <w:tcW w:w="1000" w:type="pct"/>
          </w:tcPr>
          <w:p w14:paraId="0F464DA8" w14:textId="4994FDDD" w:rsidR="00755496" w:rsidRPr="0060474A" w:rsidRDefault="00755496" w:rsidP="00755496">
            <w:pPr>
              <w:pStyle w:val="TableBody"/>
            </w:pPr>
            <w:r w:rsidRPr="0060474A">
              <w:t>18,268</w:t>
            </w:r>
          </w:p>
        </w:tc>
        <w:tc>
          <w:tcPr>
            <w:tcW w:w="1000" w:type="pct"/>
            <w:noWrap/>
            <w:hideMark/>
          </w:tcPr>
          <w:p w14:paraId="3507D116" w14:textId="03663340" w:rsidR="00755496" w:rsidRPr="0060474A" w:rsidRDefault="00755496" w:rsidP="00755496">
            <w:pPr>
              <w:pStyle w:val="TableBody"/>
            </w:pPr>
            <w:r w:rsidRPr="0060474A">
              <w:t>36.0%</w:t>
            </w:r>
          </w:p>
        </w:tc>
      </w:tr>
      <w:tr w:rsidR="00755496" w:rsidRPr="0060474A" w14:paraId="0E2A90F9" w14:textId="77777777" w:rsidTr="00B145DD">
        <w:trPr>
          <w:trHeight w:val="290"/>
        </w:trPr>
        <w:tc>
          <w:tcPr>
            <w:tcW w:w="1000" w:type="pct"/>
            <w:noWrap/>
            <w:hideMark/>
          </w:tcPr>
          <w:p w14:paraId="28FEB4D5" w14:textId="226B9E3F" w:rsidR="00755496" w:rsidRPr="0060474A" w:rsidRDefault="00755496" w:rsidP="00755496">
            <w:pPr>
              <w:pStyle w:val="TableBody"/>
            </w:pPr>
            <w:r w:rsidRPr="0060474A">
              <w:t>55 to 64</w:t>
            </w:r>
          </w:p>
        </w:tc>
        <w:tc>
          <w:tcPr>
            <w:tcW w:w="1000" w:type="pct"/>
            <w:noWrap/>
          </w:tcPr>
          <w:p w14:paraId="4E6C29D1" w14:textId="5611077C" w:rsidR="00755496" w:rsidRPr="0060474A" w:rsidRDefault="00755496" w:rsidP="00755496">
            <w:pPr>
              <w:pStyle w:val="TableBody"/>
            </w:pPr>
            <w:r w:rsidRPr="0060474A">
              <w:t>745</w:t>
            </w:r>
          </w:p>
        </w:tc>
        <w:tc>
          <w:tcPr>
            <w:tcW w:w="1000" w:type="pct"/>
          </w:tcPr>
          <w:p w14:paraId="612891EF" w14:textId="25F512BE" w:rsidR="00755496" w:rsidRPr="0060474A" w:rsidRDefault="00755496" w:rsidP="00755496">
            <w:pPr>
              <w:pStyle w:val="TableBody"/>
            </w:pPr>
            <w:r w:rsidRPr="0060474A">
              <w:t>10.2%</w:t>
            </w:r>
          </w:p>
        </w:tc>
        <w:tc>
          <w:tcPr>
            <w:tcW w:w="1000" w:type="pct"/>
          </w:tcPr>
          <w:p w14:paraId="6D98D422" w14:textId="73DBE94A" w:rsidR="00755496" w:rsidRPr="0060474A" w:rsidRDefault="00755496" w:rsidP="00755496">
            <w:pPr>
              <w:pStyle w:val="TableBody"/>
            </w:pPr>
            <w:r w:rsidRPr="0060474A">
              <w:t>7,600</w:t>
            </w:r>
          </w:p>
        </w:tc>
        <w:tc>
          <w:tcPr>
            <w:tcW w:w="1000" w:type="pct"/>
            <w:noWrap/>
            <w:hideMark/>
          </w:tcPr>
          <w:p w14:paraId="268D19FC" w14:textId="6C1A2A23" w:rsidR="00755496" w:rsidRPr="0060474A" w:rsidRDefault="00755496" w:rsidP="00755496">
            <w:pPr>
              <w:pStyle w:val="TableBody"/>
            </w:pPr>
            <w:r w:rsidRPr="0060474A">
              <w:t>26.0%</w:t>
            </w:r>
          </w:p>
        </w:tc>
      </w:tr>
      <w:tr w:rsidR="00755496" w:rsidRPr="0060474A" w14:paraId="189E8FF4" w14:textId="77777777" w:rsidTr="00B145DD">
        <w:trPr>
          <w:trHeight w:val="290"/>
        </w:trPr>
        <w:tc>
          <w:tcPr>
            <w:tcW w:w="1000" w:type="pct"/>
            <w:noWrap/>
            <w:hideMark/>
          </w:tcPr>
          <w:p w14:paraId="12084B52" w14:textId="119529A7" w:rsidR="00755496" w:rsidRPr="0060474A" w:rsidRDefault="00755496" w:rsidP="00755496">
            <w:pPr>
              <w:pStyle w:val="TableBody"/>
            </w:pPr>
            <w:r w:rsidRPr="0060474A">
              <w:t>65 and over</w:t>
            </w:r>
          </w:p>
        </w:tc>
        <w:tc>
          <w:tcPr>
            <w:tcW w:w="1000" w:type="pct"/>
            <w:noWrap/>
          </w:tcPr>
          <w:p w14:paraId="633E385E" w14:textId="032D7E57" w:rsidR="00755496" w:rsidRPr="0060474A" w:rsidRDefault="00755496" w:rsidP="00755496">
            <w:pPr>
              <w:pStyle w:val="TableBody"/>
            </w:pPr>
            <w:r w:rsidRPr="0060474A">
              <w:t>503</w:t>
            </w:r>
          </w:p>
        </w:tc>
        <w:tc>
          <w:tcPr>
            <w:tcW w:w="1000" w:type="pct"/>
          </w:tcPr>
          <w:p w14:paraId="22162DFD" w14:textId="45DCCC61" w:rsidR="00755496" w:rsidRPr="0060474A" w:rsidRDefault="00755496" w:rsidP="00755496">
            <w:pPr>
              <w:pStyle w:val="TableBody"/>
            </w:pPr>
            <w:r w:rsidRPr="0060474A">
              <w:t>6.8%</w:t>
            </w:r>
          </w:p>
        </w:tc>
        <w:tc>
          <w:tcPr>
            <w:tcW w:w="1000" w:type="pct"/>
          </w:tcPr>
          <w:p w14:paraId="28CDDE8D" w14:textId="5691AC33" w:rsidR="00755496" w:rsidRPr="0060474A" w:rsidRDefault="00755496" w:rsidP="00755496">
            <w:pPr>
              <w:pStyle w:val="TableBody"/>
            </w:pPr>
            <w:r w:rsidRPr="0060474A">
              <w:t>3,746</w:t>
            </w:r>
          </w:p>
        </w:tc>
        <w:tc>
          <w:tcPr>
            <w:tcW w:w="1000" w:type="pct"/>
            <w:noWrap/>
            <w:hideMark/>
          </w:tcPr>
          <w:p w14:paraId="65055519" w14:textId="2CD3E895" w:rsidR="00755496" w:rsidRPr="0060474A" w:rsidRDefault="00755496" w:rsidP="00755496">
            <w:pPr>
              <w:pStyle w:val="TableBody"/>
            </w:pPr>
            <w:r w:rsidRPr="0060474A">
              <w:t>22.1%</w:t>
            </w:r>
          </w:p>
        </w:tc>
      </w:tr>
    </w:tbl>
    <w:p w14:paraId="19B6F786" w14:textId="77777777" w:rsidR="00417C86" w:rsidRPr="0060474A" w:rsidRDefault="00417C86" w:rsidP="00D74421">
      <w:r w:rsidRPr="0060474A">
        <w:t xml:space="preserve">People who received diversion plans were consistently less likely to reoffend within the next five years compared to people receiving other court outcomes, regardless of their principal offence type. People involved </w:t>
      </w:r>
      <w:r w:rsidRPr="0060474A">
        <w:lastRenderedPageBreak/>
        <w:t xml:space="preserve">with drug-related offences were the most likely to reoffend within five years, both for those who received a diversion plan (35.0%) and for those who received another court outcome (57.9%). People with a traffic offence had the largest proportional difference in reoffending rates: people who received a court outcome other than a diversion plan were three times more likely to reoffend (33.1%) than people who received a diversion plan (10.8%). </w:t>
      </w:r>
    </w:p>
    <w:p w14:paraId="3D17F0F3" w14:textId="7BB1B361" w:rsidR="00417C86" w:rsidRPr="0060474A" w:rsidRDefault="00417C86" w:rsidP="00187BBF">
      <w:pPr>
        <w:pStyle w:val="Caption"/>
      </w:pPr>
      <w:r w:rsidRPr="0060474A">
        <w:t>Figure 39: Reoffending rates of people receiving diversion plans or other court outcomes in 2015–16 and 2016–17, by principal offence type</w:t>
      </w:r>
    </w:p>
    <w:tbl>
      <w:tblPr>
        <w:tblStyle w:val="Table"/>
        <w:tblW w:w="9017" w:type="dxa"/>
        <w:tblLayout w:type="fixed"/>
        <w:tblLook w:val="04A0" w:firstRow="1" w:lastRow="0" w:firstColumn="1" w:lastColumn="0" w:noHBand="0" w:noVBand="1"/>
      </w:tblPr>
      <w:tblGrid>
        <w:gridCol w:w="1803"/>
        <w:gridCol w:w="1803"/>
        <w:gridCol w:w="1803"/>
        <w:gridCol w:w="1804"/>
        <w:gridCol w:w="1804"/>
      </w:tblGrid>
      <w:tr w:rsidR="00D04208" w:rsidRPr="0060474A" w14:paraId="24F97519" w14:textId="77777777" w:rsidTr="00BE201A">
        <w:trPr>
          <w:trHeight w:val="290"/>
          <w:tblHeader/>
        </w:trPr>
        <w:tc>
          <w:tcPr>
            <w:tcW w:w="1803" w:type="dxa"/>
            <w:noWrap/>
            <w:hideMark/>
          </w:tcPr>
          <w:p w14:paraId="57A24582" w14:textId="0407C31E" w:rsidR="00D04208" w:rsidRPr="0060474A" w:rsidRDefault="00D04208" w:rsidP="00D04208">
            <w:pPr>
              <w:pStyle w:val="TableHeading"/>
            </w:pPr>
            <w:r w:rsidRPr="0060474A">
              <w:t>Offence type</w:t>
            </w:r>
          </w:p>
        </w:tc>
        <w:tc>
          <w:tcPr>
            <w:tcW w:w="1803" w:type="dxa"/>
          </w:tcPr>
          <w:p w14:paraId="1DEA3222" w14:textId="12AAA79B" w:rsidR="00D04208" w:rsidRPr="0060474A" w:rsidRDefault="00D04208" w:rsidP="00D04208">
            <w:pPr>
              <w:pStyle w:val="TableHeading"/>
            </w:pPr>
            <w:r w:rsidRPr="0060474A">
              <w:t xml:space="preserve">Number </w:t>
            </w:r>
            <w:r>
              <w:t>receiving</w:t>
            </w:r>
            <w:r w:rsidRPr="0060474A">
              <w:t xml:space="preserve"> diversion plan</w:t>
            </w:r>
          </w:p>
        </w:tc>
        <w:tc>
          <w:tcPr>
            <w:tcW w:w="1803" w:type="dxa"/>
            <w:noWrap/>
            <w:hideMark/>
          </w:tcPr>
          <w:p w14:paraId="075160AD" w14:textId="0C7A1401" w:rsidR="00D04208" w:rsidRPr="0060474A" w:rsidRDefault="00D04208" w:rsidP="00D04208">
            <w:pPr>
              <w:pStyle w:val="TableHeading"/>
            </w:pPr>
            <w:r w:rsidRPr="0060474A">
              <w:t xml:space="preserve">Percentage </w:t>
            </w:r>
            <w:r>
              <w:t>receiving</w:t>
            </w:r>
            <w:r w:rsidRPr="0060474A">
              <w:t xml:space="preserve"> diversion plan</w:t>
            </w:r>
          </w:p>
        </w:tc>
        <w:tc>
          <w:tcPr>
            <w:tcW w:w="1804" w:type="dxa"/>
          </w:tcPr>
          <w:p w14:paraId="2B33EBEC" w14:textId="2E865FF8" w:rsidR="00D04208" w:rsidRPr="0060474A" w:rsidRDefault="00D04208" w:rsidP="00D04208">
            <w:pPr>
              <w:pStyle w:val="TableHeading"/>
            </w:pPr>
            <w:r w:rsidRPr="0060474A">
              <w:t xml:space="preserve">Number </w:t>
            </w:r>
            <w:r>
              <w:t>receiving</w:t>
            </w:r>
            <w:r w:rsidRPr="0060474A">
              <w:t xml:space="preserve"> outcome other than diversion plan</w:t>
            </w:r>
          </w:p>
        </w:tc>
        <w:tc>
          <w:tcPr>
            <w:tcW w:w="1804" w:type="dxa"/>
            <w:noWrap/>
            <w:hideMark/>
          </w:tcPr>
          <w:p w14:paraId="57F67528" w14:textId="0520D41F" w:rsidR="00D04208" w:rsidRPr="0060474A" w:rsidRDefault="00D04208" w:rsidP="00D04208">
            <w:pPr>
              <w:pStyle w:val="TableHeading"/>
            </w:pPr>
            <w:r w:rsidRPr="0060474A">
              <w:t xml:space="preserve">Percentage </w:t>
            </w:r>
            <w:r>
              <w:t>receiving</w:t>
            </w:r>
            <w:r w:rsidRPr="0060474A">
              <w:t xml:space="preserve"> outcome other than diversion plan</w:t>
            </w:r>
          </w:p>
        </w:tc>
      </w:tr>
      <w:tr w:rsidR="00BE201A" w:rsidRPr="0060474A" w14:paraId="7AB2C4C8" w14:textId="77777777" w:rsidTr="00BE201A">
        <w:trPr>
          <w:trHeight w:val="290"/>
        </w:trPr>
        <w:tc>
          <w:tcPr>
            <w:tcW w:w="1803" w:type="dxa"/>
            <w:noWrap/>
            <w:hideMark/>
          </w:tcPr>
          <w:p w14:paraId="110DF356" w14:textId="094D658F" w:rsidR="00BE201A" w:rsidRPr="0060474A" w:rsidRDefault="00BE201A" w:rsidP="00873916">
            <w:pPr>
              <w:pStyle w:val="TableBody"/>
            </w:pPr>
            <w:r w:rsidRPr="0060474A">
              <w:t>Offences against the person</w:t>
            </w:r>
          </w:p>
        </w:tc>
        <w:tc>
          <w:tcPr>
            <w:tcW w:w="1803" w:type="dxa"/>
          </w:tcPr>
          <w:p w14:paraId="4992F507" w14:textId="62FD79F2" w:rsidR="00BE201A" w:rsidRPr="0060474A" w:rsidRDefault="00BE201A" w:rsidP="00873916">
            <w:pPr>
              <w:pStyle w:val="TableBody"/>
            </w:pPr>
            <w:r w:rsidRPr="0060474A">
              <w:t>2,725</w:t>
            </w:r>
          </w:p>
        </w:tc>
        <w:tc>
          <w:tcPr>
            <w:tcW w:w="1803" w:type="dxa"/>
            <w:noWrap/>
            <w:hideMark/>
          </w:tcPr>
          <w:p w14:paraId="5F3CE702" w14:textId="3EE85947" w:rsidR="00BE201A" w:rsidRPr="0060474A" w:rsidRDefault="00BE201A" w:rsidP="00873916">
            <w:pPr>
              <w:pStyle w:val="TableBody"/>
            </w:pPr>
            <w:r w:rsidRPr="0060474A">
              <w:t>17.6%</w:t>
            </w:r>
          </w:p>
        </w:tc>
        <w:tc>
          <w:tcPr>
            <w:tcW w:w="1804" w:type="dxa"/>
          </w:tcPr>
          <w:p w14:paraId="38DF9967" w14:textId="162CF2AC" w:rsidR="00BE201A" w:rsidRPr="0060474A" w:rsidRDefault="00BE201A" w:rsidP="00873916">
            <w:pPr>
              <w:pStyle w:val="TableBody"/>
            </w:pPr>
            <w:r w:rsidRPr="0060474A">
              <w:t>18,987</w:t>
            </w:r>
          </w:p>
        </w:tc>
        <w:tc>
          <w:tcPr>
            <w:tcW w:w="1804" w:type="dxa"/>
            <w:noWrap/>
            <w:hideMark/>
          </w:tcPr>
          <w:p w14:paraId="3E771D7B" w14:textId="664D17CA" w:rsidR="00BE201A" w:rsidRPr="0060474A" w:rsidRDefault="00BE201A" w:rsidP="00873916">
            <w:pPr>
              <w:pStyle w:val="TableBody"/>
            </w:pPr>
            <w:r w:rsidRPr="0060474A">
              <w:t>47.9%</w:t>
            </w:r>
          </w:p>
        </w:tc>
      </w:tr>
      <w:tr w:rsidR="00BE201A" w:rsidRPr="0060474A" w14:paraId="5B8F425E" w14:textId="77777777" w:rsidTr="00BE201A">
        <w:trPr>
          <w:trHeight w:val="290"/>
        </w:trPr>
        <w:tc>
          <w:tcPr>
            <w:tcW w:w="1803" w:type="dxa"/>
            <w:noWrap/>
            <w:hideMark/>
          </w:tcPr>
          <w:p w14:paraId="37342956" w14:textId="6B70A189" w:rsidR="00BE201A" w:rsidRPr="0060474A" w:rsidRDefault="00BE201A" w:rsidP="00873916">
            <w:pPr>
              <w:pStyle w:val="TableBody"/>
            </w:pPr>
            <w:r w:rsidRPr="0060474A">
              <w:t>Property offences</w:t>
            </w:r>
          </w:p>
        </w:tc>
        <w:tc>
          <w:tcPr>
            <w:tcW w:w="1803" w:type="dxa"/>
          </w:tcPr>
          <w:p w14:paraId="0EB49F16" w14:textId="0A0D6952" w:rsidR="00BE201A" w:rsidRPr="0060474A" w:rsidRDefault="00BE201A" w:rsidP="00873916">
            <w:pPr>
              <w:pStyle w:val="TableBody"/>
            </w:pPr>
            <w:r w:rsidRPr="0060474A">
              <w:t>3,410</w:t>
            </w:r>
          </w:p>
        </w:tc>
        <w:tc>
          <w:tcPr>
            <w:tcW w:w="1803" w:type="dxa"/>
            <w:noWrap/>
            <w:hideMark/>
          </w:tcPr>
          <w:p w14:paraId="6722ABAC" w14:textId="45B19343" w:rsidR="00BE201A" w:rsidRPr="0060474A" w:rsidRDefault="00BE201A" w:rsidP="00873916">
            <w:pPr>
              <w:pStyle w:val="TableBody"/>
            </w:pPr>
            <w:r w:rsidRPr="0060474A">
              <w:t>25.3%</w:t>
            </w:r>
          </w:p>
        </w:tc>
        <w:tc>
          <w:tcPr>
            <w:tcW w:w="1804" w:type="dxa"/>
          </w:tcPr>
          <w:p w14:paraId="094477D4" w14:textId="5566726C" w:rsidR="00BE201A" w:rsidRPr="0060474A" w:rsidRDefault="00BE201A" w:rsidP="00873916">
            <w:pPr>
              <w:pStyle w:val="TableBody"/>
            </w:pPr>
            <w:r w:rsidRPr="0060474A">
              <w:t>14,889</w:t>
            </w:r>
          </w:p>
        </w:tc>
        <w:tc>
          <w:tcPr>
            <w:tcW w:w="1804" w:type="dxa"/>
            <w:noWrap/>
            <w:hideMark/>
          </w:tcPr>
          <w:p w14:paraId="3820C0BF" w14:textId="4A597AA6" w:rsidR="00BE201A" w:rsidRPr="0060474A" w:rsidRDefault="00BE201A" w:rsidP="00873916">
            <w:pPr>
              <w:pStyle w:val="TableBody"/>
            </w:pPr>
            <w:r w:rsidRPr="0060474A">
              <w:t>57.5%</w:t>
            </w:r>
          </w:p>
        </w:tc>
      </w:tr>
      <w:tr w:rsidR="00BE201A" w:rsidRPr="0060474A" w14:paraId="5D2F0011" w14:textId="77777777" w:rsidTr="00BE201A">
        <w:trPr>
          <w:trHeight w:val="290"/>
        </w:trPr>
        <w:tc>
          <w:tcPr>
            <w:tcW w:w="1803" w:type="dxa"/>
            <w:noWrap/>
            <w:hideMark/>
          </w:tcPr>
          <w:p w14:paraId="21F1E7F7" w14:textId="6CE268EC" w:rsidR="00BE201A" w:rsidRPr="0060474A" w:rsidRDefault="00BE201A" w:rsidP="00873916">
            <w:pPr>
              <w:pStyle w:val="TableBody"/>
            </w:pPr>
            <w:r w:rsidRPr="0060474A">
              <w:t>Traffic offences</w:t>
            </w:r>
          </w:p>
        </w:tc>
        <w:tc>
          <w:tcPr>
            <w:tcW w:w="1803" w:type="dxa"/>
          </w:tcPr>
          <w:p w14:paraId="562A4532" w14:textId="47BCAC45" w:rsidR="00BE201A" w:rsidRPr="0060474A" w:rsidRDefault="00BE201A" w:rsidP="00873916">
            <w:pPr>
              <w:pStyle w:val="TableBody"/>
            </w:pPr>
            <w:r w:rsidRPr="0060474A">
              <w:t>1,293</w:t>
            </w:r>
          </w:p>
        </w:tc>
        <w:tc>
          <w:tcPr>
            <w:tcW w:w="1803" w:type="dxa"/>
            <w:noWrap/>
            <w:hideMark/>
          </w:tcPr>
          <w:p w14:paraId="585CC413" w14:textId="58FBE0B0" w:rsidR="00BE201A" w:rsidRPr="0060474A" w:rsidRDefault="00BE201A" w:rsidP="00873916">
            <w:pPr>
              <w:pStyle w:val="TableBody"/>
            </w:pPr>
            <w:r w:rsidRPr="0060474A">
              <w:t>10.8%</w:t>
            </w:r>
          </w:p>
        </w:tc>
        <w:tc>
          <w:tcPr>
            <w:tcW w:w="1804" w:type="dxa"/>
          </w:tcPr>
          <w:p w14:paraId="2FFE7716" w14:textId="56406D14" w:rsidR="00BE201A" w:rsidRPr="0060474A" w:rsidRDefault="00BE201A" w:rsidP="00873916">
            <w:pPr>
              <w:pStyle w:val="TableBody"/>
            </w:pPr>
            <w:r w:rsidRPr="0060474A">
              <w:t>75,027</w:t>
            </w:r>
          </w:p>
        </w:tc>
        <w:tc>
          <w:tcPr>
            <w:tcW w:w="1804" w:type="dxa"/>
            <w:noWrap/>
            <w:hideMark/>
          </w:tcPr>
          <w:p w14:paraId="79DAE278" w14:textId="06D277D3" w:rsidR="00BE201A" w:rsidRPr="0060474A" w:rsidRDefault="00BE201A" w:rsidP="00873916">
            <w:pPr>
              <w:pStyle w:val="TableBody"/>
            </w:pPr>
            <w:r w:rsidRPr="0060474A">
              <w:t>33.1%</w:t>
            </w:r>
          </w:p>
        </w:tc>
      </w:tr>
      <w:tr w:rsidR="00BE201A" w:rsidRPr="0060474A" w14:paraId="66228570" w14:textId="77777777" w:rsidTr="00BE201A">
        <w:trPr>
          <w:trHeight w:val="290"/>
        </w:trPr>
        <w:tc>
          <w:tcPr>
            <w:tcW w:w="1803" w:type="dxa"/>
            <w:noWrap/>
            <w:hideMark/>
          </w:tcPr>
          <w:p w14:paraId="6F226A5C" w14:textId="37EF9D49" w:rsidR="00BE201A" w:rsidRPr="0060474A" w:rsidRDefault="00BE201A" w:rsidP="00873916">
            <w:pPr>
              <w:pStyle w:val="TableBody"/>
            </w:pPr>
            <w:r w:rsidRPr="0060474A">
              <w:t>Drug-related offences</w:t>
            </w:r>
          </w:p>
        </w:tc>
        <w:tc>
          <w:tcPr>
            <w:tcW w:w="1803" w:type="dxa"/>
          </w:tcPr>
          <w:p w14:paraId="4F2ECB30" w14:textId="70648C3A" w:rsidR="00BE201A" w:rsidRPr="0060474A" w:rsidRDefault="00BE201A" w:rsidP="00873916">
            <w:pPr>
              <w:pStyle w:val="TableBody"/>
            </w:pPr>
            <w:r w:rsidRPr="0060474A">
              <w:t>746</w:t>
            </w:r>
          </w:p>
        </w:tc>
        <w:tc>
          <w:tcPr>
            <w:tcW w:w="1803" w:type="dxa"/>
            <w:noWrap/>
            <w:hideMark/>
          </w:tcPr>
          <w:p w14:paraId="165731A0" w14:textId="419DC3F1" w:rsidR="00BE201A" w:rsidRPr="0060474A" w:rsidRDefault="00BE201A" w:rsidP="00873916">
            <w:pPr>
              <w:pStyle w:val="TableBody"/>
            </w:pPr>
            <w:r w:rsidRPr="0060474A">
              <w:t>35.0%</w:t>
            </w:r>
          </w:p>
        </w:tc>
        <w:tc>
          <w:tcPr>
            <w:tcW w:w="1804" w:type="dxa"/>
          </w:tcPr>
          <w:p w14:paraId="268E5256" w14:textId="00A57BED" w:rsidR="00BE201A" w:rsidRPr="0060474A" w:rsidRDefault="00BE201A" w:rsidP="00873916">
            <w:pPr>
              <w:pStyle w:val="TableBody"/>
            </w:pPr>
            <w:r w:rsidRPr="0060474A">
              <w:t>5,635</w:t>
            </w:r>
          </w:p>
        </w:tc>
        <w:tc>
          <w:tcPr>
            <w:tcW w:w="1804" w:type="dxa"/>
            <w:noWrap/>
            <w:hideMark/>
          </w:tcPr>
          <w:p w14:paraId="2A1797AD" w14:textId="13F3825A" w:rsidR="00BE201A" w:rsidRPr="0060474A" w:rsidRDefault="00BE201A" w:rsidP="00873916">
            <w:pPr>
              <w:pStyle w:val="TableBody"/>
            </w:pPr>
            <w:r w:rsidRPr="0060474A">
              <w:t>57.9%</w:t>
            </w:r>
          </w:p>
        </w:tc>
      </w:tr>
      <w:tr w:rsidR="00BE201A" w:rsidRPr="0060474A" w14:paraId="3CCAF546" w14:textId="77777777" w:rsidTr="00BE201A">
        <w:trPr>
          <w:trHeight w:val="290"/>
        </w:trPr>
        <w:tc>
          <w:tcPr>
            <w:tcW w:w="1803" w:type="dxa"/>
            <w:noWrap/>
            <w:hideMark/>
          </w:tcPr>
          <w:p w14:paraId="5565FF5D" w14:textId="65641643" w:rsidR="00BE201A" w:rsidRPr="0060474A" w:rsidRDefault="00BE201A" w:rsidP="00873916">
            <w:pPr>
              <w:pStyle w:val="TableBody"/>
            </w:pPr>
            <w:r w:rsidRPr="0060474A">
              <w:t>Other</w:t>
            </w:r>
          </w:p>
        </w:tc>
        <w:tc>
          <w:tcPr>
            <w:tcW w:w="1803" w:type="dxa"/>
          </w:tcPr>
          <w:p w14:paraId="188F4C9B" w14:textId="7B011222" w:rsidR="00BE201A" w:rsidRPr="0060474A" w:rsidRDefault="00BE201A" w:rsidP="00873916">
            <w:pPr>
              <w:pStyle w:val="TableBody"/>
            </w:pPr>
            <w:r w:rsidRPr="0060474A">
              <w:t>2,219</w:t>
            </w:r>
          </w:p>
        </w:tc>
        <w:tc>
          <w:tcPr>
            <w:tcW w:w="1803" w:type="dxa"/>
            <w:noWrap/>
            <w:hideMark/>
          </w:tcPr>
          <w:p w14:paraId="45027F48" w14:textId="3B14279F" w:rsidR="00BE201A" w:rsidRPr="0060474A" w:rsidRDefault="00BE201A" w:rsidP="00873916">
            <w:pPr>
              <w:pStyle w:val="TableBody"/>
            </w:pPr>
            <w:r w:rsidRPr="0060474A">
              <w:t>21.0%</w:t>
            </w:r>
          </w:p>
        </w:tc>
        <w:tc>
          <w:tcPr>
            <w:tcW w:w="1804" w:type="dxa"/>
          </w:tcPr>
          <w:p w14:paraId="476A7438" w14:textId="678FD689" w:rsidR="00BE201A" w:rsidRPr="0060474A" w:rsidRDefault="00BE201A" w:rsidP="00873916">
            <w:pPr>
              <w:pStyle w:val="TableBody"/>
            </w:pPr>
            <w:r w:rsidRPr="0060474A">
              <w:t>25,368</w:t>
            </w:r>
          </w:p>
        </w:tc>
        <w:tc>
          <w:tcPr>
            <w:tcW w:w="1804" w:type="dxa"/>
            <w:noWrap/>
            <w:hideMark/>
          </w:tcPr>
          <w:p w14:paraId="0BD9C799" w14:textId="49FDFC53" w:rsidR="00BE201A" w:rsidRPr="0060474A" w:rsidRDefault="00BE201A" w:rsidP="00873916">
            <w:pPr>
              <w:pStyle w:val="TableBody"/>
            </w:pPr>
            <w:r w:rsidRPr="0060474A">
              <w:t>41.4%</w:t>
            </w:r>
          </w:p>
        </w:tc>
      </w:tr>
    </w:tbl>
    <w:p w14:paraId="7EAEA437" w14:textId="77777777" w:rsidR="00417C86" w:rsidRPr="0060474A" w:rsidRDefault="00417C86" w:rsidP="00417C86">
      <w:pPr>
        <w:pStyle w:val="Heading1"/>
      </w:pPr>
      <w:bookmarkStart w:id="8" w:name="_Toc170138906"/>
      <w:r w:rsidRPr="0060474A">
        <w:lastRenderedPageBreak/>
        <w:t>5. Concluding remarks</w:t>
      </w:r>
      <w:bookmarkEnd w:id="8"/>
    </w:p>
    <w:p w14:paraId="0CDED1A9" w14:textId="77777777" w:rsidR="00417C86" w:rsidRPr="0060474A" w:rsidRDefault="00417C86" w:rsidP="004F2FCB">
      <w:r w:rsidRPr="0060474A">
        <w:t>This statistical profile has presented data on the Magistrates’ Court’s Criminal Justice Diversion Program in the 10 years to 2020–21. This has included an analysis of:</w:t>
      </w:r>
    </w:p>
    <w:p w14:paraId="5B1E07A6" w14:textId="77777777" w:rsidR="00417C86" w:rsidRPr="0060474A" w:rsidRDefault="00417C86" w:rsidP="00D74421">
      <w:pPr>
        <w:pStyle w:val="Bullets"/>
      </w:pPr>
      <w:r w:rsidRPr="0060474A">
        <w:t>the number of people receiving diversion plans each year;</w:t>
      </w:r>
    </w:p>
    <w:p w14:paraId="2A18618B" w14:textId="77777777" w:rsidR="00417C86" w:rsidRPr="0060474A" w:rsidRDefault="00417C86" w:rsidP="00D74421">
      <w:pPr>
        <w:pStyle w:val="Bullets"/>
      </w:pPr>
      <w:r w:rsidRPr="0060474A">
        <w:t>who is receiving diversion plans;</w:t>
      </w:r>
    </w:p>
    <w:p w14:paraId="0462DD1A" w14:textId="77777777" w:rsidR="00417C86" w:rsidRPr="0060474A" w:rsidRDefault="00417C86" w:rsidP="00D74421">
      <w:pPr>
        <w:pStyle w:val="Bullets"/>
      </w:pPr>
      <w:r w:rsidRPr="0060474A">
        <w:t xml:space="preserve">who is </w:t>
      </w:r>
      <w:r w:rsidRPr="0060474A">
        <w:rPr>
          <w:rStyle w:val="Italic"/>
          <w:iCs w:val="0"/>
        </w:rPr>
        <w:t xml:space="preserve">most likely </w:t>
      </w:r>
      <w:r w:rsidRPr="0060474A">
        <w:t xml:space="preserve">to receive diversion plans; </w:t>
      </w:r>
    </w:p>
    <w:p w14:paraId="5FC8EC7C" w14:textId="77777777" w:rsidR="00417C86" w:rsidRPr="0060474A" w:rsidRDefault="00417C86" w:rsidP="00D74421">
      <w:pPr>
        <w:pStyle w:val="Bullets"/>
      </w:pPr>
      <w:r w:rsidRPr="0060474A">
        <w:t>the most common conditions attached to diversion plans;</w:t>
      </w:r>
    </w:p>
    <w:p w14:paraId="3A253A2C" w14:textId="77777777" w:rsidR="00417C86" w:rsidRPr="0060474A" w:rsidRDefault="00417C86" w:rsidP="00D74421">
      <w:pPr>
        <w:pStyle w:val="Bullets"/>
      </w:pPr>
      <w:r w:rsidRPr="0060474A">
        <w:t>the duration of diversion plans;</w:t>
      </w:r>
    </w:p>
    <w:p w14:paraId="41357DC1" w14:textId="77777777" w:rsidR="00417C86" w:rsidRPr="0060474A" w:rsidRDefault="00417C86" w:rsidP="00D74421">
      <w:pPr>
        <w:pStyle w:val="Bullets"/>
      </w:pPr>
      <w:r w:rsidRPr="0060474A">
        <w:t>the type of offending most common in diversion cases;</w:t>
      </w:r>
    </w:p>
    <w:p w14:paraId="3C2631CD" w14:textId="77777777" w:rsidR="00417C86" w:rsidRPr="0060474A" w:rsidRDefault="00417C86" w:rsidP="00D74421">
      <w:pPr>
        <w:pStyle w:val="Bullets"/>
      </w:pPr>
      <w:r w:rsidRPr="0060474A">
        <w:t xml:space="preserve">the type of offending </w:t>
      </w:r>
      <w:r w:rsidRPr="0060474A">
        <w:rPr>
          <w:rStyle w:val="Italic"/>
          <w:iCs w:val="0"/>
        </w:rPr>
        <w:t xml:space="preserve">most likely </w:t>
      </w:r>
      <w:r w:rsidRPr="0060474A">
        <w:t>to result in a diversion plan; and</w:t>
      </w:r>
    </w:p>
    <w:p w14:paraId="20515366" w14:textId="77777777" w:rsidR="00417C86" w:rsidRPr="0060474A" w:rsidRDefault="00417C86" w:rsidP="00D74421">
      <w:pPr>
        <w:pStyle w:val="Bullets"/>
      </w:pPr>
      <w:r w:rsidRPr="0060474A">
        <w:t>the prior offending and reoffending of people receiving diversion plans.</w:t>
      </w:r>
    </w:p>
    <w:p w14:paraId="6AF9464B" w14:textId="77777777" w:rsidR="00417C86" w:rsidRPr="0060474A" w:rsidRDefault="00417C86" w:rsidP="00D74421">
      <w:r w:rsidRPr="0060474A">
        <w:t xml:space="preserve">This analysis has led to a number of key findings. </w:t>
      </w:r>
    </w:p>
    <w:p w14:paraId="780AAE11" w14:textId="77777777" w:rsidR="00417C86" w:rsidRPr="0060474A" w:rsidRDefault="00417C86" w:rsidP="00D74421">
      <w:r w:rsidRPr="0060474A">
        <w:t>First and foremost, the findings are strongly indicative of the effectiveness of diversion plans, or at the very least, the findings strongly indicate that the cases in which a diversion plan has been utilised were appropriately targeted. Over 93% of people who receive diversion plans successfully complete the various conditions. Moreover, people who receive diversion plans have much lower prior offending and reoffending rates than people who receive other court outcomes. Each of the stakeholders we consulted about these findings found the results very encouraging, especially given that the increased use of diversion plans and changes in the use of conditions have not detracted from the very high successful completion rates each year.</w:t>
      </w:r>
    </w:p>
    <w:p w14:paraId="4CC4C812" w14:textId="77777777" w:rsidR="00417C86" w:rsidRPr="0060474A" w:rsidRDefault="00417C86" w:rsidP="00D74421">
      <w:r w:rsidRPr="0060474A">
        <w:t xml:space="preserve">Second, a diversion plan has become an increasingly common outcome of criminal proceedings in Victoria. In the eight years to 2018–19 (the financial year before COVID-19 affected court operations), the number of diversion plans increased by 34%, from 4,388 to 5,874. Further, while the </w:t>
      </w:r>
      <w:r w:rsidRPr="0060474A">
        <w:lastRenderedPageBreak/>
        <w:t xml:space="preserve">total number of cases finalised in the Magistrates’ Court increased in that same timeframe, the proportion of court outcomes that were diversion plans also increased, from 5.4% of all outcomes to 6.4%. As mentioned above, successful completion rates have remained largely stable, meaning that the increased use of diversion plans does not seem to have affected successful completion rates. </w:t>
      </w:r>
    </w:p>
    <w:p w14:paraId="343C4B28" w14:textId="77777777" w:rsidR="00417C86" w:rsidRPr="0060474A" w:rsidRDefault="00417C86" w:rsidP="00D74421">
      <w:r w:rsidRPr="0060474A">
        <w:t>Third, women are more likely than men to receive diversion plans (8.7% of all cases involving women compared to 5.2% involving men), regardless of the type of offending involved. This was true for all principal offence types, and for cases both with and without a family violence flag. Indeed, female family violence offenders had the highest rate of diversion plans, about double the rate for female non-family violence offenders, and more than three times the rate for all male offenders (family violence offenders and non-family violence offenders). There are likely numerous reasons for this, including women’s offending profiles being different from men’s, and female family violence offenders often committing their offences in the context of a relationship where they are the primary victim and their male partner is the primary aggressor.</w:t>
      </w:r>
    </w:p>
    <w:p w14:paraId="081C1799" w14:textId="77777777" w:rsidR="00417C86" w:rsidRPr="0060474A" w:rsidRDefault="00417C86" w:rsidP="00D74421">
      <w:r w:rsidRPr="0060474A">
        <w:t>Fourth, while the use of diversion plans has remained relatively stable, their nature has changed somewhat. It is still far more likely that a person will receive a diversion plan if they are female, are younger, are older and/or have committed a property offence. But diversion plans have, on average, gotten longer (from about 3.5 to 5.5 months). Further, the conditions attached to diversion plans have changed, with fewer compensation conditions, donation conditions and letters of apology or gratitude conditions, co-occurring with a significant increase in good behaviour conditions, which are now included in 87.2% of diversion plans.</w:t>
      </w:r>
    </w:p>
    <w:p w14:paraId="38C208CC" w14:textId="77777777" w:rsidR="00417C86" w:rsidRPr="0060474A" w:rsidRDefault="00417C86" w:rsidP="00D74421">
      <w:r w:rsidRPr="0060474A">
        <w:t xml:space="preserve">Finally, a diversion plan is extremely rare for traffic offences (1.6% of cases with a traffic offence as the principal proven offence). This is likely because section 59(1) of the </w:t>
      </w:r>
      <w:r w:rsidRPr="0060474A">
        <w:rPr>
          <w:rStyle w:val="Italic"/>
          <w:iCs w:val="0"/>
        </w:rPr>
        <w:t xml:space="preserve">Criminal Procedure Act </w:t>
      </w:r>
      <w:r w:rsidRPr="0060474A">
        <w:t xml:space="preserve">expressly precludes from the CJDP (a) any matter involving an offence with a mandatory </w:t>
      </w:r>
      <w:r w:rsidRPr="0060474A">
        <w:lastRenderedPageBreak/>
        <w:t xml:space="preserve">licence suspension or disqualification, and (b) any matter involving an offence under section 49(1) of the </w:t>
      </w:r>
      <w:r w:rsidRPr="0060474A">
        <w:rPr>
          <w:rStyle w:val="Italic"/>
          <w:iCs w:val="0"/>
        </w:rPr>
        <w:t xml:space="preserve">Road Safety Act </w:t>
      </w:r>
      <w:r w:rsidRPr="0060474A">
        <w:t>(drink and drug driving offences). While diversion has occasionally been advocated as a useful response to driving-related offences,</w:t>
      </w:r>
      <w:r w:rsidRPr="0060474A">
        <w:rPr>
          <w:rStyle w:val="Superscript"/>
        </w:rPr>
        <w:footnoteReference w:id="59"/>
      </w:r>
      <w:r w:rsidRPr="0060474A">
        <w:t xml:space="preserve"> a number of studies have found diversion to be surprisingly ineffective in reducing further driving-related offending (other than licence offences).</w:t>
      </w:r>
      <w:r w:rsidRPr="0060474A">
        <w:rPr>
          <w:rStyle w:val="Superscript"/>
        </w:rPr>
        <w:footnoteReference w:id="60"/>
      </w:r>
      <w:r w:rsidRPr="0060474A">
        <w:t xml:space="preserve"> Moreover, it has been argued that diversion can perpetuate inequalities in the criminal justice system if people are required to participate in an ‘offender-funded’ driver education program.</w:t>
      </w:r>
      <w:r w:rsidRPr="0060474A">
        <w:rPr>
          <w:rStyle w:val="Superscript"/>
        </w:rPr>
        <w:footnoteReference w:id="61"/>
      </w:r>
      <w:r w:rsidRPr="0060474A">
        <w:t xml:space="preserve"> That said, people who received diversion plans for traffic offences were one-third less likely to reoffend in the next five years (10.8%) than people who received other court outcomes (33.1%). This could suggest that diversion plans are an under-utilised but effective response to traffic offences, but without accounting for the differences in those cases and people, it is difficult to say so definitively. </w:t>
      </w:r>
    </w:p>
    <w:p w14:paraId="06D84724" w14:textId="77777777" w:rsidR="00417C86" w:rsidRPr="0060474A" w:rsidRDefault="00417C86" w:rsidP="001B208C">
      <w:pPr>
        <w:pStyle w:val="Heading1"/>
      </w:pPr>
      <w:bookmarkStart w:id="9" w:name="_Toc170138907"/>
      <w:r w:rsidRPr="0060474A">
        <w:lastRenderedPageBreak/>
        <w:t>Appendix: The diversion matrix</w:t>
      </w:r>
      <w:bookmarkEnd w:id="9"/>
    </w:p>
    <w:p w14:paraId="7F7C86D1" w14:textId="77777777" w:rsidR="00301C1B" w:rsidRPr="0060474A" w:rsidRDefault="00301C1B" w:rsidP="008D55C4">
      <w:pPr>
        <w:pStyle w:val="Heading3"/>
      </w:pPr>
      <w:bookmarkStart w:id="10" w:name="_Toc170138908"/>
      <w:r w:rsidRPr="0060474A">
        <w:t>Magistrates Court Diversion Criteria Matrix</w:t>
      </w:r>
      <w:bookmarkEnd w:id="10"/>
    </w:p>
    <w:p w14:paraId="725D684F" w14:textId="77777777" w:rsidR="00301C1B" w:rsidRPr="0060474A" w:rsidRDefault="00301C1B" w:rsidP="0008381A">
      <w:r w:rsidRPr="0060474A">
        <w:t>In making the assessment for diversion, Prosecutors must have consideration to the Victoria Police Manual and other relevant policy documents, along with this Diversion Criteria Matrix.</w:t>
      </w:r>
    </w:p>
    <w:p w14:paraId="04778CEC" w14:textId="77777777" w:rsidR="00301C1B" w:rsidRPr="0060474A" w:rsidRDefault="00301C1B" w:rsidP="0008381A">
      <w:r w:rsidRPr="0060474A">
        <w:t>There are 4 specific offence categories that require additional consideration prior to recommending diversion:</w:t>
      </w:r>
    </w:p>
    <w:p w14:paraId="03C8077E" w14:textId="77777777" w:rsidR="00301C1B" w:rsidRPr="0060474A" w:rsidRDefault="00301C1B" w:rsidP="0008381A">
      <w:pPr>
        <w:pStyle w:val="ListParagraph"/>
        <w:numPr>
          <w:ilvl w:val="0"/>
          <w:numId w:val="13"/>
        </w:numPr>
      </w:pPr>
      <w:r w:rsidRPr="0060474A">
        <w:rPr>
          <w:i/>
          <w:iCs/>
        </w:rPr>
        <w:t>Firearm</w:t>
      </w:r>
      <w:r w:rsidRPr="0060474A">
        <w:t xml:space="preserve"> </w:t>
      </w:r>
      <w:r w:rsidRPr="0060474A">
        <w:rPr>
          <w:i/>
          <w:iCs/>
        </w:rPr>
        <w:t>offences.</w:t>
      </w:r>
      <w:r w:rsidRPr="0060474A">
        <w:t xml:space="preserve"> A diversion or withdrawal of charges should not be offered to the accused or their counsel without first consulting with an Inspector or above at the Licensing &amp; Regulation Division – (03) 9247 3231. PBEA – LRD- Diversions-Manager-OIC</w:t>
      </w:r>
    </w:p>
    <w:p w14:paraId="041CA678" w14:textId="77777777" w:rsidR="00301C1B" w:rsidRPr="0060474A" w:rsidRDefault="00301C1B" w:rsidP="0008381A">
      <w:pPr>
        <w:pStyle w:val="ListParagraph"/>
        <w:numPr>
          <w:ilvl w:val="0"/>
          <w:numId w:val="13"/>
        </w:numPr>
      </w:pPr>
      <w:r w:rsidRPr="0060474A">
        <w:t xml:space="preserve">Offences where the accused is a </w:t>
      </w:r>
      <w:r w:rsidRPr="0060474A">
        <w:rPr>
          <w:i/>
          <w:iCs/>
        </w:rPr>
        <w:t>Private</w:t>
      </w:r>
      <w:r w:rsidRPr="0060474A">
        <w:t xml:space="preserve"> </w:t>
      </w:r>
      <w:r w:rsidRPr="0060474A">
        <w:rPr>
          <w:i/>
          <w:iCs/>
        </w:rPr>
        <w:t>Security</w:t>
      </w:r>
      <w:r w:rsidRPr="0060474A">
        <w:t xml:space="preserve"> </w:t>
      </w:r>
      <w:r w:rsidRPr="0060474A">
        <w:rPr>
          <w:i/>
          <w:iCs/>
        </w:rPr>
        <w:t>Operator</w:t>
      </w:r>
      <w:r w:rsidRPr="0060474A">
        <w:t xml:space="preserve"> or </w:t>
      </w:r>
      <w:r w:rsidRPr="0060474A">
        <w:rPr>
          <w:i/>
          <w:iCs/>
        </w:rPr>
        <w:t>Private</w:t>
      </w:r>
      <w:r w:rsidRPr="0060474A">
        <w:t xml:space="preserve"> </w:t>
      </w:r>
      <w:r w:rsidRPr="0060474A">
        <w:rPr>
          <w:i/>
          <w:iCs/>
        </w:rPr>
        <w:t>Security</w:t>
      </w:r>
      <w:r w:rsidRPr="0060474A">
        <w:t xml:space="preserve"> </w:t>
      </w:r>
      <w:r w:rsidRPr="0060474A">
        <w:rPr>
          <w:i/>
          <w:iCs/>
        </w:rPr>
        <w:t>Business</w:t>
      </w:r>
      <w:r w:rsidRPr="0060474A">
        <w:t xml:space="preserve"> </w:t>
      </w:r>
      <w:r w:rsidRPr="0060474A">
        <w:rPr>
          <w:i/>
          <w:iCs/>
        </w:rPr>
        <w:t>Owner</w:t>
      </w:r>
      <w:r w:rsidRPr="0060474A">
        <w:t>. A diversion or withdrawal of charges should not be offered to the accused or their counsel without first consulting with an Inspector or above at the Licensing &amp; Regulation Division – (03) 9247 3231. PBEA – LRD-Diversions-Manager-OIC</w:t>
      </w:r>
    </w:p>
    <w:p w14:paraId="3DEDD0B4" w14:textId="77777777" w:rsidR="00301C1B" w:rsidRPr="0060474A" w:rsidRDefault="00301C1B" w:rsidP="0008381A">
      <w:pPr>
        <w:pStyle w:val="ListParagraph"/>
        <w:numPr>
          <w:ilvl w:val="0"/>
          <w:numId w:val="13"/>
        </w:numPr>
      </w:pPr>
      <w:r w:rsidRPr="0060474A">
        <w:rPr>
          <w:i/>
          <w:iCs/>
        </w:rPr>
        <w:t>Liquor</w:t>
      </w:r>
      <w:r w:rsidRPr="0060474A">
        <w:t xml:space="preserve"> </w:t>
      </w:r>
      <w:r w:rsidRPr="0060474A">
        <w:rPr>
          <w:i/>
          <w:iCs/>
        </w:rPr>
        <w:t>Licence</w:t>
      </w:r>
      <w:r w:rsidRPr="0060474A">
        <w:t xml:space="preserve"> </w:t>
      </w:r>
      <w:r w:rsidRPr="0060474A">
        <w:rPr>
          <w:i/>
          <w:iCs/>
        </w:rPr>
        <w:t>offences</w:t>
      </w:r>
      <w:r w:rsidRPr="0060474A">
        <w:t xml:space="preserve"> </w:t>
      </w:r>
      <w:r w:rsidRPr="0060474A">
        <w:rPr>
          <w:i/>
          <w:iCs/>
        </w:rPr>
        <w:t>-</w:t>
      </w:r>
      <w:r w:rsidRPr="0060474A">
        <w:t xml:space="preserve"> A diversion should not to be offered to an accused or their counsel where a licensee or BYO permittee has been charged under the </w:t>
      </w:r>
      <w:r w:rsidRPr="0060474A">
        <w:rPr>
          <w:i/>
          <w:iCs/>
        </w:rPr>
        <w:t>Liquor</w:t>
      </w:r>
      <w:r w:rsidRPr="0060474A">
        <w:t xml:space="preserve"> </w:t>
      </w:r>
      <w:r w:rsidRPr="0060474A">
        <w:rPr>
          <w:i/>
          <w:iCs/>
        </w:rPr>
        <w:t>Control</w:t>
      </w:r>
      <w:r w:rsidRPr="0060474A">
        <w:t xml:space="preserve"> </w:t>
      </w:r>
      <w:r w:rsidRPr="0060474A">
        <w:rPr>
          <w:i/>
          <w:iCs/>
        </w:rPr>
        <w:t>Reform</w:t>
      </w:r>
      <w:r w:rsidRPr="0060474A">
        <w:t xml:space="preserve"> </w:t>
      </w:r>
      <w:r w:rsidRPr="0060474A">
        <w:rPr>
          <w:i/>
          <w:iCs/>
        </w:rPr>
        <w:t>Act</w:t>
      </w:r>
      <w:r w:rsidRPr="0060474A">
        <w:t xml:space="preserve"> for a `non-compliance incident offence’ without first gaining written approval of the OIC of the Liquor Licensing Unit - (03) 9098 5101.</w:t>
      </w:r>
    </w:p>
    <w:p w14:paraId="2A0447D1" w14:textId="6A126CA5" w:rsidR="00301C1B" w:rsidRPr="0060474A" w:rsidRDefault="00301C1B" w:rsidP="0008381A">
      <w:pPr>
        <w:pStyle w:val="ListParagraph"/>
        <w:numPr>
          <w:ilvl w:val="0"/>
          <w:numId w:val="13"/>
        </w:numPr>
      </w:pPr>
      <w:r w:rsidRPr="0060474A">
        <w:rPr>
          <w:i/>
          <w:iCs/>
        </w:rPr>
        <w:t>Emergency</w:t>
      </w:r>
      <w:r w:rsidRPr="0060474A">
        <w:t xml:space="preserve"> </w:t>
      </w:r>
      <w:r w:rsidRPr="0060474A">
        <w:rPr>
          <w:i/>
          <w:iCs/>
        </w:rPr>
        <w:t>Worker</w:t>
      </w:r>
      <w:r w:rsidRPr="0060474A">
        <w:t xml:space="preserve"> </w:t>
      </w:r>
      <w:r w:rsidRPr="0060474A">
        <w:rPr>
          <w:i/>
          <w:iCs/>
        </w:rPr>
        <w:t>Harm</w:t>
      </w:r>
      <w:r w:rsidRPr="0060474A">
        <w:t xml:space="preserve"> </w:t>
      </w:r>
      <w:r w:rsidRPr="0060474A">
        <w:rPr>
          <w:i/>
          <w:iCs/>
        </w:rPr>
        <w:t>Offences:</w:t>
      </w:r>
      <w:r w:rsidRPr="0060474A">
        <w:t xml:space="preserve"> Careful consideration must be given, after reviewing all relevant information regarding the seriousness of the charge, its impact on the victim, the intent of the legislation and the circumstances in which the offending occurred. Prosecutors must seek approval for diversion of emergency worker harm offences from their Work Unit manager </w:t>
      </w:r>
      <w:r w:rsidRPr="0060474A">
        <w:lastRenderedPageBreak/>
        <w:t>who is to ensure an appropriate record is made as to the rationale in support of the decision.</w:t>
      </w:r>
    </w:p>
    <w:tbl>
      <w:tblPr>
        <w:tblStyle w:val="GridTable1Light"/>
        <w:tblW w:w="8166" w:type="dxa"/>
        <w:tblLayout w:type="fixed"/>
        <w:tblLook w:val="0000" w:firstRow="0" w:lastRow="0" w:firstColumn="0" w:lastColumn="0" w:noHBand="0" w:noVBand="0"/>
      </w:tblPr>
      <w:tblGrid>
        <w:gridCol w:w="2026"/>
        <w:gridCol w:w="2026"/>
        <w:gridCol w:w="2026"/>
        <w:gridCol w:w="2088"/>
      </w:tblGrid>
      <w:tr w:rsidR="002F79BE" w:rsidRPr="0060474A" w14:paraId="6D976FBB" w14:textId="77777777" w:rsidTr="00E910D7">
        <w:trPr>
          <w:trHeight w:val="885"/>
        </w:trPr>
        <w:tc>
          <w:tcPr>
            <w:tcW w:w="2026" w:type="dxa"/>
          </w:tcPr>
          <w:p w14:paraId="1BD184B5" w14:textId="1C40EBEC" w:rsidR="002F79BE" w:rsidRPr="002F79BE" w:rsidRDefault="002F79BE" w:rsidP="002F79BE">
            <w:pPr>
              <w:pStyle w:val="TableBody"/>
              <w:rPr>
                <w:b/>
                <w:bCs/>
              </w:rPr>
            </w:pPr>
            <w:r w:rsidRPr="002F79BE">
              <w:rPr>
                <w:b/>
                <w:bCs/>
              </w:rPr>
              <w:t>Offence seriousness and future risk</w:t>
            </w:r>
          </w:p>
        </w:tc>
        <w:tc>
          <w:tcPr>
            <w:tcW w:w="2026" w:type="dxa"/>
          </w:tcPr>
          <w:p w14:paraId="4FDCE1D4" w14:textId="01A78A4A" w:rsidR="002F79BE" w:rsidRPr="002F79BE" w:rsidRDefault="002F79BE" w:rsidP="002F79BE">
            <w:pPr>
              <w:pStyle w:val="TableBody"/>
              <w:rPr>
                <w:b/>
                <w:bCs/>
              </w:rPr>
            </w:pPr>
            <w:r w:rsidRPr="002F79BE">
              <w:rPr>
                <w:b/>
                <w:bCs/>
              </w:rPr>
              <w:t>Offence seriousness: 1 MINOR</w:t>
            </w:r>
          </w:p>
        </w:tc>
        <w:tc>
          <w:tcPr>
            <w:tcW w:w="2026" w:type="dxa"/>
          </w:tcPr>
          <w:p w14:paraId="67D06631" w14:textId="1370EC49" w:rsidR="002F79BE" w:rsidRPr="002F79BE" w:rsidRDefault="002F79BE" w:rsidP="002F79BE">
            <w:pPr>
              <w:pStyle w:val="TableBody"/>
              <w:rPr>
                <w:b/>
                <w:bCs/>
              </w:rPr>
            </w:pPr>
            <w:r w:rsidRPr="002F79BE">
              <w:rPr>
                <w:b/>
                <w:bCs/>
              </w:rPr>
              <w:t>Offence seriousness: 2 MEDIUM</w:t>
            </w:r>
          </w:p>
        </w:tc>
        <w:tc>
          <w:tcPr>
            <w:tcW w:w="2088" w:type="dxa"/>
          </w:tcPr>
          <w:p w14:paraId="40ED6062" w14:textId="6E257739" w:rsidR="002F79BE" w:rsidRPr="002F79BE" w:rsidRDefault="002F79BE" w:rsidP="002F79BE">
            <w:pPr>
              <w:pStyle w:val="TableBody"/>
              <w:rPr>
                <w:b/>
                <w:bCs/>
              </w:rPr>
            </w:pPr>
            <w:r w:rsidRPr="002F79BE">
              <w:rPr>
                <w:b/>
                <w:bCs/>
              </w:rPr>
              <w:t>Offence seriousness: 3 MAJOR</w:t>
            </w:r>
          </w:p>
        </w:tc>
      </w:tr>
      <w:tr w:rsidR="002F79BE" w:rsidRPr="0060474A" w14:paraId="1675E014" w14:textId="77777777" w:rsidTr="00E910D7">
        <w:trPr>
          <w:trHeight w:val="885"/>
        </w:trPr>
        <w:tc>
          <w:tcPr>
            <w:tcW w:w="2026" w:type="dxa"/>
          </w:tcPr>
          <w:p w14:paraId="4EF1A2B5" w14:textId="6E1F27B9" w:rsidR="002F79BE" w:rsidRPr="009B68FE" w:rsidRDefault="002F79BE" w:rsidP="002F79BE">
            <w:pPr>
              <w:pStyle w:val="TableBody"/>
              <w:rPr>
                <w:b/>
                <w:bCs/>
              </w:rPr>
            </w:pPr>
            <w:r w:rsidRPr="009B68FE">
              <w:rPr>
                <w:b/>
                <w:bCs/>
              </w:rPr>
              <w:t>Future offending risk: 3 MAJOR</w:t>
            </w:r>
          </w:p>
        </w:tc>
        <w:tc>
          <w:tcPr>
            <w:tcW w:w="2026" w:type="dxa"/>
          </w:tcPr>
          <w:p w14:paraId="26FBEC2C" w14:textId="3C43CD1B" w:rsidR="002F79BE" w:rsidRPr="0060474A" w:rsidRDefault="002F79BE" w:rsidP="002F79BE">
            <w:pPr>
              <w:pStyle w:val="TableBody"/>
            </w:pPr>
            <w:r w:rsidRPr="0060474A">
              <w:t>POSSIBLY SUITABLE</w:t>
            </w:r>
          </w:p>
        </w:tc>
        <w:tc>
          <w:tcPr>
            <w:tcW w:w="2026" w:type="dxa"/>
          </w:tcPr>
          <w:p w14:paraId="29A01579" w14:textId="10206A0A" w:rsidR="002F79BE" w:rsidRPr="0060474A" w:rsidRDefault="002F79BE" w:rsidP="002F79BE">
            <w:pPr>
              <w:pStyle w:val="TableBody"/>
            </w:pPr>
            <w:r w:rsidRPr="0060474A">
              <w:t>GENERALLY NOT SUITABLE</w:t>
            </w:r>
          </w:p>
        </w:tc>
        <w:tc>
          <w:tcPr>
            <w:tcW w:w="2088" w:type="dxa"/>
          </w:tcPr>
          <w:p w14:paraId="7D64935A" w14:textId="4690C452" w:rsidR="002F79BE" w:rsidRPr="0060474A" w:rsidRDefault="002F79BE" w:rsidP="002F79BE">
            <w:pPr>
              <w:pStyle w:val="TableBody"/>
            </w:pPr>
            <w:r w:rsidRPr="0060474A">
              <w:t>NOT SUITABLE</w:t>
            </w:r>
          </w:p>
        </w:tc>
      </w:tr>
      <w:tr w:rsidR="002F79BE" w:rsidRPr="0060474A" w14:paraId="015F5AC2" w14:textId="77777777" w:rsidTr="00E910D7">
        <w:trPr>
          <w:trHeight w:val="885"/>
        </w:trPr>
        <w:tc>
          <w:tcPr>
            <w:tcW w:w="2026" w:type="dxa"/>
          </w:tcPr>
          <w:p w14:paraId="1994A3A1" w14:textId="3AC84A97" w:rsidR="002F79BE" w:rsidRPr="009B68FE" w:rsidRDefault="002F79BE" w:rsidP="002F79BE">
            <w:pPr>
              <w:pStyle w:val="TableBody"/>
              <w:rPr>
                <w:b/>
                <w:bCs/>
              </w:rPr>
            </w:pPr>
            <w:r w:rsidRPr="009B68FE">
              <w:rPr>
                <w:b/>
                <w:bCs/>
              </w:rPr>
              <w:t>Future offending risk: 2 MEDIUM</w:t>
            </w:r>
          </w:p>
        </w:tc>
        <w:tc>
          <w:tcPr>
            <w:tcW w:w="2026" w:type="dxa"/>
          </w:tcPr>
          <w:p w14:paraId="76560544" w14:textId="30E263AA" w:rsidR="002F79BE" w:rsidRPr="0060474A" w:rsidRDefault="002F79BE" w:rsidP="002F79BE">
            <w:pPr>
              <w:pStyle w:val="TableBody"/>
            </w:pPr>
            <w:r w:rsidRPr="0060474A">
              <w:t>POSSIBLY SUITABLE</w:t>
            </w:r>
          </w:p>
        </w:tc>
        <w:tc>
          <w:tcPr>
            <w:tcW w:w="2026" w:type="dxa"/>
          </w:tcPr>
          <w:p w14:paraId="5D15013B" w14:textId="78163E4E" w:rsidR="002F79BE" w:rsidRPr="0060474A" w:rsidRDefault="002F79BE" w:rsidP="002F79BE">
            <w:pPr>
              <w:pStyle w:val="TableBody"/>
            </w:pPr>
            <w:r w:rsidRPr="0060474A">
              <w:t>POSSIBLY SUITABLE</w:t>
            </w:r>
          </w:p>
        </w:tc>
        <w:tc>
          <w:tcPr>
            <w:tcW w:w="2088" w:type="dxa"/>
          </w:tcPr>
          <w:p w14:paraId="09DD1445" w14:textId="08613678" w:rsidR="002F79BE" w:rsidRPr="0060474A" w:rsidRDefault="002F79BE" w:rsidP="002F79BE">
            <w:pPr>
              <w:pStyle w:val="TableBody"/>
            </w:pPr>
            <w:r w:rsidRPr="0060474A">
              <w:t>GENERALLY NOT SUITABLE</w:t>
            </w:r>
          </w:p>
        </w:tc>
      </w:tr>
      <w:tr w:rsidR="00C065EA" w:rsidRPr="0060474A" w14:paraId="27D9AC4D" w14:textId="77777777" w:rsidTr="00E910D7">
        <w:trPr>
          <w:trHeight w:val="885"/>
        </w:trPr>
        <w:tc>
          <w:tcPr>
            <w:tcW w:w="2026" w:type="dxa"/>
          </w:tcPr>
          <w:p w14:paraId="31152207" w14:textId="46746864" w:rsidR="00C065EA" w:rsidRPr="009B68FE" w:rsidRDefault="00C065EA" w:rsidP="00EC71E4">
            <w:pPr>
              <w:pStyle w:val="TableBody"/>
              <w:rPr>
                <w:b/>
                <w:bCs/>
              </w:rPr>
            </w:pPr>
            <w:r w:rsidRPr="009B68FE">
              <w:rPr>
                <w:b/>
                <w:bCs/>
              </w:rPr>
              <w:t>Future offending risk: 1 MINOR</w:t>
            </w:r>
          </w:p>
        </w:tc>
        <w:tc>
          <w:tcPr>
            <w:tcW w:w="2026" w:type="dxa"/>
          </w:tcPr>
          <w:p w14:paraId="3F047E2A" w14:textId="77777777" w:rsidR="00C065EA" w:rsidRPr="0060474A" w:rsidRDefault="00C065EA" w:rsidP="00934604">
            <w:pPr>
              <w:pStyle w:val="TableBody"/>
            </w:pPr>
            <w:r w:rsidRPr="0060474A">
              <w:t>SUITABLE</w:t>
            </w:r>
          </w:p>
        </w:tc>
        <w:tc>
          <w:tcPr>
            <w:tcW w:w="2026" w:type="dxa"/>
          </w:tcPr>
          <w:p w14:paraId="2A68E721" w14:textId="77777777" w:rsidR="00C065EA" w:rsidRPr="0060474A" w:rsidRDefault="00C065EA" w:rsidP="00934604">
            <w:pPr>
              <w:pStyle w:val="TableBody"/>
            </w:pPr>
            <w:r w:rsidRPr="0060474A">
              <w:t>POSSIBLY SUITABLE</w:t>
            </w:r>
          </w:p>
        </w:tc>
        <w:tc>
          <w:tcPr>
            <w:tcW w:w="2088" w:type="dxa"/>
          </w:tcPr>
          <w:p w14:paraId="1577969C" w14:textId="77777777" w:rsidR="00C065EA" w:rsidRPr="0060474A" w:rsidRDefault="00C065EA" w:rsidP="00934604">
            <w:pPr>
              <w:pStyle w:val="TableBody"/>
            </w:pPr>
            <w:r w:rsidRPr="0060474A">
              <w:t>GENERALLY NOT SUITABLE</w:t>
            </w:r>
          </w:p>
        </w:tc>
      </w:tr>
    </w:tbl>
    <w:p w14:paraId="224E1F12" w14:textId="4B35CF43" w:rsidR="00844F0C" w:rsidRPr="00E07EAF" w:rsidRDefault="00844F0C" w:rsidP="008D55C4">
      <w:pPr>
        <w:pStyle w:val="Heading3"/>
      </w:pPr>
      <w:r w:rsidRPr="0060474A">
        <w:t>Offence Seriousness Table</w:t>
      </w:r>
    </w:p>
    <w:tbl>
      <w:tblPr>
        <w:tblStyle w:val="Table"/>
        <w:tblW w:w="5000" w:type="pct"/>
        <w:tblLook w:val="01E0" w:firstRow="1" w:lastRow="1" w:firstColumn="1" w:lastColumn="1" w:noHBand="0" w:noVBand="0"/>
      </w:tblPr>
      <w:tblGrid>
        <w:gridCol w:w="1461"/>
        <w:gridCol w:w="7555"/>
      </w:tblGrid>
      <w:tr w:rsidR="00844F0C" w:rsidRPr="0060474A" w14:paraId="42308B3F" w14:textId="77777777" w:rsidTr="00B57AA2">
        <w:trPr>
          <w:trHeight w:val="20"/>
          <w:tblHeader/>
        </w:trPr>
        <w:tc>
          <w:tcPr>
            <w:tcW w:w="810" w:type="pct"/>
          </w:tcPr>
          <w:p w14:paraId="79EB231E" w14:textId="77777777" w:rsidR="00844F0C" w:rsidRPr="0060474A" w:rsidRDefault="00844F0C" w:rsidP="008B5D7C">
            <w:pPr>
              <w:pStyle w:val="TableHeading"/>
            </w:pPr>
            <w:r w:rsidRPr="0060474A">
              <w:t>Rating</w:t>
            </w:r>
          </w:p>
        </w:tc>
        <w:tc>
          <w:tcPr>
            <w:tcW w:w="4190" w:type="pct"/>
          </w:tcPr>
          <w:p w14:paraId="7676AF50" w14:textId="77777777" w:rsidR="00844F0C" w:rsidRPr="0060474A" w:rsidRDefault="00844F0C" w:rsidP="008B5D7C">
            <w:pPr>
              <w:pStyle w:val="TableHeading"/>
            </w:pPr>
            <w:r w:rsidRPr="0060474A">
              <w:t>Description</w:t>
            </w:r>
          </w:p>
        </w:tc>
      </w:tr>
      <w:tr w:rsidR="00844F0C" w:rsidRPr="0060474A" w14:paraId="66A4D513" w14:textId="77777777" w:rsidTr="008B5D7C">
        <w:trPr>
          <w:trHeight w:val="20"/>
        </w:trPr>
        <w:tc>
          <w:tcPr>
            <w:tcW w:w="810" w:type="pct"/>
          </w:tcPr>
          <w:p w14:paraId="2556D424" w14:textId="0365A9E9" w:rsidR="00844F0C" w:rsidRPr="0060474A" w:rsidRDefault="00844F0C" w:rsidP="00D8225A">
            <w:pPr>
              <w:pStyle w:val="TableBody"/>
            </w:pPr>
            <w:r w:rsidRPr="0060474A">
              <w:t>3</w:t>
            </w:r>
            <w:r w:rsidR="001837C3" w:rsidRPr="0060474A">
              <w:t xml:space="preserve"> </w:t>
            </w:r>
            <w:r w:rsidRPr="0060474A">
              <w:t>MAJOR</w:t>
            </w:r>
          </w:p>
        </w:tc>
        <w:tc>
          <w:tcPr>
            <w:tcW w:w="4190" w:type="pct"/>
          </w:tcPr>
          <w:p w14:paraId="3B539E76" w14:textId="21415FBD" w:rsidR="00844F0C" w:rsidRPr="0060474A" w:rsidRDefault="00844F0C" w:rsidP="00D8225A">
            <w:pPr>
              <w:pStyle w:val="TableBody"/>
            </w:pPr>
            <w:r w:rsidRPr="0060474A">
              <w:t>Family violence matters may only be diverted if exceptional circumstances exist.</w:t>
            </w:r>
            <w:r w:rsidRPr="00B963BE">
              <w:rPr>
                <w:rStyle w:val="Superscript"/>
              </w:rPr>
              <w:t>1</w:t>
            </w:r>
            <w:r w:rsidRPr="0060474A">
              <w:t xml:space="preserve"> As a general rule, the following offences *</w:t>
            </w:r>
            <w:r w:rsidRPr="00284762">
              <w:rPr>
                <w:b/>
                <w:bCs/>
                <w:i/>
                <w:iCs/>
              </w:rPr>
              <w:t>should</w:t>
            </w:r>
            <w:r w:rsidRPr="00C00138">
              <w:rPr>
                <w:rStyle w:val="Superscript"/>
                <w:b/>
                <w:bCs/>
              </w:rPr>
              <w:t>2</w:t>
            </w:r>
            <w:r w:rsidRPr="0060474A">
              <w:t xml:space="preserve"> be included in the major category:</w:t>
            </w:r>
          </w:p>
          <w:p w14:paraId="11F2E591" w14:textId="77777777" w:rsidR="00844F0C" w:rsidRPr="0060474A" w:rsidRDefault="00844F0C" w:rsidP="007169C6">
            <w:pPr>
              <w:pStyle w:val="TableBody"/>
              <w:numPr>
                <w:ilvl w:val="0"/>
                <w:numId w:val="18"/>
              </w:numPr>
            </w:pPr>
            <w:r w:rsidRPr="0060474A">
              <w:t>Sex offences.</w:t>
            </w:r>
          </w:p>
          <w:p w14:paraId="2E5DB734" w14:textId="77777777" w:rsidR="00844F0C" w:rsidRPr="0060474A" w:rsidRDefault="00844F0C" w:rsidP="007169C6">
            <w:pPr>
              <w:pStyle w:val="TableBody"/>
              <w:numPr>
                <w:ilvl w:val="0"/>
                <w:numId w:val="18"/>
              </w:numPr>
            </w:pPr>
            <w:r w:rsidRPr="0060474A">
              <w:t>Traffic Drug of Dependence.</w:t>
            </w:r>
          </w:p>
          <w:p w14:paraId="5C4A2353" w14:textId="69D46834" w:rsidR="00844F0C" w:rsidRPr="0060474A" w:rsidRDefault="00844F0C" w:rsidP="007169C6">
            <w:pPr>
              <w:pStyle w:val="TableBody"/>
              <w:numPr>
                <w:ilvl w:val="0"/>
                <w:numId w:val="18"/>
              </w:numPr>
            </w:pPr>
            <w:r w:rsidRPr="0060474A">
              <w:t>Any offence attracting a mandatory penalty (e.g</w:t>
            </w:r>
            <w:r w:rsidR="001837C3" w:rsidRPr="0060474A">
              <w:t>.</w:t>
            </w:r>
            <w:r w:rsidRPr="0060474A">
              <w:t xml:space="preserve"> mandatory licence disqualification).</w:t>
            </w:r>
          </w:p>
          <w:p w14:paraId="233A1466" w14:textId="77777777" w:rsidR="00844F0C" w:rsidRPr="0060474A" w:rsidRDefault="00844F0C" w:rsidP="007169C6">
            <w:pPr>
              <w:pStyle w:val="TableBody"/>
              <w:numPr>
                <w:ilvl w:val="0"/>
                <w:numId w:val="18"/>
              </w:numPr>
            </w:pPr>
            <w:r w:rsidRPr="0060474A">
              <w:t>Any offence involving a serious injury.</w:t>
            </w:r>
          </w:p>
          <w:p w14:paraId="062D6074" w14:textId="77777777" w:rsidR="00844F0C" w:rsidRPr="0060474A" w:rsidRDefault="00844F0C" w:rsidP="007169C6">
            <w:pPr>
              <w:pStyle w:val="TableBody"/>
              <w:numPr>
                <w:ilvl w:val="0"/>
                <w:numId w:val="18"/>
              </w:numPr>
            </w:pPr>
            <w:r w:rsidRPr="0060474A">
              <w:t>Any offence incurring ‘vehicle impoundment’ provisions.</w:t>
            </w:r>
          </w:p>
          <w:p w14:paraId="15D9FBFD" w14:textId="77777777" w:rsidR="00844F0C" w:rsidRPr="0060474A" w:rsidRDefault="00844F0C" w:rsidP="007169C6">
            <w:pPr>
              <w:pStyle w:val="TableBody"/>
              <w:numPr>
                <w:ilvl w:val="0"/>
                <w:numId w:val="18"/>
              </w:numPr>
            </w:pPr>
            <w:r w:rsidRPr="0060474A">
              <w:t>Any offence with a penalty of 15 years or more.</w:t>
            </w:r>
          </w:p>
        </w:tc>
      </w:tr>
      <w:tr w:rsidR="00844F0C" w:rsidRPr="0060474A" w14:paraId="70D17FD4" w14:textId="77777777" w:rsidTr="008B5D7C">
        <w:trPr>
          <w:trHeight w:val="20"/>
        </w:trPr>
        <w:tc>
          <w:tcPr>
            <w:tcW w:w="810" w:type="pct"/>
          </w:tcPr>
          <w:p w14:paraId="2F3FE90E" w14:textId="5C03F275" w:rsidR="00844F0C" w:rsidRPr="0060474A" w:rsidRDefault="00844F0C" w:rsidP="00D8225A">
            <w:pPr>
              <w:pStyle w:val="TableBody"/>
            </w:pPr>
            <w:r w:rsidRPr="0060474A">
              <w:t>2</w:t>
            </w:r>
            <w:r w:rsidR="001837C3" w:rsidRPr="0060474A">
              <w:t xml:space="preserve"> </w:t>
            </w:r>
            <w:r w:rsidRPr="0060474A">
              <w:t>MEDIUM</w:t>
            </w:r>
          </w:p>
        </w:tc>
        <w:tc>
          <w:tcPr>
            <w:tcW w:w="4190" w:type="pct"/>
          </w:tcPr>
          <w:p w14:paraId="46A631CE" w14:textId="77777777" w:rsidR="00844F0C" w:rsidRPr="0060474A" w:rsidRDefault="00844F0C" w:rsidP="00D8225A">
            <w:pPr>
              <w:pStyle w:val="TableBody"/>
            </w:pPr>
            <w:r w:rsidRPr="0060474A">
              <w:t>As a general rule, all other indictable offences should be included in the medium category.</w:t>
            </w:r>
          </w:p>
        </w:tc>
      </w:tr>
      <w:tr w:rsidR="00844F0C" w:rsidRPr="0060474A" w14:paraId="3B743119" w14:textId="77777777" w:rsidTr="008B5D7C">
        <w:trPr>
          <w:trHeight w:val="20"/>
        </w:trPr>
        <w:tc>
          <w:tcPr>
            <w:tcW w:w="810" w:type="pct"/>
          </w:tcPr>
          <w:p w14:paraId="030A902B" w14:textId="32C26BFB" w:rsidR="00844F0C" w:rsidRPr="0060474A" w:rsidRDefault="00844F0C" w:rsidP="00D8225A">
            <w:pPr>
              <w:pStyle w:val="TableBody"/>
            </w:pPr>
            <w:r w:rsidRPr="0060474A">
              <w:t>1</w:t>
            </w:r>
            <w:r w:rsidR="001837C3" w:rsidRPr="0060474A">
              <w:t xml:space="preserve"> </w:t>
            </w:r>
            <w:r w:rsidRPr="0060474A">
              <w:t>MINOR</w:t>
            </w:r>
          </w:p>
        </w:tc>
        <w:tc>
          <w:tcPr>
            <w:tcW w:w="4190" w:type="pct"/>
          </w:tcPr>
          <w:p w14:paraId="66ED5F76" w14:textId="77777777" w:rsidR="00844F0C" w:rsidRPr="0060474A" w:rsidRDefault="00844F0C" w:rsidP="00D8225A">
            <w:pPr>
              <w:pStyle w:val="TableBody"/>
            </w:pPr>
            <w:r w:rsidRPr="0060474A">
              <w:t>Any Summary Offences (other than those attracting a mandatory penalty).</w:t>
            </w:r>
          </w:p>
        </w:tc>
      </w:tr>
    </w:tbl>
    <w:p w14:paraId="68E1C66D" w14:textId="0E128A49" w:rsidR="00844F0C" w:rsidRPr="0060474A" w:rsidRDefault="00F52BD8" w:rsidP="00A34413">
      <w:pPr>
        <w:pStyle w:val="Footnote"/>
        <w:spacing w:before="240"/>
      </w:pPr>
      <w:r w:rsidRPr="0060474A">
        <w:t>1</w:t>
      </w:r>
      <w:r w:rsidR="00A34413">
        <w:tab/>
      </w:r>
      <w:r w:rsidRPr="0060474A">
        <w:t>Unit Managers must be consulted and make the final decision as to whether exceptional circumstances exist</w:t>
      </w:r>
    </w:p>
    <w:p w14:paraId="38863351" w14:textId="285D0E72" w:rsidR="00844F0C" w:rsidRPr="0060474A" w:rsidRDefault="00844F0C" w:rsidP="00D77FAE">
      <w:pPr>
        <w:pStyle w:val="Footnote"/>
      </w:pPr>
      <w:r w:rsidRPr="0060474A">
        <w:t>2</w:t>
      </w:r>
      <w:r w:rsidR="00A34413">
        <w:tab/>
      </w:r>
      <w:r w:rsidRPr="005E5289">
        <w:rPr>
          <w:b/>
          <w:bCs/>
          <w:i/>
          <w:iCs/>
        </w:rPr>
        <w:t>*Should</w:t>
      </w:r>
      <w:r w:rsidRPr="0060474A">
        <w:t xml:space="preserve"> – In each individual case, it is necessary to look behind the circumstances and apply the ‘diversion principles’ outlined in the VPM and other Victoria Police policy documents to see whether there are ‘serious concerns’.</w:t>
      </w:r>
    </w:p>
    <w:p w14:paraId="31200EE2" w14:textId="681C5564" w:rsidR="00844F0C" w:rsidRPr="0060474A" w:rsidRDefault="00844F0C" w:rsidP="008D55C4">
      <w:pPr>
        <w:pStyle w:val="Heading3"/>
      </w:pPr>
      <w:r w:rsidRPr="0060474A">
        <w:t>Future Offending Risk Table</w:t>
      </w:r>
    </w:p>
    <w:tbl>
      <w:tblPr>
        <w:tblStyle w:val="Table"/>
        <w:tblW w:w="5000" w:type="pct"/>
        <w:tblLook w:val="01E0" w:firstRow="1" w:lastRow="1" w:firstColumn="1" w:lastColumn="1" w:noHBand="0" w:noVBand="0"/>
      </w:tblPr>
      <w:tblGrid>
        <w:gridCol w:w="1443"/>
        <w:gridCol w:w="7573"/>
      </w:tblGrid>
      <w:tr w:rsidR="00844F0C" w:rsidRPr="0060474A" w14:paraId="142DCF08" w14:textId="77777777" w:rsidTr="005C3C3E">
        <w:trPr>
          <w:trHeight w:val="20"/>
          <w:tblHeader/>
        </w:trPr>
        <w:tc>
          <w:tcPr>
            <w:tcW w:w="800" w:type="pct"/>
          </w:tcPr>
          <w:p w14:paraId="35E7C673" w14:textId="77777777" w:rsidR="00844F0C" w:rsidRPr="0060474A" w:rsidRDefault="00844F0C" w:rsidP="001172D4">
            <w:pPr>
              <w:pStyle w:val="TableHeading"/>
            </w:pPr>
            <w:r w:rsidRPr="0060474A">
              <w:t>Rating</w:t>
            </w:r>
          </w:p>
        </w:tc>
        <w:tc>
          <w:tcPr>
            <w:tcW w:w="4200" w:type="pct"/>
          </w:tcPr>
          <w:p w14:paraId="17B4F528" w14:textId="77777777" w:rsidR="00844F0C" w:rsidRPr="0060474A" w:rsidRDefault="00844F0C" w:rsidP="001172D4">
            <w:pPr>
              <w:pStyle w:val="TableHeading"/>
            </w:pPr>
            <w:r w:rsidRPr="0060474A">
              <w:t>Description</w:t>
            </w:r>
          </w:p>
        </w:tc>
      </w:tr>
      <w:tr w:rsidR="00844F0C" w:rsidRPr="0060474A" w14:paraId="0DE1E4DE" w14:textId="77777777" w:rsidTr="005C3C3E">
        <w:trPr>
          <w:trHeight w:val="20"/>
        </w:trPr>
        <w:tc>
          <w:tcPr>
            <w:tcW w:w="800" w:type="pct"/>
          </w:tcPr>
          <w:p w14:paraId="1E3B468E" w14:textId="744981BA" w:rsidR="00844F0C" w:rsidRPr="0060474A" w:rsidRDefault="00844F0C" w:rsidP="001172D4">
            <w:pPr>
              <w:pStyle w:val="TableBody"/>
            </w:pPr>
            <w:r w:rsidRPr="0060474A">
              <w:t>3</w:t>
            </w:r>
            <w:r w:rsidR="00574EC7" w:rsidRPr="0060474A">
              <w:t xml:space="preserve"> </w:t>
            </w:r>
            <w:r w:rsidRPr="0060474A">
              <w:t>MAJOR</w:t>
            </w:r>
          </w:p>
        </w:tc>
        <w:tc>
          <w:tcPr>
            <w:tcW w:w="4200" w:type="pct"/>
          </w:tcPr>
          <w:p w14:paraId="630E7679" w14:textId="77777777" w:rsidR="00844F0C" w:rsidRPr="0060474A" w:rsidRDefault="00844F0C" w:rsidP="001172D4">
            <w:pPr>
              <w:pStyle w:val="TableBody"/>
            </w:pPr>
            <w:r w:rsidRPr="0060474A">
              <w:t>As a general rule, the likelihood of future offending is to be regarded as Major if:</w:t>
            </w:r>
          </w:p>
          <w:p w14:paraId="3CE3E556" w14:textId="77777777" w:rsidR="00844F0C" w:rsidRPr="0060474A" w:rsidRDefault="00844F0C" w:rsidP="00574EC7">
            <w:pPr>
              <w:pStyle w:val="TableBody"/>
              <w:numPr>
                <w:ilvl w:val="0"/>
                <w:numId w:val="19"/>
              </w:numPr>
            </w:pPr>
            <w:r w:rsidRPr="0060474A">
              <w:t>the accused has been found guilty by a court within the preceding 5 years.</w:t>
            </w:r>
          </w:p>
        </w:tc>
      </w:tr>
      <w:tr w:rsidR="00844F0C" w:rsidRPr="0060474A" w14:paraId="7BCE3D55" w14:textId="77777777" w:rsidTr="005C3C3E">
        <w:trPr>
          <w:trHeight w:val="20"/>
        </w:trPr>
        <w:tc>
          <w:tcPr>
            <w:tcW w:w="800" w:type="pct"/>
          </w:tcPr>
          <w:p w14:paraId="726AA674" w14:textId="26EFA91F" w:rsidR="00844F0C" w:rsidRPr="0060474A" w:rsidRDefault="00844F0C" w:rsidP="001172D4">
            <w:pPr>
              <w:pStyle w:val="TableBody"/>
            </w:pPr>
            <w:r w:rsidRPr="0060474A">
              <w:t>2</w:t>
            </w:r>
            <w:r w:rsidR="00574EC7" w:rsidRPr="0060474A">
              <w:t xml:space="preserve"> </w:t>
            </w:r>
            <w:r w:rsidRPr="0060474A">
              <w:t>MEDIUM</w:t>
            </w:r>
          </w:p>
        </w:tc>
        <w:tc>
          <w:tcPr>
            <w:tcW w:w="4200" w:type="pct"/>
          </w:tcPr>
          <w:p w14:paraId="6245055F" w14:textId="77777777" w:rsidR="00844F0C" w:rsidRPr="0060474A" w:rsidRDefault="00844F0C" w:rsidP="001172D4">
            <w:pPr>
              <w:pStyle w:val="TableBody"/>
            </w:pPr>
            <w:r w:rsidRPr="0060474A">
              <w:t>As a general rule, the likelihood of future offending is to be regarded as Medium if:</w:t>
            </w:r>
          </w:p>
          <w:p w14:paraId="0CEBFA76" w14:textId="77777777" w:rsidR="00844F0C" w:rsidRPr="0060474A" w:rsidRDefault="00844F0C" w:rsidP="00574EC7">
            <w:pPr>
              <w:pStyle w:val="TableBody"/>
              <w:numPr>
                <w:ilvl w:val="0"/>
                <w:numId w:val="19"/>
              </w:numPr>
            </w:pPr>
            <w:r w:rsidRPr="0060474A">
              <w:t>The accused has been subject to a previous diversion/caution or warnings.</w:t>
            </w:r>
          </w:p>
          <w:p w14:paraId="53F443DA" w14:textId="77777777" w:rsidR="00844F0C" w:rsidRPr="0060474A" w:rsidRDefault="00844F0C" w:rsidP="00574EC7">
            <w:pPr>
              <w:pStyle w:val="TableBody"/>
              <w:numPr>
                <w:ilvl w:val="0"/>
                <w:numId w:val="19"/>
              </w:numPr>
            </w:pPr>
            <w:r w:rsidRPr="0060474A">
              <w:lastRenderedPageBreak/>
              <w:t>The accused has been processed by way of penalty notice.</w:t>
            </w:r>
          </w:p>
          <w:p w14:paraId="5CDBEADE" w14:textId="77777777" w:rsidR="00844F0C" w:rsidRPr="0060474A" w:rsidRDefault="00844F0C" w:rsidP="00574EC7">
            <w:pPr>
              <w:pStyle w:val="TableBody"/>
              <w:numPr>
                <w:ilvl w:val="0"/>
                <w:numId w:val="19"/>
              </w:numPr>
            </w:pPr>
            <w:r w:rsidRPr="0060474A">
              <w:t>The accused has a prior finding of guilt/conviction that is 5 years or older.</w:t>
            </w:r>
          </w:p>
        </w:tc>
      </w:tr>
      <w:tr w:rsidR="00844F0C" w:rsidRPr="0060474A" w14:paraId="5B209749" w14:textId="77777777" w:rsidTr="005C3C3E">
        <w:trPr>
          <w:trHeight w:val="20"/>
        </w:trPr>
        <w:tc>
          <w:tcPr>
            <w:tcW w:w="800" w:type="pct"/>
          </w:tcPr>
          <w:p w14:paraId="636403FA" w14:textId="224D8A16" w:rsidR="00844F0C" w:rsidRPr="0060474A" w:rsidRDefault="00844F0C" w:rsidP="001172D4">
            <w:pPr>
              <w:pStyle w:val="TableBody"/>
            </w:pPr>
            <w:r w:rsidRPr="0060474A">
              <w:lastRenderedPageBreak/>
              <w:t>1</w:t>
            </w:r>
            <w:r w:rsidR="00574EC7" w:rsidRPr="0060474A">
              <w:t xml:space="preserve"> </w:t>
            </w:r>
            <w:r w:rsidRPr="0060474A">
              <w:t>MINOR</w:t>
            </w:r>
          </w:p>
        </w:tc>
        <w:tc>
          <w:tcPr>
            <w:tcW w:w="4200" w:type="pct"/>
          </w:tcPr>
          <w:p w14:paraId="0EF96EB5" w14:textId="77777777" w:rsidR="00844F0C" w:rsidRPr="0060474A" w:rsidRDefault="00844F0C" w:rsidP="001172D4">
            <w:pPr>
              <w:pStyle w:val="TableBody"/>
            </w:pPr>
            <w:r w:rsidRPr="0060474A">
              <w:t>As a general rule, the likelihood of future offending is to be regarded as Minor if:</w:t>
            </w:r>
          </w:p>
          <w:p w14:paraId="1218C3EA" w14:textId="77777777" w:rsidR="00844F0C" w:rsidRPr="0060474A" w:rsidRDefault="00844F0C" w:rsidP="00574EC7">
            <w:pPr>
              <w:pStyle w:val="TableBody"/>
              <w:numPr>
                <w:ilvl w:val="0"/>
                <w:numId w:val="20"/>
              </w:numPr>
            </w:pPr>
            <w:r w:rsidRPr="0060474A">
              <w:t>The accused has no court priors.</w:t>
            </w:r>
          </w:p>
        </w:tc>
      </w:tr>
    </w:tbl>
    <w:p w14:paraId="77236FF7" w14:textId="77777777" w:rsidR="00417C86" w:rsidRPr="0060474A" w:rsidRDefault="00417C86" w:rsidP="00417C86">
      <w:pPr>
        <w:pStyle w:val="Heading1"/>
      </w:pPr>
      <w:bookmarkStart w:id="11" w:name="_Toc170138909"/>
      <w:r w:rsidRPr="0060474A">
        <w:lastRenderedPageBreak/>
        <w:t>References</w:t>
      </w:r>
      <w:bookmarkEnd w:id="11"/>
    </w:p>
    <w:p w14:paraId="258B5091" w14:textId="77777777" w:rsidR="00417C86" w:rsidRPr="0060474A" w:rsidRDefault="00417C86" w:rsidP="00417C86">
      <w:pPr>
        <w:pStyle w:val="Heading2"/>
      </w:pPr>
      <w:r w:rsidRPr="0060474A">
        <w:t>Bibliography</w:t>
      </w:r>
    </w:p>
    <w:p w14:paraId="6C9E8BA3" w14:textId="77777777" w:rsidR="00417C86" w:rsidRPr="0060474A" w:rsidRDefault="00417C86" w:rsidP="00417C86">
      <w:pPr>
        <w:pStyle w:val="Bibliography"/>
      </w:pPr>
      <w:r w:rsidRPr="0060474A">
        <w:t xml:space="preserve">Alberti, Silvia, Julian King, Jim Hales and Amy Swan, </w:t>
      </w:r>
      <w:r w:rsidRPr="0060474A">
        <w:rPr>
          <w:rStyle w:val="Italic"/>
          <w:iCs w:val="0"/>
        </w:rPr>
        <w:t xml:space="preserve">Court Diversion Program Evaluation: Final Report </w:t>
      </w:r>
      <w:r w:rsidRPr="0060474A">
        <w:t>(Turning Point Alcohol &amp; Drug Centre, 2004).</w:t>
      </w:r>
    </w:p>
    <w:p w14:paraId="195FD890" w14:textId="77777777" w:rsidR="00417C86" w:rsidRPr="0060474A" w:rsidRDefault="00417C86" w:rsidP="00417C86">
      <w:pPr>
        <w:pStyle w:val="Bibliography"/>
      </w:pPr>
      <w:r w:rsidRPr="0060474A">
        <w:t xml:space="preserve">Anthony, Thalia and Harry Blagg, </w:t>
      </w:r>
      <w:r w:rsidRPr="0060474A">
        <w:rPr>
          <w:rStyle w:val="Italic"/>
          <w:iCs w:val="0"/>
        </w:rPr>
        <w:t>Addressing the ‘Crime Problem’ of the Northern Territory Intervention: Alternative Paths to Regulating Minor Driving Offences in Remote Indigenous Communities</w:t>
      </w:r>
      <w:r w:rsidRPr="0060474A">
        <w:t>, Report to the Criminology Research Advisory Council (Criminology Research Grants, 2012).</w:t>
      </w:r>
    </w:p>
    <w:p w14:paraId="0D03D8F8" w14:textId="77777777" w:rsidR="00417C86" w:rsidRPr="0060474A" w:rsidRDefault="00417C86" w:rsidP="00417C86">
      <w:pPr>
        <w:pStyle w:val="Bibliography"/>
      </w:pPr>
      <w:r w:rsidRPr="0060474A">
        <w:t>Australian Bureau of Statistics, ‘National Offence Index’ (abs.gov.au, 2018) &lt;https://www.abs.gov.au/statistics/classifications/national-offence-index/latest-release&gt;.</w:t>
      </w:r>
    </w:p>
    <w:p w14:paraId="67A74E99" w14:textId="77777777" w:rsidR="00417C86" w:rsidRPr="0060474A" w:rsidRDefault="00417C86" w:rsidP="00417C86">
      <w:pPr>
        <w:pStyle w:val="Bibliography"/>
      </w:pPr>
      <w:r w:rsidRPr="0060474A">
        <w:t xml:space="preserve">Broughton, Jeremy, Gavin Buckle, Su Buttress and Lorna Pearce, </w:t>
      </w:r>
      <w:r w:rsidRPr="0060474A">
        <w:rPr>
          <w:rStyle w:val="Italic"/>
          <w:iCs w:val="0"/>
        </w:rPr>
        <w:t xml:space="preserve">The Effects of the National Drivers Improvement Scheme on Re-Offending Rates </w:t>
      </w:r>
      <w:r w:rsidRPr="0060474A">
        <w:t>(Transport Research Laboratory, 2005).</w:t>
      </w:r>
    </w:p>
    <w:p w14:paraId="187F3FBE" w14:textId="77777777" w:rsidR="00417C86" w:rsidRPr="0060474A" w:rsidRDefault="00417C86" w:rsidP="00417C86">
      <w:pPr>
        <w:pStyle w:val="Bibliography"/>
      </w:pPr>
      <w:r w:rsidRPr="0060474A">
        <w:t>Children’s Court of Victoria, ‘Youth Diversion Service’ (childrenscourt.vic.gov.au, 2022) &lt;https://www.childrenscourt.vic.gov.au/criminal-division/youth-diversion-service&gt;.</w:t>
      </w:r>
    </w:p>
    <w:p w14:paraId="64BD0EAC" w14:textId="77777777" w:rsidR="00417C86" w:rsidRPr="0060474A" w:rsidRDefault="00417C86" w:rsidP="00417C86">
      <w:pPr>
        <w:pStyle w:val="Bibliography"/>
      </w:pPr>
      <w:r w:rsidRPr="0060474A">
        <w:t xml:space="preserve">Family Violence Reform Implementation Monitor, </w:t>
      </w:r>
      <w:r w:rsidRPr="0060474A">
        <w:rPr>
          <w:rStyle w:val="Italic"/>
          <w:iCs w:val="0"/>
        </w:rPr>
        <w:t xml:space="preserve">Monitoring Victoria’s Family Violence Reforms: Accurate Identification of the Predominant Aggressor </w:t>
      </w:r>
      <w:r w:rsidRPr="0060474A">
        <w:t>(Family Violence Reform Implementation Monitor, 2021).</w:t>
      </w:r>
    </w:p>
    <w:p w14:paraId="43E8D498" w14:textId="77777777" w:rsidR="00417C86" w:rsidRPr="0060474A" w:rsidRDefault="00417C86" w:rsidP="00417C86">
      <w:pPr>
        <w:pStyle w:val="Bibliography"/>
      </w:pPr>
      <w:r w:rsidRPr="0060474A">
        <w:t xml:space="preserve">Henning, Kris, Brian </w:t>
      </w:r>
      <w:proofErr w:type="spellStart"/>
      <w:r w:rsidRPr="0060474A">
        <w:t>Renauer</w:t>
      </w:r>
      <w:proofErr w:type="spellEnd"/>
      <w:r w:rsidRPr="0060474A">
        <w:t xml:space="preserve"> and Robert </w:t>
      </w:r>
      <w:proofErr w:type="spellStart"/>
      <w:r w:rsidRPr="0060474A">
        <w:t>Holdford</w:t>
      </w:r>
      <w:proofErr w:type="spellEnd"/>
      <w:r w:rsidRPr="0060474A">
        <w:t xml:space="preserve">, ‘Victim or Offender? Heterogeneity Among Women Arrested for Intimate Partner Violence’ (2006) 21 </w:t>
      </w:r>
      <w:r w:rsidRPr="0060474A">
        <w:rPr>
          <w:rStyle w:val="Italic"/>
          <w:iCs w:val="0"/>
        </w:rPr>
        <w:t xml:space="preserve">Journal of Family Violence </w:t>
      </w:r>
      <w:r w:rsidRPr="0060474A">
        <w:t>351.</w:t>
      </w:r>
    </w:p>
    <w:p w14:paraId="5630AB93" w14:textId="77777777" w:rsidR="00417C86" w:rsidRPr="0060474A" w:rsidRDefault="00417C86" w:rsidP="00417C86">
      <w:pPr>
        <w:pStyle w:val="Bibliography"/>
      </w:pPr>
      <w:r w:rsidRPr="0060474A">
        <w:lastRenderedPageBreak/>
        <w:t xml:space="preserve">Hua, </w:t>
      </w:r>
      <w:proofErr w:type="spellStart"/>
      <w:r w:rsidRPr="0060474A">
        <w:t>Jiuzhao</w:t>
      </w:r>
      <w:proofErr w:type="spellEnd"/>
      <w:r w:rsidRPr="0060474A">
        <w:t xml:space="preserve"> and Jacqueline Fitzgerald, </w:t>
      </w:r>
      <w:r w:rsidRPr="0060474A">
        <w:rPr>
          <w:rStyle w:val="Italic"/>
          <w:iCs w:val="0"/>
        </w:rPr>
        <w:t>Matching Court Records to Measure Reoffending</w:t>
      </w:r>
      <w:r w:rsidRPr="0060474A">
        <w:t>, Crime and Justice Bulletin no. 95 (NSW Bureau of Crime Statistics and Research, 2006).</w:t>
      </w:r>
    </w:p>
    <w:p w14:paraId="243316DF" w14:textId="77777777" w:rsidR="00417C86" w:rsidRPr="0060474A" w:rsidRDefault="00417C86" w:rsidP="00417C86">
      <w:pPr>
        <w:pStyle w:val="Bibliography"/>
      </w:pPr>
      <w:r w:rsidRPr="0060474A">
        <w:t xml:space="preserve">Liberty Victoria, </w:t>
      </w:r>
      <w:r w:rsidRPr="0060474A">
        <w:rPr>
          <w:rStyle w:val="Italic"/>
          <w:iCs w:val="0"/>
        </w:rPr>
        <w:t xml:space="preserve">Justice Diverted? Prosecutorial Discretion and the Use of Diversion Schemes in Victoria </w:t>
      </w:r>
      <w:r w:rsidRPr="0060474A">
        <w:t>(Liberty Victoria, 2018).</w:t>
      </w:r>
    </w:p>
    <w:p w14:paraId="57013523" w14:textId="77777777" w:rsidR="00417C86" w:rsidRPr="0060474A" w:rsidRDefault="00417C86" w:rsidP="00417C86">
      <w:pPr>
        <w:pStyle w:val="Bibliography"/>
      </w:pPr>
      <w:r w:rsidRPr="0060474A">
        <w:t>Magistrates’ Court of Victoria, ‘Diversion’ (mcv.vic.gov.au, 2022) &lt;https://www.mcv.vic.gov.au/find-support/diversion&gt;.</w:t>
      </w:r>
    </w:p>
    <w:p w14:paraId="64606E88" w14:textId="77777777" w:rsidR="00417C86" w:rsidRPr="0060474A" w:rsidRDefault="00417C86" w:rsidP="00417C86">
      <w:pPr>
        <w:pStyle w:val="Bibliography"/>
      </w:pPr>
      <w:r w:rsidRPr="0060474A">
        <w:t xml:space="preserve">Miller, Susan, </w:t>
      </w:r>
      <w:r w:rsidRPr="0060474A">
        <w:rPr>
          <w:rStyle w:val="Italic"/>
          <w:iCs w:val="0"/>
        </w:rPr>
        <w:t xml:space="preserve">Victims as Offenders: The Paradox of Women’s Violence in Relationships </w:t>
      </w:r>
      <w:r w:rsidRPr="0060474A">
        <w:t>(Rutgers University Press, 2005).</w:t>
      </w:r>
    </w:p>
    <w:p w14:paraId="627D4A0B" w14:textId="77777777" w:rsidR="00417C86" w:rsidRPr="0060474A" w:rsidRDefault="00417C86" w:rsidP="00417C86">
      <w:pPr>
        <w:pStyle w:val="Bibliography"/>
      </w:pPr>
      <w:r w:rsidRPr="0060474A">
        <w:t xml:space="preserve">Nachtigal, Sammi, ‘The Potholes of Offender-Funded Driving Diversion: How Minnesota’s Driving Diversion Program Fails the People it is Supposed to Help’ (2019) 37(2) </w:t>
      </w:r>
      <w:r w:rsidRPr="0060474A">
        <w:rPr>
          <w:rStyle w:val="Italic"/>
          <w:iCs w:val="0"/>
        </w:rPr>
        <w:t xml:space="preserve">Law &amp; Inequality: A Journal of Theory and Practice </w:t>
      </w:r>
      <w:r w:rsidRPr="0060474A">
        <w:t>443.</w:t>
      </w:r>
    </w:p>
    <w:p w14:paraId="7B8E84C0" w14:textId="77777777" w:rsidR="00417C86" w:rsidRPr="0060474A" w:rsidRDefault="00417C86" w:rsidP="00417C86">
      <w:pPr>
        <w:pStyle w:val="Bibliography"/>
      </w:pPr>
      <w:r w:rsidRPr="0060474A">
        <w:t xml:space="preserve">Office of Public Prosecutions Victoria, </w:t>
      </w:r>
      <w:r w:rsidRPr="0060474A">
        <w:rPr>
          <w:rStyle w:val="Italic"/>
          <w:iCs w:val="0"/>
        </w:rPr>
        <w:t xml:space="preserve">Policy of the Director of Public Prosecutions </w:t>
      </w:r>
      <w:r w:rsidRPr="0060474A">
        <w:t>(Office of Public Prosecutions Victoria, 2023).</w:t>
      </w:r>
    </w:p>
    <w:p w14:paraId="2587A426" w14:textId="77777777" w:rsidR="00417C86" w:rsidRPr="0060474A" w:rsidRDefault="00417C86" w:rsidP="00417C86">
      <w:pPr>
        <w:pStyle w:val="Bibliography"/>
      </w:pPr>
      <w:r w:rsidRPr="0060474A">
        <w:t xml:space="preserve">Parliament of Victoria, Legislative Council, Legal and Social Issues Committee, </w:t>
      </w:r>
      <w:r w:rsidRPr="0060474A">
        <w:rPr>
          <w:rStyle w:val="Italic"/>
          <w:iCs w:val="0"/>
        </w:rPr>
        <w:t xml:space="preserve">Inquiry into Victoria’s Criminal Justice System </w:t>
      </w:r>
      <w:r w:rsidRPr="0060474A">
        <w:t>(Parliament of Victoria, 2022).</w:t>
      </w:r>
    </w:p>
    <w:p w14:paraId="5FB11CF2" w14:textId="77777777" w:rsidR="00417C86" w:rsidRPr="0060474A" w:rsidRDefault="00417C86" w:rsidP="00417C86">
      <w:pPr>
        <w:pStyle w:val="Bibliography"/>
        <w:pageBreakBefore/>
      </w:pPr>
      <w:r w:rsidRPr="0060474A">
        <w:lastRenderedPageBreak/>
        <w:t xml:space="preserve">Reeves, Ellen, ‘A Culture of Consent: Legal Practitioners’ Experiences of Representing Women Who Have Been Misidentified as Predominant Aggressors on Family Violence Intervention Orders in Victoria, Australia’ (2023) 31 </w:t>
      </w:r>
      <w:r w:rsidRPr="0060474A">
        <w:rPr>
          <w:rStyle w:val="Italic"/>
          <w:iCs w:val="0"/>
        </w:rPr>
        <w:t xml:space="preserve">Feminist Legal Studies </w:t>
      </w:r>
      <w:r w:rsidRPr="0060474A">
        <w:t>369.</w:t>
      </w:r>
    </w:p>
    <w:p w14:paraId="28B05345" w14:textId="77777777" w:rsidR="00417C86" w:rsidRPr="0060474A" w:rsidRDefault="00417C86" w:rsidP="00417C86">
      <w:pPr>
        <w:pStyle w:val="Bibliography"/>
      </w:pPr>
      <w:r w:rsidRPr="0060474A">
        <w:t xml:space="preserve">Sentencing Advisory Council, </w:t>
      </w:r>
      <w:r w:rsidRPr="0060474A">
        <w:rPr>
          <w:rStyle w:val="Italic"/>
          <w:iCs w:val="0"/>
        </w:rPr>
        <w:t>Criminal Justice Diversion Program in Victoria: A Statistical Profile</w:t>
      </w:r>
      <w:r w:rsidRPr="0060474A">
        <w:t xml:space="preserve"> (Sentencing Advisory Council, 2008).</w:t>
      </w:r>
    </w:p>
    <w:p w14:paraId="0F77525D" w14:textId="77777777" w:rsidR="00417C86" w:rsidRPr="0060474A" w:rsidRDefault="00417C86" w:rsidP="00417C86">
      <w:pPr>
        <w:pStyle w:val="Bibliography"/>
      </w:pPr>
      <w:r w:rsidRPr="0060474A">
        <w:t xml:space="preserve">Sentencing Advisory Council, </w:t>
      </w:r>
      <w:r w:rsidRPr="0060474A">
        <w:rPr>
          <w:rStyle w:val="Italic"/>
          <w:iCs w:val="0"/>
        </w:rPr>
        <w:t xml:space="preserve">Crossover Kids: Vulnerable Children in the Youth Justice System – Report 3: Sentencing Children Who Have Experienced Trauma </w:t>
      </w:r>
      <w:r w:rsidRPr="0060474A">
        <w:t>(Sentencing Advisory Council, 2020).</w:t>
      </w:r>
    </w:p>
    <w:p w14:paraId="6F9F7A85" w14:textId="77777777" w:rsidR="00417C86" w:rsidRPr="0060474A" w:rsidRDefault="00417C86" w:rsidP="00417C86">
      <w:pPr>
        <w:pStyle w:val="Bibliography"/>
      </w:pPr>
      <w:r w:rsidRPr="0060474A">
        <w:t xml:space="preserve">Sentencing Advisory Council, </w:t>
      </w:r>
      <w:r w:rsidRPr="0060474A">
        <w:rPr>
          <w:rStyle w:val="Italic"/>
          <w:iCs w:val="0"/>
        </w:rPr>
        <w:t xml:space="preserve">Gender Differences in Sentencing Outcomes </w:t>
      </w:r>
      <w:r w:rsidRPr="0060474A">
        <w:t>(Sentencing Advisory Council, 2010).</w:t>
      </w:r>
    </w:p>
    <w:p w14:paraId="542C3E1F" w14:textId="77777777" w:rsidR="00417C86" w:rsidRPr="0060474A" w:rsidRDefault="00417C86" w:rsidP="00417C86">
      <w:pPr>
        <w:pStyle w:val="Bibliography"/>
      </w:pPr>
      <w:r w:rsidRPr="0060474A">
        <w:t xml:space="preserve">Sentencing Advisory Council, </w:t>
      </w:r>
      <w:r w:rsidRPr="0060474A">
        <w:rPr>
          <w:rStyle w:val="Italic"/>
          <w:iCs w:val="0"/>
        </w:rPr>
        <w:t xml:space="preserve">Reforming Adjourned Undertakings: Consultation Paper </w:t>
      </w:r>
      <w:r w:rsidRPr="0060474A">
        <w:t>(Sentencing Advisory Council, 2022).</w:t>
      </w:r>
    </w:p>
    <w:p w14:paraId="40580434" w14:textId="77777777" w:rsidR="00417C86" w:rsidRPr="0060474A" w:rsidRDefault="00417C86" w:rsidP="00417C86">
      <w:pPr>
        <w:pStyle w:val="Bibliography"/>
      </w:pPr>
      <w:r w:rsidRPr="0060474A">
        <w:t xml:space="preserve">Sentencing Advisory Council, </w:t>
      </w:r>
      <w:r w:rsidRPr="0060474A">
        <w:rPr>
          <w:rStyle w:val="Italic"/>
          <w:iCs w:val="0"/>
        </w:rPr>
        <w:t xml:space="preserve">Rethinking Sentencing for Young Adult Offenders </w:t>
      </w:r>
      <w:r w:rsidRPr="0060474A">
        <w:t>(Sentencing Advisory Council, 2019).</w:t>
      </w:r>
    </w:p>
    <w:p w14:paraId="0BA609AC" w14:textId="77777777" w:rsidR="00417C86" w:rsidRPr="0060474A" w:rsidRDefault="00417C86" w:rsidP="00417C86">
      <w:pPr>
        <w:pStyle w:val="Bibliography"/>
      </w:pPr>
      <w:r w:rsidRPr="0060474A">
        <w:t xml:space="preserve">Sentencing Advisory Council, </w:t>
      </w:r>
      <w:r w:rsidRPr="0060474A">
        <w:rPr>
          <w:rStyle w:val="Italic"/>
          <w:iCs w:val="0"/>
        </w:rPr>
        <w:t xml:space="preserve">Sentencing Breaches of Family Violence Intervention Orders and Safety Notices: Third Monitoring Report </w:t>
      </w:r>
      <w:r w:rsidRPr="0060474A">
        <w:t>(Sentencing Advisory Council, 2022).</w:t>
      </w:r>
    </w:p>
    <w:p w14:paraId="7BCDC999" w14:textId="77777777" w:rsidR="00417C86" w:rsidRPr="0060474A" w:rsidRDefault="00417C86" w:rsidP="00417C86">
      <w:pPr>
        <w:pStyle w:val="Bibliography"/>
      </w:pPr>
      <w:r w:rsidRPr="0060474A">
        <w:t xml:space="preserve">Sentencing Advisory Council, </w:t>
      </w:r>
      <w:r w:rsidRPr="0060474A">
        <w:rPr>
          <w:rStyle w:val="Italic"/>
          <w:iCs w:val="0"/>
        </w:rPr>
        <w:t xml:space="preserve">Sentencing Children and Young People in Victoria </w:t>
      </w:r>
      <w:r w:rsidRPr="0060474A">
        <w:t>(Sentencing Advisory Council, 2012).</w:t>
      </w:r>
    </w:p>
    <w:p w14:paraId="20BBE2AD" w14:textId="77777777" w:rsidR="00417C86" w:rsidRPr="0060474A" w:rsidRDefault="00417C86" w:rsidP="00417C86">
      <w:pPr>
        <w:pStyle w:val="Bibliography"/>
      </w:pPr>
      <w:r w:rsidRPr="0060474A">
        <w:t xml:space="preserve">Sentencing Advisory Council, </w:t>
      </w:r>
      <w:r w:rsidRPr="0060474A">
        <w:rPr>
          <w:rStyle w:val="Italic"/>
          <w:iCs w:val="0"/>
        </w:rPr>
        <w:t xml:space="preserve">Sentencing Older Offenders in Victoria </w:t>
      </w:r>
      <w:r w:rsidRPr="0060474A">
        <w:t>(Sentencing Advisory Council, 2021).</w:t>
      </w:r>
    </w:p>
    <w:p w14:paraId="62F3D67F" w14:textId="77777777" w:rsidR="00417C86" w:rsidRPr="0060474A" w:rsidRDefault="00417C86" w:rsidP="00417C86">
      <w:pPr>
        <w:pStyle w:val="Bibliography"/>
      </w:pPr>
      <w:r w:rsidRPr="0060474A">
        <w:t xml:space="preserve">Sentencing Advisory Council, </w:t>
      </w:r>
      <w:r w:rsidRPr="0060474A">
        <w:rPr>
          <w:rStyle w:val="Italic"/>
          <w:iCs w:val="0"/>
        </w:rPr>
        <w:t>Sentencing Stalking in Victoria</w:t>
      </w:r>
      <w:r w:rsidRPr="0060474A">
        <w:t xml:space="preserve"> (Sentencing Advisory Council, 2022).</w:t>
      </w:r>
    </w:p>
    <w:p w14:paraId="3F78A333" w14:textId="77777777" w:rsidR="00417C86" w:rsidRPr="0060474A" w:rsidRDefault="00417C86" w:rsidP="00417C86">
      <w:pPr>
        <w:pStyle w:val="Bibliography"/>
      </w:pPr>
      <w:r w:rsidRPr="0060474A">
        <w:t xml:space="preserve">Skrzypiec, Grace, Joy </w:t>
      </w:r>
      <w:proofErr w:type="spellStart"/>
      <w:r w:rsidRPr="0060474A">
        <w:t>Wundersitz</w:t>
      </w:r>
      <w:proofErr w:type="spellEnd"/>
      <w:r w:rsidRPr="0060474A">
        <w:t xml:space="preserve"> and Helen McRostie, </w:t>
      </w:r>
      <w:r w:rsidRPr="0060474A">
        <w:rPr>
          <w:rStyle w:val="Italic"/>
          <w:iCs w:val="0"/>
        </w:rPr>
        <w:t xml:space="preserve">Magistrates Court Diversion Program: An Analysis of Post-Program Offending </w:t>
      </w:r>
      <w:r w:rsidRPr="0060474A">
        <w:t>(Office of Crime Statistics and Research, 2004).</w:t>
      </w:r>
    </w:p>
    <w:p w14:paraId="1219A5EF" w14:textId="77777777" w:rsidR="00417C86" w:rsidRPr="0060474A" w:rsidRDefault="00417C86" w:rsidP="00417C86">
      <w:pPr>
        <w:pStyle w:val="Bibliography"/>
      </w:pPr>
      <w:r w:rsidRPr="0060474A">
        <w:lastRenderedPageBreak/>
        <w:t xml:space="preserve">Swan, Suzanne C., Laura J. Gambone, Jennifer E. Caldwell, Tami P. Sullivan and David L. Snow, ‘A Review of Research on Women’s Use of Violence with Male Intimate Partners’ (2008) 23(3) </w:t>
      </w:r>
      <w:r w:rsidRPr="0060474A">
        <w:rPr>
          <w:rStyle w:val="Italic"/>
          <w:iCs w:val="0"/>
        </w:rPr>
        <w:t xml:space="preserve">Violence and Victims </w:t>
      </w:r>
      <w:r w:rsidRPr="0060474A">
        <w:t>301.</w:t>
      </w:r>
    </w:p>
    <w:p w14:paraId="7CFF8375" w14:textId="77777777" w:rsidR="00417C86" w:rsidRPr="0060474A" w:rsidRDefault="00417C86" w:rsidP="00417C86">
      <w:pPr>
        <w:pStyle w:val="Bibliography"/>
      </w:pPr>
      <w:r w:rsidRPr="0060474A">
        <w:t xml:space="preserve">Victoria Police, </w:t>
      </w:r>
      <w:r w:rsidRPr="0060474A">
        <w:rPr>
          <w:rStyle w:val="Italic"/>
          <w:iCs w:val="0"/>
        </w:rPr>
        <w:t>Victoria Police Manual</w:t>
      </w:r>
      <w:r w:rsidRPr="0060474A">
        <w:t xml:space="preserve"> (Victoria Police, 2022).</w:t>
      </w:r>
    </w:p>
    <w:p w14:paraId="71632433" w14:textId="77777777" w:rsidR="00417C86" w:rsidRPr="0060474A" w:rsidRDefault="00417C86" w:rsidP="00417C86">
      <w:pPr>
        <w:pStyle w:val="Bibliography"/>
      </w:pPr>
      <w:r w:rsidRPr="0060474A">
        <w:t xml:space="preserve">Women’s Legal Service Victoria and Monash University, </w:t>
      </w:r>
      <w:r w:rsidRPr="0060474A">
        <w:rPr>
          <w:rStyle w:val="Italic"/>
          <w:iCs w:val="0"/>
        </w:rPr>
        <w:t xml:space="preserve">‘Officer She’s Psychotic and I Need Protection’: Police Misidentification of the ‘Primary Aggressor’ in Family Violence Incidents in Victoria </w:t>
      </w:r>
      <w:r w:rsidRPr="0060474A">
        <w:t>(Women’s Legal Service Victoria and Monash University, 2018).</w:t>
      </w:r>
    </w:p>
    <w:p w14:paraId="0370ACBF" w14:textId="77777777" w:rsidR="00417C86" w:rsidRPr="0060474A" w:rsidRDefault="00417C86" w:rsidP="00417C86">
      <w:pPr>
        <w:pStyle w:val="Heading2"/>
        <w:pageBreakBefore/>
      </w:pPr>
      <w:r w:rsidRPr="0060474A">
        <w:lastRenderedPageBreak/>
        <w:t>Legislation</w:t>
      </w:r>
    </w:p>
    <w:p w14:paraId="149FC460" w14:textId="77777777" w:rsidR="00417C86" w:rsidRPr="0060474A" w:rsidRDefault="00417C86" w:rsidP="00417C86">
      <w:pPr>
        <w:pStyle w:val="Bibliography"/>
      </w:pPr>
      <w:r w:rsidRPr="0060474A">
        <w:rPr>
          <w:rStyle w:val="Italic"/>
          <w:iCs w:val="0"/>
        </w:rPr>
        <w:t xml:space="preserve">Children, Youth and Families Act 2005 </w:t>
      </w:r>
      <w:r w:rsidRPr="0060474A">
        <w:t>(Vic)</w:t>
      </w:r>
    </w:p>
    <w:p w14:paraId="503D5810" w14:textId="77777777" w:rsidR="00417C86" w:rsidRPr="0060474A" w:rsidRDefault="00417C86" w:rsidP="00417C86">
      <w:pPr>
        <w:pStyle w:val="Bibliography"/>
      </w:pPr>
      <w:r w:rsidRPr="0060474A">
        <w:rPr>
          <w:rStyle w:val="Italic"/>
          <w:iCs w:val="0"/>
        </w:rPr>
        <w:t>Country Fire Authority Act</w:t>
      </w:r>
      <w:r w:rsidRPr="0060474A">
        <w:t xml:space="preserve"> 1958 (Vic)</w:t>
      </w:r>
    </w:p>
    <w:p w14:paraId="5C6838B3" w14:textId="77777777" w:rsidR="00417C86" w:rsidRPr="0060474A" w:rsidRDefault="00417C86" w:rsidP="00417C86">
      <w:pPr>
        <w:pStyle w:val="Bibliography"/>
      </w:pPr>
      <w:r w:rsidRPr="0060474A">
        <w:rPr>
          <w:rStyle w:val="Italic"/>
          <w:iCs w:val="0"/>
        </w:rPr>
        <w:t>Crimes Act 1958</w:t>
      </w:r>
      <w:r w:rsidRPr="0060474A">
        <w:t xml:space="preserve"> (Vic)</w:t>
      </w:r>
    </w:p>
    <w:p w14:paraId="25541188" w14:textId="77777777" w:rsidR="00417C86" w:rsidRPr="0060474A" w:rsidRDefault="00417C86" w:rsidP="00417C86">
      <w:pPr>
        <w:pStyle w:val="Bibliography"/>
      </w:pPr>
      <w:r w:rsidRPr="0060474A">
        <w:rPr>
          <w:rStyle w:val="Italic"/>
          <w:iCs w:val="0"/>
        </w:rPr>
        <w:t xml:space="preserve">Criminal Procedure Act 2009 </w:t>
      </w:r>
      <w:r w:rsidRPr="0060474A">
        <w:t>(Vic)</w:t>
      </w:r>
    </w:p>
    <w:p w14:paraId="25315477" w14:textId="77777777" w:rsidR="00417C86" w:rsidRPr="0060474A" w:rsidRDefault="00417C86" w:rsidP="00417C86">
      <w:pPr>
        <w:pStyle w:val="Bibliography"/>
      </w:pPr>
      <w:r w:rsidRPr="0060474A">
        <w:rPr>
          <w:rStyle w:val="Italic"/>
          <w:iCs w:val="0"/>
        </w:rPr>
        <w:t xml:space="preserve">Magistrates’ Court Act 1989 </w:t>
      </w:r>
      <w:r w:rsidRPr="0060474A">
        <w:t>(Vic)</w:t>
      </w:r>
    </w:p>
    <w:p w14:paraId="70822CB3" w14:textId="77777777" w:rsidR="00417C86" w:rsidRPr="0060474A" w:rsidRDefault="00417C86" w:rsidP="00417C86">
      <w:pPr>
        <w:pStyle w:val="Bibliography"/>
      </w:pPr>
      <w:r w:rsidRPr="0060474A">
        <w:rPr>
          <w:rStyle w:val="Italic"/>
          <w:iCs w:val="0"/>
        </w:rPr>
        <w:t xml:space="preserve">Road Safety Act 1986 </w:t>
      </w:r>
      <w:r w:rsidRPr="0060474A">
        <w:t>(Vic)</w:t>
      </w:r>
    </w:p>
    <w:p w14:paraId="4CF9B634" w14:textId="77777777" w:rsidR="00417C86" w:rsidRPr="0060474A" w:rsidRDefault="00417C86" w:rsidP="00417C86">
      <w:pPr>
        <w:pStyle w:val="Bibliography"/>
      </w:pPr>
      <w:r w:rsidRPr="0060474A">
        <w:rPr>
          <w:rStyle w:val="Italic"/>
          <w:iCs w:val="0"/>
        </w:rPr>
        <w:t xml:space="preserve">Summary Offences Act 1966 </w:t>
      </w:r>
      <w:r w:rsidRPr="0060474A">
        <w:t>(Vic)</w:t>
      </w:r>
    </w:p>
    <w:p w14:paraId="22CFC761" w14:textId="77777777" w:rsidR="00417C86" w:rsidRPr="0060474A" w:rsidRDefault="00417C86" w:rsidP="003762A4"/>
    <w:p w14:paraId="18208997" w14:textId="77777777" w:rsidR="00417C86" w:rsidRPr="0060474A" w:rsidRDefault="00417C86" w:rsidP="0053322E">
      <w:pPr>
        <w:pageBreakBefore/>
      </w:pPr>
      <w:r w:rsidRPr="0060474A">
        <w:lastRenderedPageBreak/>
        <w:t>Authored by Dennis Byles and Paul McGorrery</w:t>
      </w:r>
    </w:p>
    <w:p w14:paraId="334B25EC" w14:textId="77777777" w:rsidR="00417C86" w:rsidRPr="0060474A" w:rsidRDefault="00417C86" w:rsidP="003762A4">
      <w:r w:rsidRPr="0060474A">
        <w:t>Published by the Sentencing Advisory Council, Melbourne, Victoria, Australia</w:t>
      </w:r>
    </w:p>
    <w:p w14:paraId="64FA8DD2" w14:textId="77777777" w:rsidR="00417C86" w:rsidRPr="0060474A" w:rsidRDefault="00417C86" w:rsidP="003762A4">
      <w:r w:rsidRPr="0060474A">
        <w:t>© Copyright State of Victoria, Sentencing Advisory Council, 2024</w:t>
      </w:r>
    </w:p>
    <w:p w14:paraId="7B1FAF3E" w14:textId="77777777" w:rsidR="00417C86" w:rsidRPr="0060474A" w:rsidRDefault="00417C86" w:rsidP="003762A4">
      <w:r w:rsidRPr="0060474A">
        <w:t xml:space="preserve">This publication is protected by the laws of copyright. No part may be reproduced by any process except in accordance with the provisions of the </w:t>
      </w:r>
      <w:r w:rsidRPr="0060474A">
        <w:rPr>
          <w:rStyle w:val="Italic"/>
          <w:iCs w:val="0"/>
        </w:rPr>
        <w:t>Copyright Act 1968</w:t>
      </w:r>
      <w:r w:rsidRPr="0060474A">
        <w:t xml:space="preserve"> (</w:t>
      </w:r>
      <w:proofErr w:type="spellStart"/>
      <w:r w:rsidRPr="0060474A">
        <w:t>Cth</w:t>
      </w:r>
      <w:proofErr w:type="spellEnd"/>
      <w:r w:rsidRPr="0060474A">
        <w:t>).</w:t>
      </w:r>
    </w:p>
    <w:p w14:paraId="0992C454" w14:textId="77777777" w:rsidR="00417C86" w:rsidRPr="0060474A" w:rsidRDefault="00417C86" w:rsidP="003762A4">
      <w:r w:rsidRPr="0060474A">
        <w:t>ISBN 978-1-925071-79-5 (Online)</w:t>
      </w:r>
    </w:p>
    <w:p w14:paraId="1316745E" w14:textId="68496541" w:rsidR="00417C86" w:rsidRPr="0060474A" w:rsidRDefault="00417C86" w:rsidP="008B0E91">
      <w:r w:rsidRPr="0060474A">
        <w:t>Authorised by the Sentencing Advisory Council,</w:t>
      </w:r>
      <w:r w:rsidRPr="0060474A">
        <w:br/>
        <w:t>Level 3, 333 Queen Street, Melbourne VIC 3000</w:t>
      </w:r>
    </w:p>
    <w:sectPr w:rsidR="00417C86" w:rsidRPr="0060474A" w:rsidSect="00D6349A">
      <w:headerReference w:type="default" r:id="rId8"/>
      <w:footerReference w:type="default" r:id="rId9"/>
      <w:pgSz w:w="11906"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3CDB6" w14:textId="77777777" w:rsidR="000E3A3C" w:rsidRDefault="000E3A3C">
      <w:pPr>
        <w:spacing w:line="240" w:lineRule="auto"/>
      </w:pPr>
      <w:r>
        <w:separator/>
      </w:r>
    </w:p>
  </w:endnote>
  <w:endnote w:type="continuationSeparator" w:id="0">
    <w:p w14:paraId="0CCF4A91" w14:textId="77777777" w:rsidR="000E3A3C" w:rsidRDefault="000E3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Regular">
    <w:altName w:val="Arial"/>
    <w:panose1 w:val="00000000000000000000"/>
    <w:charset w:val="00"/>
    <w:family w:val="auto"/>
    <w:notTrueType/>
    <w:pitch w:val="default"/>
    <w:sig w:usb0="00000003" w:usb1="00000000" w:usb2="00000000" w:usb3="00000000" w:csb0="00000001"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Gill Sans Std">
    <w:panose1 w:val="020B0502020104020203"/>
    <w:charset w:val="00"/>
    <w:family w:val="swiss"/>
    <w:notTrueType/>
    <w:pitch w:val="variable"/>
    <w:sig w:usb0="00000003" w:usb1="00000000" w:usb2="00000000" w:usb3="00000000" w:csb0="00000001" w:csb1="00000000"/>
  </w:font>
  <w:font w:name="Gill Sans Std Light">
    <w:panose1 w:val="020B03020201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 Franklin Gothic Demi">
    <w:altName w:val="Calibri"/>
    <w:panose1 w:val="00000000000000000000"/>
    <w:charset w:val="00"/>
    <w:family w:val="auto"/>
    <w:notTrueType/>
    <w:pitch w:val="default"/>
    <w:sig w:usb0="00000003" w:usb1="00000000" w:usb2="00000000" w:usb3="00000000" w:csb0="00000001" w:csb1="00000000"/>
  </w:font>
  <w:font w:name="ITC Franklin Gothic">
    <w:altName w:val="Calibri"/>
    <w:panose1 w:val="00000000000000000000"/>
    <w:charset w:val="00"/>
    <w:family w:val="auto"/>
    <w:notTrueType/>
    <w:pitch w:val="default"/>
    <w:sig w:usb0="00000003" w:usb1="00000000" w:usb2="00000000" w:usb3="00000000" w:csb0="00000001" w:csb1="00000000"/>
  </w:font>
  <w:font w:name="ITC Franklin Gothic Demi Italic">
    <w:altName w:val="Calibri"/>
    <w:panose1 w:val="00000000000000000000"/>
    <w:charset w:val="00"/>
    <w:family w:val="auto"/>
    <w:notTrueType/>
    <w:pitch w:val="default"/>
    <w:sig w:usb0="00000003" w:usb1="00000000" w:usb2="00000000" w:usb3="00000000" w:csb0="00000001" w:csb1="00000000"/>
  </w:font>
  <w:font w:name="ITC Franklin Gothic Std Book">
    <w:altName w:val="ITC Franklin Gothic Std Book"/>
    <w:panose1 w:val="020B0504030503020204"/>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A8DE8" w14:textId="77777777" w:rsidR="00041EC2" w:rsidRDefault="00041EC2" w:rsidP="006A24A4">
    <w:pPr>
      <w:pStyle w:val="Footer"/>
      <w:ind w:left="4513" w:hanging="4513"/>
      <w:jc w:val="center"/>
    </w:pPr>
    <w:r>
      <w:fldChar w:fldCharType="begin"/>
    </w:r>
    <w:r>
      <w:instrText xml:space="preserve"> PAGE   \* MERGEFORMAT </w:instrText>
    </w:r>
    <w:r>
      <w:fldChar w:fldCharType="separate"/>
    </w:r>
    <w:r>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49107" w14:textId="77777777" w:rsidR="000E3A3C" w:rsidRDefault="000E3A3C">
      <w:pPr>
        <w:spacing w:line="240" w:lineRule="auto"/>
      </w:pPr>
      <w:r>
        <w:separator/>
      </w:r>
    </w:p>
  </w:footnote>
  <w:footnote w:type="continuationSeparator" w:id="0">
    <w:p w14:paraId="40CD11B7" w14:textId="77777777" w:rsidR="000E3A3C" w:rsidRDefault="000E3A3C">
      <w:pPr>
        <w:spacing w:line="240" w:lineRule="auto"/>
      </w:pPr>
      <w:r>
        <w:continuationSeparator/>
      </w:r>
    </w:p>
  </w:footnote>
  <w:footnote w:id="1">
    <w:p w14:paraId="45B3F776" w14:textId="6C3C4A35" w:rsidR="00417C86" w:rsidRPr="001D4799" w:rsidRDefault="00417C86" w:rsidP="00E5644A">
      <w:pPr>
        <w:pStyle w:val="Footnote"/>
      </w:pPr>
      <w:r>
        <w:rPr>
          <w:vertAlign w:val="superscript"/>
        </w:rPr>
        <w:footnoteRef/>
      </w:r>
      <w:r>
        <w:t>.</w:t>
      </w:r>
      <w:r>
        <w:tab/>
      </w:r>
      <w:r>
        <w:rPr>
          <w:rStyle w:val="Italic"/>
          <w:iCs w:val="0"/>
          <w:spacing w:val="-1"/>
        </w:rPr>
        <w:t xml:space="preserve">Criminal Procedure Act 2009 </w:t>
      </w:r>
      <w:r>
        <w:t xml:space="preserve">(Vic) s 59. Previously, </w:t>
      </w:r>
      <w:r>
        <w:rPr>
          <w:rStyle w:val="Italic"/>
          <w:iCs w:val="0"/>
          <w:spacing w:val="-1"/>
        </w:rPr>
        <w:t xml:space="preserve">Magistrates’ Court Act 1989 </w:t>
      </w:r>
      <w:r>
        <w:t>(Vic) s 128A (repealed).</w:t>
      </w:r>
    </w:p>
  </w:footnote>
  <w:footnote w:id="2">
    <w:p w14:paraId="5C795B0C" w14:textId="346044CD" w:rsidR="00417C86" w:rsidRDefault="00417C86" w:rsidP="00E5644A">
      <w:pPr>
        <w:pStyle w:val="Footnote"/>
      </w:pPr>
      <w:r>
        <w:rPr>
          <w:vertAlign w:val="superscript"/>
        </w:rPr>
        <w:footnoteRef/>
      </w:r>
      <w:r>
        <w:t>.</w:t>
      </w:r>
      <w:r>
        <w:tab/>
        <w:t>Magistrates’ Court of Victoria, ‘Diversion’ (mcv.vic.gov.au, 2022).</w:t>
      </w:r>
    </w:p>
  </w:footnote>
  <w:footnote w:id="3">
    <w:p w14:paraId="3722D8F0" w14:textId="7E9850CA" w:rsidR="00417C86" w:rsidRPr="001D4799" w:rsidRDefault="00417C86" w:rsidP="00E5644A">
      <w:pPr>
        <w:pStyle w:val="Footnote"/>
      </w:pPr>
      <w:r>
        <w:rPr>
          <w:vertAlign w:val="superscript"/>
        </w:rPr>
        <w:footnoteRef/>
      </w:r>
      <w:r>
        <w:t>.</w:t>
      </w:r>
      <w:r>
        <w:tab/>
        <w:t xml:space="preserve">Sentencing Advisory Council, </w:t>
      </w:r>
      <w:r>
        <w:rPr>
          <w:rStyle w:val="Italic"/>
          <w:iCs w:val="0"/>
          <w:spacing w:val="-1"/>
        </w:rPr>
        <w:t>Criminal Justice Diversion Program in Victoria: A Statistical Profile</w:t>
      </w:r>
      <w:r>
        <w:t xml:space="preserve"> (2008) 2.</w:t>
      </w:r>
    </w:p>
  </w:footnote>
  <w:footnote w:id="4">
    <w:p w14:paraId="65C8ED0B" w14:textId="06C6402A" w:rsidR="00417C86" w:rsidRDefault="00417C86" w:rsidP="00E5644A">
      <w:pPr>
        <w:pStyle w:val="Footnote"/>
      </w:pPr>
      <w:r>
        <w:rPr>
          <w:vertAlign w:val="superscript"/>
        </w:rPr>
        <w:footnoteRef/>
      </w:r>
      <w:r>
        <w:t>.</w:t>
      </w:r>
      <w:r>
        <w:tab/>
        <w:t xml:space="preserve">Silvia Alberti et al., </w:t>
      </w:r>
      <w:r>
        <w:rPr>
          <w:rStyle w:val="Italic"/>
          <w:iCs w:val="0"/>
        </w:rPr>
        <w:t xml:space="preserve">Court Diversion Program Evaluation: Final Report </w:t>
      </w:r>
      <w:r>
        <w:t>(2004) 6–8.</w:t>
      </w:r>
    </w:p>
  </w:footnote>
  <w:footnote w:id="5">
    <w:p w14:paraId="2BE65154" w14:textId="3D2D1D35" w:rsidR="00417C86" w:rsidRDefault="00417C86" w:rsidP="00E5644A">
      <w:pPr>
        <w:pStyle w:val="Footnote"/>
      </w:pPr>
      <w:r>
        <w:rPr>
          <w:vertAlign w:val="superscript"/>
        </w:rPr>
        <w:footnoteRef/>
      </w:r>
      <w:r>
        <w:t>.</w:t>
      </w:r>
      <w:r>
        <w:tab/>
        <w:t>Sentencing Advisory Council (2008), above n 3, 3.</w:t>
      </w:r>
    </w:p>
  </w:footnote>
  <w:footnote w:id="6">
    <w:p w14:paraId="285BD799" w14:textId="7EC3EB76" w:rsidR="00417C86" w:rsidRDefault="00417C86" w:rsidP="00E5644A">
      <w:pPr>
        <w:pStyle w:val="Footnote"/>
      </w:pPr>
      <w:r>
        <w:rPr>
          <w:vertAlign w:val="superscript"/>
        </w:rPr>
        <w:footnoteRef/>
      </w:r>
      <w:r>
        <w:t>.</w:t>
      </w:r>
      <w:r>
        <w:tab/>
      </w:r>
      <w:r>
        <w:rPr>
          <w:rStyle w:val="Italic"/>
          <w:iCs w:val="0"/>
        </w:rPr>
        <w:t xml:space="preserve">Criminal Procedure Act 2009 </w:t>
      </w:r>
      <w:r>
        <w:t xml:space="preserve">(Vic) s 59(2)(a). </w:t>
      </w:r>
    </w:p>
  </w:footnote>
  <w:footnote w:id="7">
    <w:p w14:paraId="2A74FDD3" w14:textId="0DFEB073" w:rsidR="00417C86" w:rsidRDefault="00417C86" w:rsidP="00E5644A">
      <w:pPr>
        <w:pStyle w:val="Footnote"/>
      </w:pPr>
      <w:r>
        <w:rPr>
          <w:vertAlign w:val="superscript"/>
        </w:rPr>
        <w:footnoteRef/>
      </w:r>
      <w:r>
        <w:t>.</w:t>
      </w:r>
      <w:r>
        <w:tab/>
      </w:r>
      <w:r>
        <w:rPr>
          <w:rStyle w:val="Italic"/>
          <w:iCs w:val="0"/>
        </w:rPr>
        <w:t xml:space="preserve">Criminal Procedure Act 2009 </w:t>
      </w:r>
      <w:r>
        <w:t xml:space="preserve">(Vic) s 59. A diversion plan is not available for offences against section 49(1) of the </w:t>
      </w:r>
      <w:r>
        <w:rPr>
          <w:rStyle w:val="Italic"/>
          <w:iCs w:val="0"/>
        </w:rPr>
        <w:t xml:space="preserve">Road Safety Act 1986 </w:t>
      </w:r>
      <w:r>
        <w:t xml:space="preserve">(Vic) (driving under the influence of alcohol or drugs) or offences punishable by minimum or fixed sentences or penalties, including licence suspensions, disqualifications and cancellations. However, it is still available for driving offences that attract demerit points: </w:t>
      </w:r>
      <w:r>
        <w:rPr>
          <w:rStyle w:val="Italic"/>
          <w:iCs w:val="0"/>
        </w:rPr>
        <w:t xml:space="preserve">Criminal Procedure Act 2009 </w:t>
      </w:r>
      <w:r>
        <w:t>(Vic) s 59(1).</w:t>
      </w:r>
    </w:p>
  </w:footnote>
  <w:footnote w:id="8">
    <w:p w14:paraId="0BAF70F7" w14:textId="03812F42" w:rsidR="00417C86" w:rsidRDefault="00417C86" w:rsidP="00E5644A">
      <w:pPr>
        <w:pStyle w:val="Footnote"/>
      </w:pPr>
      <w:r>
        <w:rPr>
          <w:vertAlign w:val="superscript"/>
        </w:rPr>
        <w:footnoteRef/>
      </w:r>
      <w:r>
        <w:t>.</w:t>
      </w:r>
      <w:r>
        <w:tab/>
        <w:t>The court will seek the views of any victims in the matter, and a court registrar will interview the defendant: Magistrates’ Court of Victoria (2022), above n 2.</w:t>
      </w:r>
    </w:p>
  </w:footnote>
  <w:footnote w:id="9">
    <w:p w14:paraId="22245241" w14:textId="4B3320E1" w:rsidR="00417C86" w:rsidRDefault="00417C86" w:rsidP="00E5644A">
      <w:pPr>
        <w:pStyle w:val="Footnote"/>
      </w:pPr>
      <w:r>
        <w:rPr>
          <w:vertAlign w:val="superscript"/>
        </w:rPr>
        <w:footnoteRef/>
      </w:r>
      <w:r>
        <w:t>.</w:t>
      </w:r>
      <w:r>
        <w:tab/>
      </w:r>
      <w:r>
        <w:rPr>
          <w:rStyle w:val="Italic"/>
          <w:iCs w:val="0"/>
        </w:rPr>
        <w:t xml:space="preserve">Criminal Procedure Act 2009 </w:t>
      </w:r>
      <w:r>
        <w:t xml:space="preserve">(Vic) s 59(2)(c). </w:t>
      </w:r>
    </w:p>
  </w:footnote>
  <w:footnote w:id="10">
    <w:p w14:paraId="140BB308" w14:textId="04870763" w:rsidR="00417C86" w:rsidRDefault="00417C86" w:rsidP="00E5644A">
      <w:pPr>
        <w:pStyle w:val="Footnote"/>
      </w:pPr>
      <w:r>
        <w:rPr>
          <w:vertAlign w:val="superscript"/>
        </w:rPr>
        <w:footnoteRef/>
      </w:r>
      <w:r>
        <w:t>.</w:t>
      </w:r>
      <w:r>
        <w:tab/>
        <w:t xml:space="preserve">Parliament of Victoria, Legislative Council, Legal and Social Issues Committee, </w:t>
      </w:r>
      <w:r>
        <w:rPr>
          <w:rStyle w:val="Italic"/>
          <w:iCs w:val="0"/>
        </w:rPr>
        <w:t xml:space="preserve">Inquiry into Victoria’s Criminal Justice System </w:t>
      </w:r>
      <w:r>
        <w:t xml:space="preserve">(2022) 218–227, 495–502. See also Liberty Victoria, </w:t>
      </w:r>
      <w:r>
        <w:rPr>
          <w:rStyle w:val="Italic"/>
          <w:iCs w:val="0"/>
        </w:rPr>
        <w:t xml:space="preserve">Justice Diverted? Prosecutorial Discretion and the Use of Diversion Schemes in Victoria </w:t>
      </w:r>
      <w:r>
        <w:t>(2018).</w:t>
      </w:r>
    </w:p>
  </w:footnote>
  <w:footnote w:id="11">
    <w:p w14:paraId="6C915B0C" w14:textId="497765BE" w:rsidR="00417C86" w:rsidRDefault="00417C86" w:rsidP="00E5644A">
      <w:pPr>
        <w:pStyle w:val="Footnote"/>
      </w:pPr>
      <w:r>
        <w:rPr>
          <w:vertAlign w:val="superscript"/>
        </w:rPr>
        <w:footnoteRef/>
      </w:r>
      <w:r>
        <w:t>.</w:t>
      </w:r>
      <w:r>
        <w:tab/>
      </w:r>
      <w:r>
        <w:rPr>
          <w:rStyle w:val="Italic"/>
          <w:iCs w:val="0"/>
        </w:rPr>
        <w:t xml:space="preserve">Criminal Procedure Act 2009 </w:t>
      </w:r>
      <w:r>
        <w:t xml:space="preserve">(Vic) s 59(4). </w:t>
      </w:r>
    </w:p>
  </w:footnote>
  <w:footnote w:id="12">
    <w:p w14:paraId="12FD8D60" w14:textId="2F5420B4" w:rsidR="00417C86" w:rsidRDefault="00417C86" w:rsidP="00E5644A">
      <w:pPr>
        <w:pStyle w:val="Footnote"/>
      </w:pPr>
      <w:r>
        <w:rPr>
          <w:vertAlign w:val="superscript"/>
        </w:rPr>
        <w:footnoteRef/>
      </w:r>
      <w:r>
        <w:t>.</w:t>
      </w:r>
      <w:r>
        <w:tab/>
      </w:r>
      <w:r>
        <w:rPr>
          <w:rStyle w:val="Italic"/>
          <w:iCs w:val="0"/>
        </w:rPr>
        <w:t xml:space="preserve">Criminal Procedure Act 2009 </w:t>
      </w:r>
      <w:r>
        <w:t xml:space="preserve">(Vic) s 59(3). </w:t>
      </w:r>
    </w:p>
  </w:footnote>
  <w:footnote w:id="13">
    <w:p w14:paraId="487B892F" w14:textId="1EFEC83A" w:rsidR="00417C86" w:rsidRDefault="00417C86" w:rsidP="00E5644A">
      <w:pPr>
        <w:pStyle w:val="Footnote"/>
      </w:pPr>
      <w:r>
        <w:rPr>
          <w:vertAlign w:val="superscript"/>
        </w:rPr>
        <w:footnoteRef/>
      </w:r>
      <w:r>
        <w:t>.</w:t>
      </w:r>
      <w:r>
        <w:tab/>
      </w:r>
      <w:r>
        <w:rPr>
          <w:rStyle w:val="Italic"/>
          <w:iCs w:val="0"/>
        </w:rPr>
        <w:t xml:space="preserve">Criminal Procedure Act 2009 </w:t>
      </w:r>
      <w:r>
        <w:t xml:space="preserve">(Vic) s 59(5). </w:t>
      </w:r>
    </w:p>
  </w:footnote>
  <w:footnote w:id="14">
    <w:p w14:paraId="38D2AE47" w14:textId="57637EA8" w:rsidR="00417C86" w:rsidRDefault="00417C86" w:rsidP="00E5644A">
      <w:pPr>
        <w:pStyle w:val="Footnote"/>
      </w:pPr>
      <w:r>
        <w:rPr>
          <w:vertAlign w:val="superscript"/>
        </w:rPr>
        <w:footnoteRef/>
      </w:r>
      <w:r>
        <w:t>.</w:t>
      </w:r>
      <w:r>
        <w:tab/>
        <w:t xml:space="preserve">These are formal procedures available for people who have admitted relatively minor offending, but they are currently limited to low-level cannabis and shop-theft offending: Victoria Police, ‘Cautions’, </w:t>
      </w:r>
      <w:r>
        <w:rPr>
          <w:rStyle w:val="Italic"/>
          <w:iCs w:val="0"/>
        </w:rPr>
        <w:t xml:space="preserve">Victoria Police Manual </w:t>
      </w:r>
      <w:r>
        <w:t xml:space="preserve">(2022) 2–4. </w:t>
      </w:r>
    </w:p>
  </w:footnote>
  <w:footnote w:id="15">
    <w:p w14:paraId="660B62D4" w14:textId="7B6E73F5" w:rsidR="00417C86" w:rsidRDefault="00417C86" w:rsidP="00E5644A">
      <w:pPr>
        <w:pStyle w:val="Footnote"/>
      </w:pPr>
      <w:r>
        <w:rPr>
          <w:vertAlign w:val="superscript"/>
        </w:rPr>
        <w:footnoteRef/>
      </w:r>
      <w:r>
        <w:t>.</w:t>
      </w:r>
      <w:r>
        <w:tab/>
        <w:t xml:space="preserve">These are similar to police cautions but require the person to successfully participate in a treatment program if they are found in possession of a small quantity of illicit drugs: ibid 3, 6–7. </w:t>
      </w:r>
    </w:p>
  </w:footnote>
  <w:footnote w:id="16">
    <w:p w14:paraId="3FEFC669" w14:textId="4D8B7E05" w:rsidR="00417C86" w:rsidRDefault="00417C86" w:rsidP="00E5644A">
      <w:pPr>
        <w:pStyle w:val="Footnote"/>
      </w:pPr>
      <w:r>
        <w:rPr>
          <w:vertAlign w:val="superscript"/>
        </w:rPr>
        <w:footnoteRef/>
      </w:r>
      <w:r>
        <w:t>.</w:t>
      </w:r>
      <w:r>
        <w:tab/>
        <w:t xml:space="preserve">If the child’s parent or guardian consents, the police officer can have an informal discussion with the child and their parent or guardian about inappropriate behaviour and its consequences: Victoria Police, ‘Disposition of Offenders’, </w:t>
      </w:r>
      <w:r>
        <w:rPr>
          <w:rStyle w:val="Italic"/>
          <w:iCs w:val="0"/>
        </w:rPr>
        <w:t xml:space="preserve">Victoria Police Manual </w:t>
      </w:r>
      <w:r>
        <w:t>(2022) 3. A police caution may also involve referrals to appropriate support agencies.</w:t>
      </w:r>
    </w:p>
  </w:footnote>
  <w:footnote w:id="17">
    <w:p w14:paraId="235FE086" w14:textId="0F9E78C3" w:rsidR="00417C86" w:rsidRDefault="00417C86" w:rsidP="00E5644A">
      <w:pPr>
        <w:pStyle w:val="Footnote"/>
      </w:pPr>
      <w:r>
        <w:rPr>
          <w:vertAlign w:val="superscript"/>
        </w:rPr>
        <w:footnoteRef/>
      </w:r>
      <w:r>
        <w:t>.</w:t>
      </w:r>
      <w:r>
        <w:tab/>
        <w:t xml:space="preserve">Police officers can issue an infringement notice or official warning to someone who has committed certain offences in the </w:t>
      </w:r>
      <w:r>
        <w:rPr>
          <w:rStyle w:val="Italic"/>
          <w:iCs w:val="0"/>
        </w:rPr>
        <w:t xml:space="preserve">Summary Offences Act </w:t>
      </w:r>
      <w:r>
        <w:t xml:space="preserve">or the </w:t>
      </w:r>
      <w:r>
        <w:rPr>
          <w:rStyle w:val="Italic"/>
          <w:iCs w:val="0"/>
        </w:rPr>
        <w:t>Bail Act</w:t>
      </w:r>
      <w:r>
        <w:t>: ibid 5–6.</w:t>
      </w:r>
    </w:p>
  </w:footnote>
  <w:footnote w:id="18">
    <w:p w14:paraId="073D5F90" w14:textId="12317D3E" w:rsidR="00417C86" w:rsidRDefault="00417C86" w:rsidP="00E5644A">
      <w:pPr>
        <w:pStyle w:val="Footnote"/>
      </w:pPr>
      <w:r>
        <w:rPr>
          <w:vertAlign w:val="superscript"/>
        </w:rPr>
        <w:footnoteRef/>
      </w:r>
      <w:r>
        <w:t>.</w:t>
      </w:r>
      <w:r>
        <w:tab/>
        <w:t xml:space="preserve">Victoria Police, ‘Brief Preparation and Management’, </w:t>
      </w:r>
      <w:r>
        <w:rPr>
          <w:rStyle w:val="Italic"/>
          <w:iCs w:val="0"/>
        </w:rPr>
        <w:t>Victoria Police Manual</w:t>
      </w:r>
      <w:r>
        <w:t xml:space="preserve"> (2022) 6; Office of Public Prosecutions Victoria, </w:t>
      </w:r>
      <w:r>
        <w:rPr>
          <w:rStyle w:val="Italic"/>
          <w:iCs w:val="0"/>
        </w:rPr>
        <w:t xml:space="preserve">Policy of the Director of Public Prosecutions </w:t>
      </w:r>
      <w:r>
        <w:t xml:space="preserve">(2023) 3–5. </w:t>
      </w:r>
    </w:p>
  </w:footnote>
  <w:footnote w:id="19">
    <w:p w14:paraId="6C1F7D31" w14:textId="5C75119C" w:rsidR="00417C86" w:rsidRDefault="00417C86" w:rsidP="00E5644A">
      <w:pPr>
        <w:pStyle w:val="Footnote"/>
      </w:pPr>
      <w:r>
        <w:rPr>
          <w:vertAlign w:val="superscript"/>
        </w:rPr>
        <w:footnoteRef/>
      </w:r>
      <w:r>
        <w:t>.</w:t>
      </w:r>
      <w:r>
        <w:tab/>
        <w:t xml:space="preserve">This allows the court to adjourn the proceedings for up to 6 months to allow the child to complete a diversion program: </w:t>
      </w:r>
      <w:r>
        <w:rPr>
          <w:rStyle w:val="Italic"/>
          <w:iCs w:val="0"/>
        </w:rPr>
        <w:t xml:space="preserve">Children, Youth and Families Act 2005 </w:t>
      </w:r>
      <w:r>
        <w:t xml:space="preserve">(Vic) ss 356B, 356D(2). This can include requirements such as engaging in sport or music activities, receiving support to improve school attendance, writing a letter of apology, or participating in counselling: Children’s Court of Victoria, ‘Youth Diversion Service’ (childrenscourt.vic.gov.au, 2022). As with the CJDP in the Magistrates’ Court, successful participation in a youth diversion plan requires the court to discharge the child without a finding of guilt, and unsuccessful participation requires the court to consider the extent of participation if the child is later found guilty: </w:t>
      </w:r>
      <w:r>
        <w:rPr>
          <w:rStyle w:val="Italic"/>
          <w:iCs w:val="0"/>
        </w:rPr>
        <w:t xml:space="preserve">Children, Youth and Families Act 2005 </w:t>
      </w:r>
      <w:r>
        <w:t>(Vic) s 356I.</w:t>
      </w:r>
    </w:p>
  </w:footnote>
  <w:footnote w:id="20">
    <w:p w14:paraId="5A35FB21" w14:textId="4265F501" w:rsidR="00417C86" w:rsidRDefault="00417C86" w:rsidP="00E5644A">
      <w:pPr>
        <w:pStyle w:val="Footnote"/>
      </w:pPr>
      <w:r>
        <w:rPr>
          <w:vertAlign w:val="superscript"/>
        </w:rPr>
        <w:footnoteRef/>
      </w:r>
      <w:r>
        <w:t>.</w:t>
      </w:r>
      <w:r>
        <w:tab/>
      </w:r>
      <w:r>
        <w:rPr>
          <w:rStyle w:val="Italic"/>
          <w:iCs w:val="0"/>
        </w:rPr>
        <w:t xml:space="preserve">Magistrates’ Court Act 1989 </w:t>
      </w:r>
      <w:r>
        <w:t>(Vic) ss 4S, 4T.</w:t>
      </w:r>
    </w:p>
  </w:footnote>
  <w:footnote w:id="21">
    <w:p w14:paraId="0CC916E7" w14:textId="2060F364" w:rsidR="00417C86" w:rsidRDefault="00417C86" w:rsidP="00E5644A">
      <w:pPr>
        <w:pStyle w:val="Footnote"/>
      </w:pPr>
      <w:r>
        <w:rPr>
          <w:vertAlign w:val="superscript"/>
        </w:rPr>
        <w:footnoteRef/>
      </w:r>
      <w:r>
        <w:t>.</w:t>
      </w:r>
      <w:r>
        <w:tab/>
      </w:r>
      <w:r>
        <w:rPr>
          <w:rStyle w:val="Italic"/>
          <w:iCs w:val="0"/>
        </w:rPr>
        <w:t xml:space="preserve">Magistrates’ Court Act 1989 </w:t>
      </w:r>
      <w:r>
        <w:t>(Vic) s 4Y.</w:t>
      </w:r>
    </w:p>
  </w:footnote>
  <w:footnote w:id="22">
    <w:p w14:paraId="68535FCE" w14:textId="722F6C77" w:rsidR="00417C86" w:rsidRDefault="00417C86" w:rsidP="00E5644A">
      <w:pPr>
        <w:pStyle w:val="Footnote"/>
      </w:pPr>
      <w:r>
        <w:rPr>
          <w:vertAlign w:val="superscript"/>
        </w:rPr>
        <w:footnoteRef/>
      </w:r>
      <w:r>
        <w:t>.</w:t>
      </w:r>
      <w:r>
        <w:tab/>
        <w:t>Sentencing Advisory Council (2008), above n 3.</w:t>
      </w:r>
    </w:p>
  </w:footnote>
  <w:footnote w:id="23">
    <w:p w14:paraId="509D7A40" w14:textId="33558080" w:rsidR="00417C86" w:rsidRDefault="00417C86" w:rsidP="00E5644A">
      <w:pPr>
        <w:pStyle w:val="Footnote"/>
      </w:pPr>
      <w:r>
        <w:rPr>
          <w:vertAlign w:val="superscript"/>
        </w:rPr>
        <w:footnoteRef/>
      </w:r>
      <w:r>
        <w:t>.</w:t>
      </w:r>
      <w:r>
        <w:tab/>
        <w:t xml:space="preserve">Courtlink is the current case management system for criminal matters heard in the Magistrates’ Court. It contains information such as the age and gender of the defendant, the number and type of offences they have been charged with, and the sentence or disposition given for each charge once the matter has been </w:t>
      </w:r>
      <w:proofErr w:type="spellStart"/>
      <w:r>
        <w:t>finalised</w:t>
      </w:r>
      <w:proofErr w:type="spellEnd"/>
      <w:r>
        <w:t xml:space="preserve">. </w:t>
      </w:r>
    </w:p>
  </w:footnote>
  <w:footnote w:id="24">
    <w:p w14:paraId="5B9A3C31" w14:textId="1AD9DF3A" w:rsidR="00417C86" w:rsidRDefault="00417C86" w:rsidP="00E5644A">
      <w:pPr>
        <w:pStyle w:val="Footnote"/>
      </w:pPr>
      <w:r>
        <w:rPr>
          <w:vertAlign w:val="superscript"/>
        </w:rPr>
        <w:footnoteRef/>
      </w:r>
      <w:r>
        <w:t>.</w:t>
      </w:r>
      <w:r>
        <w:tab/>
        <w:t>The Platypus case management system records information about the conditions, durations and successful completion rates of diversion plans.</w:t>
      </w:r>
    </w:p>
  </w:footnote>
  <w:footnote w:id="25">
    <w:p w14:paraId="7EE43139" w14:textId="0467BD68" w:rsidR="00417C86" w:rsidRDefault="00417C86" w:rsidP="00E5644A">
      <w:pPr>
        <w:pStyle w:val="Footnote"/>
      </w:pPr>
      <w:r>
        <w:rPr>
          <w:vertAlign w:val="superscript"/>
        </w:rPr>
        <w:footnoteRef/>
      </w:r>
      <w:r>
        <w:t>.</w:t>
      </w:r>
      <w:r>
        <w:tab/>
        <w:t>This percentage excludes 68 people whose gender was unknown. These 68 people were excluded from subsequent analyses relating to gender. If this group had been included, they would have accounted for 0.1% of the diversion population.</w:t>
      </w:r>
    </w:p>
  </w:footnote>
  <w:footnote w:id="26">
    <w:p w14:paraId="49BA1B4A" w14:textId="113DA175" w:rsidR="00417C86" w:rsidRDefault="00417C86" w:rsidP="00E5644A">
      <w:pPr>
        <w:pStyle w:val="Footnote"/>
      </w:pPr>
      <w:r>
        <w:rPr>
          <w:vertAlign w:val="superscript"/>
        </w:rPr>
        <w:footnoteRef/>
      </w:r>
      <w:r>
        <w:t>.</w:t>
      </w:r>
      <w:r>
        <w:tab/>
        <w:t>Sentencing Advisory Council (2008), above n 3, 5.</w:t>
      </w:r>
    </w:p>
  </w:footnote>
  <w:footnote w:id="27">
    <w:p w14:paraId="6F2706C3" w14:textId="2484AF16" w:rsidR="00417C86" w:rsidRDefault="00417C86" w:rsidP="00E5644A">
      <w:pPr>
        <w:pStyle w:val="Footnote"/>
      </w:pPr>
      <w:r>
        <w:rPr>
          <w:vertAlign w:val="superscript"/>
        </w:rPr>
        <w:footnoteRef/>
      </w:r>
      <w:r>
        <w:t>.</w:t>
      </w:r>
      <w:r>
        <w:tab/>
        <w:t>This percentage excludes 358 people whose age was unknown. These 358 people were also excluded from subsequent analysis relating to age. If this group had been included, they would have accounted for 0.7% of the diversion population.</w:t>
      </w:r>
    </w:p>
  </w:footnote>
  <w:footnote w:id="28">
    <w:p w14:paraId="4D62BD5D" w14:textId="79E36ACA" w:rsidR="00417C86" w:rsidRDefault="00417C86" w:rsidP="00E5644A">
      <w:pPr>
        <w:pStyle w:val="Footnote"/>
      </w:pPr>
      <w:r>
        <w:rPr>
          <w:vertAlign w:val="superscript"/>
        </w:rPr>
        <w:footnoteRef/>
      </w:r>
      <w:r>
        <w:t>.</w:t>
      </w:r>
      <w:r>
        <w:tab/>
        <w:t>Sentencing Advisory Council (2008), above n 3, 5.</w:t>
      </w:r>
    </w:p>
  </w:footnote>
  <w:footnote w:id="29">
    <w:p w14:paraId="1C20AF22" w14:textId="0F383204" w:rsidR="00417C86" w:rsidRDefault="00417C86" w:rsidP="00E5644A">
      <w:pPr>
        <w:pStyle w:val="Footnote"/>
      </w:pPr>
      <w:r>
        <w:rPr>
          <w:vertAlign w:val="superscript"/>
        </w:rPr>
        <w:footnoteRef/>
      </w:r>
      <w:r>
        <w:t>.</w:t>
      </w:r>
      <w:r>
        <w:tab/>
        <w:t>Ibid 3; Silvia Alberti et al. (2004), above n 4, 6.</w:t>
      </w:r>
    </w:p>
  </w:footnote>
  <w:footnote w:id="30">
    <w:p w14:paraId="5BE1255A" w14:textId="706C8BB2" w:rsidR="00417C86" w:rsidRDefault="00417C86" w:rsidP="00E5644A">
      <w:pPr>
        <w:pStyle w:val="Footnote"/>
      </w:pPr>
      <w:r>
        <w:rPr>
          <w:vertAlign w:val="superscript"/>
        </w:rPr>
        <w:footnoteRef/>
      </w:r>
      <w:r>
        <w:t>.</w:t>
      </w:r>
      <w:r>
        <w:tab/>
        <w:t>Australian Bureau of Statistics, ‘National Offence Index’ (abs.gov.au, 2018). If two or more charges were at the same level of severity in the National Offence Index, then the principal proven offence was allocated to the offence with the lowest charge number on the charge sheet for the case (e.g. charge 1 rather than charge 2).</w:t>
      </w:r>
    </w:p>
  </w:footnote>
  <w:footnote w:id="31">
    <w:p w14:paraId="549EB828" w14:textId="33C6E5D9" w:rsidR="00417C86" w:rsidRDefault="00417C86" w:rsidP="00E5644A">
      <w:pPr>
        <w:pStyle w:val="Footnote"/>
      </w:pPr>
      <w:r>
        <w:rPr>
          <w:vertAlign w:val="superscript"/>
        </w:rPr>
        <w:footnoteRef/>
      </w:r>
      <w:r>
        <w:t>.</w:t>
      </w:r>
      <w:r>
        <w:tab/>
        <w:t>Sentencing Advisory Council (2008), above n 3, 6.</w:t>
      </w:r>
    </w:p>
  </w:footnote>
  <w:footnote w:id="32">
    <w:p w14:paraId="223AEC8A" w14:textId="2B59EC31" w:rsidR="00417C86" w:rsidRDefault="00417C86" w:rsidP="00E5644A">
      <w:pPr>
        <w:pStyle w:val="Footnote"/>
      </w:pPr>
      <w:r>
        <w:rPr>
          <w:vertAlign w:val="superscript"/>
        </w:rPr>
        <w:footnoteRef/>
      </w:r>
      <w:r>
        <w:t>.</w:t>
      </w:r>
      <w:r>
        <w:tab/>
        <w:t xml:space="preserve">See, for example, Sentencing Advisory Council, </w:t>
      </w:r>
      <w:r>
        <w:rPr>
          <w:rStyle w:val="Italic"/>
          <w:iCs w:val="0"/>
        </w:rPr>
        <w:t xml:space="preserve">Reforming Adjourned Undertakings: Consultation Paper </w:t>
      </w:r>
      <w:r>
        <w:t>(2022) 25 (finding that, together, assault and injury offences and justice procedure offences accounted for over 80% of family violence cases resulting in an adjourned undertaking).</w:t>
      </w:r>
    </w:p>
  </w:footnote>
  <w:footnote w:id="33">
    <w:p w14:paraId="64681EF2" w14:textId="2185F6CD" w:rsidR="00417C86" w:rsidRDefault="00417C86" w:rsidP="00E5644A">
      <w:pPr>
        <w:pStyle w:val="Footnote"/>
      </w:pPr>
      <w:r>
        <w:rPr>
          <w:vertAlign w:val="superscript"/>
        </w:rPr>
        <w:footnoteRef/>
      </w:r>
      <w:r>
        <w:t>.</w:t>
      </w:r>
      <w:r>
        <w:tab/>
        <w:t>Sentencing Advisory Council (2008), above n 3, 14.</w:t>
      </w:r>
    </w:p>
  </w:footnote>
  <w:footnote w:id="34">
    <w:p w14:paraId="60EEFE56" w14:textId="60F7E7D6" w:rsidR="00417C86" w:rsidRDefault="00417C86" w:rsidP="00E5644A">
      <w:pPr>
        <w:pStyle w:val="Footnote"/>
      </w:pPr>
      <w:r>
        <w:rPr>
          <w:vertAlign w:val="superscript"/>
        </w:rPr>
        <w:footnoteRef/>
      </w:r>
      <w:r>
        <w:t>.</w:t>
      </w:r>
      <w:r>
        <w:tab/>
      </w:r>
      <w:r>
        <w:rPr>
          <w:rStyle w:val="Italic"/>
          <w:iCs w:val="0"/>
        </w:rPr>
        <w:t xml:space="preserve">Summary Offences Act 1966 </w:t>
      </w:r>
      <w:r>
        <w:t>(Vic) s 23.</w:t>
      </w:r>
    </w:p>
  </w:footnote>
  <w:footnote w:id="35">
    <w:p w14:paraId="5906FBBC" w14:textId="5876CF34" w:rsidR="00417C86" w:rsidRDefault="00417C86" w:rsidP="00E5644A">
      <w:pPr>
        <w:pStyle w:val="Footnote"/>
      </w:pPr>
      <w:r>
        <w:rPr>
          <w:vertAlign w:val="superscript"/>
        </w:rPr>
        <w:footnoteRef/>
      </w:r>
      <w:r>
        <w:t>.</w:t>
      </w:r>
      <w:r>
        <w:tab/>
      </w:r>
      <w:r>
        <w:rPr>
          <w:rStyle w:val="Italic"/>
          <w:iCs w:val="0"/>
        </w:rPr>
        <w:t>Crimes Act 1958</w:t>
      </w:r>
      <w:r>
        <w:t xml:space="preserve"> (Vic) s 74. This includes shop-theft (3,529 cases), theft </w:t>
      </w:r>
      <w:r>
        <w:rPr>
          <w:rStyle w:val="Italic"/>
          <w:iCs w:val="0"/>
        </w:rPr>
        <w:t>of</w:t>
      </w:r>
      <w:r>
        <w:t xml:space="preserve"> a motor vehicle (249 cases), theft </w:t>
      </w:r>
      <w:r>
        <w:rPr>
          <w:rStyle w:val="Italic"/>
          <w:iCs w:val="0"/>
        </w:rPr>
        <w:t>from</w:t>
      </w:r>
      <w:r>
        <w:t xml:space="preserve"> a motor vehicle (130 cases), theft of a bicycle (79 cases), theft of a trailer (13 cases), theft of a boat or maritime vessel (3 cases), and theft where there was no further information available on what was stolen (2,858 cases). </w:t>
      </w:r>
    </w:p>
  </w:footnote>
  <w:footnote w:id="36">
    <w:p w14:paraId="6293324A" w14:textId="0E0B0977" w:rsidR="00417C86" w:rsidRDefault="00417C86" w:rsidP="00E5644A">
      <w:pPr>
        <w:pStyle w:val="Footnote"/>
      </w:pPr>
      <w:r>
        <w:rPr>
          <w:vertAlign w:val="superscript"/>
        </w:rPr>
        <w:footnoteRef/>
      </w:r>
      <w:r>
        <w:t>.</w:t>
      </w:r>
      <w:r>
        <w:tab/>
      </w:r>
      <w:r>
        <w:rPr>
          <w:rStyle w:val="Italic"/>
          <w:iCs w:val="0"/>
        </w:rPr>
        <w:t xml:space="preserve">Road Safety Act 1986 </w:t>
      </w:r>
      <w:r>
        <w:t>(Vic) s 65.</w:t>
      </w:r>
    </w:p>
  </w:footnote>
  <w:footnote w:id="37">
    <w:p w14:paraId="643B4BBC" w14:textId="79174DA7" w:rsidR="00417C86" w:rsidRDefault="00417C86" w:rsidP="00E5644A">
      <w:pPr>
        <w:pStyle w:val="Footnote"/>
      </w:pPr>
      <w:r>
        <w:rPr>
          <w:vertAlign w:val="superscript"/>
        </w:rPr>
        <w:footnoteRef/>
      </w:r>
      <w:r>
        <w:t>.</w:t>
      </w:r>
      <w:r>
        <w:tab/>
        <w:t>Sentencing Advisory Council (2008), above n 3, 6.</w:t>
      </w:r>
    </w:p>
  </w:footnote>
  <w:footnote w:id="38">
    <w:p w14:paraId="7EC15643" w14:textId="21815143" w:rsidR="00417C86" w:rsidRDefault="00417C86" w:rsidP="00E5644A">
      <w:pPr>
        <w:pStyle w:val="Footnote"/>
      </w:pPr>
      <w:r>
        <w:rPr>
          <w:vertAlign w:val="superscript"/>
        </w:rPr>
        <w:footnoteRef/>
      </w:r>
      <w:r>
        <w:t>.</w:t>
      </w:r>
      <w:r>
        <w:tab/>
        <w:t>There were 59 diversion plans for which the data suggested there were zero conditions.</w:t>
      </w:r>
    </w:p>
  </w:footnote>
  <w:footnote w:id="39">
    <w:p w14:paraId="48D6DECC" w14:textId="36A2E03D" w:rsidR="00417C86" w:rsidRDefault="00417C86" w:rsidP="00E5644A">
      <w:pPr>
        <w:pStyle w:val="Footnote"/>
      </w:pPr>
      <w:r>
        <w:rPr>
          <w:vertAlign w:val="superscript"/>
        </w:rPr>
        <w:footnoteRef/>
      </w:r>
      <w:r>
        <w:t>.</w:t>
      </w:r>
      <w:r>
        <w:tab/>
        <w:t>For an overview of the difference between donations to the Court Fund and donations to particular charities, see Sentencing Advisory Council (2022), above n 32, 47–54.</w:t>
      </w:r>
    </w:p>
  </w:footnote>
  <w:footnote w:id="40">
    <w:p w14:paraId="5FFD8E40" w14:textId="3AC1C4AC" w:rsidR="00417C86" w:rsidRDefault="00417C86" w:rsidP="00E5644A">
      <w:pPr>
        <w:pStyle w:val="Footnote"/>
      </w:pPr>
      <w:r>
        <w:rPr>
          <w:vertAlign w:val="superscript"/>
        </w:rPr>
        <w:footnoteRef/>
      </w:r>
      <w:r>
        <w:t>.</w:t>
      </w:r>
      <w:r>
        <w:tab/>
        <w:t>While some diversion plans also had ‘extension dates’, this analysis only presents data on the initial intended duration. We excluded 10 cases from our analysis here because they were not given a definitive return date when the defendant initially received the diversion plan.</w:t>
      </w:r>
    </w:p>
  </w:footnote>
  <w:footnote w:id="41">
    <w:p w14:paraId="4B2C74E7" w14:textId="4AFBD907" w:rsidR="00417C86" w:rsidRDefault="00417C86" w:rsidP="00E5644A">
      <w:pPr>
        <w:pStyle w:val="Footnote"/>
      </w:pPr>
      <w:r>
        <w:rPr>
          <w:vertAlign w:val="superscript"/>
        </w:rPr>
        <w:footnoteRef/>
      </w:r>
      <w:r>
        <w:t>.</w:t>
      </w:r>
      <w:r>
        <w:tab/>
        <w:t>This was calculated by determining the number of days between the diversion hearing and the intended return date, dividing that number by 30.4375 (to account for the different number of days in each month), then rounding the result to the nearest month (e.g. 1.4 months as 1 month).</w:t>
      </w:r>
    </w:p>
  </w:footnote>
  <w:footnote w:id="42">
    <w:p w14:paraId="6C46A001" w14:textId="0C62F273" w:rsidR="00417C86" w:rsidRDefault="00417C86" w:rsidP="00E5644A">
      <w:pPr>
        <w:pStyle w:val="Footnote"/>
      </w:pPr>
      <w:r>
        <w:rPr>
          <w:vertAlign w:val="superscript"/>
        </w:rPr>
        <w:footnoteRef/>
      </w:r>
      <w:r>
        <w:t>.</w:t>
      </w:r>
      <w:r>
        <w:tab/>
        <w:t>While the maximum duration of a diversion plan is 12 months, there were 40 cases where the data suggested that the intended duration of the diversion plan was 13 months or more (up to 25 months in 1 case).</w:t>
      </w:r>
    </w:p>
  </w:footnote>
  <w:footnote w:id="43">
    <w:p w14:paraId="6AA53479" w14:textId="3B3C1E4B" w:rsidR="00417C86" w:rsidRDefault="00417C86" w:rsidP="00E5644A">
      <w:pPr>
        <w:pStyle w:val="Footnote"/>
      </w:pPr>
      <w:r>
        <w:rPr>
          <w:vertAlign w:val="superscript"/>
        </w:rPr>
        <w:footnoteRef/>
      </w:r>
      <w:r>
        <w:t>.</w:t>
      </w:r>
      <w:r>
        <w:tab/>
        <w:t>In our previous statistical profile, we found that diversion plans made up an even higher proportion of all outcomes in 2006–07 (7.2%): Sentencing Advisory Council (2008), above n 3, 3.</w:t>
      </w:r>
    </w:p>
  </w:footnote>
  <w:footnote w:id="44">
    <w:p w14:paraId="0F1B9786" w14:textId="58E09835" w:rsidR="00417C86" w:rsidRDefault="00417C86" w:rsidP="00E5644A">
      <w:pPr>
        <w:pStyle w:val="Footnote"/>
      </w:pPr>
      <w:r>
        <w:rPr>
          <w:vertAlign w:val="superscript"/>
        </w:rPr>
        <w:footnoteRef/>
      </w:r>
      <w:r>
        <w:t>.</w:t>
      </w:r>
      <w:r>
        <w:tab/>
        <w:t>Ibid 4.</w:t>
      </w:r>
    </w:p>
  </w:footnote>
  <w:footnote w:id="45">
    <w:p w14:paraId="399BF283" w14:textId="16EE8E95" w:rsidR="00417C86" w:rsidRDefault="00417C86" w:rsidP="00E5644A">
      <w:pPr>
        <w:pStyle w:val="Footnote"/>
      </w:pPr>
      <w:r>
        <w:rPr>
          <w:vertAlign w:val="superscript"/>
        </w:rPr>
        <w:footnoteRef/>
      </w:r>
      <w:r>
        <w:t>.</w:t>
      </w:r>
      <w:r>
        <w:tab/>
        <w:t xml:space="preserve">Sentencing Advisory Council, </w:t>
      </w:r>
      <w:r>
        <w:rPr>
          <w:rStyle w:val="Italic"/>
          <w:iCs w:val="0"/>
        </w:rPr>
        <w:t xml:space="preserve">Gender Differences in Sentencing Outcomes </w:t>
      </w:r>
      <w:r>
        <w:t>(2010) 13 fn 5.</w:t>
      </w:r>
    </w:p>
  </w:footnote>
  <w:footnote w:id="46">
    <w:p w14:paraId="3221CBD3" w14:textId="1E35F46C" w:rsidR="00417C86" w:rsidRDefault="00417C86" w:rsidP="00E5644A">
      <w:pPr>
        <w:pStyle w:val="Footnote"/>
      </w:pPr>
      <w:r>
        <w:rPr>
          <w:vertAlign w:val="superscript"/>
        </w:rPr>
        <w:footnoteRef/>
      </w:r>
      <w:r>
        <w:t>.</w:t>
      </w:r>
      <w:r>
        <w:tab/>
        <w:t xml:space="preserve">See, for example, Sentencing Advisory Council, </w:t>
      </w:r>
      <w:r>
        <w:rPr>
          <w:rStyle w:val="Italic"/>
          <w:iCs w:val="0"/>
        </w:rPr>
        <w:t xml:space="preserve">Sentencing Children and Young People in Victoria </w:t>
      </w:r>
      <w:r>
        <w:t xml:space="preserve">(2012) 51–75; Sentencing Advisory Council, </w:t>
      </w:r>
      <w:r>
        <w:rPr>
          <w:rStyle w:val="Italic"/>
          <w:iCs w:val="0"/>
        </w:rPr>
        <w:t xml:space="preserve">Crossover Kids: Vulnerable Children in the Youth Justice System – Report 3: Sentencing Children Who Have Experienced Trauma </w:t>
      </w:r>
      <w:r>
        <w:t xml:space="preserve">(2020) 5–30; Sentencing Advisory Council, </w:t>
      </w:r>
      <w:r>
        <w:rPr>
          <w:rStyle w:val="Italic"/>
          <w:iCs w:val="0"/>
        </w:rPr>
        <w:t xml:space="preserve">Rethinking Sentencing for Young Adult Offenders </w:t>
      </w:r>
      <w:r>
        <w:t>(2019) 5–19.</w:t>
      </w:r>
    </w:p>
  </w:footnote>
  <w:footnote w:id="47">
    <w:p w14:paraId="582E3211" w14:textId="3F6B9B69" w:rsidR="00417C86" w:rsidRDefault="00417C86" w:rsidP="00E5644A">
      <w:pPr>
        <w:pStyle w:val="Footnote"/>
      </w:pPr>
      <w:r>
        <w:rPr>
          <w:vertAlign w:val="superscript"/>
        </w:rPr>
        <w:footnoteRef/>
      </w:r>
      <w:r>
        <w:t>.</w:t>
      </w:r>
      <w:r>
        <w:tab/>
        <w:t xml:space="preserve">See, for example, Sentencing Advisory Council, </w:t>
      </w:r>
      <w:r>
        <w:rPr>
          <w:rStyle w:val="Italic"/>
          <w:iCs w:val="0"/>
        </w:rPr>
        <w:t xml:space="preserve">Sentencing Older Offenders in Victoria </w:t>
      </w:r>
      <w:r>
        <w:t xml:space="preserve">(2021) 5–8. </w:t>
      </w:r>
    </w:p>
  </w:footnote>
  <w:footnote w:id="48">
    <w:p w14:paraId="5DF2FB62" w14:textId="57B7C0C8" w:rsidR="00417C86" w:rsidRDefault="00417C86" w:rsidP="00E5644A">
      <w:pPr>
        <w:pStyle w:val="Footnote"/>
      </w:pPr>
      <w:r>
        <w:rPr>
          <w:vertAlign w:val="superscript"/>
        </w:rPr>
        <w:footnoteRef/>
      </w:r>
      <w:r>
        <w:t>.</w:t>
      </w:r>
      <w:r>
        <w:tab/>
        <w:t>That said, even 13.1% is still lower than the rate of 16.1% in 2006–07 for people aged 65 and over: Sentencing Advisory Council (2008), above n 3, 4.</w:t>
      </w:r>
    </w:p>
  </w:footnote>
  <w:footnote w:id="49">
    <w:p w14:paraId="77B58B45" w14:textId="0718A67D" w:rsidR="00417C86" w:rsidRDefault="00417C86" w:rsidP="00E5644A">
      <w:pPr>
        <w:pStyle w:val="Footnote"/>
      </w:pPr>
      <w:r>
        <w:rPr>
          <w:vertAlign w:val="superscript"/>
        </w:rPr>
        <w:footnoteRef/>
      </w:r>
      <w:r>
        <w:t>.</w:t>
      </w:r>
      <w:r>
        <w:tab/>
        <w:t xml:space="preserve">Sentencing Advisory Council, </w:t>
      </w:r>
      <w:r>
        <w:rPr>
          <w:rStyle w:val="Italic"/>
          <w:iCs w:val="0"/>
        </w:rPr>
        <w:t xml:space="preserve">Sentencing Breaches of Family Violence Intervention Orders and Safety Notices: Third Monitoring Report </w:t>
      </w:r>
      <w:r>
        <w:t>(2022) 55.</w:t>
      </w:r>
    </w:p>
  </w:footnote>
  <w:footnote w:id="50">
    <w:p w14:paraId="2296B2F9" w14:textId="6D30E045" w:rsidR="00417C86" w:rsidRDefault="00417C86" w:rsidP="00E5644A">
      <w:pPr>
        <w:pStyle w:val="Footnote"/>
      </w:pPr>
      <w:r>
        <w:rPr>
          <w:vertAlign w:val="superscript"/>
        </w:rPr>
        <w:footnoteRef/>
      </w:r>
      <w:r>
        <w:t>.</w:t>
      </w:r>
      <w:r>
        <w:tab/>
        <w:t>Sentencing Advisory Council (2010), above n 45, 16, 56.</w:t>
      </w:r>
    </w:p>
  </w:footnote>
  <w:footnote w:id="51">
    <w:p w14:paraId="221349C8" w14:textId="0EBFBFE1" w:rsidR="00417C86" w:rsidRDefault="00417C86" w:rsidP="00E5644A">
      <w:pPr>
        <w:pStyle w:val="Footnote"/>
      </w:pPr>
      <w:r>
        <w:rPr>
          <w:vertAlign w:val="superscript"/>
        </w:rPr>
        <w:footnoteRef/>
      </w:r>
      <w:r>
        <w:t>.</w:t>
      </w:r>
      <w:r>
        <w:tab/>
        <w:t xml:space="preserve">Kris Henning et al., ‘Victim or Offender? Heterogeneity Among Women Arrested for Intimate Partner Violence’ (2006) 21 </w:t>
      </w:r>
      <w:r>
        <w:rPr>
          <w:rStyle w:val="Italic"/>
          <w:iCs w:val="0"/>
        </w:rPr>
        <w:t xml:space="preserve">Journal of Family Violence </w:t>
      </w:r>
      <w:r>
        <w:t xml:space="preserve">351; Suzanne C. Swan et al., ‘A Review of Research on </w:t>
      </w:r>
      <w:r>
        <w:rPr>
          <w:spacing w:val="-4"/>
        </w:rPr>
        <w:t xml:space="preserve">Women’s Use of Violence with Male Intimate Partners’ (2008) 23(3) </w:t>
      </w:r>
      <w:r>
        <w:rPr>
          <w:rStyle w:val="Italic"/>
          <w:iCs w:val="0"/>
          <w:spacing w:val="-4"/>
        </w:rPr>
        <w:t xml:space="preserve">Violence and Victims </w:t>
      </w:r>
      <w:r>
        <w:rPr>
          <w:spacing w:val="-4"/>
        </w:rPr>
        <w:t xml:space="preserve">301, 301; Susan </w:t>
      </w:r>
      <w:r>
        <w:rPr>
          <w:spacing w:val="-3"/>
        </w:rPr>
        <w:t xml:space="preserve">Miller, </w:t>
      </w:r>
      <w:r>
        <w:rPr>
          <w:rStyle w:val="Italic"/>
          <w:iCs w:val="0"/>
          <w:spacing w:val="-3"/>
        </w:rPr>
        <w:t xml:space="preserve">Victims as Offenders: The Paradox of Women’s Violence in Relationships </w:t>
      </w:r>
      <w:r>
        <w:rPr>
          <w:spacing w:val="-3"/>
        </w:rPr>
        <w:t xml:space="preserve">(2005). On the importance of identifying the primary aggressor in family violence offending, see, for example, Parliament of Victoria, </w:t>
      </w:r>
      <w:r>
        <w:t xml:space="preserve">Legislative Council, Legal and Social Issues Committee (2022), above n 10, 232–243; Women’s Legal Service Victoria and Monash University, </w:t>
      </w:r>
      <w:r>
        <w:rPr>
          <w:rStyle w:val="Italic"/>
          <w:iCs w:val="0"/>
        </w:rPr>
        <w:t xml:space="preserve">‘Officer She’s Psychotic and I Need Protection’: Police </w:t>
      </w:r>
      <w:r>
        <w:rPr>
          <w:rStyle w:val="Italic"/>
          <w:iCs w:val="0"/>
          <w:spacing w:val="-2"/>
        </w:rPr>
        <w:t xml:space="preserve">Misidentification of the ‘Primary Aggressor’ in Family Violence Incidents in Victoria </w:t>
      </w:r>
      <w:r>
        <w:rPr>
          <w:spacing w:val="-2"/>
        </w:rPr>
        <w:t xml:space="preserve">(2018); Family Violence </w:t>
      </w:r>
      <w:r>
        <w:t xml:space="preserve">Reform Implementation Monitor, </w:t>
      </w:r>
      <w:r>
        <w:rPr>
          <w:rStyle w:val="Italic"/>
          <w:iCs w:val="0"/>
          <w:spacing w:val="-1"/>
        </w:rPr>
        <w:t xml:space="preserve">Monitoring Victoria’s Family Violence Reforms: Accurate Identification of </w:t>
      </w:r>
      <w:r>
        <w:rPr>
          <w:rStyle w:val="Italic"/>
          <w:iCs w:val="0"/>
          <w:spacing w:val="-2"/>
        </w:rPr>
        <w:t xml:space="preserve">the Predominant Aggressor </w:t>
      </w:r>
      <w:r>
        <w:rPr>
          <w:spacing w:val="-2"/>
        </w:rPr>
        <w:t xml:space="preserve">(2021); Ellen Reeves, ‘A Culture of Consent: Legal Practitioners’ Experiences </w:t>
      </w:r>
      <w:r>
        <w:t xml:space="preserve">of Representing Women Who Have Been Misidentified as Predominant Aggressors on Family Violence Intervention Orders in Victoria, Australia’ (2023) 31 </w:t>
      </w:r>
      <w:r>
        <w:rPr>
          <w:rStyle w:val="Italic"/>
          <w:iCs w:val="0"/>
        </w:rPr>
        <w:t xml:space="preserve">Feminist Legal Studies </w:t>
      </w:r>
      <w:r>
        <w:t>369.</w:t>
      </w:r>
    </w:p>
  </w:footnote>
  <w:footnote w:id="52">
    <w:p w14:paraId="45B3450C" w14:textId="570C5257" w:rsidR="00417C86" w:rsidRDefault="00417C86" w:rsidP="00E5644A">
      <w:pPr>
        <w:pStyle w:val="Footnote"/>
      </w:pPr>
      <w:r>
        <w:rPr>
          <w:vertAlign w:val="superscript"/>
        </w:rPr>
        <w:footnoteRef/>
      </w:r>
      <w:r>
        <w:t>.</w:t>
      </w:r>
      <w:r>
        <w:tab/>
        <w:t>The rate of diversion plans for traffic offences was notably higher in 2006–07, at 3.4%: Sentencing Advisory Council (2008), above n 3, 3.</w:t>
      </w:r>
    </w:p>
  </w:footnote>
  <w:footnote w:id="53">
    <w:p w14:paraId="2B104D73" w14:textId="7F03FCF5" w:rsidR="00417C86" w:rsidRDefault="00417C86" w:rsidP="00E5644A">
      <w:pPr>
        <w:pStyle w:val="Footnote"/>
      </w:pPr>
      <w:r>
        <w:rPr>
          <w:vertAlign w:val="superscript"/>
        </w:rPr>
        <w:footnoteRef/>
      </w:r>
      <w:r>
        <w:t>.</w:t>
      </w:r>
      <w:r>
        <w:tab/>
        <w:t>This is likely in part because of how few female family violence offenders had a drug-related offence as their principal proven offence (148 cases, only six of which received a diversion plan), limiting the utility of any comparisons.</w:t>
      </w:r>
    </w:p>
  </w:footnote>
  <w:footnote w:id="54">
    <w:p w14:paraId="371ABD7A" w14:textId="280911FE" w:rsidR="00417C86" w:rsidRDefault="00417C86" w:rsidP="00E5644A">
      <w:pPr>
        <w:pStyle w:val="Footnote"/>
      </w:pPr>
      <w:r>
        <w:rPr>
          <w:vertAlign w:val="superscript"/>
        </w:rPr>
        <w:footnoteRef/>
      </w:r>
      <w:r>
        <w:t>.</w:t>
      </w:r>
      <w:r>
        <w:tab/>
        <w:t xml:space="preserve">Sentencing Advisory Council, </w:t>
      </w:r>
      <w:r>
        <w:rPr>
          <w:rStyle w:val="Italic"/>
          <w:iCs w:val="0"/>
        </w:rPr>
        <w:t>Sentencing Stalking in Victoria</w:t>
      </w:r>
      <w:r>
        <w:t xml:space="preserve"> (2022) 44.</w:t>
      </w:r>
    </w:p>
  </w:footnote>
  <w:footnote w:id="55">
    <w:p w14:paraId="18CA9782" w14:textId="31D08848" w:rsidR="00417C86" w:rsidRDefault="00417C86" w:rsidP="00E5644A">
      <w:pPr>
        <w:pStyle w:val="Footnote"/>
      </w:pPr>
      <w:r>
        <w:rPr>
          <w:vertAlign w:val="superscript"/>
        </w:rPr>
        <w:footnoteRef/>
      </w:r>
      <w:r>
        <w:t>.</w:t>
      </w:r>
      <w:r>
        <w:tab/>
        <w:t xml:space="preserve">Interestingly, the similar offence of </w:t>
      </w:r>
      <w:proofErr w:type="spellStart"/>
      <w:r>
        <w:t>wilfully</w:t>
      </w:r>
      <w:proofErr w:type="spellEnd"/>
      <w:r>
        <w:t xml:space="preserve"> damaging property valued at less than $5,000 – a summary version of criminal damage – was even more likely to receive a diversion plan, at 23.1% of the 3,931 cases that had this as the principal proven offence: </w:t>
      </w:r>
      <w:r>
        <w:rPr>
          <w:rStyle w:val="Italic"/>
          <w:iCs w:val="0"/>
        </w:rPr>
        <w:t xml:space="preserve">Summary Offences Act 1966 </w:t>
      </w:r>
      <w:r>
        <w:t>(Vic) s 9(1)(c).</w:t>
      </w:r>
    </w:p>
  </w:footnote>
  <w:footnote w:id="56">
    <w:p w14:paraId="71AA885B" w14:textId="21255F95" w:rsidR="00417C86" w:rsidRDefault="00417C86" w:rsidP="00E5644A">
      <w:pPr>
        <w:pStyle w:val="Footnote"/>
      </w:pPr>
      <w:r>
        <w:rPr>
          <w:vertAlign w:val="superscript"/>
        </w:rPr>
        <w:footnoteRef/>
      </w:r>
      <w:r>
        <w:t>.</w:t>
      </w:r>
      <w:r>
        <w:tab/>
        <w:t xml:space="preserve">During data analysis, one of the highest rates of diversion plans we found was for defendants aged 65 and over where the principal proven offence was lighting a fire in the open air during a fire danger period: </w:t>
      </w:r>
      <w:r>
        <w:rPr>
          <w:rStyle w:val="Italic"/>
          <w:iCs w:val="0"/>
        </w:rPr>
        <w:t>Country Fire Authority Act 1958</w:t>
      </w:r>
      <w:r>
        <w:t xml:space="preserve"> (Vic) s 37. In the 115 cases involving that age group and offence, 67.8% received a diversion plan (78 cases). </w:t>
      </w:r>
    </w:p>
  </w:footnote>
  <w:footnote w:id="57">
    <w:p w14:paraId="05513A5E" w14:textId="09D08FB2" w:rsidR="00417C86" w:rsidRDefault="00417C86" w:rsidP="00E5644A">
      <w:pPr>
        <w:pStyle w:val="Footnote"/>
      </w:pPr>
      <w:r>
        <w:rPr>
          <w:vertAlign w:val="superscript"/>
        </w:rPr>
        <w:footnoteRef/>
      </w:r>
      <w:r>
        <w:t>.</w:t>
      </w:r>
      <w:r>
        <w:tab/>
        <w:t>See, for example, Sentencing Advisory Council (2021), above n 47, 53–55.</w:t>
      </w:r>
    </w:p>
  </w:footnote>
  <w:footnote w:id="58">
    <w:p w14:paraId="5AE65CEC" w14:textId="3DF20C59" w:rsidR="00417C86" w:rsidRDefault="00417C86" w:rsidP="00E5644A">
      <w:pPr>
        <w:pStyle w:val="Footnote"/>
      </w:pPr>
      <w:r>
        <w:rPr>
          <w:vertAlign w:val="superscript"/>
        </w:rPr>
        <w:footnoteRef/>
      </w:r>
      <w:r>
        <w:t>.</w:t>
      </w:r>
      <w:r>
        <w:tab/>
        <w:t xml:space="preserve">Our reoffending database uses the Soundex algorithm to match unique people based on identifiable details such as name and date of birth, while accounting for data entry discrepancies: see, for example, </w:t>
      </w:r>
      <w:proofErr w:type="spellStart"/>
      <w:r>
        <w:t>Jiuzhao</w:t>
      </w:r>
      <w:proofErr w:type="spellEnd"/>
      <w:r>
        <w:t xml:space="preserve"> Hua and Jacqueline Fitzgerald, </w:t>
      </w:r>
      <w:r>
        <w:rPr>
          <w:rStyle w:val="Italic"/>
          <w:iCs w:val="0"/>
        </w:rPr>
        <w:t>Matching Court Records to Measure Reoffending</w:t>
      </w:r>
      <w:r>
        <w:t>, Crime and Justice Bulletin no. 95 (2006).</w:t>
      </w:r>
    </w:p>
  </w:footnote>
  <w:footnote w:id="59">
    <w:p w14:paraId="399AE491" w14:textId="39C4620B" w:rsidR="00417C86" w:rsidRDefault="00417C86" w:rsidP="00E5644A">
      <w:pPr>
        <w:pStyle w:val="Footnote"/>
      </w:pPr>
      <w:r>
        <w:rPr>
          <w:vertAlign w:val="superscript"/>
        </w:rPr>
        <w:footnoteRef/>
      </w:r>
      <w:r>
        <w:t>.</w:t>
      </w:r>
      <w:r>
        <w:tab/>
        <w:t xml:space="preserve">See, for example, Thalia Anthony and Harry Blagg, </w:t>
      </w:r>
      <w:r>
        <w:rPr>
          <w:rStyle w:val="Italic"/>
          <w:iCs w:val="0"/>
        </w:rPr>
        <w:t>Addressing the ‘Crime Problem’ of the Northern Territory Intervention: Alternative Paths to Regulating Minor Driving Offences in Remote Indigenous Communities</w:t>
      </w:r>
      <w:r>
        <w:t xml:space="preserve">, Report to the Criminology Research Advisory Council (2012) 75. </w:t>
      </w:r>
    </w:p>
  </w:footnote>
  <w:footnote w:id="60">
    <w:p w14:paraId="464F2784" w14:textId="274C6B7D" w:rsidR="00417C86" w:rsidRDefault="00417C86" w:rsidP="00E5644A">
      <w:pPr>
        <w:pStyle w:val="Footnote"/>
      </w:pPr>
      <w:r>
        <w:rPr>
          <w:vertAlign w:val="superscript"/>
        </w:rPr>
        <w:footnoteRef/>
      </w:r>
      <w:r>
        <w:t>.</w:t>
      </w:r>
      <w:r>
        <w:tab/>
        <w:t xml:space="preserve">See, for example, Grace Skrzypiec et al., </w:t>
      </w:r>
      <w:r>
        <w:rPr>
          <w:rStyle w:val="Italic"/>
          <w:iCs w:val="0"/>
        </w:rPr>
        <w:t xml:space="preserve">Magistrates Court Diversion Program: An Analysis of Post-Program Offending </w:t>
      </w:r>
      <w:r>
        <w:t xml:space="preserve">(2004) 29; Jeremy Broughton et al., </w:t>
      </w:r>
      <w:r>
        <w:rPr>
          <w:rStyle w:val="Italic"/>
          <w:iCs w:val="0"/>
        </w:rPr>
        <w:t xml:space="preserve">The Effects of the National Drivers Improvement Scheme on Re-Offending Rates </w:t>
      </w:r>
      <w:r>
        <w:t>(2005).</w:t>
      </w:r>
    </w:p>
  </w:footnote>
  <w:footnote w:id="61">
    <w:p w14:paraId="0D859AC5" w14:textId="068494C8" w:rsidR="00417C86" w:rsidRDefault="00417C86" w:rsidP="00E5644A">
      <w:pPr>
        <w:pStyle w:val="Footnote"/>
      </w:pPr>
      <w:r>
        <w:rPr>
          <w:vertAlign w:val="superscript"/>
        </w:rPr>
        <w:footnoteRef/>
      </w:r>
      <w:r>
        <w:t>.</w:t>
      </w:r>
      <w:r>
        <w:tab/>
        <w:t xml:space="preserve">Sammi Nachtigal, ‘The Potholes of Offender-Funded Driving Diversion: How Minnesota’s Driving Diversion Program Fails the People It Is Supposed to Help’ (2019) 37(2) </w:t>
      </w:r>
      <w:r>
        <w:rPr>
          <w:rStyle w:val="Italic"/>
          <w:iCs w:val="0"/>
        </w:rPr>
        <w:t xml:space="preserve">Law &amp; Inequality: A Journal of Theory and Practice </w:t>
      </w:r>
      <w:r>
        <w:t xml:space="preserve">443.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44E1" w14:textId="4B9C2C36" w:rsidR="00041EC2" w:rsidRPr="00786D67" w:rsidRDefault="00786D67" w:rsidP="0029763F">
    <w:pPr>
      <w:pStyle w:val="HeaderRight"/>
      <w:spacing w:after="240"/>
      <w:rPr>
        <w:rFonts w:ascii="Verdana" w:hAnsi="Verdana"/>
        <w:color w:val="auto"/>
      </w:rPr>
    </w:pPr>
    <w:r w:rsidRPr="00786D67">
      <w:rPr>
        <w:rFonts w:ascii="Verdana" w:hAnsi="Verdana"/>
        <w:i/>
        <w:iCs/>
        <w:color w:val="auto"/>
      </w:rPr>
      <w:t>The Criminal Justice Diversion Program in Victoria: Second Statistical Profile</w:t>
    </w:r>
    <w:r w:rsidRPr="00786D67">
      <w:rPr>
        <w:rFonts w:ascii="Verdana" w:hAnsi="Verdana"/>
        <w:color w:val="auto"/>
      </w:rPr>
      <w:t xml:space="preserve"> </w:t>
    </w:r>
    <w:r w:rsidR="00816C25" w:rsidRPr="00786D67">
      <w:rPr>
        <w:rFonts w:ascii="Verdana" w:hAnsi="Verdana" w:cs="Arial"/>
        <w:color w:val="auto"/>
      </w:rPr>
      <w:t>●</w:t>
    </w:r>
    <w:r w:rsidR="00816C25" w:rsidRPr="00786D67">
      <w:rPr>
        <w:rFonts w:ascii="Verdana" w:hAnsi="Verdana"/>
        <w:color w:val="auto"/>
      </w:rPr>
      <w:t xml:space="preserve"> </w:t>
    </w:r>
    <w:r w:rsidR="003F7481" w:rsidRPr="00786D67">
      <w:rPr>
        <w:rFonts w:ascii="Verdana" w:hAnsi="Verdana"/>
        <w:color w:val="auto"/>
      </w:rPr>
      <w:t>2024</w:t>
    </w:r>
    <w:r w:rsidR="00041EC2" w:rsidRPr="00786D67">
      <w:rPr>
        <w:rFonts w:ascii="Verdana" w:hAnsi="Verdana"/>
        <w:color w:val="auto"/>
      </w:rPr>
      <w:t xml:space="preserve"> </w:t>
    </w:r>
    <w:r w:rsidR="00041EC2" w:rsidRPr="00786D67">
      <w:rPr>
        <w:rFonts w:ascii="Verdana" w:hAnsi="Verdana" w:cs="Arial"/>
        <w:color w:val="auto"/>
      </w:rPr>
      <w:t>●</w:t>
    </w:r>
    <w:r w:rsidR="00041EC2" w:rsidRPr="00786D67">
      <w:rPr>
        <w:rFonts w:ascii="Verdana" w:hAnsi="Verdana"/>
        <w:color w:val="auto"/>
      </w:rPr>
      <w:t xml:space="preserve"> Sentencing Advisory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703" w:hanging="360"/>
      </w:pPr>
      <w:rPr>
        <w:rFonts w:cs="Times New Roman"/>
        <w:spacing w:val="0"/>
        <w:w w:val="100"/>
      </w:rPr>
    </w:lvl>
    <w:lvl w:ilvl="1">
      <w:numFmt w:val="bullet"/>
      <w:lvlText w:val="•"/>
      <w:lvlJc w:val="left"/>
      <w:pPr>
        <w:ind w:left="2970" w:hanging="360"/>
      </w:pPr>
    </w:lvl>
    <w:lvl w:ilvl="2">
      <w:numFmt w:val="bullet"/>
      <w:lvlText w:val="•"/>
      <w:lvlJc w:val="left"/>
      <w:pPr>
        <w:ind w:left="4240" w:hanging="360"/>
      </w:pPr>
    </w:lvl>
    <w:lvl w:ilvl="3">
      <w:numFmt w:val="bullet"/>
      <w:lvlText w:val="•"/>
      <w:lvlJc w:val="left"/>
      <w:pPr>
        <w:ind w:left="5510" w:hanging="360"/>
      </w:pPr>
    </w:lvl>
    <w:lvl w:ilvl="4">
      <w:numFmt w:val="bullet"/>
      <w:lvlText w:val="•"/>
      <w:lvlJc w:val="left"/>
      <w:pPr>
        <w:ind w:left="6780" w:hanging="360"/>
      </w:pPr>
    </w:lvl>
    <w:lvl w:ilvl="5">
      <w:numFmt w:val="bullet"/>
      <w:lvlText w:val="•"/>
      <w:lvlJc w:val="left"/>
      <w:pPr>
        <w:ind w:left="8050" w:hanging="360"/>
      </w:pPr>
    </w:lvl>
    <w:lvl w:ilvl="6">
      <w:numFmt w:val="bullet"/>
      <w:lvlText w:val="•"/>
      <w:lvlJc w:val="left"/>
      <w:pPr>
        <w:ind w:left="9320" w:hanging="360"/>
      </w:pPr>
    </w:lvl>
    <w:lvl w:ilvl="7">
      <w:numFmt w:val="bullet"/>
      <w:lvlText w:val="•"/>
      <w:lvlJc w:val="left"/>
      <w:pPr>
        <w:ind w:left="10590" w:hanging="360"/>
      </w:pPr>
    </w:lvl>
    <w:lvl w:ilvl="8">
      <w:numFmt w:val="bullet"/>
      <w:lvlText w:val="•"/>
      <w:lvlJc w:val="left"/>
      <w:pPr>
        <w:ind w:left="11860" w:hanging="360"/>
      </w:pPr>
    </w:lvl>
  </w:abstractNum>
  <w:abstractNum w:abstractNumId="1" w15:restartNumberingAfterBreak="0">
    <w:nsid w:val="00000404"/>
    <w:multiLevelType w:val="multilevel"/>
    <w:tmpl w:val="FFFFFFFF"/>
    <w:lvl w:ilvl="0">
      <w:numFmt w:val="bullet"/>
      <w:lvlText w:val=""/>
      <w:lvlJc w:val="left"/>
      <w:pPr>
        <w:ind w:left="1259" w:hanging="360"/>
      </w:pPr>
      <w:rPr>
        <w:rFonts w:ascii="Symbol" w:hAnsi="Symbol"/>
        <w:b w:val="0"/>
        <w:i w:val="0"/>
        <w:spacing w:val="0"/>
        <w:w w:val="100"/>
        <w:sz w:val="24"/>
      </w:rPr>
    </w:lvl>
    <w:lvl w:ilvl="1">
      <w:numFmt w:val="bullet"/>
      <w:lvlText w:val="•"/>
      <w:lvlJc w:val="left"/>
      <w:pPr>
        <w:ind w:left="2323" w:hanging="360"/>
      </w:pPr>
    </w:lvl>
    <w:lvl w:ilvl="2">
      <w:numFmt w:val="bullet"/>
      <w:lvlText w:val="•"/>
      <w:lvlJc w:val="left"/>
      <w:pPr>
        <w:ind w:left="3387" w:hanging="360"/>
      </w:pPr>
    </w:lvl>
    <w:lvl w:ilvl="3">
      <w:numFmt w:val="bullet"/>
      <w:lvlText w:val="•"/>
      <w:lvlJc w:val="left"/>
      <w:pPr>
        <w:ind w:left="4450" w:hanging="360"/>
      </w:pPr>
    </w:lvl>
    <w:lvl w:ilvl="4">
      <w:numFmt w:val="bullet"/>
      <w:lvlText w:val="•"/>
      <w:lvlJc w:val="left"/>
      <w:pPr>
        <w:ind w:left="5514" w:hanging="360"/>
      </w:pPr>
    </w:lvl>
    <w:lvl w:ilvl="5">
      <w:numFmt w:val="bullet"/>
      <w:lvlText w:val="•"/>
      <w:lvlJc w:val="left"/>
      <w:pPr>
        <w:ind w:left="6578" w:hanging="360"/>
      </w:pPr>
    </w:lvl>
    <w:lvl w:ilvl="6">
      <w:numFmt w:val="bullet"/>
      <w:lvlText w:val="•"/>
      <w:lvlJc w:val="left"/>
      <w:pPr>
        <w:ind w:left="7641" w:hanging="360"/>
      </w:pPr>
    </w:lvl>
    <w:lvl w:ilvl="7">
      <w:numFmt w:val="bullet"/>
      <w:lvlText w:val="•"/>
      <w:lvlJc w:val="left"/>
      <w:pPr>
        <w:ind w:left="8705" w:hanging="360"/>
      </w:pPr>
    </w:lvl>
    <w:lvl w:ilvl="8">
      <w:numFmt w:val="bullet"/>
      <w:lvlText w:val="•"/>
      <w:lvlJc w:val="left"/>
      <w:pPr>
        <w:ind w:left="9768" w:hanging="360"/>
      </w:pPr>
    </w:lvl>
  </w:abstractNum>
  <w:abstractNum w:abstractNumId="2" w15:restartNumberingAfterBreak="0">
    <w:nsid w:val="00000405"/>
    <w:multiLevelType w:val="multilevel"/>
    <w:tmpl w:val="FFFFFFFF"/>
    <w:lvl w:ilvl="0">
      <w:numFmt w:val="bullet"/>
      <w:lvlText w:val=""/>
      <w:lvlJc w:val="left"/>
      <w:pPr>
        <w:ind w:left="1230" w:hanging="360"/>
      </w:pPr>
      <w:rPr>
        <w:rFonts w:ascii="Symbol" w:hAnsi="Symbol"/>
        <w:b w:val="0"/>
        <w:i w:val="0"/>
        <w:spacing w:val="0"/>
        <w:w w:val="100"/>
        <w:sz w:val="24"/>
      </w:rPr>
    </w:lvl>
    <w:lvl w:ilvl="1">
      <w:numFmt w:val="bullet"/>
      <w:lvlText w:val="•"/>
      <w:lvlJc w:val="left"/>
      <w:pPr>
        <w:ind w:left="2305" w:hanging="360"/>
      </w:pPr>
    </w:lvl>
    <w:lvl w:ilvl="2">
      <w:numFmt w:val="bullet"/>
      <w:lvlText w:val="•"/>
      <w:lvlJc w:val="left"/>
      <w:pPr>
        <w:ind w:left="3371" w:hanging="360"/>
      </w:pPr>
    </w:lvl>
    <w:lvl w:ilvl="3">
      <w:numFmt w:val="bullet"/>
      <w:lvlText w:val="•"/>
      <w:lvlJc w:val="left"/>
      <w:pPr>
        <w:ind w:left="4436" w:hanging="360"/>
      </w:pPr>
    </w:lvl>
    <w:lvl w:ilvl="4">
      <w:numFmt w:val="bullet"/>
      <w:lvlText w:val="•"/>
      <w:lvlJc w:val="left"/>
      <w:pPr>
        <w:ind w:left="5502" w:hanging="360"/>
      </w:pPr>
    </w:lvl>
    <w:lvl w:ilvl="5">
      <w:numFmt w:val="bullet"/>
      <w:lvlText w:val="•"/>
      <w:lvlJc w:val="left"/>
      <w:pPr>
        <w:ind w:left="6568" w:hanging="360"/>
      </w:pPr>
    </w:lvl>
    <w:lvl w:ilvl="6">
      <w:numFmt w:val="bullet"/>
      <w:lvlText w:val="•"/>
      <w:lvlJc w:val="left"/>
      <w:pPr>
        <w:ind w:left="7633" w:hanging="360"/>
      </w:pPr>
    </w:lvl>
    <w:lvl w:ilvl="7">
      <w:numFmt w:val="bullet"/>
      <w:lvlText w:val="•"/>
      <w:lvlJc w:val="left"/>
      <w:pPr>
        <w:ind w:left="8699" w:hanging="360"/>
      </w:pPr>
    </w:lvl>
    <w:lvl w:ilvl="8">
      <w:numFmt w:val="bullet"/>
      <w:lvlText w:val="•"/>
      <w:lvlJc w:val="left"/>
      <w:pPr>
        <w:ind w:left="9764" w:hanging="360"/>
      </w:pPr>
    </w:lvl>
  </w:abstractNum>
  <w:abstractNum w:abstractNumId="3" w15:restartNumberingAfterBreak="0">
    <w:nsid w:val="00000406"/>
    <w:multiLevelType w:val="multilevel"/>
    <w:tmpl w:val="FFFFFFFF"/>
    <w:lvl w:ilvl="0">
      <w:numFmt w:val="bullet"/>
      <w:lvlText w:val=""/>
      <w:lvlJc w:val="left"/>
      <w:pPr>
        <w:ind w:left="1259" w:hanging="360"/>
      </w:pPr>
      <w:rPr>
        <w:rFonts w:ascii="Symbol" w:hAnsi="Symbol"/>
        <w:b w:val="0"/>
        <w:i w:val="0"/>
        <w:spacing w:val="0"/>
        <w:w w:val="100"/>
        <w:sz w:val="24"/>
      </w:rPr>
    </w:lvl>
    <w:lvl w:ilvl="1">
      <w:numFmt w:val="bullet"/>
      <w:lvlText w:val="•"/>
      <w:lvlJc w:val="left"/>
      <w:pPr>
        <w:ind w:left="2323" w:hanging="360"/>
      </w:pPr>
    </w:lvl>
    <w:lvl w:ilvl="2">
      <w:numFmt w:val="bullet"/>
      <w:lvlText w:val="•"/>
      <w:lvlJc w:val="left"/>
      <w:pPr>
        <w:ind w:left="3387" w:hanging="360"/>
      </w:pPr>
    </w:lvl>
    <w:lvl w:ilvl="3">
      <w:numFmt w:val="bullet"/>
      <w:lvlText w:val="•"/>
      <w:lvlJc w:val="left"/>
      <w:pPr>
        <w:ind w:left="4450" w:hanging="360"/>
      </w:pPr>
    </w:lvl>
    <w:lvl w:ilvl="4">
      <w:numFmt w:val="bullet"/>
      <w:lvlText w:val="•"/>
      <w:lvlJc w:val="left"/>
      <w:pPr>
        <w:ind w:left="5514" w:hanging="360"/>
      </w:pPr>
    </w:lvl>
    <w:lvl w:ilvl="5">
      <w:numFmt w:val="bullet"/>
      <w:lvlText w:val="•"/>
      <w:lvlJc w:val="left"/>
      <w:pPr>
        <w:ind w:left="6578" w:hanging="360"/>
      </w:pPr>
    </w:lvl>
    <w:lvl w:ilvl="6">
      <w:numFmt w:val="bullet"/>
      <w:lvlText w:val="•"/>
      <w:lvlJc w:val="left"/>
      <w:pPr>
        <w:ind w:left="7641" w:hanging="360"/>
      </w:pPr>
    </w:lvl>
    <w:lvl w:ilvl="7">
      <w:numFmt w:val="bullet"/>
      <w:lvlText w:val="•"/>
      <w:lvlJc w:val="left"/>
      <w:pPr>
        <w:ind w:left="8705" w:hanging="360"/>
      </w:pPr>
    </w:lvl>
    <w:lvl w:ilvl="8">
      <w:numFmt w:val="bullet"/>
      <w:lvlText w:val="•"/>
      <w:lvlJc w:val="left"/>
      <w:pPr>
        <w:ind w:left="9768" w:hanging="360"/>
      </w:pPr>
    </w:lvl>
  </w:abstractNum>
  <w:abstractNum w:abstractNumId="4" w15:restartNumberingAfterBreak="0">
    <w:nsid w:val="0292497F"/>
    <w:multiLevelType w:val="hybridMultilevel"/>
    <w:tmpl w:val="2826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06CDB"/>
    <w:multiLevelType w:val="hybridMultilevel"/>
    <w:tmpl w:val="53624E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1449"/>
    <w:multiLevelType w:val="hybridMultilevel"/>
    <w:tmpl w:val="BFB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A0C73"/>
    <w:multiLevelType w:val="hybridMultilevel"/>
    <w:tmpl w:val="852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85E96"/>
    <w:multiLevelType w:val="hybridMultilevel"/>
    <w:tmpl w:val="E4F8B1E6"/>
    <w:lvl w:ilvl="0" w:tplc="36F47750">
      <w:numFmt w:val="bullet"/>
      <w:lvlText w:val=""/>
      <w:lvlJc w:val="left"/>
      <w:pPr>
        <w:ind w:left="107" w:hanging="360"/>
      </w:pPr>
      <w:rPr>
        <w:rFonts w:ascii="Symbol" w:eastAsia="Symbol" w:hAnsi="Symbol" w:cs="Symbol" w:hint="default"/>
        <w:b w:val="0"/>
        <w:bCs w:val="0"/>
        <w:i w:val="0"/>
        <w:iCs w:val="0"/>
        <w:spacing w:val="0"/>
        <w:w w:val="100"/>
        <w:sz w:val="24"/>
        <w:szCs w:val="24"/>
        <w:lang w:val="en-US" w:eastAsia="en-US" w:bidi="ar-SA"/>
      </w:rPr>
    </w:lvl>
    <w:lvl w:ilvl="1" w:tplc="A4E0AD44">
      <w:numFmt w:val="bullet"/>
      <w:lvlText w:val="•"/>
      <w:lvlJc w:val="left"/>
      <w:pPr>
        <w:ind w:left="1276" w:hanging="360"/>
      </w:pPr>
      <w:rPr>
        <w:rFonts w:hint="default"/>
        <w:lang w:val="en-US" w:eastAsia="en-US" w:bidi="ar-SA"/>
      </w:rPr>
    </w:lvl>
    <w:lvl w:ilvl="2" w:tplc="9650187C">
      <w:numFmt w:val="bullet"/>
      <w:lvlText w:val="•"/>
      <w:lvlJc w:val="left"/>
      <w:pPr>
        <w:ind w:left="2453" w:hanging="360"/>
      </w:pPr>
      <w:rPr>
        <w:rFonts w:hint="default"/>
        <w:lang w:val="en-US" w:eastAsia="en-US" w:bidi="ar-SA"/>
      </w:rPr>
    </w:lvl>
    <w:lvl w:ilvl="3" w:tplc="B09847A6">
      <w:numFmt w:val="bullet"/>
      <w:lvlText w:val="•"/>
      <w:lvlJc w:val="left"/>
      <w:pPr>
        <w:ind w:left="3630" w:hanging="360"/>
      </w:pPr>
      <w:rPr>
        <w:rFonts w:hint="default"/>
        <w:lang w:val="en-US" w:eastAsia="en-US" w:bidi="ar-SA"/>
      </w:rPr>
    </w:lvl>
    <w:lvl w:ilvl="4" w:tplc="052A76D8">
      <w:numFmt w:val="bullet"/>
      <w:lvlText w:val="•"/>
      <w:lvlJc w:val="left"/>
      <w:pPr>
        <w:ind w:left="4807" w:hanging="360"/>
      </w:pPr>
      <w:rPr>
        <w:rFonts w:hint="default"/>
        <w:lang w:val="en-US" w:eastAsia="en-US" w:bidi="ar-SA"/>
      </w:rPr>
    </w:lvl>
    <w:lvl w:ilvl="5" w:tplc="A5509342">
      <w:numFmt w:val="bullet"/>
      <w:lvlText w:val="•"/>
      <w:lvlJc w:val="left"/>
      <w:pPr>
        <w:ind w:left="5984" w:hanging="360"/>
      </w:pPr>
      <w:rPr>
        <w:rFonts w:hint="default"/>
        <w:lang w:val="en-US" w:eastAsia="en-US" w:bidi="ar-SA"/>
      </w:rPr>
    </w:lvl>
    <w:lvl w:ilvl="6" w:tplc="E9B68936">
      <w:numFmt w:val="bullet"/>
      <w:lvlText w:val="•"/>
      <w:lvlJc w:val="left"/>
      <w:pPr>
        <w:ind w:left="7160" w:hanging="360"/>
      </w:pPr>
      <w:rPr>
        <w:rFonts w:hint="default"/>
        <w:lang w:val="en-US" w:eastAsia="en-US" w:bidi="ar-SA"/>
      </w:rPr>
    </w:lvl>
    <w:lvl w:ilvl="7" w:tplc="7D98B1E6">
      <w:numFmt w:val="bullet"/>
      <w:lvlText w:val="•"/>
      <w:lvlJc w:val="left"/>
      <w:pPr>
        <w:ind w:left="8337" w:hanging="360"/>
      </w:pPr>
      <w:rPr>
        <w:rFonts w:hint="default"/>
        <w:lang w:val="en-US" w:eastAsia="en-US" w:bidi="ar-SA"/>
      </w:rPr>
    </w:lvl>
    <w:lvl w:ilvl="8" w:tplc="5E22ABCA">
      <w:numFmt w:val="bullet"/>
      <w:lvlText w:val="•"/>
      <w:lvlJc w:val="left"/>
      <w:pPr>
        <w:ind w:left="9514" w:hanging="360"/>
      </w:pPr>
      <w:rPr>
        <w:rFonts w:hint="default"/>
        <w:lang w:val="en-US" w:eastAsia="en-US" w:bidi="ar-SA"/>
      </w:rPr>
    </w:lvl>
  </w:abstractNum>
  <w:abstractNum w:abstractNumId="9" w15:restartNumberingAfterBreak="0">
    <w:nsid w:val="2EEA0770"/>
    <w:multiLevelType w:val="hybridMultilevel"/>
    <w:tmpl w:val="1250E386"/>
    <w:lvl w:ilvl="0" w:tplc="15ACE782">
      <w:numFmt w:val="bullet"/>
      <w:lvlText w:val=""/>
      <w:lvlJc w:val="left"/>
      <w:pPr>
        <w:ind w:left="1259" w:hanging="360"/>
      </w:pPr>
      <w:rPr>
        <w:rFonts w:ascii="Symbol" w:eastAsia="Symbol" w:hAnsi="Symbol" w:cs="Symbol" w:hint="default"/>
        <w:b w:val="0"/>
        <w:bCs w:val="0"/>
        <w:i w:val="0"/>
        <w:iCs w:val="0"/>
        <w:spacing w:val="0"/>
        <w:w w:val="100"/>
        <w:sz w:val="24"/>
        <w:szCs w:val="24"/>
        <w:lang w:val="en-US" w:eastAsia="en-US" w:bidi="ar-SA"/>
      </w:rPr>
    </w:lvl>
    <w:lvl w:ilvl="1" w:tplc="F9560D24">
      <w:numFmt w:val="bullet"/>
      <w:lvlText w:val="•"/>
      <w:lvlJc w:val="left"/>
      <w:pPr>
        <w:ind w:left="2323" w:hanging="360"/>
      </w:pPr>
      <w:rPr>
        <w:rFonts w:hint="default"/>
        <w:lang w:val="en-US" w:eastAsia="en-US" w:bidi="ar-SA"/>
      </w:rPr>
    </w:lvl>
    <w:lvl w:ilvl="2" w:tplc="9A204ADA">
      <w:numFmt w:val="bullet"/>
      <w:lvlText w:val="•"/>
      <w:lvlJc w:val="left"/>
      <w:pPr>
        <w:ind w:left="3387" w:hanging="360"/>
      </w:pPr>
      <w:rPr>
        <w:rFonts w:hint="default"/>
        <w:lang w:val="en-US" w:eastAsia="en-US" w:bidi="ar-SA"/>
      </w:rPr>
    </w:lvl>
    <w:lvl w:ilvl="3" w:tplc="DB9A1D6C">
      <w:numFmt w:val="bullet"/>
      <w:lvlText w:val="•"/>
      <w:lvlJc w:val="left"/>
      <w:pPr>
        <w:ind w:left="4450" w:hanging="360"/>
      </w:pPr>
      <w:rPr>
        <w:rFonts w:hint="default"/>
        <w:lang w:val="en-US" w:eastAsia="en-US" w:bidi="ar-SA"/>
      </w:rPr>
    </w:lvl>
    <w:lvl w:ilvl="4" w:tplc="28209EF6">
      <w:numFmt w:val="bullet"/>
      <w:lvlText w:val="•"/>
      <w:lvlJc w:val="left"/>
      <w:pPr>
        <w:ind w:left="5514" w:hanging="360"/>
      </w:pPr>
      <w:rPr>
        <w:rFonts w:hint="default"/>
        <w:lang w:val="en-US" w:eastAsia="en-US" w:bidi="ar-SA"/>
      </w:rPr>
    </w:lvl>
    <w:lvl w:ilvl="5" w:tplc="C22CAF6C">
      <w:numFmt w:val="bullet"/>
      <w:lvlText w:val="•"/>
      <w:lvlJc w:val="left"/>
      <w:pPr>
        <w:ind w:left="6578" w:hanging="360"/>
      </w:pPr>
      <w:rPr>
        <w:rFonts w:hint="default"/>
        <w:lang w:val="en-US" w:eastAsia="en-US" w:bidi="ar-SA"/>
      </w:rPr>
    </w:lvl>
    <w:lvl w:ilvl="6" w:tplc="3F5C1464">
      <w:numFmt w:val="bullet"/>
      <w:lvlText w:val="•"/>
      <w:lvlJc w:val="left"/>
      <w:pPr>
        <w:ind w:left="7641" w:hanging="360"/>
      </w:pPr>
      <w:rPr>
        <w:rFonts w:hint="default"/>
        <w:lang w:val="en-US" w:eastAsia="en-US" w:bidi="ar-SA"/>
      </w:rPr>
    </w:lvl>
    <w:lvl w:ilvl="7" w:tplc="C0A872E8">
      <w:numFmt w:val="bullet"/>
      <w:lvlText w:val="•"/>
      <w:lvlJc w:val="left"/>
      <w:pPr>
        <w:ind w:left="8705" w:hanging="360"/>
      </w:pPr>
      <w:rPr>
        <w:rFonts w:hint="default"/>
        <w:lang w:val="en-US" w:eastAsia="en-US" w:bidi="ar-SA"/>
      </w:rPr>
    </w:lvl>
    <w:lvl w:ilvl="8" w:tplc="CEC4B4AE">
      <w:numFmt w:val="bullet"/>
      <w:lvlText w:val="•"/>
      <w:lvlJc w:val="left"/>
      <w:pPr>
        <w:ind w:left="9768" w:hanging="360"/>
      </w:pPr>
      <w:rPr>
        <w:rFonts w:hint="default"/>
        <w:lang w:val="en-US" w:eastAsia="en-US" w:bidi="ar-SA"/>
      </w:rPr>
    </w:lvl>
  </w:abstractNum>
  <w:abstractNum w:abstractNumId="10" w15:restartNumberingAfterBreak="0">
    <w:nsid w:val="2EEE10FE"/>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BD2207"/>
    <w:multiLevelType w:val="hybridMultilevel"/>
    <w:tmpl w:val="1F7E7B3A"/>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2" w15:restartNumberingAfterBreak="0">
    <w:nsid w:val="33532F40"/>
    <w:multiLevelType w:val="hybridMultilevel"/>
    <w:tmpl w:val="4A0E5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967C50"/>
    <w:multiLevelType w:val="multilevel"/>
    <w:tmpl w:val="FFFFFFFF"/>
    <w:lvl w:ilvl="0">
      <w:start w:val="1"/>
      <w:numFmt w:val="decimal"/>
      <w:lvlText w:val="%1."/>
      <w:lvlJc w:val="left"/>
      <w:pPr>
        <w:ind w:left="1080" w:hanging="360"/>
      </w:pPr>
      <w:rPr>
        <w:rFonts w:cs="Times New Roman"/>
        <w:spacing w:val="0"/>
        <w:w w:val="100"/>
      </w:rPr>
    </w:lvl>
    <w:lvl w:ilvl="1">
      <w:numFmt w:val="bullet"/>
      <w:lvlText w:val="•"/>
      <w:lvlJc w:val="left"/>
      <w:pPr>
        <w:ind w:left="2347" w:hanging="360"/>
      </w:pPr>
    </w:lvl>
    <w:lvl w:ilvl="2">
      <w:numFmt w:val="bullet"/>
      <w:lvlText w:val="•"/>
      <w:lvlJc w:val="left"/>
      <w:pPr>
        <w:ind w:left="3617" w:hanging="360"/>
      </w:pPr>
    </w:lvl>
    <w:lvl w:ilvl="3">
      <w:numFmt w:val="bullet"/>
      <w:lvlText w:val="•"/>
      <w:lvlJc w:val="left"/>
      <w:pPr>
        <w:ind w:left="4887" w:hanging="360"/>
      </w:pPr>
    </w:lvl>
    <w:lvl w:ilvl="4">
      <w:numFmt w:val="bullet"/>
      <w:lvlText w:val="•"/>
      <w:lvlJc w:val="left"/>
      <w:pPr>
        <w:ind w:left="6157" w:hanging="360"/>
      </w:pPr>
    </w:lvl>
    <w:lvl w:ilvl="5">
      <w:numFmt w:val="bullet"/>
      <w:lvlText w:val="•"/>
      <w:lvlJc w:val="left"/>
      <w:pPr>
        <w:ind w:left="7427" w:hanging="360"/>
      </w:pPr>
    </w:lvl>
    <w:lvl w:ilvl="6">
      <w:numFmt w:val="bullet"/>
      <w:lvlText w:val="•"/>
      <w:lvlJc w:val="left"/>
      <w:pPr>
        <w:ind w:left="8697" w:hanging="360"/>
      </w:pPr>
    </w:lvl>
    <w:lvl w:ilvl="7">
      <w:numFmt w:val="bullet"/>
      <w:lvlText w:val="•"/>
      <w:lvlJc w:val="left"/>
      <w:pPr>
        <w:ind w:left="9967" w:hanging="360"/>
      </w:pPr>
    </w:lvl>
    <w:lvl w:ilvl="8">
      <w:numFmt w:val="bullet"/>
      <w:lvlText w:val="•"/>
      <w:lvlJc w:val="left"/>
      <w:pPr>
        <w:ind w:left="11237" w:hanging="360"/>
      </w:pPr>
    </w:lvl>
  </w:abstractNum>
  <w:abstractNum w:abstractNumId="14" w15:restartNumberingAfterBreak="0">
    <w:nsid w:val="571A54A0"/>
    <w:multiLevelType w:val="hybridMultilevel"/>
    <w:tmpl w:val="66EE3194"/>
    <w:lvl w:ilvl="0" w:tplc="5012548C">
      <w:numFmt w:val="bullet"/>
      <w:lvlText w:val=""/>
      <w:lvlJc w:val="left"/>
      <w:pPr>
        <w:ind w:left="1259" w:hanging="360"/>
      </w:pPr>
      <w:rPr>
        <w:rFonts w:ascii="Symbol" w:eastAsia="Symbol" w:hAnsi="Symbol" w:cs="Symbol" w:hint="default"/>
        <w:b w:val="0"/>
        <w:bCs w:val="0"/>
        <w:i w:val="0"/>
        <w:iCs w:val="0"/>
        <w:spacing w:val="0"/>
        <w:w w:val="100"/>
        <w:sz w:val="24"/>
        <w:szCs w:val="24"/>
        <w:lang w:val="en-US" w:eastAsia="en-US" w:bidi="ar-SA"/>
      </w:rPr>
    </w:lvl>
    <w:lvl w:ilvl="1" w:tplc="FB8A631C">
      <w:numFmt w:val="bullet"/>
      <w:lvlText w:val="•"/>
      <w:lvlJc w:val="left"/>
      <w:pPr>
        <w:ind w:left="2323" w:hanging="360"/>
      </w:pPr>
      <w:rPr>
        <w:rFonts w:hint="default"/>
        <w:lang w:val="en-US" w:eastAsia="en-US" w:bidi="ar-SA"/>
      </w:rPr>
    </w:lvl>
    <w:lvl w:ilvl="2" w:tplc="A62EA774">
      <w:numFmt w:val="bullet"/>
      <w:lvlText w:val="•"/>
      <w:lvlJc w:val="left"/>
      <w:pPr>
        <w:ind w:left="3387" w:hanging="360"/>
      </w:pPr>
      <w:rPr>
        <w:rFonts w:hint="default"/>
        <w:lang w:val="en-US" w:eastAsia="en-US" w:bidi="ar-SA"/>
      </w:rPr>
    </w:lvl>
    <w:lvl w:ilvl="3" w:tplc="BBB21E4E">
      <w:numFmt w:val="bullet"/>
      <w:lvlText w:val="•"/>
      <w:lvlJc w:val="left"/>
      <w:pPr>
        <w:ind w:left="4450" w:hanging="360"/>
      </w:pPr>
      <w:rPr>
        <w:rFonts w:hint="default"/>
        <w:lang w:val="en-US" w:eastAsia="en-US" w:bidi="ar-SA"/>
      </w:rPr>
    </w:lvl>
    <w:lvl w:ilvl="4" w:tplc="059C97C4">
      <w:numFmt w:val="bullet"/>
      <w:lvlText w:val="•"/>
      <w:lvlJc w:val="left"/>
      <w:pPr>
        <w:ind w:left="5514" w:hanging="360"/>
      </w:pPr>
      <w:rPr>
        <w:rFonts w:hint="default"/>
        <w:lang w:val="en-US" w:eastAsia="en-US" w:bidi="ar-SA"/>
      </w:rPr>
    </w:lvl>
    <w:lvl w:ilvl="5" w:tplc="A5F663B6">
      <w:numFmt w:val="bullet"/>
      <w:lvlText w:val="•"/>
      <w:lvlJc w:val="left"/>
      <w:pPr>
        <w:ind w:left="6578" w:hanging="360"/>
      </w:pPr>
      <w:rPr>
        <w:rFonts w:hint="default"/>
        <w:lang w:val="en-US" w:eastAsia="en-US" w:bidi="ar-SA"/>
      </w:rPr>
    </w:lvl>
    <w:lvl w:ilvl="6" w:tplc="CD4EAA6A">
      <w:numFmt w:val="bullet"/>
      <w:lvlText w:val="•"/>
      <w:lvlJc w:val="left"/>
      <w:pPr>
        <w:ind w:left="7641" w:hanging="360"/>
      </w:pPr>
      <w:rPr>
        <w:rFonts w:hint="default"/>
        <w:lang w:val="en-US" w:eastAsia="en-US" w:bidi="ar-SA"/>
      </w:rPr>
    </w:lvl>
    <w:lvl w:ilvl="7" w:tplc="2EEEEA18">
      <w:numFmt w:val="bullet"/>
      <w:lvlText w:val="•"/>
      <w:lvlJc w:val="left"/>
      <w:pPr>
        <w:ind w:left="8705" w:hanging="360"/>
      </w:pPr>
      <w:rPr>
        <w:rFonts w:hint="default"/>
        <w:lang w:val="en-US" w:eastAsia="en-US" w:bidi="ar-SA"/>
      </w:rPr>
    </w:lvl>
    <w:lvl w:ilvl="8" w:tplc="3F642B30">
      <w:numFmt w:val="bullet"/>
      <w:lvlText w:val="•"/>
      <w:lvlJc w:val="left"/>
      <w:pPr>
        <w:ind w:left="9768" w:hanging="360"/>
      </w:pPr>
      <w:rPr>
        <w:rFonts w:hint="default"/>
        <w:lang w:val="en-US" w:eastAsia="en-US" w:bidi="ar-SA"/>
      </w:rPr>
    </w:lvl>
  </w:abstractNum>
  <w:abstractNum w:abstractNumId="15"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B911674"/>
    <w:multiLevelType w:val="hybridMultilevel"/>
    <w:tmpl w:val="3C40AC34"/>
    <w:lvl w:ilvl="0" w:tplc="BF2A3E50">
      <w:numFmt w:val="bullet"/>
      <w:lvlText w:val=""/>
      <w:lvlJc w:val="left"/>
      <w:pPr>
        <w:ind w:left="1230" w:hanging="360"/>
      </w:pPr>
      <w:rPr>
        <w:rFonts w:ascii="Symbol" w:eastAsia="Symbol" w:hAnsi="Symbol" w:cs="Symbol" w:hint="default"/>
        <w:b w:val="0"/>
        <w:bCs w:val="0"/>
        <w:i w:val="0"/>
        <w:iCs w:val="0"/>
        <w:spacing w:val="0"/>
        <w:w w:val="100"/>
        <w:sz w:val="24"/>
        <w:szCs w:val="24"/>
        <w:lang w:val="en-US" w:eastAsia="en-US" w:bidi="ar-SA"/>
      </w:rPr>
    </w:lvl>
    <w:lvl w:ilvl="1" w:tplc="D8887C9A">
      <w:numFmt w:val="bullet"/>
      <w:lvlText w:val="•"/>
      <w:lvlJc w:val="left"/>
      <w:pPr>
        <w:ind w:left="2305" w:hanging="360"/>
      </w:pPr>
      <w:rPr>
        <w:rFonts w:hint="default"/>
        <w:lang w:val="en-US" w:eastAsia="en-US" w:bidi="ar-SA"/>
      </w:rPr>
    </w:lvl>
    <w:lvl w:ilvl="2" w:tplc="A5A2D944">
      <w:numFmt w:val="bullet"/>
      <w:lvlText w:val="•"/>
      <w:lvlJc w:val="left"/>
      <w:pPr>
        <w:ind w:left="3371" w:hanging="360"/>
      </w:pPr>
      <w:rPr>
        <w:rFonts w:hint="default"/>
        <w:lang w:val="en-US" w:eastAsia="en-US" w:bidi="ar-SA"/>
      </w:rPr>
    </w:lvl>
    <w:lvl w:ilvl="3" w:tplc="8754127A">
      <w:numFmt w:val="bullet"/>
      <w:lvlText w:val="•"/>
      <w:lvlJc w:val="left"/>
      <w:pPr>
        <w:ind w:left="4436" w:hanging="360"/>
      </w:pPr>
      <w:rPr>
        <w:rFonts w:hint="default"/>
        <w:lang w:val="en-US" w:eastAsia="en-US" w:bidi="ar-SA"/>
      </w:rPr>
    </w:lvl>
    <w:lvl w:ilvl="4" w:tplc="22AEF97E">
      <w:numFmt w:val="bullet"/>
      <w:lvlText w:val="•"/>
      <w:lvlJc w:val="left"/>
      <w:pPr>
        <w:ind w:left="5502" w:hanging="360"/>
      </w:pPr>
      <w:rPr>
        <w:rFonts w:hint="default"/>
        <w:lang w:val="en-US" w:eastAsia="en-US" w:bidi="ar-SA"/>
      </w:rPr>
    </w:lvl>
    <w:lvl w:ilvl="5" w:tplc="D7F8C58C">
      <w:numFmt w:val="bullet"/>
      <w:lvlText w:val="•"/>
      <w:lvlJc w:val="left"/>
      <w:pPr>
        <w:ind w:left="6568" w:hanging="360"/>
      </w:pPr>
      <w:rPr>
        <w:rFonts w:hint="default"/>
        <w:lang w:val="en-US" w:eastAsia="en-US" w:bidi="ar-SA"/>
      </w:rPr>
    </w:lvl>
    <w:lvl w:ilvl="6" w:tplc="FF3C6B84">
      <w:numFmt w:val="bullet"/>
      <w:lvlText w:val="•"/>
      <w:lvlJc w:val="left"/>
      <w:pPr>
        <w:ind w:left="7633" w:hanging="360"/>
      </w:pPr>
      <w:rPr>
        <w:rFonts w:hint="default"/>
        <w:lang w:val="en-US" w:eastAsia="en-US" w:bidi="ar-SA"/>
      </w:rPr>
    </w:lvl>
    <w:lvl w:ilvl="7" w:tplc="1988E780">
      <w:numFmt w:val="bullet"/>
      <w:lvlText w:val="•"/>
      <w:lvlJc w:val="left"/>
      <w:pPr>
        <w:ind w:left="8699" w:hanging="360"/>
      </w:pPr>
      <w:rPr>
        <w:rFonts w:hint="default"/>
        <w:lang w:val="en-US" w:eastAsia="en-US" w:bidi="ar-SA"/>
      </w:rPr>
    </w:lvl>
    <w:lvl w:ilvl="8" w:tplc="B7A0F0D0">
      <w:numFmt w:val="bullet"/>
      <w:lvlText w:val="•"/>
      <w:lvlJc w:val="left"/>
      <w:pPr>
        <w:ind w:left="9764" w:hanging="360"/>
      </w:pPr>
      <w:rPr>
        <w:rFonts w:hint="default"/>
        <w:lang w:val="en-US" w:eastAsia="en-US" w:bidi="ar-SA"/>
      </w:rPr>
    </w:lvl>
  </w:abstractNum>
  <w:abstractNum w:abstractNumId="17" w15:restartNumberingAfterBreak="0">
    <w:nsid w:val="6F6A077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517581"/>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98148E"/>
    <w:multiLevelType w:val="hybridMultilevel"/>
    <w:tmpl w:val="80B42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493264">
    <w:abstractNumId w:val="15"/>
  </w:num>
  <w:num w:numId="2" w16cid:durableId="1779061731">
    <w:abstractNumId w:val="11"/>
  </w:num>
  <w:num w:numId="3" w16cid:durableId="1412391295">
    <w:abstractNumId w:val="5"/>
  </w:num>
  <w:num w:numId="4" w16cid:durableId="656156539">
    <w:abstractNumId w:val="18"/>
  </w:num>
  <w:num w:numId="5" w16cid:durableId="1140878520">
    <w:abstractNumId w:val="4"/>
  </w:num>
  <w:num w:numId="6" w16cid:durableId="1913392978">
    <w:abstractNumId w:val="6"/>
  </w:num>
  <w:num w:numId="7" w16cid:durableId="50734988">
    <w:abstractNumId w:val="10"/>
  </w:num>
  <w:num w:numId="8" w16cid:durableId="1801146547">
    <w:abstractNumId w:val="3"/>
  </w:num>
  <w:num w:numId="9" w16cid:durableId="579146610">
    <w:abstractNumId w:val="2"/>
  </w:num>
  <w:num w:numId="10" w16cid:durableId="805196985">
    <w:abstractNumId w:val="1"/>
  </w:num>
  <w:num w:numId="11" w16cid:durableId="44722367">
    <w:abstractNumId w:val="0"/>
  </w:num>
  <w:num w:numId="12" w16cid:durableId="888423350">
    <w:abstractNumId w:val="17"/>
  </w:num>
  <w:num w:numId="13" w16cid:durableId="1496993294">
    <w:abstractNumId w:val="13"/>
  </w:num>
  <w:num w:numId="14" w16cid:durableId="894394695">
    <w:abstractNumId w:val="9"/>
  </w:num>
  <w:num w:numId="15" w16cid:durableId="570504077">
    <w:abstractNumId w:val="16"/>
  </w:num>
  <w:num w:numId="16" w16cid:durableId="1015812314">
    <w:abstractNumId w:val="14"/>
  </w:num>
  <w:num w:numId="17" w16cid:durableId="1053887637">
    <w:abstractNumId w:val="8"/>
  </w:num>
  <w:num w:numId="18" w16cid:durableId="1415280985">
    <w:abstractNumId w:val="7"/>
  </w:num>
  <w:num w:numId="19" w16cid:durableId="1971275921">
    <w:abstractNumId w:val="12"/>
  </w:num>
  <w:num w:numId="20" w16cid:durableId="170829295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481"/>
    <w:rsid w:val="000023DA"/>
    <w:rsid w:val="000027A4"/>
    <w:rsid w:val="00004929"/>
    <w:rsid w:val="00005C26"/>
    <w:rsid w:val="000067A4"/>
    <w:rsid w:val="00007C8C"/>
    <w:rsid w:val="00011575"/>
    <w:rsid w:val="00014E52"/>
    <w:rsid w:val="00014F2C"/>
    <w:rsid w:val="000171EF"/>
    <w:rsid w:val="00026071"/>
    <w:rsid w:val="00031D5F"/>
    <w:rsid w:val="00034AE6"/>
    <w:rsid w:val="00035413"/>
    <w:rsid w:val="000378CC"/>
    <w:rsid w:val="00041EC2"/>
    <w:rsid w:val="000427AA"/>
    <w:rsid w:val="00044882"/>
    <w:rsid w:val="00046EF0"/>
    <w:rsid w:val="00050B03"/>
    <w:rsid w:val="00050B8A"/>
    <w:rsid w:val="00050BF8"/>
    <w:rsid w:val="00050EE9"/>
    <w:rsid w:val="0005334C"/>
    <w:rsid w:val="00057C77"/>
    <w:rsid w:val="00057F73"/>
    <w:rsid w:val="0006046B"/>
    <w:rsid w:val="00060535"/>
    <w:rsid w:val="0006104A"/>
    <w:rsid w:val="0006596C"/>
    <w:rsid w:val="00066093"/>
    <w:rsid w:val="00066A46"/>
    <w:rsid w:val="00067FA5"/>
    <w:rsid w:val="000706AC"/>
    <w:rsid w:val="00072BF5"/>
    <w:rsid w:val="0007307E"/>
    <w:rsid w:val="00074BB2"/>
    <w:rsid w:val="00075ECD"/>
    <w:rsid w:val="000802AD"/>
    <w:rsid w:val="0008381A"/>
    <w:rsid w:val="00083BE5"/>
    <w:rsid w:val="000841B0"/>
    <w:rsid w:val="00084687"/>
    <w:rsid w:val="000853D4"/>
    <w:rsid w:val="00086F87"/>
    <w:rsid w:val="0009038A"/>
    <w:rsid w:val="00090773"/>
    <w:rsid w:val="00091C39"/>
    <w:rsid w:val="00091DD0"/>
    <w:rsid w:val="00091E82"/>
    <w:rsid w:val="00094B2B"/>
    <w:rsid w:val="000A1410"/>
    <w:rsid w:val="000A1AFB"/>
    <w:rsid w:val="000A2153"/>
    <w:rsid w:val="000A3196"/>
    <w:rsid w:val="000A3913"/>
    <w:rsid w:val="000B028C"/>
    <w:rsid w:val="000B1B6C"/>
    <w:rsid w:val="000B45FD"/>
    <w:rsid w:val="000B4661"/>
    <w:rsid w:val="000B4F53"/>
    <w:rsid w:val="000B5239"/>
    <w:rsid w:val="000B56D0"/>
    <w:rsid w:val="000B634A"/>
    <w:rsid w:val="000C1239"/>
    <w:rsid w:val="000C2770"/>
    <w:rsid w:val="000C5A4C"/>
    <w:rsid w:val="000C68BF"/>
    <w:rsid w:val="000D1F9C"/>
    <w:rsid w:val="000D39D8"/>
    <w:rsid w:val="000D4AB1"/>
    <w:rsid w:val="000D4ACB"/>
    <w:rsid w:val="000E1D9C"/>
    <w:rsid w:val="000E2235"/>
    <w:rsid w:val="000E2800"/>
    <w:rsid w:val="000E2868"/>
    <w:rsid w:val="000E366D"/>
    <w:rsid w:val="000E3A3C"/>
    <w:rsid w:val="000E638F"/>
    <w:rsid w:val="000E67D0"/>
    <w:rsid w:val="000F1D60"/>
    <w:rsid w:val="000F24F0"/>
    <w:rsid w:val="000F454E"/>
    <w:rsid w:val="001015A1"/>
    <w:rsid w:val="00101951"/>
    <w:rsid w:val="00104370"/>
    <w:rsid w:val="00104734"/>
    <w:rsid w:val="00105B94"/>
    <w:rsid w:val="00106679"/>
    <w:rsid w:val="00106C47"/>
    <w:rsid w:val="00106EB4"/>
    <w:rsid w:val="00107B9D"/>
    <w:rsid w:val="00107BCD"/>
    <w:rsid w:val="00111982"/>
    <w:rsid w:val="001123B9"/>
    <w:rsid w:val="00114896"/>
    <w:rsid w:val="001172D4"/>
    <w:rsid w:val="001173B5"/>
    <w:rsid w:val="00117D67"/>
    <w:rsid w:val="00120452"/>
    <w:rsid w:val="001205A6"/>
    <w:rsid w:val="00125046"/>
    <w:rsid w:val="00125C39"/>
    <w:rsid w:val="0012645E"/>
    <w:rsid w:val="00126A88"/>
    <w:rsid w:val="00131244"/>
    <w:rsid w:val="00135356"/>
    <w:rsid w:val="00135C30"/>
    <w:rsid w:val="00137B80"/>
    <w:rsid w:val="0014068F"/>
    <w:rsid w:val="00141DEF"/>
    <w:rsid w:val="001425F7"/>
    <w:rsid w:val="001433AF"/>
    <w:rsid w:val="001434E8"/>
    <w:rsid w:val="001446F6"/>
    <w:rsid w:val="001459BF"/>
    <w:rsid w:val="00145F90"/>
    <w:rsid w:val="001463DE"/>
    <w:rsid w:val="00150C14"/>
    <w:rsid w:val="00150DBB"/>
    <w:rsid w:val="00152192"/>
    <w:rsid w:val="00157A3F"/>
    <w:rsid w:val="00160502"/>
    <w:rsid w:val="00160EDF"/>
    <w:rsid w:val="001615C7"/>
    <w:rsid w:val="00165B10"/>
    <w:rsid w:val="00173049"/>
    <w:rsid w:val="00175A75"/>
    <w:rsid w:val="00175B23"/>
    <w:rsid w:val="00177475"/>
    <w:rsid w:val="001774F2"/>
    <w:rsid w:val="00177B78"/>
    <w:rsid w:val="00181117"/>
    <w:rsid w:val="00181AB9"/>
    <w:rsid w:val="001826C5"/>
    <w:rsid w:val="001833B4"/>
    <w:rsid w:val="001837C3"/>
    <w:rsid w:val="00186185"/>
    <w:rsid w:val="00187BBF"/>
    <w:rsid w:val="00190E17"/>
    <w:rsid w:val="001917EB"/>
    <w:rsid w:val="00191E69"/>
    <w:rsid w:val="00193952"/>
    <w:rsid w:val="00196BD3"/>
    <w:rsid w:val="00196BDE"/>
    <w:rsid w:val="001970F5"/>
    <w:rsid w:val="001A0831"/>
    <w:rsid w:val="001A149D"/>
    <w:rsid w:val="001A1F0E"/>
    <w:rsid w:val="001A72C5"/>
    <w:rsid w:val="001B1F60"/>
    <w:rsid w:val="001B208C"/>
    <w:rsid w:val="001B255C"/>
    <w:rsid w:val="001B7F6F"/>
    <w:rsid w:val="001C3A27"/>
    <w:rsid w:val="001C3F88"/>
    <w:rsid w:val="001C75C1"/>
    <w:rsid w:val="001D0C6E"/>
    <w:rsid w:val="001D274E"/>
    <w:rsid w:val="001D2C8C"/>
    <w:rsid w:val="001D3B29"/>
    <w:rsid w:val="001D4674"/>
    <w:rsid w:val="001D4799"/>
    <w:rsid w:val="001D6A34"/>
    <w:rsid w:val="001D79C4"/>
    <w:rsid w:val="001E0CC8"/>
    <w:rsid w:val="001E3774"/>
    <w:rsid w:val="001E4E27"/>
    <w:rsid w:val="001E54C9"/>
    <w:rsid w:val="001E6C0C"/>
    <w:rsid w:val="001F1589"/>
    <w:rsid w:val="001F1C7C"/>
    <w:rsid w:val="001F2E5A"/>
    <w:rsid w:val="001F471E"/>
    <w:rsid w:val="001F7595"/>
    <w:rsid w:val="001F7BAD"/>
    <w:rsid w:val="002013D1"/>
    <w:rsid w:val="00202974"/>
    <w:rsid w:val="00203108"/>
    <w:rsid w:val="002039C0"/>
    <w:rsid w:val="00206AF3"/>
    <w:rsid w:val="00207E1C"/>
    <w:rsid w:val="00212F61"/>
    <w:rsid w:val="00217FD7"/>
    <w:rsid w:val="002209C8"/>
    <w:rsid w:val="00220B05"/>
    <w:rsid w:val="002220B3"/>
    <w:rsid w:val="002225C5"/>
    <w:rsid w:val="002313AC"/>
    <w:rsid w:val="00231C16"/>
    <w:rsid w:val="002323A3"/>
    <w:rsid w:val="00236601"/>
    <w:rsid w:val="00237CDC"/>
    <w:rsid w:val="00241C42"/>
    <w:rsid w:val="0025199A"/>
    <w:rsid w:val="002546D0"/>
    <w:rsid w:val="0025550D"/>
    <w:rsid w:val="00257443"/>
    <w:rsid w:val="00263161"/>
    <w:rsid w:val="0026377A"/>
    <w:rsid w:val="002647B9"/>
    <w:rsid w:val="00266788"/>
    <w:rsid w:val="002676FE"/>
    <w:rsid w:val="00270C5B"/>
    <w:rsid w:val="0027106D"/>
    <w:rsid w:val="00272926"/>
    <w:rsid w:val="00272FAB"/>
    <w:rsid w:val="0027771C"/>
    <w:rsid w:val="00282BBF"/>
    <w:rsid w:val="00283226"/>
    <w:rsid w:val="00283254"/>
    <w:rsid w:val="002838D5"/>
    <w:rsid w:val="00284762"/>
    <w:rsid w:val="00284E14"/>
    <w:rsid w:val="00286947"/>
    <w:rsid w:val="00287374"/>
    <w:rsid w:val="0028752B"/>
    <w:rsid w:val="002879F9"/>
    <w:rsid w:val="00290453"/>
    <w:rsid w:val="00290E3D"/>
    <w:rsid w:val="002940A2"/>
    <w:rsid w:val="00294202"/>
    <w:rsid w:val="0029427B"/>
    <w:rsid w:val="00296BCA"/>
    <w:rsid w:val="0029763F"/>
    <w:rsid w:val="002A0596"/>
    <w:rsid w:val="002A0E65"/>
    <w:rsid w:val="002A2B29"/>
    <w:rsid w:val="002A32E7"/>
    <w:rsid w:val="002A466E"/>
    <w:rsid w:val="002A728B"/>
    <w:rsid w:val="002A7BA0"/>
    <w:rsid w:val="002B0695"/>
    <w:rsid w:val="002B1984"/>
    <w:rsid w:val="002B73A2"/>
    <w:rsid w:val="002C2130"/>
    <w:rsid w:val="002C2E42"/>
    <w:rsid w:val="002C2F1A"/>
    <w:rsid w:val="002C2F57"/>
    <w:rsid w:val="002C3862"/>
    <w:rsid w:val="002C4F89"/>
    <w:rsid w:val="002C5AD9"/>
    <w:rsid w:val="002D0603"/>
    <w:rsid w:val="002D0B8A"/>
    <w:rsid w:val="002D2DD6"/>
    <w:rsid w:val="002D322E"/>
    <w:rsid w:val="002D32D6"/>
    <w:rsid w:val="002D3764"/>
    <w:rsid w:val="002D460B"/>
    <w:rsid w:val="002D579F"/>
    <w:rsid w:val="002D6557"/>
    <w:rsid w:val="002E52FB"/>
    <w:rsid w:val="002E5308"/>
    <w:rsid w:val="002E564C"/>
    <w:rsid w:val="002E602D"/>
    <w:rsid w:val="002E65BD"/>
    <w:rsid w:val="002E7B69"/>
    <w:rsid w:val="002E7C4A"/>
    <w:rsid w:val="002F0CCB"/>
    <w:rsid w:val="002F2A96"/>
    <w:rsid w:val="002F2DB3"/>
    <w:rsid w:val="002F31AC"/>
    <w:rsid w:val="002F48E4"/>
    <w:rsid w:val="002F7907"/>
    <w:rsid w:val="002F79BE"/>
    <w:rsid w:val="00301C1B"/>
    <w:rsid w:val="00302144"/>
    <w:rsid w:val="0030606D"/>
    <w:rsid w:val="00306BA2"/>
    <w:rsid w:val="00307BF1"/>
    <w:rsid w:val="00307F8D"/>
    <w:rsid w:val="00311E29"/>
    <w:rsid w:val="0031200C"/>
    <w:rsid w:val="00312DA1"/>
    <w:rsid w:val="003145C7"/>
    <w:rsid w:val="00315385"/>
    <w:rsid w:val="00315675"/>
    <w:rsid w:val="00315FC2"/>
    <w:rsid w:val="003220B1"/>
    <w:rsid w:val="003223F8"/>
    <w:rsid w:val="003245F2"/>
    <w:rsid w:val="0032633A"/>
    <w:rsid w:val="00331208"/>
    <w:rsid w:val="003316F3"/>
    <w:rsid w:val="00331822"/>
    <w:rsid w:val="00331878"/>
    <w:rsid w:val="003326BE"/>
    <w:rsid w:val="003330BE"/>
    <w:rsid w:val="003334B6"/>
    <w:rsid w:val="00334D30"/>
    <w:rsid w:val="00337A67"/>
    <w:rsid w:val="00342CAB"/>
    <w:rsid w:val="00346383"/>
    <w:rsid w:val="00346F6D"/>
    <w:rsid w:val="003477A8"/>
    <w:rsid w:val="00347C2A"/>
    <w:rsid w:val="00351B54"/>
    <w:rsid w:val="00352D71"/>
    <w:rsid w:val="00354898"/>
    <w:rsid w:val="003550B0"/>
    <w:rsid w:val="003564D1"/>
    <w:rsid w:val="0036597D"/>
    <w:rsid w:val="00365FDF"/>
    <w:rsid w:val="00367C57"/>
    <w:rsid w:val="00367E9E"/>
    <w:rsid w:val="003700BC"/>
    <w:rsid w:val="00370D1B"/>
    <w:rsid w:val="00372C40"/>
    <w:rsid w:val="00372C51"/>
    <w:rsid w:val="003743A7"/>
    <w:rsid w:val="00375ED2"/>
    <w:rsid w:val="003761E5"/>
    <w:rsid w:val="003762A4"/>
    <w:rsid w:val="00377D92"/>
    <w:rsid w:val="00383796"/>
    <w:rsid w:val="00385AD3"/>
    <w:rsid w:val="0038711E"/>
    <w:rsid w:val="003876D2"/>
    <w:rsid w:val="003912D6"/>
    <w:rsid w:val="003913DB"/>
    <w:rsid w:val="00392BEB"/>
    <w:rsid w:val="00393821"/>
    <w:rsid w:val="003948B9"/>
    <w:rsid w:val="003953BA"/>
    <w:rsid w:val="00395F6D"/>
    <w:rsid w:val="00397C0C"/>
    <w:rsid w:val="003A1573"/>
    <w:rsid w:val="003A27C4"/>
    <w:rsid w:val="003A5A87"/>
    <w:rsid w:val="003B1BD7"/>
    <w:rsid w:val="003B3B33"/>
    <w:rsid w:val="003B442C"/>
    <w:rsid w:val="003B4F5C"/>
    <w:rsid w:val="003B6E5E"/>
    <w:rsid w:val="003C3218"/>
    <w:rsid w:val="003C3859"/>
    <w:rsid w:val="003C56EC"/>
    <w:rsid w:val="003D02BA"/>
    <w:rsid w:val="003D308A"/>
    <w:rsid w:val="003D5C43"/>
    <w:rsid w:val="003E047A"/>
    <w:rsid w:val="003E29FD"/>
    <w:rsid w:val="003E3A2E"/>
    <w:rsid w:val="003E60AA"/>
    <w:rsid w:val="003F2273"/>
    <w:rsid w:val="003F33A3"/>
    <w:rsid w:val="003F341C"/>
    <w:rsid w:val="003F4090"/>
    <w:rsid w:val="003F7481"/>
    <w:rsid w:val="003F7D3A"/>
    <w:rsid w:val="00400CEB"/>
    <w:rsid w:val="00401C3E"/>
    <w:rsid w:val="00404C31"/>
    <w:rsid w:val="004055B5"/>
    <w:rsid w:val="004106B3"/>
    <w:rsid w:val="00411ECA"/>
    <w:rsid w:val="004137CE"/>
    <w:rsid w:val="00415389"/>
    <w:rsid w:val="00415FFD"/>
    <w:rsid w:val="00417C86"/>
    <w:rsid w:val="0042101E"/>
    <w:rsid w:val="00423332"/>
    <w:rsid w:val="00426FD2"/>
    <w:rsid w:val="00433B52"/>
    <w:rsid w:val="00437797"/>
    <w:rsid w:val="004520D1"/>
    <w:rsid w:val="0045376B"/>
    <w:rsid w:val="0045464D"/>
    <w:rsid w:val="00454852"/>
    <w:rsid w:val="00457D97"/>
    <w:rsid w:val="0046138B"/>
    <w:rsid w:val="0046326C"/>
    <w:rsid w:val="00464DA6"/>
    <w:rsid w:val="004665B1"/>
    <w:rsid w:val="004670E3"/>
    <w:rsid w:val="00467E17"/>
    <w:rsid w:val="00470753"/>
    <w:rsid w:val="0047246A"/>
    <w:rsid w:val="0047446E"/>
    <w:rsid w:val="00475FBD"/>
    <w:rsid w:val="00480D98"/>
    <w:rsid w:val="00482151"/>
    <w:rsid w:val="004822AD"/>
    <w:rsid w:val="00487398"/>
    <w:rsid w:val="00487F5F"/>
    <w:rsid w:val="00490430"/>
    <w:rsid w:val="0049264A"/>
    <w:rsid w:val="004936FB"/>
    <w:rsid w:val="00495415"/>
    <w:rsid w:val="00496282"/>
    <w:rsid w:val="00496BEE"/>
    <w:rsid w:val="00497371"/>
    <w:rsid w:val="00497483"/>
    <w:rsid w:val="00497C3E"/>
    <w:rsid w:val="004A0D39"/>
    <w:rsid w:val="004A2CF3"/>
    <w:rsid w:val="004A358D"/>
    <w:rsid w:val="004A4D79"/>
    <w:rsid w:val="004A62A0"/>
    <w:rsid w:val="004B068E"/>
    <w:rsid w:val="004B0C4E"/>
    <w:rsid w:val="004B0C9A"/>
    <w:rsid w:val="004B12EE"/>
    <w:rsid w:val="004B2E15"/>
    <w:rsid w:val="004B3DC2"/>
    <w:rsid w:val="004B4B98"/>
    <w:rsid w:val="004B599A"/>
    <w:rsid w:val="004B7090"/>
    <w:rsid w:val="004B7BB8"/>
    <w:rsid w:val="004C33CA"/>
    <w:rsid w:val="004C33DE"/>
    <w:rsid w:val="004C52D3"/>
    <w:rsid w:val="004C68C2"/>
    <w:rsid w:val="004C706C"/>
    <w:rsid w:val="004D0185"/>
    <w:rsid w:val="004D055D"/>
    <w:rsid w:val="004D05B8"/>
    <w:rsid w:val="004D1875"/>
    <w:rsid w:val="004D43CF"/>
    <w:rsid w:val="004D4761"/>
    <w:rsid w:val="004D595B"/>
    <w:rsid w:val="004D5EE2"/>
    <w:rsid w:val="004D77B3"/>
    <w:rsid w:val="004D7804"/>
    <w:rsid w:val="004E0049"/>
    <w:rsid w:val="004E1A18"/>
    <w:rsid w:val="004E1E04"/>
    <w:rsid w:val="004E3B34"/>
    <w:rsid w:val="004E42C7"/>
    <w:rsid w:val="004E526A"/>
    <w:rsid w:val="004E6367"/>
    <w:rsid w:val="004F0B30"/>
    <w:rsid w:val="004F2FCB"/>
    <w:rsid w:val="004F73C6"/>
    <w:rsid w:val="004F73E3"/>
    <w:rsid w:val="004F73F4"/>
    <w:rsid w:val="005016C9"/>
    <w:rsid w:val="005033AB"/>
    <w:rsid w:val="00513540"/>
    <w:rsid w:val="00515F4F"/>
    <w:rsid w:val="00523664"/>
    <w:rsid w:val="00523CF1"/>
    <w:rsid w:val="00526D81"/>
    <w:rsid w:val="00526D86"/>
    <w:rsid w:val="00527848"/>
    <w:rsid w:val="00527C8C"/>
    <w:rsid w:val="0053322E"/>
    <w:rsid w:val="00533377"/>
    <w:rsid w:val="005333BA"/>
    <w:rsid w:val="005373CC"/>
    <w:rsid w:val="005407BE"/>
    <w:rsid w:val="00540E8E"/>
    <w:rsid w:val="00541379"/>
    <w:rsid w:val="00542BCC"/>
    <w:rsid w:val="00544772"/>
    <w:rsid w:val="00545549"/>
    <w:rsid w:val="00545F8E"/>
    <w:rsid w:val="00546E02"/>
    <w:rsid w:val="00547595"/>
    <w:rsid w:val="00552ED1"/>
    <w:rsid w:val="00553AA8"/>
    <w:rsid w:val="00554B0F"/>
    <w:rsid w:val="0056002A"/>
    <w:rsid w:val="00560729"/>
    <w:rsid w:val="00564D43"/>
    <w:rsid w:val="0056748A"/>
    <w:rsid w:val="00567C9A"/>
    <w:rsid w:val="00574EC7"/>
    <w:rsid w:val="005801E0"/>
    <w:rsid w:val="00580AF1"/>
    <w:rsid w:val="00580BFE"/>
    <w:rsid w:val="0058328D"/>
    <w:rsid w:val="00585E11"/>
    <w:rsid w:val="005909E8"/>
    <w:rsid w:val="00590F5B"/>
    <w:rsid w:val="00590F8F"/>
    <w:rsid w:val="0059470B"/>
    <w:rsid w:val="00594975"/>
    <w:rsid w:val="00595E5D"/>
    <w:rsid w:val="005A1A70"/>
    <w:rsid w:val="005A2DD8"/>
    <w:rsid w:val="005A3FCE"/>
    <w:rsid w:val="005A4851"/>
    <w:rsid w:val="005A5DA3"/>
    <w:rsid w:val="005A5FC3"/>
    <w:rsid w:val="005A619D"/>
    <w:rsid w:val="005A68FD"/>
    <w:rsid w:val="005A69E7"/>
    <w:rsid w:val="005A6AD2"/>
    <w:rsid w:val="005A75E9"/>
    <w:rsid w:val="005B3F45"/>
    <w:rsid w:val="005B7138"/>
    <w:rsid w:val="005C06C8"/>
    <w:rsid w:val="005C16F8"/>
    <w:rsid w:val="005C19FD"/>
    <w:rsid w:val="005C1A93"/>
    <w:rsid w:val="005C3A53"/>
    <w:rsid w:val="005C3C3E"/>
    <w:rsid w:val="005C6183"/>
    <w:rsid w:val="005C7673"/>
    <w:rsid w:val="005D00F7"/>
    <w:rsid w:val="005D04E9"/>
    <w:rsid w:val="005D1C21"/>
    <w:rsid w:val="005D3C51"/>
    <w:rsid w:val="005D47B9"/>
    <w:rsid w:val="005D56D5"/>
    <w:rsid w:val="005D72E6"/>
    <w:rsid w:val="005D7FEE"/>
    <w:rsid w:val="005E03B9"/>
    <w:rsid w:val="005E08D5"/>
    <w:rsid w:val="005E0FA3"/>
    <w:rsid w:val="005E1829"/>
    <w:rsid w:val="005E444F"/>
    <w:rsid w:val="005E5289"/>
    <w:rsid w:val="005E5D07"/>
    <w:rsid w:val="005E7B65"/>
    <w:rsid w:val="005F13DF"/>
    <w:rsid w:val="005F2AE7"/>
    <w:rsid w:val="005F438A"/>
    <w:rsid w:val="005F6FA9"/>
    <w:rsid w:val="00600D96"/>
    <w:rsid w:val="0060474A"/>
    <w:rsid w:val="0061190F"/>
    <w:rsid w:val="00613286"/>
    <w:rsid w:val="0061788E"/>
    <w:rsid w:val="006202AF"/>
    <w:rsid w:val="00620DC8"/>
    <w:rsid w:val="0062155C"/>
    <w:rsid w:val="00621735"/>
    <w:rsid w:val="0062388D"/>
    <w:rsid w:val="006239F8"/>
    <w:rsid w:val="00623C6B"/>
    <w:rsid w:val="006267C3"/>
    <w:rsid w:val="0063162A"/>
    <w:rsid w:val="00632D14"/>
    <w:rsid w:val="00633044"/>
    <w:rsid w:val="0063308C"/>
    <w:rsid w:val="00633FF7"/>
    <w:rsid w:val="00634244"/>
    <w:rsid w:val="00635F73"/>
    <w:rsid w:val="006361D9"/>
    <w:rsid w:val="00636B72"/>
    <w:rsid w:val="00637285"/>
    <w:rsid w:val="006417A4"/>
    <w:rsid w:val="00641DA6"/>
    <w:rsid w:val="006427FE"/>
    <w:rsid w:val="0064397B"/>
    <w:rsid w:val="00643AE3"/>
    <w:rsid w:val="00654B4A"/>
    <w:rsid w:val="00657CB1"/>
    <w:rsid w:val="0066380D"/>
    <w:rsid w:val="00664763"/>
    <w:rsid w:val="00665523"/>
    <w:rsid w:val="006666D0"/>
    <w:rsid w:val="00672515"/>
    <w:rsid w:val="00672D86"/>
    <w:rsid w:val="00672E9A"/>
    <w:rsid w:val="00674C34"/>
    <w:rsid w:val="00683D32"/>
    <w:rsid w:val="006848BC"/>
    <w:rsid w:val="00685547"/>
    <w:rsid w:val="00685BD2"/>
    <w:rsid w:val="006871CA"/>
    <w:rsid w:val="00690765"/>
    <w:rsid w:val="00690E83"/>
    <w:rsid w:val="00692F2A"/>
    <w:rsid w:val="00696D03"/>
    <w:rsid w:val="006A0EDE"/>
    <w:rsid w:val="006A1F38"/>
    <w:rsid w:val="006A24A4"/>
    <w:rsid w:val="006A764D"/>
    <w:rsid w:val="006A7E56"/>
    <w:rsid w:val="006B0931"/>
    <w:rsid w:val="006B291B"/>
    <w:rsid w:val="006B4A5D"/>
    <w:rsid w:val="006B68BA"/>
    <w:rsid w:val="006B6BB8"/>
    <w:rsid w:val="006B72F4"/>
    <w:rsid w:val="006C11AB"/>
    <w:rsid w:val="006C1537"/>
    <w:rsid w:val="006D0C39"/>
    <w:rsid w:val="006D1BC1"/>
    <w:rsid w:val="006D1D12"/>
    <w:rsid w:val="006D202C"/>
    <w:rsid w:val="006D3696"/>
    <w:rsid w:val="006D5104"/>
    <w:rsid w:val="006D58B8"/>
    <w:rsid w:val="006D739C"/>
    <w:rsid w:val="006E68EC"/>
    <w:rsid w:val="006E77B6"/>
    <w:rsid w:val="006F1601"/>
    <w:rsid w:val="006F23F8"/>
    <w:rsid w:val="006F3F36"/>
    <w:rsid w:val="006F4619"/>
    <w:rsid w:val="006F5D55"/>
    <w:rsid w:val="006F6A5C"/>
    <w:rsid w:val="006F77A5"/>
    <w:rsid w:val="007010B5"/>
    <w:rsid w:val="0070203B"/>
    <w:rsid w:val="00703380"/>
    <w:rsid w:val="007044B7"/>
    <w:rsid w:val="0070601D"/>
    <w:rsid w:val="00707B92"/>
    <w:rsid w:val="0071116E"/>
    <w:rsid w:val="00712490"/>
    <w:rsid w:val="00712EE4"/>
    <w:rsid w:val="0071583D"/>
    <w:rsid w:val="00715C7D"/>
    <w:rsid w:val="007169C6"/>
    <w:rsid w:val="00716DAB"/>
    <w:rsid w:val="00720224"/>
    <w:rsid w:val="00720D8A"/>
    <w:rsid w:val="00720DFC"/>
    <w:rsid w:val="00721534"/>
    <w:rsid w:val="00721731"/>
    <w:rsid w:val="00721E35"/>
    <w:rsid w:val="007238AB"/>
    <w:rsid w:val="007254E9"/>
    <w:rsid w:val="00732D8A"/>
    <w:rsid w:val="007334FB"/>
    <w:rsid w:val="00733B0D"/>
    <w:rsid w:val="00735DF1"/>
    <w:rsid w:val="00737112"/>
    <w:rsid w:val="00741722"/>
    <w:rsid w:val="00741AD3"/>
    <w:rsid w:val="00742CAD"/>
    <w:rsid w:val="00743505"/>
    <w:rsid w:val="00744633"/>
    <w:rsid w:val="00744BCC"/>
    <w:rsid w:val="007455E8"/>
    <w:rsid w:val="00750C7D"/>
    <w:rsid w:val="0075110B"/>
    <w:rsid w:val="0075182F"/>
    <w:rsid w:val="00752C88"/>
    <w:rsid w:val="00755496"/>
    <w:rsid w:val="007635B4"/>
    <w:rsid w:val="0076421D"/>
    <w:rsid w:val="00764EE8"/>
    <w:rsid w:val="00766D10"/>
    <w:rsid w:val="00767052"/>
    <w:rsid w:val="007715AB"/>
    <w:rsid w:val="00771A2E"/>
    <w:rsid w:val="00771DA7"/>
    <w:rsid w:val="00773424"/>
    <w:rsid w:val="00776366"/>
    <w:rsid w:val="007808D4"/>
    <w:rsid w:val="00782856"/>
    <w:rsid w:val="00785F1D"/>
    <w:rsid w:val="00786CC9"/>
    <w:rsid w:val="00786D67"/>
    <w:rsid w:val="007906A8"/>
    <w:rsid w:val="00790C4F"/>
    <w:rsid w:val="00791C21"/>
    <w:rsid w:val="00792D4E"/>
    <w:rsid w:val="00794DFA"/>
    <w:rsid w:val="0079520A"/>
    <w:rsid w:val="0079735B"/>
    <w:rsid w:val="00797752"/>
    <w:rsid w:val="007977A7"/>
    <w:rsid w:val="007A2807"/>
    <w:rsid w:val="007A3B36"/>
    <w:rsid w:val="007A588F"/>
    <w:rsid w:val="007A72F2"/>
    <w:rsid w:val="007B1693"/>
    <w:rsid w:val="007B298F"/>
    <w:rsid w:val="007B32AD"/>
    <w:rsid w:val="007B6AFF"/>
    <w:rsid w:val="007B7B5A"/>
    <w:rsid w:val="007B7D9A"/>
    <w:rsid w:val="007C1944"/>
    <w:rsid w:val="007C2B98"/>
    <w:rsid w:val="007C4A85"/>
    <w:rsid w:val="007C4DBC"/>
    <w:rsid w:val="007C4F31"/>
    <w:rsid w:val="007C667F"/>
    <w:rsid w:val="007D1915"/>
    <w:rsid w:val="007D570A"/>
    <w:rsid w:val="007D7D24"/>
    <w:rsid w:val="007D7DE6"/>
    <w:rsid w:val="007E07CD"/>
    <w:rsid w:val="007E4CA3"/>
    <w:rsid w:val="007E570C"/>
    <w:rsid w:val="007E5CA6"/>
    <w:rsid w:val="007E7774"/>
    <w:rsid w:val="007E7AF4"/>
    <w:rsid w:val="007F0320"/>
    <w:rsid w:val="007F25B8"/>
    <w:rsid w:val="007F2D1D"/>
    <w:rsid w:val="007F3862"/>
    <w:rsid w:val="007F4552"/>
    <w:rsid w:val="007F486D"/>
    <w:rsid w:val="007F4973"/>
    <w:rsid w:val="007F6F1F"/>
    <w:rsid w:val="007F788C"/>
    <w:rsid w:val="00807D88"/>
    <w:rsid w:val="0081018F"/>
    <w:rsid w:val="00810254"/>
    <w:rsid w:val="008130E1"/>
    <w:rsid w:val="0081476A"/>
    <w:rsid w:val="00814C4B"/>
    <w:rsid w:val="00816C25"/>
    <w:rsid w:val="00816C6E"/>
    <w:rsid w:val="00816FA3"/>
    <w:rsid w:val="008174A1"/>
    <w:rsid w:val="008179EA"/>
    <w:rsid w:val="00820173"/>
    <w:rsid w:val="00823777"/>
    <w:rsid w:val="00831580"/>
    <w:rsid w:val="00831665"/>
    <w:rsid w:val="00831DDA"/>
    <w:rsid w:val="008323A6"/>
    <w:rsid w:val="008323B2"/>
    <w:rsid w:val="00833E75"/>
    <w:rsid w:val="00834BC4"/>
    <w:rsid w:val="00840142"/>
    <w:rsid w:val="00842583"/>
    <w:rsid w:val="008444DD"/>
    <w:rsid w:val="00844898"/>
    <w:rsid w:val="00844F0C"/>
    <w:rsid w:val="008479CF"/>
    <w:rsid w:val="00850694"/>
    <w:rsid w:val="00851822"/>
    <w:rsid w:val="008518AD"/>
    <w:rsid w:val="008540E5"/>
    <w:rsid w:val="00854297"/>
    <w:rsid w:val="00854A59"/>
    <w:rsid w:val="008558A8"/>
    <w:rsid w:val="008568C4"/>
    <w:rsid w:val="00856D9A"/>
    <w:rsid w:val="00857576"/>
    <w:rsid w:val="00860690"/>
    <w:rsid w:val="008631EF"/>
    <w:rsid w:val="00866B86"/>
    <w:rsid w:val="00866DDA"/>
    <w:rsid w:val="00870A4C"/>
    <w:rsid w:val="00872369"/>
    <w:rsid w:val="00873916"/>
    <w:rsid w:val="00874B2D"/>
    <w:rsid w:val="00875A2F"/>
    <w:rsid w:val="008775E9"/>
    <w:rsid w:val="00880689"/>
    <w:rsid w:val="00885021"/>
    <w:rsid w:val="0088705B"/>
    <w:rsid w:val="008910E3"/>
    <w:rsid w:val="0089310C"/>
    <w:rsid w:val="00894253"/>
    <w:rsid w:val="00895DBB"/>
    <w:rsid w:val="00896433"/>
    <w:rsid w:val="0089673C"/>
    <w:rsid w:val="00896AE3"/>
    <w:rsid w:val="00896B8D"/>
    <w:rsid w:val="00896E82"/>
    <w:rsid w:val="008A1372"/>
    <w:rsid w:val="008A1C48"/>
    <w:rsid w:val="008A2083"/>
    <w:rsid w:val="008A365A"/>
    <w:rsid w:val="008A432A"/>
    <w:rsid w:val="008B071C"/>
    <w:rsid w:val="008B0E91"/>
    <w:rsid w:val="008B1C5E"/>
    <w:rsid w:val="008B2E75"/>
    <w:rsid w:val="008B3264"/>
    <w:rsid w:val="008B3F51"/>
    <w:rsid w:val="008B3FB8"/>
    <w:rsid w:val="008B5292"/>
    <w:rsid w:val="008B5525"/>
    <w:rsid w:val="008B5D7C"/>
    <w:rsid w:val="008C0CC7"/>
    <w:rsid w:val="008C2429"/>
    <w:rsid w:val="008C310A"/>
    <w:rsid w:val="008C52BC"/>
    <w:rsid w:val="008C5716"/>
    <w:rsid w:val="008C5B57"/>
    <w:rsid w:val="008C659E"/>
    <w:rsid w:val="008C79B1"/>
    <w:rsid w:val="008C7C58"/>
    <w:rsid w:val="008D0DB8"/>
    <w:rsid w:val="008D152C"/>
    <w:rsid w:val="008D384B"/>
    <w:rsid w:val="008D4CA6"/>
    <w:rsid w:val="008D512A"/>
    <w:rsid w:val="008D55C4"/>
    <w:rsid w:val="008E0C9A"/>
    <w:rsid w:val="008E23B0"/>
    <w:rsid w:val="008E2ED2"/>
    <w:rsid w:val="008E4225"/>
    <w:rsid w:val="008E470B"/>
    <w:rsid w:val="008E7C15"/>
    <w:rsid w:val="008E7E77"/>
    <w:rsid w:val="008F0875"/>
    <w:rsid w:val="008F0C67"/>
    <w:rsid w:val="008F2266"/>
    <w:rsid w:val="008F42B4"/>
    <w:rsid w:val="008F608B"/>
    <w:rsid w:val="008F7BBD"/>
    <w:rsid w:val="008F7D4F"/>
    <w:rsid w:val="00900627"/>
    <w:rsid w:val="00903B30"/>
    <w:rsid w:val="009051A3"/>
    <w:rsid w:val="00906C49"/>
    <w:rsid w:val="009071A5"/>
    <w:rsid w:val="00907826"/>
    <w:rsid w:val="0091246C"/>
    <w:rsid w:val="00913D58"/>
    <w:rsid w:val="00914BC1"/>
    <w:rsid w:val="009152EE"/>
    <w:rsid w:val="00915C56"/>
    <w:rsid w:val="00924F55"/>
    <w:rsid w:val="009253CB"/>
    <w:rsid w:val="0092686F"/>
    <w:rsid w:val="009309B1"/>
    <w:rsid w:val="009336AD"/>
    <w:rsid w:val="00934533"/>
    <w:rsid w:val="00934604"/>
    <w:rsid w:val="00934E7C"/>
    <w:rsid w:val="0093555B"/>
    <w:rsid w:val="00943D86"/>
    <w:rsid w:val="0094412F"/>
    <w:rsid w:val="00944548"/>
    <w:rsid w:val="0094526B"/>
    <w:rsid w:val="0094576D"/>
    <w:rsid w:val="0094625B"/>
    <w:rsid w:val="00946381"/>
    <w:rsid w:val="00947A5A"/>
    <w:rsid w:val="009503C4"/>
    <w:rsid w:val="0095116C"/>
    <w:rsid w:val="00951DEC"/>
    <w:rsid w:val="00952035"/>
    <w:rsid w:val="00955FD1"/>
    <w:rsid w:val="00956FAC"/>
    <w:rsid w:val="00960344"/>
    <w:rsid w:val="009603FA"/>
    <w:rsid w:val="00960570"/>
    <w:rsid w:val="00962272"/>
    <w:rsid w:val="00962ED1"/>
    <w:rsid w:val="00963820"/>
    <w:rsid w:val="00963954"/>
    <w:rsid w:val="00964755"/>
    <w:rsid w:val="00966E49"/>
    <w:rsid w:val="00971658"/>
    <w:rsid w:val="009722A0"/>
    <w:rsid w:val="00973F7B"/>
    <w:rsid w:val="0097436A"/>
    <w:rsid w:val="0097443C"/>
    <w:rsid w:val="00980B55"/>
    <w:rsid w:val="00980D06"/>
    <w:rsid w:val="00981F27"/>
    <w:rsid w:val="0098349A"/>
    <w:rsid w:val="00983D8C"/>
    <w:rsid w:val="0098431B"/>
    <w:rsid w:val="009854D1"/>
    <w:rsid w:val="0098612D"/>
    <w:rsid w:val="0098697F"/>
    <w:rsid w:val="0098737E"/>
    <w:rsid w:val="00987F92"/>
    <w:rsid w:val="00992587"/>
    <w:rsid w:val="009939F2"/>
    <w:rsid w:val="00993C9B"/>
    <w:rsid w:val="00994104"/>
    <w:rsid w:val="009967EC"/>
    <w:rsid w:val="0099739A"/>
    <w:rsid w:val="009A0D71"/>
    <w:rsid w:val="009A0E17"/>
    <w:rsid w:val="009A49FB"/>
    <w:rsid w:val="009A4D8C"/>
    <w:rsid w:val="009A789C"/>
    <w:rsid w:val="009B167C"/>
    <w:rsid w:val="009B171E"/>
    <w:rsid w:val="009B1AE1"/>
    <w:rsid w:val="009B438E"/>
    <w:rsid w:val="009B5333"/>
    <w:rsid w:val="009B5DA7"/>
    <w:rsid w:val="009B68FE"/>
    <w:rsid w:val="009C0728"/>
    <w:rsid w:val="009C07C4"/>
    <w:rsid w:val="009C166A"/>
    <w:rsid w:val="009C21E2"/>
    <w:rsid w:val="009C2421"/>
    <w:rsid w:val="009C2C77"/>
    <w:rsid w:val="009C32E2"/>
    <w:rsid w:val="009C630D"/>
    <w:rsid w:val="009C6CA9"/>
    <w:rsid w:val="009D0D8F"/>
    <w:rsid w:val="009D0FD7"/>
    <w:rsid w:val="009D1FE4"/>
    <w:rsid w:val="009E4550"/>
    <w:rsid w:val="009E46AD"/>
    <w:rsid w:val="009E4FAB"/>
    <w:rsid w:val="009E5334"/>
    <w:rsid w:val="009E537B"/>
    <w:rsid w:val="009E6778"/>
    <w:rsid w:val="009F05B7"/>
    <w:rsid w:val="009F12CA"/>
    <w:rsid w:val="009F383E"/>
    <w:rsid w:val="009F3890"/>
    <w:rsid w:val="009F489E"/>
    <w:rsid w:val="009F55BB"/>
    <w:rsid w:val="009F64B8"/>
    <w:rsid w:val="00A00D0C"/>
    <w:rsid w:val="00A022F7"/>
    <w:rsid w:val="00A02DD5"/>
    <w:rsid w:val="00A03A42"/>
    <w:rsid w:val="00A03AF9"/>
    <w:rsid w:val="00A042E9"/>
    <w:rsid w:val="00A051EB"/>
    <w:rsid w:val="00A06F72"/>
    <w:rsid w:val="00A13264"/>
    <w:rsid w:val="00A16780"/>
    <w:rsid w:val="00A17EFD"/>
    <w:rsid w:val="00A207B1"/>
    <w:rsid w:val="00A242E8"/>
    <w:rsid w:val="00A25A63"/>
    <w:rsid w:val="00A27F38"/>
    <w:rsid w:val="00A31CD0"/>
    <w:rsid w:val="00A34413"/>
    <w:rsid w:val="00A418B8"/>
    <w:rsid w:val="00A43237"/>
    <w:rsid w:val="00A44551"/>
    <w:rsid w:val="00A46CFB"/>
    <w:rsid w:val="00A5049B"/>
    <w:rsid w:val="00A51A6D"/>
    <w:rsid w:val="00A52977"/>
    <w:rsid w:val="00A53215"/>
    <w:rsid w:val="00A55A15"/>
    <w:rsid w:val="00A55C00"/>
    <w:rsid w:val="00A55E95"/>
    <w:rsid w:val="00A562D5"/>
    <w:rsid w:val="00A570B6"/>
    <w:rsid w:val="00A57B0B"/>
    <w:rsid w:val="00A612BA"/>
    <w:rsid w:val="00A615CD"/>
    <w:rsid w:val="00A624E8"/>
    <w:rsid w:val="00A63AA7"/>
    <w:rsid w:val="00A64327"/>
    <w:rsid w:val="00A679FC"/>
    <w:rsid w:val="00A67FE8"/>
    <w:rsid w:val="00A70562"/>
    <w:rsid w:val="00A7068F"/>
    <w:rsid w:val="00A71B89"/>
    <w:rsid w:val="00A73E41"/>
    <w:rsid w:val="00A7452B"/>
    <w:rsid w:val="00A75C73"/>
    <w:rsid w:val="00A81084"/>
    <w:rsid w:val="00A810F1"/>
    <w:rsid w:val="00A813A8"/>
    <w:rsid w:val="00A82835"/>
    <w:rsid w:val="00A83355"/>
    <w:rsid w:val="00A83BE4"/>
    <w:rsid w:val="00A84573"/>
    <w:rsid w:val="00A901DA"/>
    <w:rsid w:val="00A90CE7"/>
    <w:rsid w:val="00A910A4"/>
    <w:rsid w:val="00A94191"/>
    <w:rsid w:val="00A94AEB"/>
    <w:rsid w:val="00A96DDD"/>
    <w:rsid w:val="00AA32CC"/>
    <w:rsid w:val="00AA4752"/>
    <w:rsid w:val="00AA4AB9"/>
    <w:rsid w:val="00AA507D"/>
    <w:rsid w:val="00AA6772"/>
    <w:rsid w:val="00AB01E6"/>
    <w:rsid w:val="00AB22E5"/>
    <w:rsid w:val="00AB44EA"/>
    <w:rsid w:val="00AC09D3"/>
    <w:rsid w:val="00AC411F"/>
    <w:rsid w:val="00AC474A"/>
    <w:rsid w:val="00AC54F2"/>
    <w:rsid w:val="00AC562F"/>
    <w:rsid w:val="00AD21D4"/>
    <w:rsid w:val="00AD26E0"/>
    <w:rsid w:val="00AD39AB"/>
    <w:rsid w:val="00AD61A1"/>
    <w:rsid w:val="00AE0DB0"/>
    <w:rsid w:val="00AE163C"/>
    <w:rsid w:val="00AE239B"/>
    <w:rsid w:val="00AE29F6"/>
    <w:rsid w:val="00AE3961"/>
    <w:rsid w:val="00AE45CF"/>
    <w:rsid w:val="00AE4821"/>
    <w:rsid w:val="00AE6277"/>
    <w:rsid w:val="00AE62CA"/>
    <w:rsid w:val="00AE709F"/>
    <w:rsid w:val="00AE75F2"/>
    <w:rsid w:val="00AF0E38"/>
    <w:rsid w:val="00AF1625"/>
    <w:rsid w:val="00AF23D0"/>
    <w:rsid w:val="00AF34C4"/>
    <w:rsid w:val="00AF3D37"/>
    <w:rsid w:val="00B01E33"/>
    <w:rsid w:val="00B045A8"/>
    <w:rsid w:val="00B052EE"/>
    <w:rsid w:val="00B05A57"/>
    <w:rsid w:val="00B060F0"/>
    <w:rsid w:val="00B07148"/>
    <w:rsid w:val="00B07B3F"/>
    <w:rsid w:val="00B07BAA"/>
    <w:rsid w:val="00B125D2"/>
    <w:rsid w:val="00B145DD"/>
    <w:rsid w:val="00B17325"/>
    <w:rsid w:val="00B17F13"/>
    <w:rsid w:val="00B21277"/>
    <w:rsid w:val="00B212CD"/>
    <w:rsid w:val="00B25D7B"/>
    <w:rsid w:val="00B25FCC"/>
    <w:rsid w:val="00B263DE"/>
    <w:rsid w:val="00B27213"/>
    <w:rsid w:val="00B313AB"/>
    <w:rsid w:val="00B31474"/>
    <w:rsid w:val="00B32A86"/>
    <w:rsid w:val="00B33911"/>
    <w:rsid w:val="00B42032"/>
    <w:rsid w:val="00B42A9C"/>
    <w:rsid w:val="00B43646"/>
    <w:rsid w:val="00B44314"/>
    <w:rsid w:val="00B453F8"/>
    <w:rsid w:val="00B45EF1"/>
    <w:rsid w:val="00B46C7E"/>
    <w:rsid w:val="00B46CBE"/>
    <w:rsid w:val="00B535F9"/>
    <w:rsid w:val="00B538C5"/>
    <w:rsid w:val="00B5475A"/>
    <w:rsid w:val="00B54A0D"/>
    <w:rsid w:val="00B5513C"/>
    <w:rsid w:val="00B57AA2"/>
    <w:rsid w:val="00B57D3D"/>
    <w:rsid w:val="00B61604"/>
    <w:rsid w:val="00B62EA7"/>
    <w:rsid w:val="00B6312C"/>
    <w:rsid w:val="00B6486F"/>
    <w:rsid w:val="00B64EB6"/>
    <w:rsid w:val="00B65462"/>
    <w:rsid w:val="00B66D95"/>
    <w:rsid w:val="00B705FD"/>
    <w:rsid w:val="00B71E90"/>
    <w:rsid w:val="00B72FBA"/>
    <w:rsid w:val="00B75C2B"/>
    <w:rsid w:val="00B7682A"/>
    <w:rsid w:val="00B816DB"/>
    <w:rsid w:val="00B83458"/>
    <w:rsid w:val="00B83836"/>
    <w:rsid w:val="00B84113"/>
    <w:rsid w:val="00B8652C"/>
    <w:rsid w:val="00B86FA5"/>
    <w:rsid w:val="00B874A7"/>
    <w:rsid w:val="00B906C8"/>
    <w:rsid w:val="00B916C0"/>
    <w:rsid w:val="00B963BE"/>
    <w:rsid w:val="00B96A98"/>
    <w:rsid w:val="00B97883"/>
    <w:rsid w:val="00BA01D3"/>
    <w:rsid w:val="00BA1D48"/>
    <w:rsid w:val="00BA2035"/>
    <w:rsid w:val="00BA2CFA"/>
    <w:rsid w:val="00BA67A0"/>
    <w:rsid w:val="00BA73F7"/>
    <w:rsid w:val="00BA78E0"/>
    <w:rsid w:val="00BB2009"/>
    <w:rsid w:val="00BB2043"/>
    <w:rsid w:val="00BB426A"/>
    <w:rsid w:val="00BB462E"/>
    <w:rsid w:val="00BB524F"/>
    <w:rsid w:val="00BB74B5"/>
    <w:rsid w:val="00BB7D30"/>
    <w:rsid w:val="00BC00AF"/>
    <w:rsid w:val="00BC2E77"/>
    <w:rsid w:val="00BC2F03"/>
    <w:rsid w:val="00BC41BF"/>
    <w:rsid w:val="00BC75DB"/>
    <w:rsid w:val="00BD4D08"/>
    <w:rsid w:val="00BD5932"/>
    <w:rsid w:val="00BD6763"/>
    <w:rsid w:val="00BD6F15"/>
    <w:rsid w:val="00BD77D4"/>
    <w:rsid w:val="00BE1BD7"/>
    <w:rsid w:val="00BE201A"/>
    <w:rsid w:val="00BE40D0"/>
    <w:rsid w:val="00BE6C67"/>
    <w:rsid w:val="00BF1330"/>
    <w:rsid w:val="00BF40A7"/>
    <w:rsid w:val="00BF4A3D"/>
    <w:rsid w:val="00BF5952"/>
    <w:rsid w:val="00BF63E9"/>
    <w:rsid w:val="00BF776D"/>
    <w:rsid w:val="00BF7C3B"/>
    <w:rsid w:val="00BF7F38"/>
    <w:rsid w:val="00C00138"/>
    <w:rsid w:val="00C0128D"/>
    <w:rsid w:val="00C020B3"/>
    <w:rsid w:val="00C02165"/>
    <w:rsid w:val="00C027AD"/>
    <w:rsid w:val="00C03334"/>
    <w:rsid w:val="00C045F1"/>
    <w:rsid w:val="00C0646D"/>
    <w:rsid w:val="00C065EA"/>
    <w:rsid w:val="00C06EDB"/>
    <w:rsid w:val="00C107C1"/>
    <w:rsid w:val="00C1496A"/>
    <w:rsid w:val="00C14D08"/>
    <w:rsid w:val="00C1793F"/>
    <w:rsid w:val="00C21DDF"/>
    <w:rsid w:val="00C22333"/>
    <w:rsid w:val="00C26E23"/>
    <w:rsid w:val="00C279BA"/>
    <w:rsid w:val="00C30CC5"/>
    <w:rsid w:val="00C33A5A"/>
    <w:rsid w:val="00C33A79"/>
    <w:rsid w:val="00C34438"/>
    <w:rsid w:val="00C41513"/>
    <w:rsid w:val="00C42415"/>
    <w:rsid w:val="00C44E82"/>
    <w:rsid w:val="00C4698B"/>
    <w:rsid w:val="00C47061"/>
    <w:rsid w:val="00C51B21"/>
    <w:rsid w:val="00C51C57"/>
    <w:rsid w:val="00C54809"/>
    <w:rsid w:val="00C54CA5"/>
    <w:rsid w:val="00C54DC6"/>
    <w:rsid w:val="00C557A0"/>
    <w:rsid w:val="00C56B94"/>
    <w:rsid w:val="00C576AB"/>
    <w:rsid w:val="00C57DF2"/>
    <w:rsid w:val="00C63F33"/>
    <w:rsid w:val="00C63FCA"/>
    <w:rsid w:val="00C643FA"/>
    <w:rsid w:val="00C655D2"/>
    <w:rsid w:val="00C718DD"/>
    <w:rsid w:val="00C71FD8"/>
    <w:rsid w:val="00C71FEC"/>
    <w:rsid w:val="00C7257B"/>
    <w:rsid w:val="00C729EF"/>
    <w:rsid w:val="00C75B09"/>
    <w:rsid w:val="00C75F41"/>
    <w:rsid w:val="00C77C77"/>
    <w:rsid w:val="00C821A8"/>
    <w:rsid w:val="00C826F0"/>
    <w:rsid w:val="00C83123"/>
    <w:rsid w:val="00C854D9"/>
    <w:rsid w:val="00C8645E"/>
    <w:rsid w:val="00C90739"/>
    <w:rsid w:val="00C93937"/>
    <w:rsid w:val="00C942B1"/>
    <w:rsid w:val="00C9506C"/>
    <w:rsid w:val="00C957AE"/>
    <w:rsid w:val="00CA0A11"/>
    <w:rsid w:val="00CA0CB3"/>
    <w:rsid w:val="00CA128D"/>
    <w:rsid w:val="00CA202C"/>
    <w:rsid w:val="00CA24A7"/>
    <w:rsid w:val="00CA2560"/>
    <w:rsid w:val="00CA4604"/>
    <w:rsid w:val="00CA4B44"/>
    <w:rsid w:val="00CA741A"/>
    <w:rsid w:val="00CB1778"/>
    <w:rsid w:val="00CB30E6"/>
    <w:rsid w:val="00CC2B44"/>
    <w:rsid w:val="00CC349F"/>
    <w:rsid w:val="00CC48DF"/>
    <w:rsid w:val="00CD415A"/>
    <w:rsid w:val="00CD484B"/>
    <w:rsid w:val="00CD7B7B"/>
    <w:rsid w:val="00CE02E1"/>
    <w:rsid w:val="00CE0553"/>
    <w:rsid w:val="00CE1A93"/>
    <w:rsid w:val="00CE1EB3"/>
    <w:rsid w:val="00CE2625"/>
    <w:rsid w:val="00CE2DDE"/>
    <w:rsid w:val="00CE666D"/>
    <w:rsid w:val="00CE750F"/>
    <w:rsid w:val="00CF0E8D"/>
    <w:rsid w:val="00CF1683"/>
    <w:rsid w:val="00CF2128"/>
    <w:rsid w:val="00CF2BE9"/>
    <w:rsid w:val="00CF3768"/>
    <w:rsid w:val="00CF56E9"/>
    <w:rsid w:val="00D0164B"/>
    <w:rsid w:val="00D01F24"/>
    <w:rsid w:val="00D02489"/>
    <w:rsid w:val="00D03462"/>
    <w:rsid w:val="00D04208"/>
    <w:rsid w:val="00D044F2"/>
    <w:rsid w:val="00D05B7A"/>
    <w:rsid w:val="00D07A13"/>
    <w:rsid w:val="00D10620"/>
    <w:rsid w:val="00D1126C"/>
    <w:rsid w:val="00D16DD6"/>
    <w:rsid w:val="00D17D3A"/>
    <w:rsid w:val="00D20EAF"/>
    <w:rsid w:val="00D20ED6"/>
    <w:rsid w:val="00D22FF4"/>
    <w:rsid w:val="00D267FD"/>
    <w:rsid w:val="00D27704"/>
    <w:rsid w:val="00D307AF"/>
    <w:rsid w:val="00D31660"/>
    <w:rsid w:val="00D31E3D"/>
    <w:rsid w:val="00D31FD8"/>
    <w:rsid w:val="00D3245A"/>
    <w:rsid w:val="00D347C8"/>
    <w:rsid w:val="00D43A9C"/>
    <w:rsid w:val="00D43D0B"/>
    <w:rsid w:val="00D446E8"/>
    <w:rsid w:val="00D44EDE"/>
    <w:rsid w:val="00D5053F"/>
    <w:rsid w:val="00D53537"/>
    <w:rsid w:val="00D5582E"/>
    <w:rsid w:val="00D57F22"/>
    <w:rsid w:val="00D603F8"/>
    <w:rsid w:val="00D60F99"/>
    <w:rsid w:val="00D614A0"/>
    <w:rsid w:val="00D6349A"/>
    <w:rsid w:val="00D6462C"/>
    <w:rsid w:val="00D71DB8"/>
    <w:rsid w:val="00D72302"/>
    <w:rsid w:val="00D7328F"/>
    <w:rsid w:val="00D74421"/>
    <w:rsid w:val="00D75BAA"/>
    <w:rsid w:val="00D7791D"/>
    <w:rsid w:val="00D7798B"/>
    <w:rsid w:val="00D77FAE"/>
    <w:rsid w:val="00D8020D"/>
    <w:rsid w:val="00D806CF"/>
    <w:rsid w:val="00D8225A"/>
    <w:rsid w:val="00D84E04"/>
    <w:rsid w:val="00D8626C"/>
    <w:rsid w:val="00D86504"/>
    <w:rsid w:val="00D9381D"/>
    <w:rsid w:val="00D93830"/>
    <w:rsid w:val="00D95E1D"/>
    <w:rsid w:val="00D975E6"/>
    <w:rsid w:val="00DA03DC"/>
    <w:rsid w:val="00DA0C0B"/>
    <w:rsid w:val="00DA0CC4"/>
    <w:rsid w:val="00DA2423"/>
    <w:rsid w:val="00DA2C61"/>
    <w:rsid w:val="00DA43E7"/>
    <w:rsid w:val="00DA4BDA"/>
    <w:rsid w:val="00DB0F5E"/>
    <w:rsid w:val="00DB30FB"/>
    <w:rsid w:val="00DB3F3E"/>
    <w:rsid w:val="00DB57AC"/>
    <w:rsid w:val="00DB64FA"/>
    <w:rsid w:val="00DB6CD3"/>
    <w:rsid w:val="00DB7446"/>
    <w:rsid w:val="00DC0AE0"/>
    <w:rsid w:val="00DC14BA"/>
    <w:rsid w:val="00DC4EB8"/>
    <w:rsid w:val="00DC7B17"/>
    <w:rsid w:val="00DC7B5E"/>
    <w:rsid w:val="00DD1E8F"/>
    <w:rsid w:val="00DD54F9"/>
    <w:rsid w:val="00DE0768"/>
    <w:rsid w:val="00DE1574"/>
    <w:rsid w:val="00DE2478"/>
    <w:rsid w:val="00DF0C57"/>
    <w:rsid w:val="00DF104E"/>
    <w:rsid w:val="00DF49DB"/>
    <w:rsid w:val="00DF5A63"/>
    <w:rsid w:val="00DF5EED"/>
    <w:rsid w:val="00DF74DC"/>
    <w:rsid w:val="00E04E3A"/>
    <w:rsid w:val="00E074D3"/>
    <w:rsid w:val="00E07D69"/>
    <w:rsid w:val="00E07EAF"/>
    <w:rsid w:val="00E2153D"/>
    <w:rsid w:val="00E23A02"/>
    <w:rsid w:val="00E252DD"/>
    <w:rsid w:val="00E25A0A"/>
    <w:rsid w:val="00E26145"/>
    <w:rsid w:val="00E3033C"/>
    <w:rsid w:val="00E30677"/>
    <w:rsid w:val="00E341AD"/>
    <w:rsid w:val="00E34259"/>
    <w:rsid w:val="00E3517D"/>
    <w:rsid w:val="00E3623B"/>
    <w:rsid w:val="00E364D1"/>
    <w:rsid w:val="00E3672A"/>
    <w:rsid w:val="00E36735"/>
    <w:rsid w:val="00E403AC"/>
    <w:rsid w:val="00E40E5D"/>
    <w:rsid w:val="00E42163"/>
    <w:rsid w:val="00E42BC7"/>
    <w:rsid w:val="00E442FB"/>
    <w:rsid w:val="00E44E52"/>
    <w:rsid w:val="00E458E1"/>
    <w:rsid w:val="00E47A64"/>
    <w:rsid w:val="00E51C94"/>
    <w:rsid w:val="00E52CBB"/>
    <w:rsid w:val="00E536D1"/>
    <w:rsid w:val="00E53ABC"/>
    <w:rsid w:val="00E5458D"/>
    <w:rsid w:val="00E54D22"/>
    <w:rsid w:val="00E556D9"/>
    <w:rsid w:val="00E55EDC"/>
    <w:rsid w:val="00E562BF"/>
    <w:rsid w:val="00E5644A"/>
    <w:rsid w:val="00E56977"/>
    <w:rsid w:val="00E57DE1"/>
    <w:rsid w:val="00E61577"/>
    <w:rsid w:val="00E64525"/>
    <w:rsid w:val="00E64819"/>
    <w:rsid w:val="00E64935"/>
    <w:rsid w:val="00E64981"/>
    <w:rsid w:val="00E66128"/>
    <w:rsid w:val="00E663D8"/>
    <w:rsid w:val="00E705AE"/>
    <w:rsid w:val="00E712DD"/>
    <w:rsid w:val="00E715F0"/>
    <w:rsid w:val="00E7331F"/>
    <w:rsid w:val="00E734D2"/>
    <w:rsid w:val="00E736B3"/>
    <w:rsid w:val="00E73E8F"/>
    <w:rsid w:val="00E742E5"/>
    <w:rsid w:val="00E75C31"/>
    <w:rsid w:val="00E760E7"/>
    <w:rsid w:val="00E812DB"/>
    <w:rsid w:val="00E848FE"/>
    <w:rsid w:val="00E855A4"/>
    <w:rsid w:val="00E90DBD"/>
    <w:rsid w:val="00E910D7"/>
    <w:rsid w:val="00E936D4"/>
    <w:rsid w:val="00E9593E"/>
    <w:rsid w:val="00E959BF"/>
    <w:rsid w:val="00E9615E"/>
    <w:rsid w:val="00E96286"/>
    <w:rsid w:val="00EA2313"/>
    <w:rsid w:val="00EA4146"/>
    <w:rsid w:val="00EA5225"/>
    <w:rsid w:val="00EA52C4"/>
    <w:rsid w:val="00EA5770"/>
    <w:rsid w:val="00EA7259"/>
    <w:rsid w:val="00EB06EB"/>
    <w:rsid w:val="00EB239C"/>
    <w:rsid w:val="00EB28EA"/>
    <w:rsid w:val="00EB78F6"/>
    <w:rsid w:val="00EC1E20"/>
    <w:rsid w:val="00EC2D43"/>
    <w:rsid w:val="00EC4136"/>
    <w:rsid w:val="00EC6912"/>
    <w:rsid w:val="00EC71E4"/>
    <w:rsid w:val="00ED10A0"/>
    <w:rsid w:val="00ED27C5"/>
    <w:rsid w:val="00ED6F47"/>
    <w:rsid w:val="00ED7DF3"/>
    <w:rsid w:val="00ED7F2C"/>
    <w:rsid w:val="00EE04F6"/>
    <w:rsid w:val="00EE2658"/>
    <w:rsid w:val="00EE2AA7"/>
    <w:rsid w:val="00EE30BA"/>
    <w:rsid w:val="00EE6FFE"/>
    <w:rsid w:val="00EF2576"/>
    <w:rsid w:val="00EF2BB6"/>
    <w:rsid w:val="00EF40CA"/>
    <w:rsid w:val="00EF6DA6"/>
    <w:rsid w:val="00EF7419"/>
    <w:rsid w:val="00EF7CE8"/>
    <w:rsid w:val="00F00045"/>
    <w:rsid w:val="00F00867"/>
    <w:rsid w:val="00F10C83"/>
    <w:rsid w:val="00F115E1"/>
    <w:rsid w:val="00F11F1D"/>
    <w:rsid w:val="00F12314"/>
    <w:rsid w:val="00F12469"/>
    <w:rsid w:val="00F15302"/>
    <w:rsid w:val="00F15385"/>
    <w:rsid w:val="00F17870"/>
    <w:rsid w:val="00F22F0A"/>
    <w:rsid w:val="00F237E6"/>
    <w:rsid w:val="00F26E16"/>
    <w:rsid w:val="00F27342"/>
    <w:rsid w:val="00F3332C"/>
    <w:rsid w:val="00F33885"/>
    <w:rsid w:val="00F348FE"/>
    <w:rsid w:val="00F36EFA"/>
    <w:rsid w:val="00F37A8D"/>
    <w:rsid w:val="00F401BE"/>
    <w:rsid w:val="00F42F27"/>
    <w:rsid w:val="00F4395F"/>
    <w:rsid w:val="00F47D84"/>
    <w:rsid w:val="00F52BD8"/>
    <w:rsid w:val="00F54D6A"/>
    <w:rsid w:val="00F56893"/>
    <w:rsid w:val="00F56A1A"/>
    <w:rsid w:val="00F57B0E"/>
    <w:rsid w:val="00F60788"/>
    <w:rsid w:val="00F62482"/>
    <w:rsid w:val="00F62D45"/>
    <w:rsid w:val="00F70E36"/>
    <w:rsid w:val="00F7162F"/>
    <w:rsid w:val="00F71B9C"/>
    <w:rsid w:val="00F71BAD"/>
    <w:rsid w:val="00F72229"/>
    <w:rsid w:val="00F7335E"/>
    <w:rsid w:val="00F733BF"/>
    <w:rsid w:val="00F74DDF"/>
    <w:rsid w:val="00F7608E"/>
    <w:rsid w:val="00F77CB3"/>
    <w:rsid w:val="00F80959"/>
    <w:rsid w:val="00F84CB6"/>
    <w:rsid w:val="00F874E4"/>
    <w:rsid w:val="00F91EE7"/>
    <w:rsid w:val="00F91FF2"/>
    <w:rsid w:val="00F92471"/>
    <w:rsid w:val="00F9328E"/>
    <w:rsid w:val="00F937E2"/>
    <w:rsid w:val="00F93D7F"/>
    <w:rsid w:val="00F962AE"/>
    <w:rsid w:val="00F97EDD"/>
    <w:rsid w:val="00FA1142"/>
    <w:rsid w:val="00FA1F17"/>
    <w:rsid w:val="00FA27B5"/>
    <w:rsid w:val="00FA491F"/>
    <w:rsid w:val="00FA50E7"/>
    <w:rsid w:val="00FA6A88"/>
    <w:rsid w:val="00FA702B"/>
    <w:rsid w:val="00FA77C1"/>
    <w:rsid w:val="00FA7A0D"/>
    <w:rsid w:val="00FB444B"/>
    <w:rsid w:val="00FB4A36"/>
    <w:rsid w:val="00FB500B"/>
    <w:rsid w:val="00FB5F3F"/>
    <w:rsid w:val="00FB7BE4"/>
    <w:rsid w:val="00FC1272"/>
    <w:rsid w:val="00FC15FB"/>
    <w:rsid w:val="00FC23CF"/>
    <w:rsid w:val="00FC305D"/>
    <w:rsid w:val="00FC7F73"/>
    <w:rsid w:val="00FD0F1C"/>
    <w:rsid w:val="00FD113D"/>
    <w:rsid w:val="00FD75DA"/>
    <w:rsid w:val="00FE0D28"/>
    <w:rsid w:val="00FE1161"/>
    <w:rsid w:val="00FE132B"/>
    <w:rsid w:val="00FE3F4F"/>
    <w:rsid w:val="00FE444E"/>
    <w:rsid w:val="00FE4B3B"/>
    <w:rsid w:val="00FE5F23"/>
    <w:rsid w:val="00FE6070"/>
    <w:rsid w:val="00FE75CE"/>
    <w:rsid w:val="00FF134A"/>
    <w:rsid w:val="00FF36D0"/>
    <w:rsid w:val="00FF6596"/>
    <w:rsid w:val="00FF7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45D731"/>
  <w14:defaultImageDpi w14:val="96"/>
  <w15:docId w15:val="{2548782C-0212-418C-90C7-51AD508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4D"/>
    <w:pPr>
      <w:suppressAutoHyphens/>
      <w:spacing w:before="160" w:after="160" w:line="360" w:lineRule="auto"/>
    </w:pPr>
  </w:style>
  <w:style w:type="paragraph" w:styleId="Heading1">
    <w:name w:val="heading 1"/>
    <w:basedOn w:val="Normal"/>
    <w:next w:val="Normal"/>
    <w:link w:val="Heading1Char"/>
    <w:uiPriority w:val="99"/>
    <w:qFormat/>
    <w:rsid w:val="00E855A4"/>
    <w:pPr>
      <w:keepNext/>
      <w:pageBreakBefore/>
      <w:spacing w:before="240" w:after="60" w:line="240" w:lineRule="auto"/>
      <w:outlineLvl w:val="0"/>
    </w:pPr>
    <w:rPr>
      <w:b/>
      <w:bCs/>
      <w:kern w:val="32"/>
      <w:sz w:val="36"/>
      <w:szCs w:val="32"/>
    </w:rPr>
  </w:style>
  <w:style w:type="paragraph" w:styleId="Heading2">
    <w:name w:val="heading 2"/>
    <w:basedOn w:val="Normal"/>
    <w:next w:val="Normal"/>
    <w:link w:val="Heading2Char"/>
    <w:uiPriority w:val="99"/>
    <w:unhideWhenUsed/>
    <w:qFormat/>
    <w:rsid w:val="003913DB"/>
    <w:pPr>
      <w:keepNext/>
      <w:spacing w:before="240" w:after="120" w:line="240" w:lineRule="auto"/>
      <w:outlineLvl w:val="1"/>
    </w:pPr>
    <w:rPr>
      <w:b/>
      <w:bCs/>
      <w:iCs/>
      <w:sz w:val="28"/>
      <w:szCs w:val="28"/>
    </w:rPr>
  </w:style>
  <w:style w:type="paragraph" w:styleId="Heading3">
    <w:name w:val="heading 3"/>
    <w:basedOn w:val="Normal"/>
    <w:next w:val="Normal"/>
    <w:link w:val="Heading3Char"/>
    <w:uiPriority w:val="99"/>
    <w:unhideWhenUsed/>
    <w:qFormat/>
    <w:rsid w:val="00EC2D43"/>
    <w:pPr>
      <w:keepNext/>
      <w:spacing w:before="240" w:after="60" w:line="240" w:lineRule="auto"/>
      <w:outlineLvl w:val="2"/>
    </w:pPr>
    <w:rPr>
      <w:b/>
      <w:bCs/>
      <w:szCs w:val="26"/>
    </w:rPr>
  </w:style>
  <w:style w:type="paragraph" w:styleId="Heading4">
    <w:name w:val="heading 4"/>
    <w:basedOn w:val="Normal"/>
    <w:next w:val="Normal"/>
    <w:link w:val="Heading4Char"/>
    <w:uiPriority w:val="9"/>
    <w:unhideWhenUsed/>
    <w:qFormat/>
    <w:rsid w:val="008A1C48"/>
    <w:pPr>
      <w:keepNext/>
      <w:spacing w:before="240" w:after="60"/>
      <w:outlineLvl w:val="3"/>
    </w:pPr>
    <w:rPr>
      <w:b/>
      <w:bCs/>
      <w:i/>
      <w:szCs w:val="28"/>
    </w:rPr>
  </w:style>
  <w:style w:type="paragraph" w:styleId="Heading5">
    <w:name w:val="heading 5"/>
    <w:basedOn w:val="Normal"/>
    <w:next w:val="Normal"/>
    <w:link w:val="Heading5Char"/>
    <w:uiPriority w:val="9"/>
    <w:semiHidden/>
    <w:unhideWhenUsed/>
    <w:qFormat/>
    <w:rsid w:val="0070338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03380"/>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pPr>
      <w:spacing w:before="120" w:after="120"/>
    </w:pPr>
  </w:style>
  <w:style w:type="paragraph" w:customStyle="1" w:styleId="TitleTitlePage">
    <w:name w:val="Title (Title Page)"/>
    <w:basedOn w:val="Normal"/>
    <w:uiPriority w:val="99"/>
    <w:rsid w:val="00AE75F2"/>
    <w:pPr>
      <w:widowControl w:val="0"/>
      <w:autoSpaceDE w:val="0"/>
      <w:autoSpaceDN w:val="0"/>
      <w:adjustRightInd w:val="0"/>
      <w:spacing w:before="12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before="12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spacing w:before="120" w:after="120"/>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spacing w:before="120" w:after="120"/>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before="120" w:after="120"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9"/>
    <w:rsid w:val="00E855A4"/>
    <w:rPr>
      <w:b/>
      <w:bCs/>
      <w:kern w:val="32"/>
      <w:sz w:val="36"/>
      <w:szCs w:val="32"/>
    </w:rPr>
  </w:style>
  <w:style w:type="paragraph" w:styleId="Title">
    <w:name w:val="Title"/>
    <w:basedOn w:val="Normal"/>
    <w:next w:val="Normal"/>
    <w:link w:val="TitleChar"/>
    <w:uiPriority w:val="1"/>
    <w:qFormat/>
    <w:rsid w:val="0006104A"/>
    <w:pPr>
      <w:spacing w:before="120" w:after="240" w:line="240" w:lineRule="auto"/>
      <w:outlineLvl w:val="0"/>
    </w:pPr>
    <w:rPr>
      <w:b/>
      <w:bCs/>
      <w:kern w:val="28"/>
      <w:sz w:val="48"/>
      <w:szCs w:val="32"/>
    </w:rPr>
  </w:style>
  <w:style w:type="character" w:customStyle="1" w:styleId="TitleChar">
    <w:name w:val="Title Char"/>
    <w:link w:val="Title"/>
    <w:uiPriority w:val="10"/>
    <w:rsid w:val="0006104A"/>
    <w:rPr>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9"/>
    <w:rsid w:val="003913DB"/>
    <w:rPr>
      <w:b/>
      <w:bCs/>
      <w:iCs/>
      <w:sz w:val="28"/>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872369"/>
    <w:pPr>
      <w:numPr>
        <w:ilvl w:val="1"/>
        <w:numId w:val="1"/>
      </w:numPr>
      <w:tabs>
        <w:tab w:val="left" w:pos="851"/>
      </w:tabs>
      <w:ind w:left="851" w:hanging="851"/>
    </w:pPr>
  </w:style>
  <w:style w:type="character" w:customStyle="1" w:styleId="Heading3Char">
    <w:name w:val="Heading 3 Char"/>
    <w:link w:val="Heading3"/>
    <w:uiPriority w:val="99"/>
    <w:rsid w:val="00EC2D43"/>
    <w:rPr>
      <w:b/>
      <w:bCs/>
      <w:szCs w:val="26"/>
    </w:rPr>
  </w:style>
  <w:style w:type="paragraph" w:styleId="NormalIndent">
    <w:name w:val="Normal Indent"/>
    <w:basedOn w:val="Normal"/>
    <w:link w:val="NormalIndentChar"/>
    <w:uiPriority w:val="99"/>
    <w:semiHidden/>
    <w:unhideWhenUsed/>
    <w:rsid w:val="005E444F"/>
    <w:pPr>
      <w:spacing w:before="120" w:after="120"/>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872369"/>
  </w:style>
  <w:style w:type="character" w:customStyle="1" w:styleId="Heading4Char">
    <w:name w:val="Heading 4 Char"/>
    <w:link w:val="Heading4"/>
    <w:uiPriority w:val="9"/>
    <w:rsid w:val="008A1C48"/>
    <w:rPr>
      <w:b/>
      <w:bCs/>
      <w:i/>
      <w:szCs w:val="28"/>
    </w:rPr>
  </w:style>
  <w:style w:type="character" w:customStyle="1" w:styleId="Heading5Char">
    <w:name w:val="Heading 5 Char"/>
    <w:link w:val="Heading5"/>
    <w:uiPriority w:val="9"/>
    <w:semiHidden/>
    <w:rsid w:val="00703380"/>
    <w:rPr>
      <w:rFonts w:ascii="Calibri" w:hAnsi="Calibri"/>
      <w:b/>
      <w:bCs/>
      <w:i/>
      <w:iCs/>
      <w:sz w:val="26"/>
      <w:szCs w:val="26"/>
    </w:rPr>
  </w:style>
  <w:style w:type="character" w:customStyle="1" w:styleId="Heading6Char">
    <w:name w:val="Heading 6 Char"/>
    <w:link w:val="Heading6"/>
    <w:uiPriority w:val="9"/>
    <w:semiHidden/>
    <w:rsid w:val="00703380"/>
    <w:rPr>
      <w:rFonts w:ascii="Calibri" w:hAnsi="Calibri"/>
      <w:b/>
      <w:bCs/>
    </w:rPr>
  </w:style>
  <w:style w:type="character" w:customStyle="1" w:styleId="Heading7Char">
    <w:name w:val="Heading 7 Char"/>
    <w:link w:val="Heading7"/>
    <w:uiPriority w:val="9"/>
    <w:semiHidden/>
    <w:rsid w:val="00703380"/>
    <w:rPr>
      <w:rFonts w:ascii="Calibri" w:hAnsi="Calibri"/>
    </w:rPr>
  </w:style>
  <w:style w:type="character" w:customStyle="1" w:styleId="Heading8Char">
    <w:name w:val="Heading 8 Char"/>
    <w:link w:val="Heading8"/>
    <w:uiPriority w:val="9"/>
    <w:semiHidden/>
    <w:rsid w:val="00703380"/>
    <w:rPr>
      <w:rFonts w:ascii="Calibri" w:hAnsi="Calibri"/>
      <w:i/>
      <w:iCs/>
    </w:rPr>
  </w:style>
  <w:style w:type="character" w:customStyle="1" w:styleId="Heading9Char">
    <w:name w:val="Heading 9 Char"/>
    <w:link w:val="Heading9"/>
    <w:uiPriority w:val="9"/>
    <w:semiHidden/>
    <w:rsid w:val="00703380"/>
    <w:rPr>
      <w:rFonts w:ascii="Calibri Light" w:hAnsi="Calibri Light"/>
    </w:rPr>
  </w:style>
  <w:style w:type="paragraph" w:customStyle="1" w:styleId="Heading1Numbered">
    <w:name w:val="Heading 1 Numbered"/>
    <w:next w:val="Numbered"/>
    <w:link w:val="Heading1NumberedChar"/>
    <w:qFormat/>
    <w:rsid w:val="0028752B"/>
    <w:pPr>
      <w:pageBreakBefore/>
      <w:numPr>
        <w:numId w:val="1"/>
      </w:numPr>
      <w:tabs>
        <w:tab w:val="left" w:pos="851"/>
      </w:tabs>
      <w:suppressAutoHyphens/>
      <w:spacing w:after="120"/>
      <w:ind w:left="992" w:hanging="992"/>
    </w:pPr>
    <w:rPr>
      <w:b/>
      <w:bCs/>
      <w:kern w:val="32"/>
      <w:sz w:val="48"/>
      <w:szCs w:val="32"/>
    </w:rPr>
  </w:style>
  <w:style w:type="paragraph" w:customStyle="1" w:styleId="Bullets">
    <w:name w:val="Bullets"/>
    <w:basedOn w:val="Normal"/>
    <w:qFormat/>
    <w:rsid w:val="001D2C8C"/>
    <w:pPr>
      <w:numPr>
        <w:numId w:val="2"/>
      </w:numPr>
      <w:spacing w:before="60" w:after="60"/>
      <w:ind w:left="1037" w:hanging="357"/>
    </w:pPr>
  </w:style>
  <w:style w:type="character" w:customStyle="1" w:styleId="Heading1NumberedChar">
    <w:name w:val="Heading 1 Numbered Char"/>
    <w:link w:val="Heading1Numbered"/>
    <w:rsid w:val="0028752B"/>
    <w:rPr>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99"/>
    <w:qFormat/>
    <w:rsid w:val="00415FFD"/>
    <w:pPr>
      <w:spacing w:before="200" w:after="120"/>
      <w:ind w:left="1134"/>
    </w:pPr>
    <w:rPr>
      <w:iCs/>
    </w:rPr>
  </w:style>
  <w:style w:type="character" w:customStyle="1" w:styleId="QuoteChar">
    <w:name w:val="Quote Char"/>
    <w:link w:val="Quote"/>
    <w:uiPriority w:val="29"/>
    <w:rsid w:val="00415FFD"/>
    <w:rPr>
      <w:rFonts w:ascii="Verdana" w:hAnsi="Verdana"/>
      <w:iCs/>
      <w:sz w:val="22"/>
      <w:szCs w:val="22"/>
    </w:rPr>
  </w:style>
  <w:style w:type="paragraph" w:customStyle="1" w:styleId="Footnote">
    <w:name w:val="Footnote"/>
    <w:uiPriority w:val="99"/>
    <w:qFormat/>
    <w:rsid w:val="00A7068F"/>
    <w:pPr>
      <w:tabs>
        <w:tab w:val="left" w:pos="454"/>
      </w:tabs>
      <w:suppressAutoHyphens/>
      <w:spacing w:line="360" w:lineRule="auto"/>
      <w:ind w:left="454" w:hanging="454"/>
    </w:pPr>
    <w:rPr>
      <w:rFonts w:cs="Gill Sans Std Light"/>
      <w:color w:val="000000"/>
      <w:sz w:val="20"/>
      <w:szCs w:val="15"/>
      <w:lang w:val="en-US"/>
    </w:rPr>
  </w:style>
  <w:style w:type="paragraph" w:styleId="Caption">
    <w:name w:val="caption"/>
    <w:basedOn w:val="Normal"/>
    <w:next w:val="Normal"/>
    <w:uiPriority w:val="35"/>
    <w:unhideWhenUsed/>
    <w:qFormat/>
    <w:rsid w:val="00D10620"/>
    <w:pPr>
      <w:keepNext/>
      <w:spacing w:before="120" w:after="120" w:line="240" w:lineRule="auto"/>
    </w:pPr>
    <w:rPr>
      <w:b/>
      <w:bCs/>
      <w:sz w:val="20"/>
      <w:szCs w:val="20"/>
    </w:rPr>
  </w:style>
  <w:style w:type="paragraph" w:customStyle="1" w:styleId="TableHeading">
    <w:name w:val="Table Heading"/>
    <w:qFormat/>
    <w:rsid w:val="00F56A1A"/>
    <w:pPr>
      <w:suppressAutoHyphens/>
    </w:pPr>
    <w:rPr>
      <w:rFonts w:cs="ITC Franklin Gothic Book"/>
      <w:b/>
      <w:sz w:val="20"/>
      <w:szCs w:val="18"/>
      <w:lang w:val="en-US"/>
    </w:rPr>
  </w:style>
  <w:style w:type="paragraph" w:customStyle="1" w:styleId="TableBody">
    <w:name w:val="Table Body"/>
    <w:uiPriority w:val="99"/>
    <w:qFormat/>
    <w:rsid w:val="00F56A1A"/>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before="120" w:after="100"/>
      <w:ind w:left="220"/>
    </w:pPr>
    <w:rPr>
      <w:rFonts w:ascii="Calibri" w:hAnsi="Calibri"/>
      <w:lang w:val="en-US" w:eastAsia="en-US"/>
    </w:rPr>
  </w:style>
  <w:style w:type="paragraph" w:styleId="TOC3">
    <w:name w:val="toc 3"/>
    <w:basedOn w:val="Normal"/>
    <w:next w:val="Normal"/>
    <w:autoRedefine/>
    <w:uiPriority w:val="39"/>
    <w:unhideWhenUsed/>
    <w:rsid w:val="00AE709F"/>
    <w:pPr>
      <w:spacing w:before="120" w:after="100"/>
      <w:ind w:left="440"/>
    </w:pPr>
    <w:rPr>
      <w:rFonts w:ascii="Calibri" w:hAnsi="Calibri"/>
      <w:lang w:val="en-US" w:eastAsia="en-US"/>
    </w:rPr>
  </w:style>
  <w:style w:type="paragraph" w:customStyle="1" w:styleId="Contributorsheader2ImprintandContributors">
    <w:name w:val="Contributors header 2 (Imprint and Contributors)"/>
    <w:basedOn w:val="NoParagraphStyle"/>
    <w:uiPriority w:val="99"/>
    <w:rsid w:val="00C107C1"/>
    <w:pPr>
      <w:suppressAutoHyphens/>
      <w:spacing w:before="130" w:line="270" w:lineRule="atLeast"/>
    </w:pPr>
    <w:rPr>
      <w:rFonts w:ascii="ITC Franklin Gothic Book" w:eastAsiaTheme="minorEastAsia" w:hAnsi="ITC Franklin Gothic Book" w:cs="ITC Franklin Gothic Book"/>
      <w:color w:val="555559"/>
      <w:sz w:val="21"/>
      <w:szCs w:val="21"/>
      <w:lang w:val="en-US"/>
    </w:rPr>
  </w:style>
  <w:style w:type="paragraph" w:customStyle="1" w:styleId="ABCGeneralStyles">
    <w:name w:val="ABC (General Styles)"/>
    <w:basedOn w:val="BodyGeneralStyles"/>
    <w:uiPriority w:val="99"/>
    <w:rsid w:val="00C107C1"/>
    <w:pPr>
      <w:spacing w:after="57"/>
      <w:ind w:left="600" w:hanging="360"/>
    </w:pPr>
    <w:rPr>
      <w:rFonts w:eastAsiaTheme="minorEastAsia"/>
    </w:rPr>
  </w:style>
  <w:style w:type="paragraph" w:customStyle="1" w:styleId="NumberedGeneralStyles">
    <w:name w:val="Numbered (General Styles)"/>
    <w:basedOn w:val="ABCGeneralStyles"/>
    <w:uiPriority w:val="99"/>
    <w:rsid w:val="00C107C1"/>
    <w:pPr>
      <w:ind w:left="720"/>
    </w:pPr>
  </w:style>
  <w:style w:type="paragraph" w:customStyle="1" w:styleId="BodyPrebulletGeneralStyles">
    <w:name w:val="Body Prebullet (General Styles)"/>
    <w:basedOn w:val="BodyGeneralStyles"/>
    <w:uiPriority w:val="99"/>
    <w:rsid w:val="00C107C1"/>
    <w:pPr>
      <w:spacing w:after="57"/>
    </w:pPr>
    <w:rPr>
      <w:rFonts w:eastAsiaTheme="minorEastAsia"/>
    </w:rPr>
  </w:style>
  <w:style w:type="paragraph" w:customStyle="1" w:styleId="BulletlastGeneralStyles">
    <w:name w:val="Bullet last (General Styles)"/>
    <w:basedOn w:val="BulletGeneralStyles"/>
    <w:uiPriority w:val="99"/>
    <w:rsid w:val="00C107C1"/>
    <w:pPr>
      <w:spacing w:after="130"/>
    </w:pPr>
    <w:rPr>
      <w:rFonts w:eastAsiaTheme="minorEastAsia"/>
    </w:rPr>
  </w:style>
  <w:style w:type="paragraph" w:customStyle="1" w:styleId="QuoteindentGeneralStyles">
    <w:name w:val="Quote indent (General Styles)"/>
    <w:basedOn w:val="BodyGeneralStyles"/>
    <w:uiPriority w:val="99"/>
    <w:rsid w:val="00C107C1"/>
    <w:pPr>
      <w:ind w:left="1304" w:right="57"/>
    </w:pPr>
    <w:rPr>
      <w:rFonts w:eastAsiaTheme="minorEastAsia"/>
      <w:sz w:val="19"/>
      <w:szCs w:val="19"/>
    </w:rPr>
  </w:style>
  <w:style w:type="paragraph" w:customStyle="1" w:styleId="RecommendationHeadingAGeneralStyles">
    <w:name w:val="Recommendation Heading A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BodyGeneralStyles">
    <w:name w:val="Recommendation Body (General Styles)"/>
    <w:basedOn w:val="BodyGeneralStyles"/>
    <w:uiPriority w:val="99"/>
    <w:rsid w:val="00C107C1"/>
    <w:pPr>
      <w:spacing w:after="130"/>
      <w:ind w:left="120"/>
    </w:pPr>
    <w:rPr>
      <w:rFonts w:eastAsiaTheme="minorEastAsia"/>
    </w:rPr>
  </w:style>
  <w:style w:type="paragraph" w:customStyle="1" w:styleId="RecommendationABCGeneralStyles">
    <w:name w:val="Recommendation ABC (General Styles)"/>
    <w:basedOn w:val="BodyGeneralStyles"/>
    <w:uiPriority w:val="99"/>
    <w:rsid w:val="00C107C1"/>
    <w:pPr>
      <w:tabs>
        <w:tab w:val="left" w:pos="907"/>
      </w:tabs>
      <w:spacing w:after="57"/>
      <w:ind w:left="600" w:hanging="320"/>
    </w:pPr>
    <w:rPr>
      <w:rFonts w:eastAsiaTheme="minorEastAsia"/>
    </w:rPr>
  </w:style>
  <w:style w:type="paragraph" w:customStyle="1" w:styleId="RecommendationHeadingGeneralStyles">
    <w:name w:val="Recommendation Heading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LastGeneralStyles">
    <w:name w:val="Recommendation Last (General Styles)"/>
    <w:basedOn w:val="RecommendationABCGeneralStyles"/>
    <w:uiPriority w:val="99"/>
    <w:rsid w:val="00C107C1"/>
    <w:pPr>
      <w:pBdr>
        <w:bottom w:val="single" w:sz="16" w:space="13" w:color="7594CC"/>
      </w:pBdr>
      <w:ind w:left="120" w:firstLine="0"/>
    </w:pPr>
  </w:style>
  <w:style w:type="paragraph" w:customStyle="1" w:styleId="QuotebulletGeneralStyles">
    <w:name w:val="Quote bullet (General Styles)"/>
    <w:basedOn w:val="NoParagraphStyle"/>
    <w:uiPriority w:val="99"/>
    <w:rsid w:val="00C107C1"/>
    <w:pPr>
      <w:tabs>
        <w:tab w:val="left" w:pos="1440"/>
      </w:tabs>
      <w:suppressAutoHyphens/>
      <w:spacing w:after="40"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QuotebulletlastGeneralStyles">
    <w:name w:val="Quote bullet last (General Styles)"/>
    <w:basedOn w:val="NoParagraphStyle"/>
    <w:uiPriority w:val="99"/>
    <w:rsid w:val="00C107C1"/>
    <w:pPr>
      <w:tabs>
        <w:tab w:val="left" w:pos="1440"/>
      </w:tabs>
      <w:suppressAutoHyphens/>
      <w:spacing w:after="135"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ABCindentGeneralStyles">
    <w:name w:val="ABC indent (General Styles)"/>
    <w:basedOn w:val="BodyGeneralStyles"/>
    <w:uiPriority w:val="99"/>
    <w:rsid w:val="00C107C1"/>
    <w:pPr>
      <w:spacing w:after="57"/>
      <w:ind w:left="1260" w:hanging="400"/>
    </w:pPr>
    <w:rPr>
      <w:rFonts w:eastAsiaTheme="minorEastAsia"/>
    </w:rPr>
  </w:style>
  <w:style w:type="paragraph" w:customStyle="1" w:styleId="ABCindentlastGeneralStyles">
    <w:name w:val="ABC indent last (General Styles)"/>
    <w:basedOn w:val="BodyGeneralStyles"/>
    <w:uiPriority w:val="99"/>
    <w:rsid w:val="00C107C1"/>
    <w:pPr>
      <w:spacing w:after="130"/>
      <w:ind w:left="1260" w:hanging="400"/>
    </w:pPr>
    <w:rPr>
      <w:rFonts w:eastAsiaTheme="minorEastAsia"/>
    </w:rPr>
  </w:style>
  <w:style w:type="paragraph" w:customStyle="1" w:styleId="NumberedIndentGeneralStyles">
    <w:name w:val="Numbered Indent (General Styles)"/>
    <w:basedOn w:val="BodyGeneralStyles"/>
    <w:uiPriority w:val="99"/>
    <w:rsid w:val="00C107C1"/>
    <w:pPr>
      <w:tabs>
        <w:tab w:val="left" w:pos="907"/>
      </w:tabs>
      <w:spacing w:after="57"/>
      <w:ind w:left="1077" w:hanging="227"/>
    </w:pPr>
    <w:rPr>
      <w:rFonts w:eastAsiaTheme="minorEastAsia"/>
    </w:rPr>
  </w:style>
  <w:style w:type="paragraph" w:customStyle="1" w:styleId="NumberedIndentLastGeneralStyles">
    <w:name w:val="Numbered Indent Last (General Styles)"/>
    <w:basedOn w:val="BodyGeneralStyles"/>
    <w:uiPriority w:val="99"/>
    <w:rsid w:val="00C107C1"/>
    <w:pPr>
      <w:tabs>
        <w:tab w:val="left" w:pos="907"/>
      </w:tabs>
      <w:spacing w:after="130"/>
      <w:ind w:left="1077" w:hanging="227"/>
    </w:pPr>
    <w:rPr>
      <w:rFonts w:eastAsiaTheme="minorEastAsia"/>
    </w:rPr>
  </w:style>
  <w:style w:type="paragraph" w:customStyle="1" w:styleId="SubSubbulletindentGeneralStyles">
    <w:name w:val="Sub Subbullet indent (General Styles)"/>
    <w:basedOn w:val="BodyGeneralStyles"/>
    <w:uiPriority w:val="99"/>
    <w:rsid w:val="00C107C1"/>
    <w:pPr>
      <w:tabs>
        <w:tab w:val="left" w:pos="907"/>
      </w:tabs>
      <w:spacing w:after="57"/>
      <w:ind w:left="1701" w:hanging="198"/>
    </w:pPr>
    <w:rPr>
      <w:rFonts w:eastAsiaTheme="minorEastAsia"/>
    </w:rPr>
  </w:style>
  <w:style w:type="paragraph" w:customStyle="1" w:styleId="TableNoteGeneralStyles">
    <w:name w:val="Table Note (General Styles)"/>
    <w:basedOn w:val="NoParagraphStyle"/>
    <w:uiPriority w:val="99"/>
    <w:rsid w:val="00C107C1"/>
    <w:pPr>
      <w:tabs>
        <w:tab w:val="left" w:pos="255"/>
      </w:tabs>
      <w:suppressAutoHyphens/>
      <w:spacing w:after="113" w:line="190" w:lineRule="atLeast"/>
      <w:ind w:left="227" w:hanging="227"/>
    </w:pPr>
    <w:rPr>
      <w:rFonts w:ascii="Gill Sans Std Light" w:eastAsiaTheme="minorEastAsia" w:hAnsi="Gill Sans Std Light" w:cs="Gill Sans Std Light"/>
      <w:sz w:val="16"/>
      <w:szCs w:val="16"/>
      <w:lang w:val="en-US"/>
    </w:rPr>
  </w:style>
  <w:style w:type="paragraph" w:customStyle="1" w:styleId="RecommendationBodyPrebulletGeneralStyles">
    <w:name w:val="Recommendation Body Prebullet (General Styles)"/>
    <w:basedOn w:val="BodyGeneralStyles"/>
    <w:uiPriority w:val="99"/>
    <w:rsid w:val="00C107C1"/>
    <w:pPr>
      <w:spacing w:after="57"/>
      <w:ind w:left="120"/>
    </w:pPr>
    <w:rPr>
      <w:rFonts w:eastAsiaTheme="minorEastAsia"/>
    </w:rPr>
  </w:style>
  <w:style w:type="paragraph" w:customStyle="1" w:styleId="Body51PrebulletBodyParas">
    <w:name w:val="Body 5.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51BodyParas0">
    <w:name w:val="Body 5.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BodyParas0">
    <w:name w:val="Body 6.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PrebulletBodyParas">
    <w:name w:val="Body 6.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71BodyParas0">
    <w:name w:val="Body 7.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71PrebulletBodyParas">
    <w:name w:val="Body 7.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0">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PrebulletBodyParas">
    <w:name w:val="Body 8.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character" w:customStyle="1" w:styleId="Bold">
    <w:name w:val="Bold"/>
    <w:uiPriority w:val="99"/>
    <w:rsid w:val="00C107C1"/>
    <w:rPr>
      <w:b/>
      <w:bCs/>
    </w:rPr>
  </w:style>
  <w:style w:type="character" w:customStyle="1" w:styleId="Italic">
    <w:name w:val="Italic"/>
    <w:uiPriority w:val="99"/>
    <w:rsid w:val="00C107C1"/>
    <w:rPr>
      <w:i/>
      <w:iCs/>
      <w:lang w:val="en-AU"/>
    </w:rPr>
  </w:style>
  <w:style w:type="character" w:customStyle="1" w:styleId="WhiteFootnote">
    <w:name w:val="White Footnote"/>
    <w:basedOn w:val="Superscript"/>
    <w:uiPriority w:val="99"/>
    <w:rsid w:val="00C107C1"/>
    <w:rPr>
      <w:b/>
      <w:bCs/>
      <w:outline/>
      <w:vertAlign w:val="superscript"/>
      <w:lang w:val="en-AU"/>
    </w:rPr>
  </w:style>
  <w:style w:type="character" w:customStyle="1" w:styleId="TableBold">
    <w:name w:val="Table Bold"/>
    <w:uiPriority w:val="99"/>
    <w:rsid w:val="00C107C1"/>
  </w:style>
  <w:style w:type="paragraph" w:styleId="FootnoteText">
    <w:name w:val="footnote text"/>
    <w:basedOn w:val="Normal"/>
    <w:link w:val="FootnoteTextChar"/>
    <w:uiPriority w:val="99"/>
    <w:unhideWhenUsed/>
    <w:rsid w:val="00050BF8"/>
    <w:pPr>
      <w:spacing w:line="240" w:lineRule="auto"/>
    </w:pPr>
    <w:rPr>
      <w:sz w:val="20"/>
      <w:szCs w:val="20"/>
    </w:rPr>
  </w:style>
  <w:style w:type="character" w:customStyle="1" w:styleId="FootnoteTextChar">
    <w:name w:val="Footnote Text Char"/>
    <w:basedOn w:val="DefaultParagraphFont"/>
    <w:link w:val="FootnoteText"/>
    <w:uiPriority w:val="99"/>
    <w:semiHidden/>
    <w:rsid w:val="00050BF8"/>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050BF8"/>
    <w:rPr>
      <w:vertAlign w:val="superscript"/>
    </w:rPr>
  </w:style>
  <w:style w:type="paragraph" w:customStyle="1" w:styleId="BodyFranklinGothicFranklinGothicSection">
    <w:name w:val="Body Franklin Gothic (Franklin Gothic Section)"/>
    <w:basedOn w:val="BodyGeneralStyles"/>
    <w:uiPriority w:val="99"/>
    <w:rsid w:val="000D1F9C"/>
    <w:pPr>
      <w:widowControl/>
      <w:spacing w:line="280" w:lineRule="atLeast"/>
    </w:pPr>
    <w:rPr>
      <w:rFonts w:ascii="ITC Franklin Gothic Book" w:hAnsi="ITC Franklin Gothic Book" w:cs="ITC Franklin Gothic Book"/>
      <w:sz w:val="20"/>
      <w:szCs w:val="20"/>
    </w:rPr>
  </w:style>
  <w:style w:type="character" w:customStyle="1" w:styleId="Demi">
    <w:name w:val="Demi"/>
    <w:uiPriority w:val="99"/>
    <w:rsid w:val="000D1F9C"/>
  </w:style>
  <w:style w:type="paragraph" w:customStyle="1" w:styleId="Heading1FranklinGothicFranklinGothicSection">
    <w:name w:val="Heading 1 Franklin Gothic (Franklin Gothic Section)"/>
    <w:basedOn w:val="NoParagraphStyle"/>
    <w:uiPriority w:val="99"/>
    <w:rsid w:val="007C1944"/>
    <w:pPr>
      <w:widowControl/>
      <w:suppressAutoHyphens/>
      <w:spacing w:before="270" w:after="135" w:line="280" w:lineRule="atLeast"/>
    </w:pPr>
    <w:rPr>
      <w:rFonts w:ascii="Franklin Gothic Medium" w:hAnsi="Franklin Gothic Medium" w:cs="Franklin Gothic Medium"/>
      <w:lang w:val="en-US"/>
    </w:rPr>
  </w:style>
  <w:style w:type="paragraph" w:customStyle="1" w:styleId="GothicBulletFranklinGothicSection">
    <w:name w:val="Gothic Bullet (Franklin Gothic Section)"/>
    <w:basedOn w:val="BodyFranklinGothicFranklinGothicSection"/>
    <w:uiPriority w:val="99"/>
    <w:rsid w:val="007C1944"/>
    <w:pPr>
      <w:spacing w:after="60"/>
      <w:ind w:left="360" w:hanging="240"/>
    </w:pPr>
  </w:style>
  <w:style w:type="paragraph" w:customStyle="1" w:styleId="GothicSubbulletFranklinGothicSection">
    <w:name w:val="Gothic Subbullet (Franklin Gothic Section)"/>
    <w:basedOn w:val="GothicBulletFranklinGothicSection"/>
    <w:uiPriority w:val="99"/>
    <w:rsid w:val="007C1944"/>
    <w:pPr>
      <w:ind w:left="720"/>
    </w:pPr>
  </w:style>
  <w:style w:type="paragraph" w:customStyle="1" w:styleId="SourceFranklinGothicSection">
    <w:name w:val="Source (Franklin Gothic Section)"/>
    <w:basedOn w:val="BodyFranklinGothicFranklinGothicSection"/>
    <w:uiPriority w:val="99"/>
    <w:rsid w:val="007C1944"/>
    <w:pPr>
      <w:spacing w:line="220" w:lineRule="atLeast"/>
    </w:pPr>
    <w:rPr>
      <w:sz w:val="18"/>
      <w:szCs w:val="18"/>
    </w:rPr>
  </w:style>
  <w:style w:type="paragraph" w:customStyle="1" w:styleId="GothicABCFranklinGothicSection">
    <w:name w:val="Gothic ABC (Franklin Gothic Section)"/>
    <w:basedOn w:val="GothicBulletFranklinGothicSection"/>
    <w:uiPriority w:val="99"/>
    <w:rsid w:val="003B6E5E"/>
    <w:pPr>
      <w:ind w:left="567" w:hanging="397"/>
    </w:pPr>
  </w:style>
  <w:style w:type="character" w:customStyle="1" w:styleId="BookItalic">
    <w:name w:val="Book Italic"/>
    <w:uiPriority w:val="99"/>
    <w:rsid w:val="00B57D3D"/>
    <w:rPr>
      <w:i/>
      <w:iCs/>
      <w:lang w:val="en-AU"/>
    </w:rPr>
  </w:style>
  <w:style w:type="paragraph" w:styleId="ListParagraph">
    <w:name w:val="List Paragraph"/>
    <w:basedOn w:val="Normal"/>
    <w:uiPriority w:val="1"/>
    <w:qFormat/>
    <w:rsid w:val="007238AB"/>
    <w:pPr>
      <w:ind w:left="720"/>
      <w:contextualSpacing/>
    </w:pPr>
  </w:style>
  <w:style w:type="paragraph" w:customStyle="1" w:styleId="BodyRun-inHeadGeneralStyles">
    <w:name w:val="Body Run-in Head (General Styles)"/>
    <w:basedOn w:val="NoParagraphStyle"/>
    <w:uiPriority w:val="99"/>
    <w:rsid w:val="00613286"/>
    <w:pPr>
      <w:keepLines/>
      <w:suppressAutoHyphens/>
      <w:spacing w:before="270" w:after="135" w:line="270" w:lineRule="atLeast"/>
    </w:pPr>
    <w:rPr>
      <w:rFonts w:ascii="Gill Sans Std Light" w:eastAsiaTheme="minorEastAsia" w:hAnsi="Gill Sans Std Light" w:cs="Gill Sans Std Light"/>
      <w:sz w:val="21"/>
      <w:szCs w:val="21"/>
      <w:lang w:val="en-US"/>
    </w:rPr>
  </w:style>
  <w:style w:type="paragraph" w:customStyle="1" w:styleId="BodyindentprebulletGeneralStyles">
    <w:name w:val="Body indent prebullet (General Styles)"/>
    <w:basedOn w:val="BodyGeneralStyles"/>
    <w:uiPriority w:val="99"/>
    <w:rsid w:val="00613286"/>
    <w:pPr>
      <w:spacing w:after="57"/>
      <w:ind w:left="600"/>
    </w:pPr>
    <w:rPr>
      <w:rFonts w:eastAsiaTheme="minorEastAsia"/>
    </w:rPr>
  </w:style>
  <w:style w:type="paragraph" w:customStyle="1" w:styleId="TableHeadingLeft2FiguresTable">
    <w:name w:val="Table Heading Left 2 (Figures / Table)"/>
    <w:basedOn w:val="BodyGeneralStyles"/>
    <w:uiPriority w:val="99"/>
    <w:rsid w:val="00613286"/>
    <w:pPr>
      <w:spacing w:line="240" w:lineRule="atLeast"/>
    </w:pPr>
    <w:rPr>
      <w:rFonts w:ascii="ITC Franklin Gothic Demi" w:eastAsiaTheme="minorEastAsia" w:hAnsi="ITC Franklin Gothic Demi" w:cs="ITC Franklin Gothic Demi"/>
      <w:color w:val="53555A"/>
      <w:sz w:val="18"/>
      <w:szCs w:val="18"/>
    </w:rPr>
  </w:style>
  <w:style w:type="paragraph" w:customStyle="1" w:styleId="TableHeadingRight2FiguresTable">
    <w:name w:val="Table Heading Right 2 (Figures / Table)"/>
    <w:basedOn w:val="BodyGeneralStyles"/>
    <w:uiPriority w:val="99"/>
    <w:rsid w:val="00613286"/>
    <w:pPr>
      <w:spacing w:line="240" w:lineRule="atLeast"/>
      <w:jc w:val="right"/>
    </w:pPr>
    <w:rPr>
      <w:rFonts w:ascii="ITC Franklin Gothic Demi" w:eastAsiaTheme="minorEastAsia" w:hAnsi="ITC Franklin Gothic Demi" w:cs="ITC Franklin Gothic Demi"/>
      <w:color w:val="53555A"/>
      <w:sz w:val="18"/>
      <w:szCs w:val="18"/>
    </w:rPr>
  </w:style>
  <w:style w:type="character" w:customStyle="1" w:styleId="DemiColour">
    <w:name w:val="Demi Colour"/>
    <w:uiPriority w:val="99"/>
    <w:rsid w:val="00613286"/>
    <w:rPr>
      <w:rFonts w:ascii="ITC Franklin Gothic Demi" w:hAnsi="ITC Franklin Gothic Demi" w:cs="ITC Franklin Gothic Demi"/>
      <w:color w:val="7594CC"/>
    </w:rPr>
  </w:style>
  <w:style w:type="character" w:customStyle="1" w:styleId="White">
    <w:name w:val="White"/>
    <w:uiPriority w:val="99"/>
    <w:rsid w:val="00613286"/>
    <w:rPr>
      <w:rFonts w:ascii="ITC Franklin Gothic" w:hAnsi="ITC Franklin Gothic" w:cs="ITC Franklin Gothic"/>
      <w:outline/>
    </w:rPr>
  </w:style>
  <w:style w:type="paragraph" w:customStyle="1" w:styleId="TOCMainTOC">
    <w:name w:val="TOC Main (TOC)"/>
    <w:basedOn w:val="NoParagraphStyle"/>
    <w:uiPriority w:val="99"/>
    <w:rsid w:val="006D1D12"/>
    <w:pPr>
      <w:suppressAutoHyphens/>
      <w:spacing w:before="165" w:after="20" w:line="240" w:lineRule="atLeast"/>
    </w:pPr>
    <w:rPr>
      <w:rFonts w:ascii="ITC Franklin Gothic Demi" w:eastAsiaTheme="minorEastAsia" w:hAnsi="ITC Franklin Gothic Demi" w:cs="ITC Franklin Gothic Demi"/>
      <w:color w:val="7594CC"/>
      <w:sz w:val="18"/>
      <w:szCs w:val="18"/>
      <w:lang w:val="en-US"/>
    </w:rPr>
  </w:style>
  <w:style w:type="paragraph" w:customStyle="1" w:styleId="TOCH1TOC">
    <w:name w:val="TOC H1 (TOC)"/>
    <w:basedOn w:val="NoParagraphStyle"/>
    <w:uiPriority w:val="99"/>
    <w:rsid w:val="006D1D12"/>
    <w:pPr>
      <w:tabs>
        <w:tab w:val="left" w:pos="473"/>
      </w:tabs>
      <w:suppressAutoHyphens/>
      <w:spacing w:after="20" w:line="240" w:lineRule="atLeast"/>
    </w:pPr>
    <w:rPr>
      <w:rFonts w:ascii="ITC Franklin Gothic Book" w:eastAsiaTheme="minorEastAsia" w:hAnsi="ITC Franklin Gothic Book" w:cs="ITC Franklin Gothic Book"/>
      <w:sz w:val="18"/>
      <w:szCs w:val="18"/>
      <w:lang w:val="en-US"/>
    </w:rPr>
  </w:style>
  <w:style w:type="paragraph" w:customStyle="1" w:styleId="TOCH2TOC">
    <w:name w:val="TOC H2 (TOC)"/>
    <w:basedOn w:val="NoParagraphStyle"/>
    <w:uiPriority w:val="99"/>
    <w:rsid w:val="006D1D12"/>
    <w:pPr>
      <w:suppressAutoHyphens/>
      <w:spacing w:after="20" w:line="240" w:lineRule="atLeast"/>
      <w:ind w:left="360"/>
    </w:pPr>
    <w:rPr>
      <w:rFonts w:ascii="ITC Franklin Gothic" w:eastAsiaTheme="minorEastAsia" w:hAnsi="ITC Franklin Gothic" w:cs="ITC Franklin Gothic"/>
      <w:sz w:val="18"/>
      <w:szCs w:val="18"/>
      <w:lang w:val="en-US"/>
    </w:rPr>
  </w:style>
  <w:style w:type="character" w:styleId="PageNumber">
    <w:name w:val="page number"/>
    <w:basedOn w:val="DefaultParagraphFont"/>
    <w:uiPriority w:val="99"/>
    <w:rsid w:val="006D1D12"/>
    <w:rPr>
      <w:rFonts w:ascii="ITC Franklin Gothic Book" w:hAnsi="ITC Franklin Gothic Book" w:cs="ITC Franklin Gothic Book"/>
      <w:color w:val="000000"/>
    </w:rPr>
  </w:style>
  <w:style w:type="paragraph" w:customStyle="1" w:styleId="BodyFranklinGothicNumberedFranklinGothicSection">
    <w:name w:val="Body Franklin Gothic Numbered (Franklin Gothic Section)"/>
    <w:basedOn w:val="BodyGeneralStyles"/>
    <w:uiPriority w:val="99"/>
    <w:rsid w:val="006D1D12"/>
    <w:pPr>
      <w:pageBreakBefore/>
      <w:tabs>
        <w:tab w:val="left" w:pos="360"/>
      </w:tabs>
      <w:spacing w:after="0" w:line="210" w:lineRule="atLeast"/>
      <w:ind w:left="360" w:hanging="360"/>
    </w:pPr>
    <w:rPr>
      <w:rFonts w:ascii="ITC Franklin Gothic Book" w:eastAsiaTheme="minorEastAsia" w:hAnsi="ITC Franklin Gothic Book" w:cs="ITC Franklin Gothic Book"/>
      <w:sz w:val="18"/>
      <w:szCs w:val="18"/>
    </w:rPr>
  </w:style>
  <w:style w:type="paragraph" w:customStyle="1" w:styleId="BodyFranklinGothicNumberedWhiteFranklinGothicSection">
    <w:name w:val="Body Franklin Gothic Numbered White (Franklin Gothic Section)"/>
    <w:basedOn w:val="BodyGeneralStyles"/>
    <w:uiPriority w:val="99"/>
    <w:rsid w:val="006D1D12"/>
    <w:pPr>
      <w:pageBreakBefore/>
      <w:tabs>
        <w:tab w:val="left" w:pos="360"/>
      </w:tabs>
      <w:spacing w:after="0" w:line="210" w:lineRule="atLeast"/>
      <w:ind w:left="360" w:hanging="360"/>
    </w:pPr>
    <w:rPr>
      <w:rFonts w:ascii="ITC Franklin Gothic Demi" w:eastAsiaTheme="minorEastAsia" w:hAnsi="ITC Franklin Gothic Demi" w:cs="ITC Franklin Gothic Demi"/>
      <w:color w:val="FFFFFF"/>
      <w:sz w:val="18"/>
      <w:szCs w:val="18"/>
    </w:rPr>
  </w:style>
  <w:style w:type="paragraph" w:customStyle="1" w:styleId="TableNumber">
    <w:name w:val="Table Number"/>
    <w:basedOn w:val="TableBody"/>
    <w:qFormat/>
    <w:rsid w:val="002A32E7"/>
    <w:pPr>
      <w:spacing w:after="60"/>
    </w:pPr>
  </w:style>
  <w:style w:type="paragraph" w:customStyle="1" w:styleId="FranklinGothicBulletFranklinGothicSection">
    <w:name w:val="Franklin Gothic Bullet (Franklin Gothic Section)"/>
    <w:basedOn w:val="Normal"/>
    <w:uiPriority w:val="99"/>
    <w:rsid w:val="00CA4B44"/>
    <w:pPr>
      <w:widowControl w:val="0"/>
      <w:tabs>
        <w:tab w:val="left" w:pos="907"/>
      </w:tabs>
      <w:autoSpaceDE w:val="0"/>
      <w:autoSpaceDN w:val="0"/>
      <w:adjustRightInd w:val="0"/>
      <w:spacing w:after="57" w:line="260" w:lineRule="atLeast"/>
      <w:ind w:left="360" w:hanging="170"/>
      <w:textAlignment w:val="center"/>
    </w:pPr>
    <w:rPr>
      <w:rFonts w:ascii="ITC Franklin Gothic Book" w:eastAsiaTheme="minorEastAsia" w:hAnsi="ITC Franklin Gothic Book" w:cs="ITC Franklin Gothic Book"/>
      <w:color w:val="000000"/>
      <w:sz w:val="18"/>
      <w:szCs w:val="18"/>
      <w:lang w:val="en-US"/>
    </w:rPr>
  </w:style>
  <w:style w:type="paragraph" w:customStyle="1" w:styleId="Pa63">
    <w:name w:val="Pa63"/>
    <w:basedOn w:val="Normal"/>
    <w:next w:val="Normal"/>
    <w:uiPriority w:val="99"/>
    <w:rsid w:val="00066093"/>
    <w:pPr>
      <w:autoSpaceDE w:val="0"/>
      <w:autoSpaceDN w:val="0"/>
      <w:adjustRightInd w:val="0"/>
      <w:spacing w:line="181" w:lineRule="atLeast"/>
    </w:pPr>
    <w:rPr>
      <w:rFonts w:ascii="ITC Franklin Gothic Book" w:hAnsi="ITC Franklin Gothic Book"/>
    </w:rPr>
  </w:style>
  <w:style w:type="paragraph" w:customStyle="1" w:styleId="Pa64">
    <w:name w:val="Pa64"/>
    <w:basedOn w:val="Normal"/>
    <w:next w:val="Normal"/>
    <w:uiPriority w:val="99"/>
    <w:rsid w:val="00066093"/>
    <w:pPr>
      <w:autoSpaceDE w:val="0"/>
      <w:autoSpaceDN w:val="0"/>
      <w:adjustRightInd w:val="0"/>
      <w:spacing w:line="181" w:lineRule="atLeast"/>
    </w:pPr>
    <w:rPr>
      <w:rFonts w:ascii="ITC Franklin Gothic Book" w:hAnsi="ITC Franklin Gothic Book"/>
    </w:rPr>
  </w:style>
  <w:style w:type="paragraph" w:customStyle="1" w:styleId="Pa12">
    <w:name w:val="Pa12"/>
    <w:basedOn w:val="Normal"/>
    <w:next w:val="Normal"/>
    <w:uiPriority w:val="99"/>
    <w:rsid w:val="00066093"/>
    <w:pPr>
      <w:autoSpaceDE w:val="0"/>
      <w:autoSpaceDN w:val="0"/>
      <w:adjustRightInd w:val="0"/>
      <w:spacing w:line="181" w:lineRule="atLeast"/>
    </w:pPr>
    <w:rPr>
      <w:rFonts w:ascii="ITC Franklin Gothic Book" w:hAnsi="ITC Franklin Gothic Book"/>
    </w:rPr>
  </w:style>
  <w:style w:type="paragraph" w:customStyle="1" w:styleId="FranklinGothlicLargeTextFranklinGothicSection">
    <w:name w:val="Franklin Gothlic Large Text (Franklin Gothic Section)"/>
    <w:basedOn w:val="Normal"/>
    <w:uiPriority w:val="99"/>
    <w:rsid w:val="00F80959"/>
    <w:pPr>
      <w:widowControl w:val="0"/>
      <w:autoSpaceDE w:val="0"/>
      <w:autoSpaceDN w:val="0"/>
      <w:adjustRightInd w:val="0"/>
      <w:spacing w:after="135" w:line="360" w:lineRule="atLeast"/>
      <w:textAlignment w:val="center"/>
    </w:pPr>
    <w:rPr>
      <w:rFonts w:ascii="ITC Franklin Gothic Demi Italic" w:eastAsiaTheme="minorEastAsia" w:hAnsi="ITC Franklin Gothic Demi Italic" w:cs="ITC Franklin Gothic Demi Italic"/>
      <w:i/>
      <w:iCs/>
      <w:color w:val="000000"/>
      <w:sz w:val="28"/>
      <w:szCs w:val="28"/>
      <w:lang w:val="en-US"/>
    </w:rPr>
  </w:style>
  <w:style w:type="paragraph" w:customStyle="1" w:styleId="Body">
    <w:name w:val="Body"/>
    <w:basedOn w:val="NoParagraphStyle"/>
    <w:uiPriority w:val="99"/>
    <w:rsid w:val="00E3623B"/>
    <w:pPr>
      <w:suppressAutoHyphens/>
      <w:spacing w:after="160" w:line="320" w:lineRule="atLeast"/>
    </w:pPr>
    <w:rPr>
      <w:rFonts w:ascii="ITC Franklin Gothic Std Book" w:eastAsiaTheme="minorEastAsia" w:hAnsi="ITC Franklin Gothic Std Book" w:cs="ITC Franklin Gothic Std Book"/>
      <w:sz w:val="23"/>
      <w:szCs w:val="23"/>
      <w:lang w:val="en-US"/>
    </w:rPr>
  </w:style>
  <w:style w:type="paragraph" w:customStyle="1" w:styleId="Anchor">
    <w:name w:val="Anchor"/>
    <w:basedOn w:val="NoParagraphStyle"/>
    <w:uiPriority w:val="99"/>
    <w:rsid w:val="00E3623B"/>
    <w:pPr>
      <w:suppressAutoHyphens/>
      <w:spacing w:line="125" w:lineRule="atLeast"/>
    </w:pPr>
    <w:rPr>
      <w:rFonts w:ascii="ITC Franklin Gothic Std Book" w:eastAsiaTheme="minorEastAsia" w:hAnsi="ITC Franklin Gothic Std Book" w:cs="ITC Franklin Gothic Std Book"/>
      <w:sz w:val="13"/>
      <w:szCs w:val="13"/>
      <w:lang w:val="en-US"/>
    </w:rPr>
  </w:style>
  <w:style w:type="paragraph" w:customStyle="1" w:styleId="BodyPrebullet">
    <w:name w:val="Body Prebullet"/>
    <w:basedOn w:val="Body"/>
    <w:uiPriority w:val="99"/>
    <w:rsid w:val="00E3623B"/>
    <w:pPr>
      <w:spacing w:after="70"/>
    </w:pPr>
  </w:style>
  <w:style w:type="paragraph" w:customStyle="1" w:styleId="Bullet">
    <w:name w:val="Bullet"/>
    <w:basedOn w:val="NoParagraphStyle"/>
    <w:uiPriority w:val="99"/>
    <w:rsid w:val="00E3623B"/>
    <w:pPr>
      <w:tabs>
        <w:tab w:val="left" w:pos="482"/>
      </w:tabs>
      <w:suppressAutoHyphens/>
      <w:spacing w:after="70" w:line="320" w:lineRule="atLeast"/>
      <w:ind w:left="460" w:hanging="200"/>
    </w:pPr>
    <w:rPr>
      <w:rFonts w:ascii="ITC Franklin Gothic Std Book" w:eastAsiaTheme="minorEastAsia" w:hAnsi="ITC Franklin Gothic Std Book" w:cs="ITC Franklin Gothic Std Book"/>
      <w:sz w:val="23"/>
      <w:szCs w:val="23"/>
      <w:lang w:val="en-US"/>
    </w:rPr>
  </w:style>
  <w:style w:type="paragraph" w:customStyle="1" w:styleId="BulletLast">
    <w:name w:val="Bullet Last"/>
    <w:basedOn w:val="NoParagraphStyle"/>
    <w:uiPriority w:val="99"/>
    <w:rsid w:val="00E3623B"/>
    <w:pPr>
      <w:tabs>
        <w:tab w:val="left" w:pos="360"/>
      </w:tabs>
      <w:suppressAutoHyphens/>
      <w:spacing w:after="140" w:line="320" w:lineRule="atLeast"/>
      <w:ind w:left="460" w:hanging="200"/>
    </w:pPr>
    <w:rPr>
      <w:rFonts w:ascii="ITC Franklin Gothic Std Book" w:eastAsiaTheme="minorEastAsia" w:hAnsi="ITC Franklin Gothic Std Book" w:cs="ITC Franklin Gothic Std Book"/>
      <w:sz w:val="23"/>
      <w:szCs w:val="23"/>
      <w:lang w:val="en-US"/>
    </w:rPr>
  </w:style>
  <w:style w:type="paragraph" w:customStyle="1" w:styleId="ReferencesIndent">
    <w:name w:val="References Indent"/>
    <w:basedOn w:val="NoParagraphStyle"/>
    <w:uiPriority w:val="99"/>
    <w:rsid w:val="00E3623B"/>
    <w:pPr>
      <w:suppressAutoHyphens/>
      <w:spacing w:line="300" w:lineRule="atLeast"/>
      <w:ind w:left="360" w:hanging="360"/>
    </w:pPr>
    <w:rPr>
      <w:rFonts w:ascii="ITC Franklin Gothic Std Book" w:eastAsiaTheme="minorEastAsia" w:hAnsi="ITC Franklin Gothic Std Book" w:cs="ITC Franklin Gothic Std Book"/>
      <w:sz w:val="21"/>
      <w:szCs w:val="21"/>
      <w:lang w:val="en-US"/>
    </w:rPr>
  </w:style>
  <w:style w:type="paragraph" w:customStyle="1" w:styleId="References">
    <w:name w:val="References"/>
    <w:basedOn w:val="NoParagraphStyle"/>
    <w:uiPriority w:val="99"/>
    <w:rsid w:val="00E3623B"/>
    <w:pPr>
      <w:suppressAutoHyphens/>
      <w:spacing w:after="28" w:line="300" w:lineRule="atLeast"/>
      <w:ind w:left="360" w:hanging="360"/>
    </w:pPr>
    <w:rPr>
      <w:rFonts w:ascii="ITC Franklin Gothic Std Book" w:eastAsiaTheme="minorEastAsia" w:hAnsi="ITC Franklin Gothic Std Book" w:cs="ITC Franklin Gothic Std Book"/>
      <w:sz w:val="21"/>
      <w:szCs w:val="21"/>
      <w:lang w:val="en-US"/>
    </w:rPr>
  </w:style>
  <w:style w:type="paragraph" w:customStyle="1" w:styleId="TableHeading1">
    <w:name w:val="Table Heading 1"/>
    <w:basedOn w:val="NoParagraphStyle"/>
    <w:uiPriority w:val="99"/>
    <w:rsid w:val="00E3623B"/>
    <w:pPr>
      <w:suppressAutoHyphens/>
      <w:spacing w:line="210" w:lineRule="atLeast"/>
    </w:pPr>
    <w:rPr>
      <w:rFonts w:ascii="ITC Franklin Gothic Std Book" w:eastAsiaTheme="minorEastAsia" w:hAnsi="ITC Franklin Gothic Std Book" w:cs="ITC Franklin Gothic Std Book"/>
      <w:color w:val="246754"/>
      <w:sz w:val="19"/>
      <w:szCs w:val="19"/>
      <w:lang w:val="en-US"/>
    </w:rPr>
  </w:style>
  <w:style w:type="paragraph" w:customStyle="1" w:styleId="FootnoteQuote">
    <w:name w:val="Footnote Quote"/>
    <w:basedOn w:val="Normal"/>
    <w:uiPriority w:val="99"/>
    <w:rsid w:val="00E3623B"/>
    <w:pPr>
      <w:widowControl w:val="0"/>
      <w:tabs>
        <w:tab w:val="left" w:pos="600"/>
      </w:tabs>
      <w:autoSpaceDE w:val="0"/>
      <w:autoSpaceDN w:val="0"/>
      <w:adjustRightInd w:val="0"/>
      <w:spacing w:line="240" w:lineRule="atLeast"/>
      <w:ind w:left="567"/>
      <w:textAlignment w:val="center"/>
    </w:pPr>
    <w:rPr>
      <w:rFonts w:ascii="ITC Franklin Gothic Std Book" w:eastAsiaTheme="minorEastAsia" w:hAnsi="ITC Franklin Gothic Std Book" w:cs="ITC Franklin Gothic Std Book"/>
      <w:color w:val="000000"/>
      <w:sz w:val="17"/>
      <w:szCs w:val="17"/>
      <w:lang w:val="en-US"/>
    </w:rPr>
  </w:style>
  <w:style w:type="paragraph" w:customStyle="1" w:styleId="Footnote100">
    <w:name w:val="Footnote 100"/>
    <w:basedOn w:val="Normal"/>
    <w:uiPriority w:val="99"/>
    <w:rsid w:val="00E3623B"/>
    <w:pPr>
      <w:widowControl w:val="0"/>
      <w:tabs>
        <w:tab w:val="left" w:pos="482"/>
      </w:tabs>
      <w:autoSpaceDE w:val="0"/>
      <w:autoSpaceDN w:val="0"/>
      <w:adjustRightInd w:val="0"/>
      <w:spacing w:after="100" w:line="230" w:lineRule="atLeast"/>
      <w:ind w:left="482" w:hanging="482"/>
      <w:textAlignment w:val="center"/>
    </w:pPr>
    <w:rPr>
      <w:rFonts w:ascii="ITC Franklin Gothic Std Book" w:eastAsiaTheme="minorEastAsia" w:hAnsi="ITC Franklin Gothic Std Book" w:cs="ITC Franklin Gothic Std Book"/>
      <w:color w:val="000000"/>
      <w:sz w:val="18"/>
      <w:szCs w:val="18"/>
      <w:lang w:val="en-US"/>
    </w:rPr>
  </w:style>
  <w:style w:type="paragraph" w:customStyle="1" w:styleId="TableBodyRight">
    <w:name w:val="Table Body Right"/>
    <w:basedOn w:val="NoParagraphStyle"/>
    <w:uiPriority w:val="99"/>
    <w:rsid w:val="00E3623B"/>
    <w:pPr>
      <w:suppressAutoHyphens/>
      <w:spacing w:line="210" w:lineRule="atLeast"/>
      <w:jc w:val="right"/>
    </w:pPr>
    <w:rPr>
      <w:rFonts w:ascii="ITC Franklin Gothic Std Book" w:eastAsiaTheme="minorEastAsia" w:hAnsi="ITC Franklin Gothic Std Book" w:cs="ITC Franklin Gothic Std Book"/>
      <w:sz w:val="19"/>
      <w:szCs w:val="19"/>
      <w:lang w:val="en-US"/>
    </w:rPr>
  </w:style>
  <w:style w:type="character" w:customStyle="1" w:styleId="Figurenumber">
    <w:name w:val="Figure number"/>
    <w:uiPriority w:val="99"/>
    <w:rsid w:val="00E3623B"/>
    <w:rPr>
      <w:color w:val="246754"/>
    </w:rPr>
  </w:style>
  <w:style w:type="paragraph" w:customStyle="1" w:styleId="Imprint">
    <w:name w:val="Imprint"/>
    <w:basedOn w:val="NoParagraphStyle"/>
    <w:uiPriority w:val="99"/>
    <w:rsid w:val="00FE444E"/>
    <w:pPr>
      <w:suppressAutoHyphens/>
      <w:spacing w:after="60" w:line="240" w:lineRule="atLeast"/>
    </w:pPr>
    <w:rPr>
      <w:rFonts w:ascii="ITC Franklin Gothic Std Book" w:eastAsiaTheme="minorEastAsia" w:hAnsi="ITC Franklin Gothic Std Book" w:cs="ITC Franklin Gothic Std Book"/>
      <w:sz w:val="18"/>
      <w:szCs w:val="18"/>
      <w:lang w:val="en-US"/>
    </w:rPr>
  </w:style>
  <w:style w:type="paragraph" w:styleId="Bibliography">
    <w:name w:val="Bibliography"/>
    <w:basedOn w:val="Normal"/>
    <w:next w:val="Normal"/>
    <w:uiPriority w:val="37"/>
    <w:semiHidden/>
    <w:unhideWhenUsed/>
    <w:rsid w:val="005801E0"/>
  </w:style>
  <w:style w:type="paragraph" w:customStyle="1" w:styleId="Cases">
    <w:name w:val="Cases"/>
    <w:basedOn w:val="NoParagraphStyle"/>
    <w:uiPriority w:val="99"/>
    <w:rsid w:val="005801E0"/>
    <w:pPr>
      <w:suppressAutoHyphens/>
      <w:spacing w:after="110" w:line="320" w:lineRule="atLeast"/>
    </w:pPr>
    <w:rPr>
      <w:rFonts w:ascii="ITC Franklin Gothic Std Book" w:eastAsiaTheme="minorEastAsia" w:hAnsi="ITC Franklin Gothic Std Book" w:cs="ITC Franklin Gothic Std Book"/>
      <w:sz w:val="22"/>
      <w:szCs w:val="22"/>
      <w:lang w:val="en-US"/>
    </w:rPr>
  </w:style>
  <w:style w:type="paragraph" w:customStyle="1" w:styleId="TOC">
    <w:name w:val="TOC"/>
    <w:basedOn w:val="NoParagraphStyle"/>
    <w:uiPriority w:val="99"/>
    <w:rsid w:val="0009038A"/>
    <w:pPr>
      <w:suppressAutoHyphens/>
      <w:spacing w:after="120" w:line="220" w:lineRule="atLeast"/>
    </w:pPr>
    <w:rPr>
      <w:rFonts w:ascii="ITC Franklin Gothic Std Book" w:eastAsiaTheme="minorEastAsia" w:hAnsi="ITC Franklin Gothic Std Book" w:cs="ITC Franklin Gothic Std Book"/>
      <w:sz w:val="19"/>
      <w:szCs w:val="19"/>
      <w:lang w:val="en-US"/>
    </w:rPr>
  </w:style>
  <w:style w:type="paragraph" w:customStyle="1" w:styleId="CalloutText">
    <w:name w:val="Callout Text"/>
    <w:basedOn w:val="Body"/>
    <w:uiPriority w:val="99"/>
    <w:rsid w:val="00FC305D"/>
    <w:pPr>
      <w:spacing w:after="40" w:line="360" w:lineRule="atLeast"/>
      <w:jc w:val="center"/>
    </w:pPr>
    <w:rPr>
      <w:color w:val="FFFFFF"/>
      <w:sz w:val="32"/>
      <w:szCs w:val="32"/>
    </w:rPr>
  </w:style>
  <w:style w:type="paragraph" w:styleId="IntenseQuote">
    <w:name w:val="Intense Quote"/>
    <w:basedOn w:val="Normal"/>
    <w:next w:val="Normal"/>
    <w:link w:val="IntenseQuoteChar"/>
    <w:uiPriority w:val="30"/>
    <w:qFormat/>
    <w:rsid w:val="00C576AB"/>
    <w:pPr>
      <w:keepLines/>
      <w:pBdr>
        <w:top w:val="single" w:sz="4" w:space="10" w:color="auto"/>
        <w:bottom w:val="single" w:sz="4" w:space="10" w:color="auto"/>
      </w:pBdr>
      <w:spacing w:before="360" w:after="360"/>
      <w:ind w:left="862" w:right="862"/>
      <w:jc w:val="center"/>
    </w:pPr>
    <w:rPr>
      <w:b/>
      <w:iCs/>
    </w:rPr>
  </w:style>
  <w:style w:type="character" w:customStyle="1" w:styleId="IntenseQuoteChar">
    <w:name w:val="Intense Quote Char"/>
    <w:basedOn w:val="DefaultParagraphFont"/>
    <w:link w:val="IntenseQuote"/>
    <w:uiPriority w:val="30"/>
    <w:rsid w:val="00C576AB"/>
    <w:rPr>
      <w:b/>
      <w:iCs/>
    </w:rPr>
  </w:style>
  <w:style w:type="paragraph" w:customStyle="1" w:styleId="HeaderRight">
    <w:name w:val="Header Right"/>
    <w:basedOn w:val="NoParagraphStyle"/>
    <w:uiPriority w:val="99"/>
    <w:rsid w:val="00786D67"/>
    <w:pPr>
      <w:suppressAutoHyphens/>
      <w:spacing w:line="240" w:lineRule="atLeast"/>
      <w:jc w:val="right"/>
    </w:pPr>
    <w:rPr>
      <w:rFonts w:ascii="ITC Franklin Gothic Std Book" w:eastAsiaTheme="minorEastAsia" w:hAnsi="ITC Franklin Gothic Std Book" w:cs="ITC Franklin Gothic Std Book"/>
      <w:color w:val="55565A"/>
      <w:sz w:val="20"/>
      <w:szCs w:val="20"/>
      <w:lang w:val="en-US"/>
      <w14:ligatures w14:val="standardContextual"/>
    </w:rPr>
  </w:style>
  <w:style w:type="paragraph" w:customStyle="1" w:styleId="StyleCalibri11ptBoldBlack">
    <w:name w:val="Style Calibri 11 pt Bold Black"/>
    <w:basedOn w:val="Normal"/>
    <w:rsid w:val="00E51C94"/>
    <w:pPr>
      <w:spacing w:line="240" w:lineRule="auto"/>
    </w:pPr>
    <w:rPr>
      <w:rFonts w:ascii="Calibri" w:hAnsi="Calibri"/>
      <w:b/>
      <w:bCs/>
      <w:color w:val="000000"/>
      <w:sz w:val="200"/>
      <w:szCs w:val="20"/>
    </w:rPr>
  </w:style>
  <w:style w:type="paragraph" w:customStyle="1" w:styleId="StyleCalibri11ptBoldBlack1">
    <w:name w:val="Style Calibri 11 pt Bold Black1"/>
    <w:basedOn w:val="Normal"/>
    <w:rsid w:val="00E51C94"/>
    <w:pPr>
      <w:spacing w:line="240" w:lineRule="auto"/>
    </w:pPr>
    <w:rPr>
      <w:rFonts w:ascii="Calibri" w:hAnsi="Calibri"/>
      <w:b/>
      <w:bCs/>
      <w:color w:val="FF0000"/>
      <w:sz w:val="22"/>
      <w:szCs w:val="20"/>
    </w:rPr>
  </w:style>
  <w:style w:type="paragraph" w:customStyle="1" w:styleId="StyleCalibri11ptBoldBlack2">
    <w:name w:val="Style Calibri 11 pt Bold Black2"/>
    <w:basedOn w:val="Normal"/>
    <w:next w:val="NoParagraphStyle"/>
    <w:rsid w:val="00E51C94"/>
    <w:pPr>
      <w:spacing w:line="240" w:lineRule="auto"/>
    </w:pPr>
    <w:rPr>
      <w:rFonts w:ascii="Calibri" w:hAnsi="Calibri"/>
      <w:b/>
      <w:bCs/>
      <w:color w:val="000000"/>
      <w:sz w:val="22"/>
      <w:szCs w:val="20"/>
    </w:rPr>
  </w:style>
  <w:style w:type="paragraph" w:styleId="BodyText">
    <w:name w:val="Body Text"/>
    <w:basedOn w:val="Normal"/>
    <w:link w:val="BodyTextChar"/>
    <w:uiPriority w:val="1"/>
    <w:qFormat/>
    <w:rsid w:val="00301C1B"/>
    <w:pPr>
      <w:widowControl w:val="0"/>
      <w:suppressAutoHyphens w:val="0"/>
      <w:autoSpaceDE w:val="0"/>
      <w:autoSpaceDN w:val="0"/>
      <w:adjustRightInd w:val="0"/>
      <w:spacing w:before="0" w:after="0" w:line="240" w:lineRule="auto"/>
    </w:pPr>
    <w:rPr>
      <w:rFonts w:ascii="Garamond" w:eastAsiaTheme="minorEastAsia" w:hAnsi="Garamond" w:cs="Garamond"/>
    </w:rPr>
  </w:style>
  <w:style w:type="character" w:customStyle="1" w:styleId="BodyTextChar">
    <w:name w:val="Body Text Char"/>
    <w:basedOn w:val="DefaultParagraphFont"/>
    <w:link w:val="BodyText"/>
    <w:uiPriority w:val="1"/>
    <w:rsid w:val="00301C1B"/>
    <w:rPr>
      <w:rFonts w:ascii="Garamond" w:eastAsiaTheme="minorEastAsia" w:hAnsi="Garamond" w:cs="Garamond"/>
    </w:rPr>
  </w:style>
  <w:style w:type="paragraph" w:customStyle="1" w:styleId="TableParagraph">
    <w:name w:val="Table Paragraph"/>
    <w:basedOn w:val="Normal"/>
    <w:uiPriority w:val="1"/>
    <w:qFormat/>
    <w:rsid w:val="00301C1B"/>
    <w:pPr>
      <w:widowControl w:val="0"/>
      <w:suppressAutoHyphens w:val="0"/>
      <w:autoSpaceDE w:val="0"/>
      <w:autoSpaceDN w:val="0"/>
      <w:adjustRightInd w:val="0"/>
      <w:spacing w:before="0" w:after="0" w:line="240" w:lineRule="auto"/>
    </w:pPr>
    <w:rPr>
      <w:rFonts w:ascii="Garamond" w:eastAsiaTheme="minorEastAsia" w:hAnsi="Garamond" w:cs="Garamond"/>
    </w:rPr>
  </w:style>
  <w:style w:type="table" w:styleId="GridTable1Light">
    <w:name w:val="Grid Table 1 Light"/>
    <w:basedOn w:val="TableNormal"/>
    <w:uiPriority w:val="46"/>
    <w:rsid w:val="000533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7546">
      <w:bodyDiv w:val="1"/>
      <w:marLeft w:val="0"/>
      <w:marRight w:val="0"/>
      <w:marTop w:val="0"/>
      <w:marBottom w:val="0"/>
      <w:divBdr>
        <w:top w:val="none" w:sz="0" w:space="0" w:color="auto"/>
        <w:left w:val="none" w:sz="0" w:space="0" w:color="auto"/>
        <w:bottom w:val="none" w:sz="0" w:space="0" w:color="auto"/>
        <w:right w:val="none" w:sz="0" w:space="0" w:color="auto"/>
      </w:divBdr>
    </w:div>
    <w:div w:id="36441656">
      <w:bodyDiv w:val="1"/>
      <w:marLeft w:val="0"/>
      <w:marRight w:val="0"/>
      <w:marTop w:val="0"/>
      <w:marBottom w:val="0"/>
      <w:divBdr>
        <w:top w:val="none" w:sz="0" w:space="0" w:color="auto"/>
        <w:left w:val="none" w:sz="0" w:space="0" w:color="auto"/>
        <w:bottom w:val="none" w:sz="0" w:space="0" w:color="auto"/>
        <w:right w:val="none" w:sz="0" w:space="0" w:color="auto"/>
      </w:divBdr>
    </w:div>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58947025">
      <w:bodyDiv w:val="1"/>
      <w:marLeft w:val="0"/>
      <w:marRight w:val="0"/>
      <w:marTop w:val="0"/>
      <w:marBottom w:val="0"/>
      <w:divBdr>
        <w:top w:val="none" w:sz="0" w:space="0" w:color="auto"/>
        <w:left w:val="none" w:sz="0" w:space="0" w:color="auto"/>
        <w:bottom w:val="none" w:sz="0" w:space="0" w:color="auto"/>
        <w:right w:val="none" w:sz="0" w:space="0" w:color="auto"/>
      </w:divBdr>
    </w:div>
    <w:div w:id="68233506">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26243955">
      <w:bodyDiv w:val="1"/>
      <w:marLeft w:val="0"/>
      <w:marRight w:val="0"/>
      <w:marTop w:val="0"/>
      <w:marBottom w:val="0"/>
      <w:divBdr>
        <w:top w:val="none" w:sz="0" w:space="0" w:color="auto"/>
        <w:left w:val="none" w:sz="0" w:space="0" w:color="auto"/>
        <w:bottom w:val="none" w:sz="0" w:space="0" w:color="auto"/>
        <w:right w:val="none" w:sz="0" w:space="0" w:color="auto"/>
      </w:divBdr>
    </w:div>
    <w:div w:id="148056556">
      <w:bodyDiv w:val="1"/>
      <w:marLeft w:val="0"/>
      <w:marRight w:val="0"/>
      <w:marTop w:val="0"/>
      <w:marBottom w:val="0"/>
      <w:divBdr>
        <w:top w:val="none" w:sz="0" w:space="0" w:color="auto"/>
        <w:left w:val="none" w:sz="0" w:space="0" w:color="auto"/>
        <w:bottom w:val="none" w:sz="0" w:space="0" w:color="auto"/>
        <w:right w:val="none" w:sz="0" w:space="0" w:color="auto"/>
      </w:divBdr>
    </w:div>
    <w:div w:id="150297517">
      <w:bodyDiv w:val="1"/>
      <w:marLeft w:val="0"/>
      <w:marRight w:val="0"/>
      <w:marTop w:val="0"/>
      <w:marBottom w:val="0"/>
      <w:divBdr>
        <w:top w:val="none" w:sz="0" w:space="0" w:color="auto"/>
        <w:left w:val="none" w:sz="0" w:space="0" w:color="auto"/>
        <w:bottom w:val="none" w:sz="0" w:space="0" w:color="auto"/>
        <w:right w:val="none" w:sz="0" w:space="0" w:color="auto"/>
      </w:divBdr>
    </w:div>
    <w:div w:id="159777461">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189075838">
      <w:bodyDiv w:val="1"/>
      <w:marLeft w:val="0"/>
      <w:marRight w:val="0"/>
      <w:marTop w:val="0"/>
      <w:marBottom w:val="0"/>
      <w:divBdr>
        <w:top w:val="none" w:sz="0" w:space="0" w:color="auto"/>
        <w:left w:val="none" w:sz="0" w:space="0" w:color="auto"/>
        <w:bottom w:val="none" w:sz="0" w:space="0" w:color="auto"/>
        <w:right w:val="none" w:sz="0" w:space="0" w:color="auto"/>
      </w:divBdr>
    </w:div>
    <w:div w:id="189538604">
      <w:bodyDiv w:val="1"/>
      <w:marLeft w:val="0"/>
      <w:marRight w:val="0"/>
      <w:marTop w:val="0"/>
      <w:marBottom w:val="0"/>
      <w:divBdr>
        <w:top w:val="none" w:sz="0" w:space="0" w:color="auto"/>
        <w:left w:val="none" w:sz="0" w:space="0" w:color="auto"/>
        <w:bottom w:val="none" w:sz="0" w:space="0" w:color="auto"/>
        <w:right w:val="none" w:sz="0" w:space="0" w:color="auto"/>
      </w:divBdr>
    </w:div>
    <w:div w:id="194583751">
      <w:bodyDiv w:val="1"/>
      <w:marLeft w:val="0"/>
      <w:marRight w:val="0"/>
      <w:marTop w:val="0"/>
      <w:marBottom w:val="0"/>
      <w:divBdr>
        <w:top w:val="none" w:sz="0" w:space="0" w:color="auto"/>
        <w:left w:val="none" w:sz="0" w:space="0" w:color="auto"/>
        <w:bottom w:val="none" w:sz="0" w:space="0" w:color="auto"/>
        <w:right w:val="none" w:sz="0" w:space="0" w:color="auto"/>
      </w:divBdr>
    </w:div>
    <w:div w:id="199249656">
      <w:bodyDiv w:val="1"/>
      <w:marLeft w:val="0"/>
      <w:marRight w:val="0"/>
      <w:marTop w:val="0"/>
      <w:marBottom w:val="0"/>
      <w:divBdr>
        <w:top w:val="none" w:sz="0" w:space="0" w:color="auto"/>
        <w:left w:val="none" w:sz="0" w:space="0" w:color="auto"/>
        <w:bottom w:val="none" w:sz="0" w:space="0" w:color="auto"/>
        <w:right w:val="none" w:sz="0" w:space="0" w:color="auto"/>
      </w:divBdr>
    </w:div>
    <w:div w:id="215286142">
      <w:bodyDiv w:val="1"/>
      <w:marLeft w:val="0"/>
      <w:marRight w:val="0"/>
      <w:marTop w:val="0"/>
      <w:marBottom w:val="0"/>
      <w:divBdr>
        <w:top w:val="none" w:sz="0" w:space="0" w:color="auto"/>
        <w:left w:val="none" w:sz="0" w:space="0" w:color="auto"/>
        <w:bottom w:val="none" w:sz="0" w:space="0" w:color="auto"/>
        <w:right w:val="none" w:sz="0" w:space="0" w:color="auto"/>
      </w:divBdr>
    </w:div>
    <w:div w:id="289167735">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00234194">
      <w:bodyDiv w:val="1"/>
      <w:marLeft w:val="0"/>
      <w:marRight w:val="0"/>
      <w:marTop w:val="0"/>
      <w:marBottom w:val="0"/>
      <w:divBdr>
        <w:top w:val="none" w:sz="0" w:space="0" w:color="auto"/>
        <w:left w:val="none" w:sz="0" w:space="0" w:color="auto"/>
        <w:bottom w:val="none" w:sz="0" w:space="0" w:color="auto"/>
        <w:right w:val="none" w:sz="0" w:space="0" w:color="auto"/>
      </w:divBdr>
    </w:div>
    <w:div w:id="309870076">
      <w:bodyDiv w:val="1"/>
      <w:marLeft w:val="0"/>
      <w:marRight w:val="0"/>
      <w:marTop w:val="0"/>
      <w:marBottom w:val="0"/>
      <w:divBdr>
        <w:top w:val="none" w:sz="0" w:space="0" w:color="auto"/>
        <w:left w:val="none" w:sz="0" w:space="0" w:color="auto"/>
        <w:bottom w:val="none" w:sz="0" w:space="0" w:color="auto"/>
        <w:right w:val="none" w:sz="0" w:space="0" w:color="auto"/>
      </w:divBdr>
    </w:div>
    <w:div w:id="310913766">
      <w:bodyDiv w:val="1"/>
      <w:marLeft w:val="0"/>
      <w:marRight w:val="0"/>
      <w:marTop w:val="0"/>
      <w:marBottom w:val="0"/>
      <w:divBdr>
        <w:top w:val="none" w:sz="0" w:space="0" w:color="auto"/>
        <w:left w:val="none" w:sz="0" w:space="0" w:color="auto"/>
        <w:bottom w:val="none" w:sz="0" w:space="0" w:color="auto"/>
        <w:right w:val="none" w:sz="0" w:space="0" w:color="auto"/>
      </w:divBdr>
    </w:div>
    <w:div w:id="315307454">
      <w:bodyDiv w:val="1"/>
      <w:marLeft w:val="0"/>
      <w:marRight w:val="0"/>
      <w:marTop w:val="0"/>
      <w:marBottom w:val="0"/>
      <w:divBdr>
        <w:top w:val="none" w:sz="0" w:space="0" w:color="auto"/>
        <w:left w:val="none" w:sz="0" w:space="0" w:color="auto"/>
        <w:bottom w:val="none" w:sz="0" w:space="0" w:color="auto"/>
        <w:right w:val="none" w:sz="0" w:space="0" w:color="auto"/>
      </w:divBdr>
    </w:div>
    <w:div w:id="316997878">
      <w:bodyDiv w:val="1"/>
      <w:marLeft w:val="0"/>
      <w:marRight w:val="0"/>
      <w:marTop w:val="0"/>
      <w:marBottom w:val="0"/>
      <w:divBdr>
        <w:top w:val="none" w:sz="0" w:space="0" w:color="auto"/>
        <w:left w:val="none" w:sz="0" w:space="0" w:color="auto"/>
        <w:bottom w:val="none" w:sz="0" w:space="0" w:color="auto"/>
        <w:right w:val="none" w:sz="0" w:space="0" w:color="auto"/>
      </w:divBdr>
    </w:div>
    <w:div w:id="322851807">
      <w:bodyDiv w:val="1"/>
      <w:marLeft w:val="0"/>
      <w:marRight w:val="0"/>
      <w:marTop w:val="0"/>
      <w:marBottom w:val="0"/>
      <w:divBdr>
        <w:top w:val="none" w:sz="0" w:space="0" w:color="auto"/>
        <w:left w:val="none" w:sz="0" w:space="0" w:color="auto"/>
        <w:bottom w:val="none" w:sz="0" w:space="0" w:color="auto"/>
        <w:right w:val="none" w:sz="0" w:space="0" w:color="auto"/>
      </w:divBdr>
    </w:div>
    <w:div w:id="339891757">
      <w:bodyDiv w:val="1"/>
      <w:marLeft w:val="0"/>
      <w:marRight w:val="0"/>
      <w:marTop w:val="0"/>
      <w:marBottom w:val="0"/>
      <w:divBdr>
        <w:top w:val="none" w:sz="0" w:space="0" w:color="auto"/>
        <w:left w:val="none" w:sz="0" w:space="0" w:color="auto"/>
        <w:bottom w:val="none" w:sz="0" w:space="0" w:color="auto"/>
        <w:right w:val="none" w:sz="0" w:space="0" w:color="auto"/>
      </w:divBdr>
    </w:div>
    <w:div w:id="345711289">
      <w:bodyDiv w:val="1"/>
      <w:marLeft w:val="0"/>
      <w:marRight w:val="0"/>
      <w:marTop w:val="0"/>
      <w:marBottom w:val="0"/>
      <w:divBdr>
        <w:top w:val="none" w:sz="0" w:space="0" w:color="auto"/>
        <w:left w:val="none" w:sz="0" w:space="0" w:color="auto"/>
        <w:bottom w:val="none" w:sz="0" w:space="0" w:color="auto"/>
        <w:right w:val="none" w:sz="0" w:space="0" w:color="auto"/>
      </w:divBdr>
    </w:div>
    <w:div w:id="362630217">
      <w:bodyDiv w:val="1"/>
      <w:marLeft w:val="0"/>
      <w:marRight w:val="0"/>
      <w:marTop w:val="0"/>
      <w:marBottom w:val="0"/>
      <w:divBdr>
        <w:top w:val="none" w:sz="0" w:space="0" w:color="auto"/>
        <w:left w:val="none" w:sz="0" w:space="0" w:color="auto"/>
        <w:bottom w:val="none" w:sz="0" w:space="0" w:color="auto"/>
        <w:right w:val="none" w:sz="0" w:space="0" w:color="auto"/>
      </w:divBdr>
    </w:div>
    <w:div w:id="383869941">
      <w:bodyDiv w:val="1"/>
      <w:marLeft w:val="0"/>
      <w:marRight w:val="0"/>
      <w:marTop w:val="0"/>
      <w:marBottom w:val="0"/>
      <w:divBdr>
        <w:top w:val="none" w:sz="0" w:space="0" w:color="auto"/>
        <w:left w:val="none" w:sz="0" w:space="0" w:color="auto"/>
        <w:bottom w:val="none" w:sz="0" w:space="0" w:color="auto"/>
        <w:right w:val="none" w:sz="0" w:space="0" w:color="auto"/>
      </w:divBdr>
    </w:div>
    <w:div w:id="383909937">
      <w:bodyDiv w:val="1"/>
      <w:marLeft w:val="0"/>
      <w:marRight w:val="0"/>
      <w:marTop w:val="0"/>
      <w:marBottom w:val="0"/>
      <w:divBdr>
        <w:top w:val="none" w:sz="0" w:space="0" w:color="auto"/>
        <w:left w:val="none" w:sz="0" w:space="0" w:color="auto"/>
        <w:bottom w:val="none" w:sz="0" w:space="0" w:color="auto"/>
        <w:right w:val="none" w:sz="0" w:space="0" w:color="auto"/>
      </w:divBdr>
    </w:div>
    <w:div w:id="406726993">
      <w:bodyDiv w:val="1"/>
      <w:marLeft w:val="0"/>
      <w:marRight w:val="0"/>
      <w:marTop w:val="0"/>
      <w:marBottom w:val="0"/>
      <w:divBdr>
        <w:top w:val="none" w:sz="0" w:space="0" w:color="auto"/>
        <w:left w:val="none" w:sz="0" w:space="0" w:color="auto"/>
        <w:bottom w:val="none" w:sz="0" w:space="0" w:color="auto"/>
        <w:right w:val="none" w:sz="0" w:space="0" w:color="auto"/>
      </w:divBdr>
    </w:div>
    <w:div w:id="425228017">
      <w:bodyDiv w:val="1"/>
      <w:marLeft w:val="0"/>
      <w:marRight w:val="0"/>
      <w:marTop w:val="0"/>
      <w:marBottom w:val="0"/>
      <w:divBdr>
        <w:top w:val="none" w:sz="0" w:space="0" w:color="auto"/>
        <w:left w:val="none" w:sz="0" w:space="0" w:color="auto"/>
        <w:bottom w:val="none" w:sz="0" w:space="0" w:color="auto"/>
        <w:right w:val="none" w:sz="0" w:space="0" w:color="auto"/>
      </w:divBdr>
    </w:div>
    <w:div w:id="429544213">
      <w:bodyDiv w:val="1"/>
      <w:marLeft w:val="0"/>
      <w:marRight w:val="0"/>
      <w:marTop w:val="0"/>
      <w:marBottom w:val="0"/>
      <w:divBdr>
        <w:top w:val="none" w:sz="0" w:space="0" w:color="auto"/>
        <w:left w:val="none" w:sz="0" w:space="0" w:color="auto"/>
        <w:bottom w:val="none" w:sz="0" w:space="0" w:color="auto"/>
        <w:right w:val="none" w:sz="0" w:space="0" w:color="auto"/>
      </w:divBdr>
    </w:div>
    <w:div w:id="441151964">
      <w:bodyDiv w:val="1"/>
      <w:marLeft w:val="0"/>
      <w:marRight w:val="0"/>
      <w:marTop w:val="0"/>
      <w:marBottom w:val="0"/>
      <w:divBdr>
        <w:top w:val="none" w:sz="0" w:space="0" w:color="auto"/>
        <w:left w:val="none" w:sz="0" w:space="0" w:color="auto"/>
        <w:bottom w:val="none" w:sz="0" w:space="0" w:color="auto"/>
        <w:right w:val="none" w:sz="0" w:space="0" w:color="auto"/>
      </w:divBdr>
    </w:div>
    <w:div w:id="447159759">
      <w:bodyDiv w:val="1"/>
      <w:marLeft w:val="0"/>
      <w:marRight w:val="0"/>
      <w:marTop w:val="0"/>
      <w:marBottom w:val="0"/>
      <w:divBdr>
        <w:top w:val="none" w:sz="0" w:space="0" w:color="auto"/>
        <w:left w:val="none" w:sz="0" w:space="0" w:color="auto"/>
        <w:bottom w:val="none" w:sz="0" w:space="0" w:color="auto"/>
        <w:right w:val="none" w:sz="0" w:space="0" w:color="auto"/>
      </w:divBdr>
    </w:div>
    <w:div w:id="454910518">
      <w:bodyDiv w:val="1"/>
      <w:marLeft w:val="0"/>
      <w:marRight w:val="0"/>
      <w:marTop w:val="0"/>
      <w:marBottom w:val="0"/>
      <w:divBdr>
        <w:top w:val="none" w:sz="0" w:space="0" w:color="auto"/>
        <w:left w:val="none" w:sz="0" w:space="0" w:color="auto"/>
        <w:bottom w:val="none" w:sz="0" w:space="0" w:color="auto"/>
        <w:right w:val="none" w:sz="0" w:space="0" w:color="auto"/>
      </w:divBdr>
    </w:div>
    <w:div w:id="471097515">
      <w:bodyDiv w:val="1"/>
      <w:marLeft w:val="0"/>
      <w:marRight w:val="0"/>
      <w:marTop w:val="0"/>
      <w:marBottom w:val="0"/>
      <w:divBdr>
        <w:top w:val="none" w:sz="0" w:space="0" w:color="auto"/>
        <w:left w:val="none" w:sz="0" w:space="0" w:color="auto"/>
        <w:bottom w:val="none" w:sz="0" w:space="0" w:color="auto"/>
        <w:right w:val="none" w:sz="0" w:space="0" w:color="auto"/>
      </w:divBdr>
    </w:div>
    <w:div w:id="472022117">
      <w:bodyDiv w:val="1"/>
      <w:marLeft w:val="0"/>
      <w:marRight w:val="0"/>
      <w:marTop w:val="0"/>
      <w:marBottom w:val="0"/>
      <w:divBdr>
        <w:top w:val="none" w:sz="0" w:space="0" w:color="auto"/>
        <w:left w:val="none" w:sz="0" w:space="0" w:color="auto"/>
        <w:bottom w:val="none" w:sz="0" w:space="0" w:color="auto"/>
        <w:right w:val="none" w:sz="0" w:space="0" w:color="auto"/>
      </w:divBdr>
    </w:div>
    <w:div w:id="503008975">
      <w:bodyDiv w:val="1"/>
      <w:marLeft w:val="0"/>
      <w:marRight w:val="0"/>
      <w:marTop w:val="0"/>
      <w:marBottom w:val="0"/>
      <w:divBdr>
        <w:top w:val="none" w:sz="0" w:space="0" w:color="auto"/>
        <w:left w:val="none" w:sz="0" w:space="0" w:color="auto"/>
        <w:bottom w:val="none" w:sz="0" w:space="0" w:color="auto"/>
        <w:right w:val="none" w:sz="0" w:space="0" w:color="auto"/>
      </w:divBdr>
    </w:div>
    <w:div w:id="579632705">
      <w:bodyDiv w:val="1"/>
      <w:marLeft w:val="0"/>
      <w:marRight w:val="0"/>
      <w:marTop w:val="0"/>
      <w:marBottom w:val="0"/>
      <w:divBdr>
        <w:top w:val="none" w:sz="0" w:space="0" w:color="auto"/>
        <w:left w:val="none" w:sz="0" w:space="0" w:color="auto"/>
        <w:bottom w:val="none" w:sz="0" w:space="0" w:color="auto"/>
        <w:right w:val="none" w:sz="0" w:space="0" w:color="auto"/>
      </w:divBdr>
    </w:div>
    <w:div w:id="602343017">
      <w:bodyDiv w:val="1"/>
      <w:marLeft w:val="0"/>
      <w:marRight w:val="0"/>
      <w:marTop w:val="0"/>
      <w:marBottom w:val="0"/>
      <w:divBdr>
        <w:top w:val="none" w:sz="0" w:space="0" w:color="auto"/>
        <w:left w:val="none" w:sz="0" w:space="0" w:color="auto"/>
        <w:bottom w:val="none" w:sz="0" w:space="0" w:color="auto"/>
        <w:right w:val="none" w:sz="0" w:space="0" w:color="auto"/>
      </w:divBdr>
    </w:div>
    <w:div w:id="616722735">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80855285">
      <w:bodyDiv w:val="1"/>
      <w:marLeft w:val="0"/>
      <w:marRight w:val="0"/>
      <w:marTop w:val="0"/>
      <w:marBottom w:val="0"/>
      <w:divBdr>
        <w:top w:val="none" w:sz="0" w:space="0" w:color="auto"/>
        <w:left w:val="none" w:sz="0" w:space="0" w:color="auto"/>
        <w:bottom w:val="none" w:sz="0" w:space="0" w:color="auto"/>
        <w:right w:val="none" w:sz="0" w:space="0" w:color="auto"/>
      </w:divBdr>
    </w:div>
    <w:div w:id="680933441">
      <w:bodyDiv w:val="1"/>
      <w:marLeft w:val="0"/>
      <w:marRight w:val="0"/>
      <w:marTop w:val="0"/>
      <w:marBottom w:val="0"/>
      <w:divBdr>
        <w:top w:val="none" w:sz="0" w:space="0" w:color="auto"/>
        <w:left w:val="none" w:sz="0" w:space="0" w:color="auto"/>
        <w:bottom w:val="none" w:sz="0" w:space="0" w:color="auto"/>
        <w:right w:val="none" w:sz="0" w:space="0" w:color="auto"/>
      </w:divBdr>
    </w:div>
    <w:div w:id="696930058">
      <w:bodyDiv w:val="1"/>
      <w:marLeft w:val="0"/>
      <w:marRight w:val="0"/>
      <w:marTop w:val="0"/>
      <w:marBottom w:val="0"/>
      <w:divBdr>
        <w:top w:val="none" w:sz="0" w:space="0" w:color="auto"/>
        <w:left w:val="none" w:sz="0" w:space="0" w:color="auto"/>
        <w:bottom w:val="none" w:sz="0" w:space="0" w:color="auto"/>
        <w:right w:val="none" w:sz="0" w:space="0" w:color="auto"/>
      </w:divBdr>
    </w:div>
    <w:div w:id="709570870">
      <w:bodyDiv w:val="1"/>
      <w:marLeft w:val="0"/>
      <w:marRight w:val="0"/>
      <w:marTop w:val="0"/>
      <w:marBottom w:val="0"/>
      <w:divBdr>
        <w:top w:val="none" w:sz="0" w:space="0" w:color="auto"/>
        <w:left w:val="none" w:sz="0" w:space="0" w:color="auto"/>
        <w:bottom w:val="none" w:sz="0" w:space="0" w:color="auto"/>
        <w:right w:val="none" w:sz="0" w:space="0" w:color="auto"/>
      </w:divBdr>
    </w:div>
    <w:div w:id="759571652">
      <w:bodyDiv w:val="1"/>
      <w:marLeft w:val="0"/>
      <w:marRight w:val="0"/>
      <w:marTop w:val="0"/>
      <w:marBottom w:val="0"/>
      <w:divBdr>
        <w:top w:val="none" w:sz="0" w:space="0" w:color="auto"/>
        <w:left w:val="none" w:sz="0" w:space="0" w:color="auto"/>
        <w:bottom w:val="none" w:sz="0" w:space="0" w:color="auto"/>
        <w:right w:val="none" w:sz="0" w:space="0" w:color="auto"/>
      </w:divBdr>
    </w:div>
    <w:div w:id="793328173">
      <w:bodyDiv w:val="1"/>
      <w:marLeft w:val="0"/>
      <w:marRight w:val="0"/>
      <w:marTop w:val="0"/>
      <w:marBottom w:val="0"/>
      <w:divBdr>
        <w:top w:val="none" w:sz="0" w:space="0" w:color="auto"/>
        <w:left w:val="none" w:sz="0" w:space="0" w:color="auto"/>
        <w:bottom w:val="none" w:sz="0" w:space="0" w:color="auto"/>
        <w:right w:val="none" w:sz="0" w:space="0" w:color="auto"/>
      </w:divBdr>
    </w:div>
    <w:div w:id="801844922">
      <w:bodyDiv w:val="1"/>
      <w:marLeft w:val="0"/>
      <w:marRight w:val="0"/>
      <w:marTop w:val="0"/>
      <w:marBottom w:val="0"/>
      <w:divBdr>
        <w:top w:val="none" w:sz="0" w:space="0" w:color="auto"/>
        <w:left w:val="none" w:sz="0" w:space="0" w:color="auto"/>
        <w:bottom w:val="none" w:sz="0" w:space="0" w:color="auto"/>
        <w:right w:val="none" w:sz="0" w:space="0" w:color="auto"/>
      </w:divBdr>
    </w:div>
    <w:div w:id="818963210">
      <w:bodyDiv w:val="1"/>
      <w:marLeft w:val="0"/>
      <w:marRight w:val="0"/>
      <w:marTop w:val="0"/>
      <w:marBottom w:val="0"/>
      <w:divBdr>
        <w:top w:val="none" w:sz="0" w:space="0" w:color="auto"/>
        <w:left w:val="none" w:sz="0" w:space="0" w:color="auto"/>
        <w:bottom w:val="none" w:sz="0" w:space="0" w:color="auto"/>
        <w:right w:val="none" w:sz="0" w:space="0" w:color="auto"/>
      </w:divBdr>
    </w:div>
    <w:div w:id="820578299">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0602420">
      <w:bodyDiv w:val="1"/>
      <w:marLeft w:val="0"/>
      <w:marRight w:val="0"/>
      <w:marTop w:val="0"/>
      <w:marBottom w:val="0"/>
      <w:divBdr>
        <w:top w:val="none" w:sz="0" w:space="0" w:color="auto"/>
        <w:left w:val="none" w:sz="0" w:space="0" w:color="auto"/>
        <w:bottom w:val="none" w:sz="0" w:space="0" w:color="auto"/>
        <w:right w:val="none" w:sz="0" w:space="0" w:color="auto"/>
      </w:divBdr>
    </w:div>
    <w:div w:id="853037540">
      <w:bodyDiv w:val="1"/>
      <w:marLeft w:val="0"/>
      <w:marRight w:val="0"/>
      <w:marTop w:val="0"/>
      <w:marBottom w:val="0"/>
      <w:divBdr>
        <w:top w:val="none" w:sz="0" w:space="0" w:color="auto"/>
        <w:left w:val="none" w:sz="0" w:space="0" w:color="auto"/>
        <w:bottom w:val="none" w:sz="0" w:space="0" w:color="auto"/>
        <w:right w:val="none" w:sz="0" w:space="0" w:color="auto"/>
      </w:divBdr>
    </w:div>
    <w:div w:id="894395367">
      <w:bodyDiv w:val="1"/>
      <w:marLeft w:val="0"/>
      <w:marRight w:val="0"/>
      <w:marTop w:val="0"/>
      <w:marBottom w:val="0"/>
      <w:divBdr>
        <w:top w:val="none" w:sz="0" w:space="0" w:color="auto"/>
        <w:left w:val="none" w:sz="0" w:space="0" w:color="auto"/>
        <w:bottom w:val="none" w:sz="0" w:space="0" w:color="auto"/>
        <w:right w:val="none" w:sz="0" w:space="0" w:color="auto"/>
      </w:divBdr>
    </w:div>
    <w:div w:id="894581149">
      <w:bodyDiv w:val="1"/>
      <w:marLeft w:val="0"/>
      <w:marRight w:val="0"/>
      <w:marTop w:val="0"/>
      <w:marBottom w:val="0"/>
      <w:divBdr>
        <w:top w:val="none" w:sz="0" w:space="0" w:color="auto"/>
        <w:left w:val="none" w:sz="0" w:space="0" w:color="auto"/>
        <w:bottom w:val="none" w:sz="0" w:space="0" w:color="auto"/>
        <w:right w:val="none" w:sz="0" w:space="0" w:color="auto"/>
      </w:divBdr>
    </w:div>
    <w:div w:id="899899891">
      <w:bodyDiv w:val="1"/>
      <w:marLeft w:val="0"/>
      <w:marRight w:val="0"/>
      <w:marTop w:val="0"/>
      <w:marBottom w:val="0"/>
      <w:divBdr>
        <w:top w:val="none" w:sz="0" w:space="0" w:color="auto"/>
        <w:left w:val="none" w:sz="0" w:space="0" w:color="auto"/>
        <w:bottom w:val="none" w:sz="0" w:space="0" w:color="auto"/>
        <w:right w:val="none" w:sz="0" w:space="0" w:color="auto"/>
      </w:divBdr>
    </w:div>
    <w:div w:id="902182954">
      <w:bodyDiv w:val="1"/>
      <w:marLeft w:val="0"/>
      <w:marRight w:val="0"/>
      <w:marTop w:val="0"/>
      <w:marBottom w:val="0"/>
      <w:divBdr>
        <w:top w:val="none" w:sz="0" w:space="0" w:color="auto"/>
        <w:left w:val="none" w:sz="0" w:space="0" w:color="auto"/>
        <w:bottom w:val="none" w:sz="0" w:space="0" w:color="auto"/>
        <w:right w:val="none" w:sz="0" w:space="0" w:color="auto"/>
      </w:divBdr>
    </w:div>
    <w:div w:id="914054751">
      <w:bodyDiv w:val="1"/>
      <w:marLeft w:val="0"/>
      <w:marRight w:val="0"/>
      <w:marTop w:val="0"/>
      <w:marBottom w:val="0"/>
      <w:divBdr>
        <w:top w:val="none" w:sz="0" w:space="0" w:color="auto"/>
        <w:left w:val="none" w:sz="0" w:space="0" w:color="auto"/>
        <w:bottom w:val="none" w:sz="0" w:space="0" w:color="auto"/>
        <w:right w:val="none" w:sz="0" w:space="0" w:color="auto"/>
      </w:divBdr>
    </w:div>
    <w:div w:id="981276058">
      <w:bodyDiv w:val="1"/>
      <w:marLeft w:val="0"/>
      <w:marRight w:val="0"/>
      <w:marTop w:val="0"/>
      <w:marBottom w:val="0"/>
      <w:divBdr>
        <w:top w:val="none" w:sz="0" w:space="0" w:color="auto"/>
        <w:left w:val="none" w:sz="0" w:space="0" w:color="auto"/>
        <w:bottom w:val="none" w:sz="0" w:space="0" w:color="auto"/>
        <w:right w:val="none" w:sz="0" w:space="0" w:color="auto"/>
      </w:divBdr>
    </w:div>
    <w:div w:id="981429252">
      <w:bodyDiv w:val="1"/>
      <w:marLeft w:val="0"/>
      <w:marRight w:val="0"/>
      <w:marTop w:val="0"/>
      <w:marBottom w:val="0"/>
      <w:divBdr>
        <w:top w:val="none" w:sz="0" w:space="0" w:color="auto"/>
        <w:left w:val="none" w:sz="0" w:space="0" w:color="auto"/>
        <w:bottom w:val="none" w:sz="0" w:space="0" w:color="auto"/>
        <w:right w:val="none" w:sz="0" w:space="0" w:color="auto"/>
      </w:divBdr>
    </w:div>
    <w:div w:id="982390606">
      <w:bodyDiv w:val="1"/>
      <w:marLeft w:val="0"/>
      <w:marRight w:val="0"/>
      <w:marTop w:val="0"/>
      <w:marBottom w:val="0"/>
      <w:divBdr>
        <w:top w:val="none" w:sz="0" w:space="0" w:color="auto"/>
        <w:left w:val="none" w:sz="0" w:space="0" w:color="auto"/>
        <w:bottom w:val="none" w:sz="0" w:space="0" w:color="auto"/>
        <w:right w:val="none" w:sz="0" w:space="0" w:color="auto"/>
      </w:divBdr>
    </w:div>
    <w:div w:id="1011949632">
      <w:bodyDiv w:val="1"/>
      <w:marLeft w:val="0"/>
      <w:marRight w:val="0"/>
      <w:marTop w:val="0"/>
      <w:marBottom w:val="0"/>
      <w:divBdr>
        <w:top w:val="none" w:sz="0" w:space="0" w:color="auto"/>
        <w:left w:val="none" w:sz="0" w:space="0" w:color="auto"/>
        <w:bottom w:val="none" w:sz="0" w:space="0" w:color="auto"/>
        <w:right w:val="none" w:sz="0" w:space="0" w:color="auto"/>
      </w:divBdr>
    </w:div>
    <w:div w:id="1016661527">
      <w:bodyDiv w:val="1"/>
      <w:marLeft w:val="0"/>
      <w:marRight w:val="0"/>
      <w:marTop w:val="0"/>
      <w:marBottom w:val="0"/>
      <w:divBdr>
        <w:top w:val="none" w:sz="0" w:space="0" w:color="auto"/>
        <w:left w:val="none" w:sz="0" w:space="0" w:color="auto"/>
        <w:bottom w:val="none" w:sz="0" w:space="0" w:color="auto"/>
        <w:right w:val="none" w:sz="0" w:space="0" w:color="auto"/>
      </w:divBdr>
    </w:div>
    <w:div w:id="1045762154">
      <w:bodyDiv w:val="1"/>
      <w:marLeft w:val="0"/>
      <w:marRight w:val="0"/>
      <w:marTop w:val="0"/>
      <w:marBottom w:val="0"/>
      <w:divBdr>
        <w:top w:val="none" w:sz="0" w:space="0" w:color="auto"/>
        <w:left w:val="none" w:sz="0" w:space="0" w:color="auto"/>
        <w:bottom w:val="none" w:sz="0" w:space="0" w:color="auto"/>
        <w:right w:val="none" w:sz="0" w:space="0" w:color="auto"/>
      </w:divBdr>
    </w:div>
    <w:div w:id="1055815836">
      <w:bodyDiv w:val="1"/>
      <w:marLeft w:val="0"/>
      <w:marRight w:val="0"/>
      <w:marTop w:val="0"/>
      <w:marBottom w:val="0"/>
      <w:divBdr>
        <w:top w:val="none" w:sz="0" w:space="0" w:color="auto"/>
        <w:left w:val="none" w:sz="0" w:space="0" w:color="auto"/>
        <w:bottom w:val="none" w:sz="0" w:space="0" w:color="auto"/>
        <w:right w:val="none" w:sz="0" w:space="0" w:color="auto"/>
      </w:divBdr>
    </w:div>
    <w:div w:id="1060981320">
      <w:bodyDiv w:val="1"/>
      <w:marLeft w:val="0"/>
      <w:marRight w:val="0"/>
      <w:marTop w:val="0"/>
      <w:marBottom w:val="0"/>
      <w:divBdr>
        <w:top w:val="none" w:sz="0" w:space="0" w:color="auto"/>
        <w:left w:val="none" w:sz="0" w:space="0" w:color="auto"/>
        <w:bottom w:val="none" w:sz="0" w:space="0" w:color="auto"/>
        <w:right w:val="none" w:sz="0" w:space="0" w:color="auto"/>
      </w:divBdr>
    </w:div>
    <w:div w:id="1065176364">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06778467">
      <w:bodyDiv w:val="1"/>
      <w:marLeft w:val="0"/>
      <w:marRight w:val="0"/>
      <w:marTop w:val="0"/>
      <w:marBottom w:val="0"/>
      <w:divBdr>
        <w:top w:val="none" w:sz="0" w:space="0" w:color="auto"/>
        <w:left w:val="none" w:sz="0" w:space="0" w:color="auto"/>
        <w:bottom w:val="none" w:sz="0" w:space="0" w:color="auto"/>
        <w:right w:val="none" w:sz="0" w:space="0" w:color="auto"/>
      </w:divBdr>
    </w:div>
    <w:div w:id="1108891827">
      <w:bodyDiv w:val="1"/>
      <w:marLeft w:val="0"/>
      <w:marRight w:val="0"/>
      <w:marTop w:val="0"/>
      <w:marBottom w:val="0"/>
      <w:divBdr>
        <w:top w:val="none" w:sz="0" w:space="0" w:color="auto"/>
        <w:left w:val="none" w:sz="0" w:space="0" w:color="auto"/>
        <w:bottom w:val="none" w:sz="0" w:space="0" w:color="auto"/>
        <w:right w:val="none" w:sz="0" w:space="0" w:color="auto"/>
      </w:divBdr>
    </w:div>
    <w:div w:id="1140147898">
      <w:bodyDiv w:val="1"/>
      <w:marLeft w:val="0"/>
      <w:marRight w:val="0"/>
      <w:marTop w:val="0"/>
      <w:marBottom w:val="0"/>
      <w:divBdr>
        <w:top w:val="none" w:sz="0" w:space="0" w:color="auto"/>
        <w:left w:val="none" w:sz="0" w:space="0" w:color="auto"/>
        <w:bottom w:val="none" w:sz="0" w:space="0" w:color="auto"/>
        <w:right w:val="none" w:sz="0" w:space="0" w:color="auto"/>
      </w:divBdr>
    </w:div>
    <w:div w:id="1162742441">
      <w:bodyDiv w:val="1"/>
      <w:marLeft w:val="0"/>
      <w:marRight w:val="0"/>
      <w:marTop w:val="0"/>
      <w:marBottom w:val="0"/>
      <w:divBdr>
        <w:top w:val="none" w:sz="0" w:space="0" w:color="auto"/>
        <w:left w:val="none" w:sz="0" w:space="0" w:color="auto"/>
        <w:bottom w:val="none" w:sz="0" w:space="0" w:color="auto"/>
        <w:right w:val="none" w:sz="0" w:space="0" w:color="auto"/>
      </w:divBdr>
    </w:div>
    <w:div w:id="1198010112">
      <w:bodyDiv w:val="1"/>
      <w:marLeft w:val="0"/>
      <w:marRight w:val="0"/>
      <w:marTop w:val="0"/>
      <w:marBottom w:val="0"/>
      <w:divBdr>
        <w:top w:val="none" w:sz="0" w:space="0" w:color="auto"/>
        <w:left w:val="none" w:sz="0" w:space="0" w:color="auto"/>
        <w:bottom w:val="none" w:sz="0" w:space="0" w:color="auto"/>
        <w:right w:val="none" w:sz="0" w:space="0" w:color="auto"/>
      </w:divBdr>
    </w:div>
    <w:div w:id="1207140317">
      <w:bodyDiv w:val="1"/>
      <w:marLeft w:val="0"/>
      <w:marRight w:val="0"/>
      <w:marTop w:val="0"/>
      <w:marBottom w:val="0"/>
      <w:divBdr>
        <w:top w:val="none" w:sz="0" w:space="0" w:color="auto"/>
        <w:left w:val="none" w:sz="0" w:space="0" w:color="auto"/>
        <w:bottom w:val="none" w:sz="0" w:space="0" w:color="auto"/>
        <w:right w:val="none" w:sz="0" w:space="0" w:color="auto"/>
      </w:divBdr>
    </w:div>
    <w:div w:id="1210655322">
      <w:bodyDiv w:val="1"/>
      <w:marLeft w:val="0"/>
      <w:marRight w:val="0"/>
      <w:marTop w:val="0"/>
      <w:marBottom w:val="0"/>
      <w:divBdr>
        <w:top w:val="none" w:sz="0" w:space="0" w:color="auto"/>
        <w:left w:val="none" w:sz="0" w:space="0" w:color="auto"/>
        <w:bottom w:val="none" w:sz="0" w:space="0" w:color="auto"/>
        <w:right w:val="none" w:sz="0" w:space="0" w:color="auto"/>
      </w:divBdr>
    </w:div>
    <w:div w:id="1211839285">
      <w:bodyDiv w:val="1"/>
      <w:marLeft w:val="0"/>
      <w:marRight w:val="0"/>
      <w:marTop w:val="0"/>
      <w:marBottom w:val="0"/>
      <w:divBdr>
        <w:top w:val="none" w:sz="0" w:space="0" w:color="auto"/>
        <w:left w:val="none" w:sz="0" w:space="0" w:color="auto"/>
        <w:bottom w:val="none" w:sz="0" w:space="0" w:color="auto"/>
        <w:right w:val="none" w:sz="0" w:space="0" w:color="auto"/>
      </w:divBdr>
    </w:div>
    <w:div w:id="1226337790">
      <w:bodyDiv w:val="1"/>
      <w:marLeft w:val="0"/>
      <w:marRight w:val="0"/>
      <w:marTop w:val="0"/>
      <w:marBottom w:val="0"/>
      <w:divBdr>
        <w:top w:val="none" w:sz="0" w:space="0" w:color="auto"/>
        <w:left w:val="none" w:sz="0" w:space="0" w:color="auto"/>
        <w:bottom w:val="none" w:sz="0" w:space="0" w:color="auto"/>
        <w:right w:val="none" w:sz="0" w:space="0" w:color="auto"/>
      </w:divBdr>
    </w:div>
    <w:div w:id="1249194459">
      <w:bodyDiv w:val="1"/>
      <w:marLeft w:val="0"/>
      <w:marRight w:val="0"/>
      <w:marTop w:val="0"/>
      <w:marBottom w:val="0"/>
      <w:divBdr>
        <w:top w:val="none" w:sz="0" w:space="0" w:color="auto"/>
        <w:left w:val="none" w:sz="0" w:space="0" w:color="auto"/>
        <w:bottom w:val="none" w:sz="0" w:space="0" w:color="auto"/>
        <w:right w:val="none" w:sz="0" w:space="0" w:color="auto"/>
      </w:divBdr>
    </w:div>
    <w:div w:id="1253928055">
      <w:bodyDiv w:val="1"/>
      <w:marLeft w:val="0"/>
      <w:marRight w:val="0"/>
      <w:marTop w:val="0"/>
      <w:marBottom w:val="0"/>
      <w:divBdr>
        <w:top w:val="none" w:sz="0" w:space="0" w:color="auto"/>
        <w:left w:val="none" w:sz="0" w:space="0" w:color="auto"/>
        <w:bottom w:val="none" w:sz="0" w:space="0" w:color="auto"/>
        <w:right w:val="none" w:sz="0" w:space="0" w:color="auto"/>
      </w:divBdr>
    </w:div>
    <w:div w:id="1263224133">
      <w:bodyDiv w:val="1"/>
      <w:marLeft w:val="0"/>
      <w:marRight w:val="0"/>
      <w:marTop w:val="0"/>
      <w:marBottom w:val="0"/>
      <w:divBdr>
        <w:top w:val="none" w:sz="0" w:space="0" w:color="auto"/>
        <w:left w:val="none" w:sz="0" w:space="0" w:color="auto"/>
        <w:bottom w:val="none" w:sz="0" w:space="0" w:color="auto"/>
        <w:right w:val="none" w:sz="0" w:space="0" w:color="auto"/>
      </w:divBdr>
    </w:div>
    <w:div w:id="1282491292">
      <w:bodyDiv w:val="1"/>
      <w:marLeft w:val="0"/>
      <w:marRight w:val="0"/>
      <w:marTop w:val="0"/>
      <w:marBottom w:val="0"/>
      <w:divBdr>
        <w:top w:val="none" w:sz="0" w:space="0" w:color="auto"/>
        <w:left w:val="none" w:sz="0" w:space="0" w:color="auto"/>
        <w:bottom w:val="none" w:sz="0" w:space="0" w:color="auto"/>
        <w:right w:val="none" w:sz="0" w:space="0" w:color="auto"/>
      </w:divBdr>
    </w:div>
    <w:div w:id="1291783746">
      <w:bodyDiv w:val="1"/>
      <w:marLeft w:val="0"/>
      <w:marRight w:val="0"/>
      <w:marTop w:val="0"/>
      <w:marBottom w:val="0"/>
      <w:divBdr>
        <w:top w:val="none" w:sz="0" w:space="0" w:color="auto"/>
        <w:left w:val="none" w:sz="0" w:space="0" w:color="auto"/>
        <w:bottom w:val="none" w:sz="0" w:space="0" w:color="auto"/>
        <w:right w:val="none" w:sz="0" w:space="0" w:color="auto"/>
      </w:divBdr>
    </w:div>
    <w:div w:id="1292634655">
      <w:bodyDiv w:val="1"/>
      <w:marLeft w:val="0"/>
      <w:marRight w:val="0"/>
      <w:marTop w:val="0"/>
      <w:marBottom w:val="0"/>
      <w:divBdr>
        <w:top w:val="none" w:sz="0" w:space="0" w:color="auto"/>
        <w:left w:val="none" w:sz="0" w:space="0" w:color="auto"/>
        <w:bottom w:val="none" w:sz="0" w:space="0" w:color="auto"/>
        <w:right w:val="none" w:sz="0" w:space="0" w:color="auto"/>
      </w:divBdr>
    </w:div>
    <w:div w:id="1301421078">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21806955">
      <w:bodyDiv w:val="1"/>
      <w:marLeft w:val="0"/>
      <w:marRight w:val="0"/>
      <w:marTop w:val="0"/>
      <w:marBottom w:val="0"/>
      <w:divBdr>
        <w:top w:val="none" w:sz="0" w:space="0" w:color="auto"/>
        <w:left w:val="none" w:sz="0" w:space="0" w:color="auto"/>
        <w:bottom w:val="none" w:sz="0" w:space="0" w:color="auto"/>
        <w:right w:val="none" w:sz="0" w:space="0" w:color="auto"/>
      </w:divBdr>
    </w:div>
    <w:div w:id="1343361736">
      <w:bodyDiv w:val="1"/>
      <w:marLeft w:val="0"/>
      <w:marRight w:val="0"/>
      <w:marTop w:val="0"/>
      <w:marBottom w:val="0"/>
      <w:divBdr>
        <w:top w:val="none" w:sz="0" w:space="0" w:color="auto"/>
        <w:left w:val="none" w:sz="0" w:space="0" w:color="auto"/>
        <w:bottom w:val="none" w:sz="0" w:space="0" w:color="auto"/>
        <w:right w:val="none" w:sz="0" w:space="0" w:color="auto"/>
      </w:divBdr>
    </w:div>
    <w:div w:id="1355419681">
      <w:bodyDiv w:val="1"/>
      <w:marLeft w:val="0"/>
      <w:marRight w:val="0"/>
      <w:marTop w:val="0"/>
      <w:marBottom w:val="0"/>
      <w:divBdr>
        <w:top w:val="none" w:sz="0" w:space="0" w:color="auto"/>
        <w:left w:val="none" w:sz="0" w:space="0" w:color="auto"/>
        <w:bottom w:val="none" w:sz="0" w:space="0" w:color="auto"/>
        <w:right w:val="none" w:sz="0" w:space="0" w:color="auto"/>
      </w:divBdr>
    </w:div>
    <w:div w:id="1375620839">
      <w:bodyDiv w:val="1"/>
      <w:marLeft w:val="0"/>
      <w:marRight w:val="0"/>
      <w:marTop w:val="0"/>
      <w:marBottom w:val="0"/>
      <w:divBdr>
        <w:top w:val="none" w:sz="0" w:space="0" w:color="auto"/>
        <w:left w:val="none" w:sz="0" w:space="0" w:color="auto"/>
        <w:bottom w:val="none" w:sz="0" w:space="0" w:color="auto"/>
        <w:right w:val="none" w:sz="0" w:space="0" w:color="auto"/>
      </w:divBdr>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03410402">
      <w:bodyDiv w:val="1"/>
      <w:marLeft w:val="0"/>
      <w:marRight w:val="0"/>
      <w:marTop w:val="0"/>
      <w:marBottom w:val="0"/>
      <w:divBdr>
        <w:top w:val="none" w:sz="0" w:space="0" w:color="auto"/>
        <w:left w:val="none" w:sz="0" w:space="0" w:color="auto"/>
        <w:bottom w:val="none" w:sz="0" w:space="0" w:color="auto"/>
        <w:right w:val="none" w:sz="0" w:space="0" w:color="auto"/>
      </w:divBdr>
    </w:div>
    <w:div w:id="1408459563">
      <w:bodyDiv w:val="1"/>
      <w:marLeft w:val="0"/>
      <w:marRight w:val="0"/>
      <w:marTop w:val="0"/>
      <w:marBottom w:val="0"/>
      <w:divBdr>
        <w:top w:val="none" w:sz="0" w:space="0" w:color="auto"/>
        <w:left w:val="none" w:sz="0" w:space="0" w:color="auto"/>
        <w:bottom w:val="none" w:sz="0" w:space="0" w:color="auto"/>
        <w:right w:val="none" w:sz="0" w:space="0" w:color="auto"/>
      </w:divBdr>
    </w:div>
    <w:div w:id="1408649815">
      <w:bodyDiv w:val="1"/>
      <w:marLeft w:val="0"/>
      <w:marRight w:val="0"/>
      <w:marTop w:val="0"/>
      <w:marBottom w:val="0"/>
      <w:divBdr>
        <w:top w:val="none" w:sz="0" w:space="0" w:color="auto"/>
        <w:left w:val="none" w:sz="0" w:space="0" w:color="auto"/>
        <w:bottom w:val="none" w:sz="0" w:space="0" w:color="auto"/>
        <w:right w:val="none" w:sz="0" w:space="0" w:color="auto"/>
      </w:divBdr>
    </w:div>
    <w:div w:id="1413769738">
      <w:bodyDiv w:val="1"/>
      <w:marLeft w:val="0"/>
      <w:marRight w:val="0"/>
      <w:marTop w:val="0"/>
      <w:marBottom w:val="0"/>
      <w:divBdr>
        <w:top w:val="none" w:sz="0" w:space="0" w:color="auto"/>
        <w:left w:val="none" w:sz="0" w:space="0" w:color="auto"/>
        <w:bottom w:val="none" w:sz="0" w:space="0" w:color="auto"/>
        <w:right w:val="none" w:sz="0" w:space="0" w:color="auto"/>
      </w:divBdr>
    </w:div>
    <w:div w:id="1425498555">
      <w:bodyDiv w:val="1"/>
      <w:marLeft w:val="0"/>
      <w:marRight w:val="0"/>
      <w:marTop w:val="0"/>
      <w:marBottom w:val="0"/>
      <w:divBdr>
        <w:top w:val="none" w:sz="0" w:space="0" w:color="auto"/>
        <w:left w:val="none" w:sz="0" w:space="0" w:color="auto"/>
        <w:bottom w:val="none" w:sz="0" w:space="0" w:color="auto"/>
        <w:right w:val="none" w:sz="0" w:space="0" w:color="auto"/>
      </w:divBdr>
    </w:div>
    <w:div w:id="1445735668">
      <w:bodyDiv w:val="1"/>
      <w:marLeft w:val="0"/>
      <w:marRight w:val="0"/>
      <w:marTop w:val="0"/>
      <w:marBottom w:val="0"/>
      <w:divBdr>
        <w:top w:val="none" w:sz="0" w:space="0" w:color="auto"/>
        <w:left w:val="none" w:sz="0" w:space="0" w:color="auto"/>
        <w:bottom w:val="none" w:sz="0" w:space="0" w:color="auto"/>
        <w:right w:val="none" w:sz="0" w:space="0" w:color="auto"/>
      </w:divBdr>
    </w:div>
    <w:div w:id="1459378181">
      <w:bodyDiv w:val="1"/>
      <w:marLeft w:val="0"/>
      <w:marRight w:val="0"/>
      <w:marTop w:val="0"/>
      <w:marBottom w:val="0"/>
      <w:divBdr>
        <w:top w:val="none" w:sz="0" w:space="0" w:color="auto"/>
        <w:left w:val="none" w:sz="0" w:space="0" w:color="auto"/>
        <w:bottom w:val="none" w:sz="0" w:space="0" w:color="auto"/>
        <w:right w:val="none" w:sz="0" w:space="0" w:color="auto"/>
      </w:divBdr>
    </w:div>
    <w:div w:id="1476989409">
      <w:bodyDiv w:val="1"/>
      <w:marLeft w:val="0"/>
      <w:marRight w:val="0"/>
      <w:marTop w:val="0"/>
      <w:marBottom w:val="0"/>
      <w:divBdr>
        <w:top w:val="none" w:sz="0" w:space="0" w:color="auto"/>
        <w:left w:val="none" w:sz="0" w:space="0" w:color="auto"/>
        <w:bottom w:val="none" w:sz="0" w:space="0" w:color="auto"/>
        <w:right w:val="none" w:sz="0" w:space="0" w:color="auto"/>
      </w:divBdr>
    </w:div>
    <w:div w:id="1550652035">
      <w:bodyDiv w:val="1"/>
      <w:marLeft w:val="0"/>
      <w:marRight w:val="0"/>
      <w:marTop w:val="0"/>
      <w:marBottom w:val="0"/>
      <w:divBdr>
        <w:top w:val="none" w:sz="0" w:space="0" w:color="auto"/>
        <w:left w:val="none" w:sz="0" w:space="0" w:color="auto"/>
        <w:bottom w:val="none" w:sz="0" w:space="0" w:color="auto"/>
        <w:right w:val="none" w:sz="0" w:space="0" w:color="auto"/>
      </w:divBdr>
    </w:div>
    <w:div w:id="1566378242">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581408299">
      <w:bodyDiv w:val="1"/>
      <w:marLeft w:val="0"/>
      <w:marRight w:val="0"/>
      <w:marTop w:val="0"/>
      <w:marBottom w:val="0"/>
      <w:divBdr>
        <w:top w:val="none" w:sz="0" w:space="0" w:color="auto"/>
        <w:left w:val="none" w:sz="0" w:space="0" w:color="auto"/>
        <w:bottom w:val="none" w:sz="0" w:space="0" w:color="auto"/>
        <w:right w:val="none" w:sz="0" w:space="0" w:color="auto"/>
      </w:divBdr>
    </w:div>
    <w:div w:id="1623995251">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654260672">
      <w:bodyDiv w:val="1"/>
      <w:marLeft w:val="0"/>
      <w:marRight w:val="0"/>
      <w:marTop w:val="0"/>
      <w:marBottom w:val="0"/>
      <w:divBdr>
        <w:top w:val="none" w:sz="0" w:space="0" w:color="auto"/>
        <w:left w:val="none" w:sz="0" w:space="0" w:color="auto"/>
        <w:bottom w:val="none" w:sz="0" w:space="0" w:color="auto"/>
        <w:right w:val="none" w:sz="0" w:space="0" w:color="auto"/>
      </w:divBdr>
    </w:div>
    <w:div w:id="1654405168">
      <w:bodyDiv w:val="1"/>
      <w:marLeft w:val="0"/>
      <w:marRight w:val="0"/>
      <w:marTop w:val="0"/>
      <w:marBottom w:val="0"/>
      <w:divBdr>
        <w:top w:val="none" w:sz="0" w:space="0" w:color="auto"/>
        <w:left w:val="none" w:sz="0" w:space="0" w:color="auto"/>
        <w:bottom w:val="none" w:sz="0" w:space="0" w:color="auto"/>
        <w:right w:val="none" w:sz="0" w:space="0" w:color="auto"/>
      </w:divBdr>
    </w:div>
    <w:div w:id="1673801804">
      <w:bodyDiv w:val="1"/>
      <w:marLeft w:val="0"/>
      <w:marRight w:val="0"/>
      <w:marTop w:val="0"/>
      <w:marBottom w:val="0"/>
      <w:divBdr>
        <w:top w:val="none" w:sz="0" w:space="0" w:color="auto"/>
        <w:left w:val="none" w:sz="0" w:space="0" w:color="auto"/>
        <w:bottom w:val="none" w:sz="0" w:space="0" w:color="auto"/>
        <w:right w:val="none" w:sz="0" w:space="0" w:color="auto"/>
      </w:divBdr>
    </w:div>
    <w:div w:id="1708095922">
      <w:bodyDiv w:val="1"/>
      <w:marLeft w:val="0"/>
      <w:marRight w:val="0"/>
      <w:marTop w:val="0"/>
      <w:marBottom w:val="0"/>
      <w:divBdr>
        <w:top w:val="none" w:sz="0" w:space="0" w:color="auto"/>
        <w:left w:val="none" w:sz="0" w:space="0" w:color="auto"/>
        <w:bottom w:val="none" w:sz="0" w:space="0" w:color="auto"/>
        <w:right w:val="none" w:sz="0" w:space="0" w:color="auto"/>
      </w:divBdr>
    </w:div>
    <w:div w:id="1712803588">
      <w:bodyDiv w:val="1"/>
      <w:marLeft w:val="0"/>
      <w:marRight w:val="0"/>
      <w:marTop w:val="0"/>
      <w:marBottom w:val="0"/>
      <w:divBdr>
        <w:top w:val="none" w:sz="0" w:space="0" w:color="auto"/>
        <w:left w:val="none" w:sz="0" w:space="0" w:color="auto"/>
        <w:bottom w:val="none" w:sz="0" w:space="0" w:color="auto"/>
        <w:right w:val="none" w:sz="0" w:space="0" w:color="auto"/>
      </w:divBdr>
    </w:div>
    <w:div w:id="1713265562">
      <w:bodyDiv w:val="1"/>
      <w:marLeft w:val="0"/>
      <w:marRight w:val="0"/>
      <w:marTop w:val="0"/>
      <w:marBottom w:val="0"/>
      <w:divBdr>
        <w:top w:val="none" w:sz="0" w:space="0" w:color="auto"/>
        <w:left w:val="none" w:sz="0" w:space="0" w:color="auto"/>
        <w:bottom w:val="none" w:sz="0" w:space="0" w:color="auto"/>
        <w:right w:val="none" w:sz="0" w:space="0" w:color="auto"/>
      </w:divBdr>
    </w:div>
    <w:div w:id="1727416274">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48844428">
      <w:bodyDiv w:val="1"/>
      <w:marLeft w:val="0"/>
      <w:marRight w:val="0"/>
      <w:marTop w:val="0"/>
      <w:marBottom w:val="0"/>
      <w:divBdr>
        <w:top w:val="none" w:sz="0" w:space="0" w:color="auto"/>
        <w:left w:val="none" w:sz="0" w:space="0" w:color="auto"/>
        <w:bottom w:val="none" w:sz="0" w:space="0" w:color="auto"/>
        <w:right w:val="none" w:sz="0" w:space="0" w:color="auto"/>
      </w:divBdr>
    </w:div>
    <w:div w:id="1766000469">
      <w:bodyDiv w:val="1"/>
      <w:marLeft w:val="0"/>
      <w:marRight w:val="0"/>
      <w:marTop w:val="0"/>
      <w:marBottom w:val="0"/>
      <w:divBdr>
        <w:top w:val="none" w:sz="0" w:space="0" w:color="auto"/>
        <w:left w:val="none" w:sz="0" w:space="0" w:color="auto"/>
        <w:bottom w:val="none" w:sz="0" w:space="0" w:color="auto"/>
        <w:right w:val="none" w:sz="0" w:space="0" w:color="auto"/>
      </w:divBdr>
    </w:div>
    <w:div w:id="1777670894">
      <w:bodyDiv w:val="1"/>
      <w:marLeft w:val="0"/>
      <w:marRight w:val="0"/>
      <w:marTop w:val="0"/>
      <w:marBottom w:val="0"/>
      <w:divBdr>
        <w:top w:val="none" w:sz="0" w:space="0" w:color="auto"/>
        <w:left w:val="none" w:sz="0" w:space="0" w:color="auto"/>
        <w:bottom w:val="none" w:sz="0" w:space="0" w:color="auto"/>
        <w:right w:val="none" w:sz="0" w:space="0" w:color="auto"/>
      </w:divBdr>
    </w:div>
    <w:div w:id="1796290079">
      <w:bodyDiv w:val="1"/>
      <w:marLeft w:val="0"/>
      <w:marRight w:val="0"/>
      <w:marTop w:val="0"/>
      <w:marBottom w:val="0"/>
      <w:divBdr>
        <w:top w:val="none" w:sz="0" w:space="0" w:color="auto"/>
        <w:left w:val="none" w:sz="0" w:space="0" w:color="auto"/>
        <w:bottom w:val="none" w:sz="0" w:space="0" w:color="auto"/>
        <w:right w:val="none" w:sz="0" w:space="0" w:color="auto"/>
      </w:divBdr>
    </w:div>
    <w:div w:id="1799294959">
      <w:bodyDiv w:val="1"/>
      <w:marLeft w:val="0"/>
      <w:marRight w:val="0"/>
      <w:marTop w:val="0"/>
      <w:marBottom w:val="0"/>
      <w:divBdr>
        <w:top w:val="none" w:sz="0" w:space="0" w:color="auto"/>
        <w:left w:val="none" w:sz="0" w:space="0" w:color="auto"/>
        <w:bottom w:val="none" w:sz="0" w:space="0" w:color="auto"/>
        <w:right w:val="none" w:sz="0" w:space="0" w:color="auto"/>
      </w:divBdr>
    </w:div>
    <w:div w:id="1810973581">
      <w:bodyDiv w:val="1"/>
      <w:marLeft w:val="0"/>
      <w:marRight w:val="0"/>
      <w:marTop w:val="0"/>
      <w:marBottom w:val="0"/>
      <w:divBdr>
        <w:top w:val="none" w:sz="0" w:space="0" w:color="auto"/>
        <w:left w:val="none" w:sz="0" w:space="0" w:color="auto"/>
        <w:bottom w:val="none" w:sz="0" w:space="0" w:color="auto"/>
        <w:right w:val="none" w:sz="0" w:space="0" w:color="auto"/>
      </w:divBdr>
    </w:div>
    <w:div w:id="1813449230">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40538355">
      <w:bodyDiv w:val="1"/>
      <w:marLeft w:val="0"/>
      <w:marRight w:val="0"/>
      <w:marTop w:val="0"/>
      <w:marBottom w:val="0"/>
      <w:divBdr>
        <w:top w:val="none" w:sz="0" w:space="0" w:color="auto"/>
        <w:left w:val="none" w:sz="0" w:space="0" w:color="auto"/>
        <w:bottom w:val="none" w:sz="0" w:space="0" w:color="auto"/>
        <w:right w:val="none" w:sz="0" w:space="0" w:color="auto"/>
      </w:divBdr>
    </w:div>
    <w:div w:id="1845701132">
      <w:bodyDiv w:val="1"/>
      <w:marLeft w:val="0"/>
      <w:marRight w:val="0"/>
      <w:marTop w:val="0"/>
      <w:marBottom w:val="0"/>
      <w:divBdr>
        <w:top w:val="none" w:sz="0" w:space="0" w:color="auto"/>
        <w:left w:val="none" w:sz="0" w:space="0" w:color="auto"/>
        <w:bottom w:val="none" w:sz="0" w:space="0" w:color="auto"/>
        <w:right w:val="none" w:sz="0" w:space="0" w:color="auto"/>
      </w:divBdr>
    </w:div>
    <w:div w:id="1859930354">
      <w:bodyDiv w:val="1"/>
      <w:marLeft w:val="0"/>
      <w:marRight w:val="0"/>
      <w:marTop w:val="0"/>
      <w:marBottom w:val="0"/>
      <w:divBdr>
        <w:top w:val="none" w:sz="0" w:space="0" w:color="auto"/>
        <w:left w:val="none" w:sz="0" w:space="0" w:color="auto"/>
        <w:bottom w:val="none" w:sz="0" w:space="0" w:color="auto"/>
        <w:right w:val="none" w:sz="0" w:space="0" w:color="auto"/>
      </w:divBdr>
    </w:div>
    <w:div w:id="1874885063">
      <w:bodyDiv w:val="1"/>
      <w:marLeft w:val="0"/>
      <w:marRight w:val="0"/>
      <w:marTop w:val="0"/>
      <w:marBottom w:val="0"/>
      <w:divBdr>
        <w:top w:val="none" w:sz="0" w:space="0" w:color="auto"/>
        <w:left w:val="none" w:sz="0" w:space="0" w:color="auto"/>
        <w:bottom w:val="none" w:sz="0" w:space="0" w:color="auto"/>
        <w:right w:val="none" w:sz="0" w:space="0" w:color="auto"/>
      </w:divBdr>
    </w:div>
    <w:div w:id="1881087845">
      <w:bodyDiv w:val="1"/>
      <w:marLeft w:val="0"/>
      <w:marRight w:val="0"/>
      <w:marTop w:val="0"/>
      <w:marBottom w:val="0"/>
      <w:divBdr>
        <w:top w:val="none" w:sz="0" w:space="0" w:color="auto"/>
        <w:left w:val="none" w:sz="0" w:space="0" w:color="auto"/>
        <w:bottom w:val="none" w:sz="0" w:space="0" w:color="auto"/>
        <w:right w:val="none" w:sz="0" w:space="0" w:color="auto"/>
      </w:divBdr>
    </w:div>
    <w:div w:id="1883667520">
      <w:bodyDiv w:val="1"/>
      <w:marLeft w:val="0"/>
      <w:marRight w:val="0"/>
      <w:marTop w:val="0"/>
      <w:marBottom w:val="0"/>
      <w:divBdr>
        <w:top w:val="none" w:sz="0" w:space="0" w:color="auto"/>
        <w:left w:val="none" w:sz="0" w:space="0" w:color="auto"/>
        <w:bottom w:val="none" w:sz="0" w:space="0" w:color="auto"/>
        <w:right w:val="none" w:sz="0" w:space="0" w:color="auto"/>
      </w:divBdr>
    </w:div>
    <w:div w:id="1886211679">
      <w:bodyDiv w:val="1"/>
      <w:marLeft w:val="0"/>
      <w:marRight w:val="0"/>
      <w:marTop w:val="0"/>
      <w:marBottom w:val="0"/>
      <w:divBdr>
        <w:top w:val="none" w:sz="0" w:space="0" w:color="auto"/>
        <w:left w:val="none" w:sz="0" w:space="0" w:color="auto"/>
        <w:bottom w:val="none" w:sz="0" w:space="0" w:color="auto"/>
        <w:right w:val="none" w:sz="0" w:space="0" w:color="auto"/>
      </w:divBdr>
    </w:div>
    <w:div w:id="1888494714">
      <w:bodyDiv w:val="1"/>
      <w:marLeft w:val="0"/>
      <w:marRight w:val="0"/>
      <w:marTop w:val="0"/>
      <w:marBottom w:val="0"/>
      <w:divBdr>
        <w:top w:val="none" w:sz="0" w:space="0" w:color="auto"/>
        <w:left w:val="none" w:sz="0" w:space="0" w:color="auto"/>
        <w:bottom w:val="none" w:sz="0" w:space="0" w:color="auto"/>
        <w:right w:val="none" w:sz="0" w:space="0" w:color="auto"/>
      </w:divBdr>
    </w:div>
    <w:div w:id="1923879240">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38639780">
      <w:bodyDiv w:val="1"/>
      <w:marLeft w:val="0"/>
      <w:marRight w:val="0"/>
      <w:marTop w:val="0"/>
      <w:marBottom w:val="0"/>
      <w:divBdr>
        <w:top w:val="none" w:sz="0" w:space="0" w:color="auto"/>
        <w:left w:val="none" w:sz="0" w:space="0" w:color="auto"/>
        <w:bottom w:val="none" w:sz="0" w:space="0" w:color="auto"/>
        <w:right w:val="none" w:sz="0" w:space="0" w:color="auto"/>
      </w:divBdr>
    </w:div>
    <w:div w:id="1938705725">
      <w:bodyDiv w:val="1"/>
      <w:marLeft w:val="0"/>
      <w:marRight w:val="0"/>
      <w:marTop w:val="0"/>
      <w:marBottom w:val="0"/>
      <w:divBdr>
        <w:top w:val="none" w:sz="0" w:space="0" w:color="auto"/>
        <w:left w:val="none" w:sz="0" w:space="0" w:color="auto"/>
        <w:bottom w:val="none" w:sz="0" w:space="0" w:color="auto"/>
        <w:right w:val="none" w:sz="0" w:space="0" w:color="auto"/>
      </w:divBdr>
    </w:div>
    <w:div w:id="1948001910">
      <w:bodyDiv w:val="1"/>
      <w:marLeft w:val="0"/>
      <w:marRight w:val="0"/>
      <w:marTop w:val="0"/>
      <w:marBottom w:val="0"/>
      <w:divBdr>
        <w:top w:val="none" w:sz="0" w:space="0" w:color="auto"/>
        <w:left w:val="none" w:sz="0" w:space="0" w:color="auto"/>
        <w:bottom w:val="none" w:sz="0" w:space="0" w:color="auto"/>
        <w:right w:val="none" w:sz="0" w:space="0" w:color="auto"/>
      </w:divBdr>
    </w:div>
    <w:div w:id="2013414776">
      <w:bodyDiv w:val="1"/>
      <w:marLeft w:val="0"/>
      <w:marRight w:val="0"/>
      <w:marTop w:val="0"/>
      <w:marBottom w:val="0"/>
      <w:divBdr>
        <w:top w:val="none" w:sz="0" w:space="0" w:color="auto"/>
        <w:left w:val="none" w:sz="0" w:space="0" w:color="auto"/>
        <w:bottom w:val="none" w:sz="0" w:space="0" w:color="auto"/>
        <w:right w:val="none" w:sz="0" w:space="0" w:color="auto"/>
      </w:divBdr>
    </w:div>
    <w:div w:id="2029401262">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52803215">
      <w:bodyDiv w:val="1"/>
      <w:marLeft w:val="0"/>
      <w:marRight w:val="0"/>
      <w:marTop w:val="0"/>
      <w:marBottom w:val="0"/>
      <w:divBdr>
        <w:top w:val="none" w:sz="0" w:space="0" w:color="auto"/>
        <w:left w:val="none" w:sz="0" w:space="0" w:color="auto"/>
        <w:bottom w:val="none" w:sz="0" w:space="0" w:color="auto"/>
        <w:right w:val="none" w:sz="0" w:space="0" w:color="auto"/>
      </w:divBdr>
    </w:div>
    <w:div w:id="2096171712">
      <w:bodyDiv w:val="1"/>
      <w:marLeft w:val="0"/>
      <w:marRight w:val="0"/>
      <w:marTop w:val="0"/>
      <w:marBottom w:val="0"/>
      <w:divBdr>
        <w:top w:val="none" w:sz="0" w:space="0" w:color="auto"/>
        <w:left w:val="none" w:sz="0" w:space="0" w:color="auto"/>
        <w:bottom w:val="none" w:sz="0" w:space="0" w:color="auto"/>
        <w:right w:val="none" w:sz="0" w:space="0" w:color="auto"/>
      </w:divBdr>
    </w:div>
    <w:div w:id="2102485845">
      <w:bodyDiv w:val="1"/>
      <w:marLeft w:val="0"/>
      <w:marRight w:val="0"/>
      <w:marTop w:val="0"/>
      <w:marBottom w:val="0"/>
      <w:divBdr>
        <w:top w:val="none" w:sz="0" w:space="0" w:color="auto"/>
        <w:left w:val="none" w:sz="0" w:space="0" w:color="auto"/>
        <w:bottom w:val="none" w:sz="0" w:space="0" w:color="auto"/>
        <w:right w:val="none" w:sz="0" w:space="0" w:color="auto"/>
      </w:divBdr>
    </w:div>
    <w:div w:id="2131391226">
      <w:bodyDiv w:val="1"/>
      <w:marLeft w:val="0"/>
      <w:marRight w:val="0"/>
      <w:marTop w:val="0"/>
      <w:marBottom w:val="0"/>
      <w:divBdr>
        <w:top w:val="none" w:sz="0" w:space="0" w:color="auto"/>
        <w:left w:val="none" w:sz="0" w:space="0" w:color="auto"/>
        <w:bottom w:val="none" w:sz="0" w:space="0" w:color="auto"/>
        <w:right w:val="none" w:sz="0" w:space="0" w:color="auto"/>
      </w:divBdr>
    </w:div>
    <w:div w:id="21429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1EB9-6B31-4FF0-B6D7-227BD1AD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10920</Words>
  <Characters>62250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Criminal Justice Diversion Program in Victoria: Second Statistical Report</vt:lpstr>
    </vt:vector>
  </TitlesOfParts>
  <Company/>
  <LinksUpToDate>false</LinksUpToDate>
  <CharactersWithSpaces>73024</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Justice Diversion Program in Victoria: Second Statistical Report</dc:title>
  <dc:subject/>
  <dc:creator>Sentencing Advisory Council</dc:creator>
  <cp:keywords/>
  <dc:description/>
  <cp:lastModifiedBy>Catherine M Jeffreys (DJCS)</cp:lastModifiedBy>
  <cp:revision>18</cp:revision>
  <dcterms:created xsi:type="dcterms:W3CDTF">2024-06-24T07:53:00Z</dcterms:created>
  <dcterms:modified xsi:type="dcterms:W3CDTF">2024-06-24T08:19:00Z</dcterms:modified>
</cp:coreProperties>
</file>